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AA86A">
      <w:pPr>
        <w:pStyle w:val="4"/>
        <w:pBdr>
          <w:top w:val="none" w:color="auto" w:sz="0" w:space="0"/>
          <w:left w:val="none" w:color="auto" w:sz="0" w:space="0"/>
          <w:bottom w:val="none" w:color="auto" w:sz="0" w:space="0"/>
          <w:right w:val="none" w:color="auto" w:sz="0" w:space="0"/>
        </w:pBdr>
        <w:shd w:val="clear" w:color="auto" w:fill="auto"/>
        <w:spacing w:before="0" w:after="0" w:line="520" w:lineRule="atLeast"/>
        <w:jc w:val="center"/>
        <w:outlineLvl w:val="0"/>
        <w:rPr>
          <w:rFonts w:ascii="宋体" w:hAnsi="宋体" w:eastAsia="宋体" w:cs="宋体"/>
          <w:vanish w:val="0"/>
          <w:sz w:val="24"/>
        </w:rPr>
      </w:pPr>
      <w:r>
        <w:rPr>
          <w:rFonts w:ascii="黑体" w:hAnsi="黑体" w:eastAsia="黑体" w:cs="黑体"/>
          <w:b/>
          <w:sz w:val="36"/>
        </w:rPr>
        <w:t>2022</w:t>
      </w:r>
      <w:r>
        <w:rPr>
          <w:rFonts w:ascii="黑体" w:hAnsi="黑体" w:eastAsia="黑体" w:cs="黑体"/>
          <w:b/>
          <w:color w:val="000000"/>
          <w:sz w:val="36"/>
        </w:rPr>
        <w:t>年度</w:t>
      </w:r>
      <w:r>
        <w:rPr>
          <w:rFonts w:ascii="黑体" w:hAnsi="黑体" w:eastAsia="黑体" w:cs="黑体"/>
          <w:b/>
          <w:sz w:val="36"/>
        </w:rPr>
        <w:t>中方县信访局</w:t>
      </w:r>
      <w:r>
        <w:rPr>
          <w:rFonts w:ascii="黑体" w:hAnsi="黑体" w:eastAsia="黑体" w:cs="黑体"/>
          <w:b/>
          <w:color w:val="000000"/>
          <w:sz w:val="36"/>
        </w:rPr>
        <w:t>部门决算</w:t>
      </w:r>
    </w:p>
    <w:p w14:paraId="0EE88663">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黑体"/>
          <w:b/>
          <w:sz w:val="33"/>
        </w:rPr>
        <w:t>目录</w:t>
      </w:r>
    </w:p>
    <w:p w14:paraId="652DAC64">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0"/>
        <w:rPr>
          <w:rFonts w:ascii="宋体" w:hAnsi="宋体" w:eastAsia="宋体" w:cs="宋体"/>
          <w:vanish w:val="0"/>
          <w:sz w:val="24"/>
        </w:rPr>
      </w:pPr>
      <w:r>
        <w:rPr>
          <w:rFonts w:ascii="黑体" w:hAnsi="黑体" w:eastAsia="黑体" w:cs="黑体"/>
          <w:b/>
          <w:sz w:val="28"/>
        </w:rPr>
        <w:t>第一部分中方县信访局单位概况</w:t>
      </w:r>
    </w:p>
    <w:p w14:paraId="684F0555">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一、部门职责</w:t>
      </w:r>
    </w:p>
    <w:p w14:paraId="74547DBC">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二、机构设置</w:t>
      </w:r>
    </w:p>
    <w:p w14:paraId="3FF82B5A">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0"/>
        <w:rPr>
          <w:rFonts w:ascii="宋体" w:hAnsi="宋体" w:eastAsia="宋体" w:cs="宋体"/>
          <w:vanish w:val="0"/>
          <w:sz w:val="24"/>
        </w:rPr>
      </w:pPr>
      <w:r>
        <w:rPr>
          <w:rFonts w:ascii="黑体" w:hAnsi="黑体" w:eastAsia="黑体" w:cs="黑体"/>
          <w:b/>
          <w:sz w:val="28"/>
        </w:rPr>
        <w:t>第二部分2022年度部门决算表</w:t>
      </w:r>
    </w:p>
    <w:p w14:paraId="62EDD45B">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一、收入支出决算总表</w:t>
      </w:r>
    </w:p>
    <w:p w14:paraId="0779CFE3">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二、收入决算表</w:t>
      </w:r>
    </w:p>
    <w:p w14:paraId="3479D5B9">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三、支出决算表</w:t>
      </w:r>
    </w:p>
    <w:p w14:paraId="6F0BF421">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四、财政拨款收入支出决算总表</w:t>
      </w:r>
    </w:p>
    <w:p w14:paraId="74DF7756">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五、一般公共预算财政拨款支出决算表</w:t>
      </w:r>
    </w:p>
    <w:p w14:paraId="1E5BF3C0">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六、一般公共预算财政拨款基本支出决算明细表</w:t>
      </w:r>
    </w:p>
    <w:p w14:paraId="411094A1">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七、政府性基金预算财政拨款收入支出决算表</w:t>
      </w:r>
    </w:p>
    <w:p w14:paraId="1EF26048">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八、国有资本经营预算财政拨款支出决算表</w:t>
      </w:r>
    </w:p>
    <w:p w14:paraId="5297F313">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九、财政拨款“三公”经费支出决算表</w:t>
      </w:r>
    </w:p>
    <w:p w14:paraId="73E01ED9">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0"/>
        <w:rPr>
          <w:rFonts w:ascii="宋体" w:hAnsi="宋体" w:eastAsia="宋体" w:cs="宋体"/>
          <w:vanish w:val="0"/>
          <w:sz w:val="24"/>
        </w:rPr>
      </w:pPr>
      <w:r>
        <w:rPr>
          <w:rFonts w:ascii="黑体" w:hAnsi="黑体" w:eastAsia="黑体" w:cs="黑体"/>
          <w:b/>
          <w:sz w:val="28"/>
        </w:rPr>
        <w:t>第三部分2022年度部门决算情况说明</w:t>
      </w:r>
    </w:p>
    <w:p w14:paraId="26645D8E">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一、收入支出决算总体情况说明</w:t>
      </w:r>
    </w:p>
    <w:p w14:paraId="33EB2F8E">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二、收入决算情况说明</w:t>
      </w:r>
    </w:p>
    <w:p w14:paraId="6CC09C1D">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三、支出决算情况说明</w:t>
      </w:r>
    </w:p>
    <w:p w14:paraId="3E36AAC6">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四、财政拨款收入支出决算总体情况说明</w:t>
      </w:r>
    </w:p>
    <w:p w14:paraId="30EFBF49">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五、一般公共预算财政拨款支出决算情况说明</w:t>
      </w:r>
    </w:p>
    <w:p w14:paraId="0B2C7BD6">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六、一般公共预算财政拨款基本支出决算情况说明</w:t>
      </w:r>
    </w:p>
    <w:p w14:paraId="1729652E">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七、一般公共预算财政拨款</w:t>
      </w:r>
      <w:r>
        <w:rPr>
          <w:rFonts w:hint="eastAsia" w:ascii="宋体" w:hAnsi="宋体" w:eastAsia="宋体" w:cs="宋体"/>
          <w:sz w:val="28"/>
          <w:lang w:eastAsia="zh-CN"/>
        </w:rPr>
        <w:t>“</w:t>
      </w:r>
      <w:r>
        <w:rPr>
          <w:rFonts w:ascii="宋体" w:hAnsi="宋体" w:eastAsia="宋体" w:cs="宋体"/>
          <w:sz w:val="28"/>
        </w:rPr>
        <w:t>三公</w:t>
      </w:r>
      <w:r>
        <w:rPr>
          <w:rFonts w:hint="eastAsia" w:ascii="宋体" w:hAnsi="宋体" w:eastAsia="宋体" w:cs="宋体"/>
          <w:sz w:val="28"/>
          <w:lang w:eastAsia="zh-CN"/>
        </w:rPr>
        <w:t>”</w:t>
      </w:r>
      <w:r>
        <w:rPr>
          <w:rFonts w:ascii="宋体" w:hAnsi="宋体" w:eastAsia="宋体" w:cs="宋体"/>
          <w:sz w:val="28"/>
        </w:rPr>
        <w:t>经费支出决算情况说明</w:t>
      </w:r>
    </w:p>
    <w:p w14:paraId="1D95EE54">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八、政府性基金预算收入支出决算情况</w:t>
      </w:r>
    </w:p>
    <w:p w14:paraId="6DC8FCE8">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九、关于机关运行经费支出说明</w:t>
      </w:r>
    </w:p>
    <w:p w14:paraId="6F103C10">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十、一般性支出情况说明</w:t>
      </w:r>
    </w:p>
    <w:p w14:paraId="1FCD3D9D">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十一、关于政府采购支出说明</w:t>
      </w:r>
    </w:p>
    <w:p w14:paraId="3CCEAD22">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十二、关于国有资产占用情况说明</w:t>
      </w:r>
    </w:p>
    <w:p w14:paraId="67A937B4">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十三、关于预算绩效情况的说明</w:t>
      </w:r>
    </w:p>
    <w:p w14:paraId="7EC5B4EA">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黑体" w:hAnsi="黑体" w:eastAsia="黑体" w:cs="黑体"/>
          <w:b/>
          <w:sz w:val="28"/>
        </w:rPr>
        <w:t>第四部分名词解释</w:t>
      </w:r>
    </w:p>
    <w:p w14:paraId="16AB35C9">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黑体" w:hAnsi="黑体" w:eastAsia="黑体" w:cs="黑体"/>
          <w:b/>
          <w:sz w:val="28"/>
        </w:rPr>
        <w:t>第五部分附件</w:t>
      </w:r>
    </w:p>
    <w:p w14:paraId="0843799A">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p>
    <w:p w14:paraId="7EE9F723">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0D10148D">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05CB4DDA">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5223E39C">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42A9D9F6">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7EC88825">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1E3A1526">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436AD7CC">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4A2AC26E">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304C448E">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1A1630FF">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343927C9">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3F2F1D1E">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41AFFE99">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77787593">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69BBAD2D">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25242A35">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67EED875">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4EDDF852">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57331362">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6F1DFF12">
      <w:pPr>
        <w:pStyle w:val="4"/>
        <w:pBdr>
          <w:top w:val="none" w:color="auto" w:sz="0" w:space="0"/>
          <w:left w:val="none" w:color="auto" w:sz="0" w:space="0"/>
          <w:bottom w:val="none" w:color="auto" w:sz="0" w:space="0"/>
          <w:right w:val="none" w:color="auto" w:sz="0" w:space="0"/>
        </w:pBdr>
        <w:shd w:val="clear" w:color="auto" w:fill="auto"/>
        <w:spacing w:before="0" w:after="0" w:line="520" w:lineRule="atLeast"/>
        <w:jc w:val="center"/>
        <w:rPr>
          <w:rFonts w:ascii="宋体" w:hAnsi="宋体" w:eastAsia="宋体" w:cs="宋体"/>
          <w:vanish w:val="0"/>
          <w:sz w:val="24"/>
        </w:rPr>
      </w:pPr>
      <w:r>
        <w:rPr>
          <w:rFonts w:ascii="黑体" w:hAnsi="黑体" w:eastAsia="黑体" w:cs="黑体"/>
          <w:b/>
          <w:color w:val="000000"/>
          <w:sz w:val="33"/>
        </w:rPr>
        <w:t>第一部分</w:t>
      </w:r>
      <w:r>
        <w:rPr>
          <w:rFonts w:ascii="黑体" w:hAnsi="黑体" w:eastAsia="黑体" w:cs="黑体"/>
          <w:b/>
          <w:sz w:val="33"/>
        </w:rPr>
        <w:t>中方县信访局</w:t>
      </w:r>
      <w:r>
        <w:rPr>
          <w:rFonts w:ascii="黑体" w:hAnsi="黑体" w:eastAsia="黑体" w:cs="黑体"/>
          <w:b/>
          <w:color w:val="000000"/>
          <w:sz w:val="33"/>
        </w:rPr>
        <w:t>单位概况</w:t>
      </w:r>
    </w:p>
    <w:p w14:paraId="05547B05">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outlineLvl w:val="1"/>
        <w:rPr>
          <w:rFonts w:ascii="宋体" w:hAnsi="宋体" w:eastAsia="宋体" w:cs="宋体"/>
          <w:vanish w:val="0"/>
          <w:sz w:val="24"/>
        </w:rPr>
      </w:pPr>
      <w:r>
        <w:rPr>
          <w:rFonts w:ascii="黑体" w:hAnsi="黑体" w:eastAsia="黑体" w:cs="黑体"/>
          <w:b/>
          <w:sz w:val="28"/>
        </w:rPr>
        <w:t>一、部门职责</w:t>
      </w:r>
    </w:p>
    <w:p w14:paraId="0A7AF7C8">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color w:val="000000"/>
          <w:sz w:val="28"/>
        </w:rPr>
      </w:pPr>
      <w:r>
        <w:rPr>
          <w:rFonts w:ascii="宋体" w:hAnsi="宋体" w:eastAsia="宋体" w:cs="宋体"/>
          <w:color w:val="000000"/>
          <w:sz w:val="28"/>
        </w:rPr>
        <w:t>中方县信访局的主要职责是：</w:t>
      </w:r>
    </w:p>
    <w:p w14:paraId="45CAD5B0">
      <w:pPr>
        <w:pStyle w:val="4"/>
        <w:numPr>
          <w:ilvl w:val="0"/>
          <w:numId w:val="0"/>
        </w:numPr>
        <w:pBdr>
          <w:top w:val="none" w:color="auto" w:sz="0" w:space="0"/>
          <w:left w:val="none" w:color="auto" w:sz="0" w:space="0"/>
          <w:bottom w:val="none" w:color="auto" w:sz="0" w:space="0"/>
          <w:right w:val="none" w:color="auto" w:sz="0" w:space="0"/>
        </w:pBdr>
        <w:shd w:val="clear" w:color="auto" w:fill="auto"/>
        <w:spacing w:before="0" w:after="0" w:line="520" w:lineRule="atLeast"/>
        <w:ind w:firstLine="627" w:firstLineChars="0"/>
        <w:jc w:val="both"/>
        <w:rPr>
          <w:rFonts w:ascii="宋体" w:hAnsi="宋体" w:eastAsia="宋体" w:cs="宋体"/>
          <w:color w:val="000000"/>
          <w:sz w:val="28"/>
        </w:rPr>
      </w:pPr>
      <w:r>
        <w:rPr>
          <w:rFonts w:hint="eastAsia" w:ascii="宋体" w:hAnsi="宋体" w:eastAsia="宋体" w:cs="宋体"/>
          <w:color w:val="000000"/>
          <w:sz w:val="28"/>
          <w:szCs w:val="24"/>
          <w:lang w:val="en-US" w:eastAsia="uk-UA" w:bidi="ar-SA"/>
        </w:rPr>
        <w:t>（一）</w:t>
      </w:r>
      <w:r>
        <w:rPr>
          <w:rFonts w:ascii="宋体" w:hAnsi="宋体" w:eastAsia="宋体" w:cs="宋体"/>
          <w:color w:val="000000"/>
          <w:sz w:val="28"/>
        </w:rPr>
        <w:t>受理、交办、转送信访人提出的信访事项；</w:t>
      </w:r>
    </w:p>
    <w:p w14:paraId="6F00FC2D">
      <w:pPr>
        <w:pStyle w:val="4"/>
        <w:numPr>
          <w:ilvl w:val="0"/>
          <w:numId w:val="0"/>
        </w:numPr>
        <w:pBdr>
          <w:top w:val="none" w:color="auto" w:sz="0" w:space="0"/>
          <w:left w:val="none" w:color="auto" w:sz="0" w:space="0"/>
          <w:bottom w:val="none" w:color="auto" w:sz="0" w:space="0"/>
          <w:right w:val="none" w:color="auto" w:sz="0" w:space="0"/>
        </w:pBdr>
        <w:shd w:val="clear" w:color="auto" w:fill="auto"/>
        <w:spacing w:before="0" w:after="0" w:line="520" w:lineRule="atLeast"/>
        <w:ind w:left="0" w:leftChars="0" w:firstLine="627" w:firstLineChars="0"/>
        <w:jc w:val="both"/>
        <w:rPr>
          <w:rFonts w:ascii="宋体" w:hAnsi="宋体" w:eastAsia="宋体" w:cs="宋体"/>
          <w:color w:val="000000"/>
          <w:sz w:val="28"/>
        </w:rPr>
      </w:pPr>
      <w:r>
        <w:rPr>
          <w:rFonts w:hint="eastAsia" w:ascii="宋体" w:hAnsi="宋体" w:eastAsia="宋体" w:cs="宋体"/>
          <w:color w:val="000000"/>
          <w:sz w:val="28"/>
          <w:szCs w:val="24"/>
          <w:lang w:val="en-US" w:eastAsia="uk-UA" w:bidi="ar-SA"/>
        </w:rPr>
        <w:t>（二）</w:t>
      </w:r>
      <w:r>
        <w:rPr>
          <w:rFonts w:ascii="宋体" w:hAnsi="宋体" w:eastAsia="宋体" w:cs="宋体"/>
          <w:color w:val="000000"/>
          <w:sz w:val="28"/>
        </w:rPr>
        <w:t>承办上级和本级人民政府交由处理的信访事项；</w:t>
      </w:r>
    </w:p>
    <w:p w14:paraId="5CDF2E84">
      <w:pPr>
        <w:pStyle w:val="4"/>
        <w:numPr>
          <w:ilvl w:val="0"/>
          <w:numId w:val="0"/>
        </w:numPr>
        <w:pBdr>
          <w:top w:val="none" w:color="auto" w:sz="0" w:space="0"/>
          <w:left w:val="none" w:color="auto" w:sz="0" w:space="0"/>
          <w:bottom w:val="none" w:color="auto" w:sz="0" w:space="0"/>
          <w:right w:val="none" w:color="auto" w:sz="0" w:space="0"/>
        </w:pBdr>
        <w:shd w:val="clear" w:color="auto" w:fill="auto"/>
        <w:spacing w:before="0" w:after="0" w:line="520" w:lineRule="atLeast"/>
        <w:ind w:left="0" w:leftChars="0" w:firstLine="627" w:firstLineChars="0"/>
        <w:jc w:val="both"/>
        <w:rPr>
          <w:rFonts w:hint="eastAsia" w:ascii="宋体" w:hAnsi="宋体" w:eastAsia="宋体" w:cs="宋体"/>
          <w:vanish w:val="0"/>
          <w:sz w:val="24"/>
          <w:lang w:eastAsia="zh-CN"/>
        </w:rPr>
      </w:pPr>
      <w:r>
        <w:rPr>
          <w:rFonts w:hint="eastAsia" w:ascii="宋体" w:hAnsi="宋体" w:eastAsia="宋体" w:cs="宋体"/>
          <w:vanish w:val="0"/>
          <w:sz w:val="24"/>
          <w:szCs w:val="24"/>
          <w:lang w:val="en-US" w:eastAsia="zh-CN" w:bidi="ar-SA"/>
        </w:rPr>
        <w:t>（三）</w:t>
      </w:r>
      <w:r>
        <w:rPr>
          <w:rFonts w:ascii="宋体" w:hAnsi="宋体" w:eastAsia="宋体" w:cs="宋体"/>
          <w:color w:val="000000"/>
          <w:sz w:val="28"/>
        </w:rPr>
        <w:t>协调处理重要信访事项；</w:t>
      </w:r>
    </w:p>
    <w:p w14:paraId="00AAE822">
      <w:pPr>
        <w:pStyle w:val="4"/>
        <w:numPr>
          <w:ilvl w:val="0"/>
          <w:numId w:val="0"/>
        </w:numPr>
        <w:pBdr>
          <w:top w:val="none" w:color="auto" w:sz="0" w:space="0"/>
          <w:left w:val="none" w:color="auto" w:sz="0" w:space="0"/>
          <w:bottom w:val="none" w:color="auto" w:sz="0" w:space="0"/>
          <w:right w:val="none" w:color="auto" w:sz="0" w:space="0"/>
        </w:pBdr>
        <w:shd w:val="clear" w:color="auto" w:fill="auto"/>
        <w:spacing w:before="0" w:after="0" w:line="520" w:lineRule="atLeast"/>
        <w:ind w:left="0" w:leftChars="0" w:firstLine="627" w:firstLineChars="0"/>
        <w:jc w:val="both"/>
        <w:rPr>
          <w:rFonts w:ascii="宋体" w:hAnsi="宋体" w:eastAsia="宋体" w:cs="宋体"/>
          <w:color w:val="000000"/>
          <w:sz w:val="28"/>
        </w:rPr>
      </w:pPr>
      <w:r>
        <w:rPr>
          <w:rFonts w:hint="eastAsia" w:ascii="宋体" w:hAnsi="宋体" w:eastAsia="宋体" w:cs="宋体"/>
          <w:vanish w:val="0"/>
          <w:sz w:val="24"/>
          <w:szCs w:val="24"/>
          <w:lang w:val="en-US" w:eastAsia="zh-CN" w:bidi="ar-SA"/>
        </w:rPr>
        <w:t>（四）</w:t>
      </w:r>
      <w:r>
        <w:rPr>
          <w:rFonts w:ascii="宋体" w:hAnsi="宋体" w:eastAsia="宋体" w:cs="宋体"/>
          <w:color w:val="000000"/>
          <w:sz w:val="28"/>
        </w:rPr>
        <w:t>督促检查信访事项的处理；</w:t>
      </w:r>
    </w:p>
    <w:p w14:paraId="3CB178E7">
      <w:pPr>
        <w:pStyle w:val="4"/>
        <w:numPr>
          <w:ilvl w:val="0"/>
          <w:numId w:val="0"/>
        </w:numPr>
        <w:pBdr>
          <w:top w:val="none" w:color="auto" w:sz="0" w:space="0"/>
          <w:left w:val="none" w:color="auto" w:sz="0" w:space="0"/>
          <w:bottom w:val="none" w:color="auto" w:sz="0" w:space="0"/>
          <w:right w:val="none" w:color="auto" w:sz="0" w:space="0"/>
        </w:pBdr>
        <w:shd w:val="clear" w:color="auto" w:fill="auto"/>
        <w:spacing w:before="0" w:after="0" w:line="520" w:lineRule="atLeast"/>
        <w:ind w:left="0" w:leftChars="0" w:firstLine="627" w:firstLineChars="0"/>
        <w:jc w:val="both"/>
        <w:rPr>
          <w:rFonts w:ascii="宋体" w:hAnsi="宋体" w:eastAsia="宋体" w:cs="宋体"/>
          <w:color w:val="000000"/>
          <w:sz w:val="28"/>
        </w:rPr>
      </w:pPr>
      <w:r>
        <w:rPr>
          <w:rFonts w:ascii="宋体" w:hAnsi="宋体" w:eastAsia="宋体" w:cs="宋体"/>
          <w:color w:val="000000"/>
          <w:sz w:val="28"/>
        </w:rPr>
        <w:t>（五）协调处理重大矛盾纠纷；</w:t>
      </w:r>
    </w:p>
    <w:p w14:paraId="48C630FD">
      <w:pPr>
        <w:pStyle w:val="4"/>
        <w:numPr>
          <w:ilvl w:val="0"/>
          <w:numId w:val="0"/>
        </w:numPr>
        <w:pBdr>
          <w:top w:val="none" w:color="auto" w:sz="0" w:space="0"/>
          <w:left w:val="none" w:color="auto" w:sz="0" w:space="0"/>
          <w:bottom w:val="none" w:color="auto" w:sz="0" w:space="0"/>
          <w:right w:val="none" w:color="auto" w:sz="0" w:space="0"/>
        </w:pBdr>
        <w:shd w:val="clear" w:color="auto" w:fill="auto"/>
        <w:spacing w:before="0" w:after="0" w:line="520" w:lineRule="atLeast"/>
        <w:ind w:left="0" w:leftChars="0" w:firstLine="627" w:firstLineChars="0"/>
        <w:jc w:val="both"/>
        <w:rPr>
          <w:rFonts w:ascii="宋体" w:hAnsi="宋体" w:eastAsia="宋体" w:cs="宋体"/>
          <w:color w:val="000000"/>
          <w:sz w:val="28"/>
        </w:rPr>
      </w:pPr>
      <w:r>
        <w:rPr>
          <w:rFonts w:ascii="宋体" w:hAnsi="宋体" w:eastAsia="宋体" w:cs="宋体"/>
          <w:color w:val="000000"/>
          <w:sz w:val="28"/>
        </w:rPr>
        <w:t>（六）研究、分析信访情况，开展调查研究，及时向本级人民政府提出完善政策和改进工作的建议；</w:t>
      </w:r>
    </w:p>
    <w:p w14:paraId="6EB92255">
      <w:pPr>
        <w:pStyle w:val="4"/>
        <w:numPr>
          <w:ilvl w:val="0"/>
          <w:numId w:val="0"/>
        </w:numPr>
        <w:pBdr>
          <w:top w:val="none" w:color="auto" w:sz="0" w:space="0"/>
          <w:left w:val="none" w:color="auto" w:sz="0" w:space="0"/>
          <w:bottom w:val="none" w:color="auto" w:sz="0" w:space="0"/>
          <w:right w:val="none" w:color="auto" w:sz="0" w:space="0"/>
        </w:pBdr>
        <w:shd w:val="clear" w:color="auto" w:fill="auto"/>
        <w:spacing w:before="0" w:after="0" w:line="520" w:lineRule="atLeast"/>
        <w:ind w:left="0" w:leftChars="0" w:firstLine="627" w:firstLineChars="0"/>
        <w:jc w:val="both"/>
        <w:rPr>
          <w:rFonts w:hint="eastAsia" w:ascii="宋体" w:hAnsi="宋体" w:eastAsia="宋体" w:cs="宋体"/>
          <w:vanish w:val="0"/>
          <w:sz w:val="24"/>
          <w:lang w:eastAsia="zh-CN"/>
        </w:rPr>
      </w:pPr>
      <w:r>
        <w:rPr>
          <w:rFonts w:ascii="宋体" w:hAnsi="宋体" w:eastAsia="宋体" w:cs="宋体"/>
          <w:color w:val="000000"/>
          <w:sz w:val="28"/>
        </w:rPr>
        <w:t>（七）对本级人民政府其他工作部门和下级人民政府信访工作机构的信访工作进行指导。</w:t>
      </w:r>
    </w:p>
    <w:p w14:paraId="185C9679">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1"/>
        <w:rPr>
          <w:rFonts w:ascii="宋体" w:hAnsi="宋体" w:eastAsia="宋体" w:cs="宋体"/>
          <w:vanish w:val="0"/>
          <w:sz w:val="24"/>
        </w:rPr>
      </w:pPr>
      <w:r>
        <w:rPr>
          <w:rFonts w:ascii="黑体" w:hAnsi="黑体" w:eastAsia="黑体" w:cs="黑体"/>
          <w:b/>
          <w:sz w:val="28"/>
        </w:rPr>
        <w:t>二、机构设置及决算单位构成</w:t>
      </w:r>
    </w:p>
    <w:p w14:paraId="22000EBD">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（一）内设机构设置。中方县信访局单位内设机构包括：</w:t>
      </w:r>
      <w:r>
        <w:rPr>
          <w:rFonts w:ascii="宋体" w:hAnsi="宋体" w:eastAsia="宋体" w:cs="宋体"/>
          <w:color w:val="000000"/>
          <w:sz w:val="28"/>
        </w:rPr>
        <w:t>中方县信访局为正科级全额拨款行政单位。根据县编委核定，局机关设有办公室、调纠室、网络信访室、政策法规室、综合督查室5个内设机构，下设中方县人民群众来访接待中心、怀化市“12345”市长热线中方中心2个二级事业机构，2022年底，我单位共有编制18人，其中：行政编6人，事业编12人。年末实有在职人数22人。</w:t>
      </w:r>
    </w:p>
    <w:p w14:paraId="1213A291">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（二）决算单位构成。中方县信访局单位2022年部门决算汇总公开单位构成包括：</w:t>
      </w:r>
      <w:r>
        <w:rPr>
          <w:rFonts w:ascii="宋体" w:hAnsi="宋体" w:eastAsia="宋体" w:cs="宋体"/>
          <w:color w:val="000000"/>
          <w:sz w:val="28"/>
        </w:rPr>
        <w:t>县信访局部门本级。</w:t>
      </w:r>
    </w:p>
    <w:p w14:paraId="3646E210">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p>
    <w:p w14:paraId="3955F422">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p>
    <w:p w14:paraId="726F66F3">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p>
    <w:p w14:paraId="4B3875EC">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p>
    <w:p w14:paraId="0A62DC95">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sz w:val="33"/>
        </w:rPr>
      </w:pPr>
    </w:p>
    <w:p w14:paraId="51919F9B">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sz w:val="33"/>
        </w:rPr>
      </w:pPr>
    </w:p>
    <w:p w14:paraId="6F2AE467">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sz w:val="33"/>
        </w:rPr>
      </w:pPr>
    </w:p>
    <w:p w14:paraId="12437CAD">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sz w:val="33"/>
        </w:rPr>
      </w:pPr>
    </w:p>
    <w:p w14:paraId="32BDC43A">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sz w:val="33"/>
        </w:rPr>
      </w:pPr>
    </w:p>
    <w:p w14:paraId="143F992F">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sz w:val="33"/>
        </w:rPr>
      </w:pPr>
    </w:p>
    <w:p w14:paraId="68736C2C">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sz w:val="33"/>
        </w:rPr>
      </w:pPr>
    </w:p>
    <w:p w14:paraId="1BED8638">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sz w:val="33"/>
        </w:rPr>
      </w:pPr>
    </w:p>
    <w:p w14:paraId="1A58DA0C">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sz w:val="33"/>
        </w:rPr>
      </w:pPr>
    </w:p>
    <w:p w14:paraId="24CC9B0E">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after="0" w:line="520" w:lineRule="atLeast"/>
        <w:ind w:firstLine="0"/>
        <w:jc w:val="center"/>
        <w:textAlignment w:val="auto"/>
        <w:outlineLvl w:val="0"/>
        <w:rPr>
          <w:rFonts w:ascii="宋体" w:hAnsi="宋体" w:eastAsia="宋体" w:cs="宋体"/>
          <w:vanish w:val="0"/>
          <w:sz w:val="24"/>
        </w:rPr>
      </w:pPr>
      <w:r>
        <w:rPr>
          <w:rFonts w:ascii="黑体" w:hAnsi="黑体" w:eastAsia="黑体" w:cs="黑体"/>
          <w:b/>
          <w:sz w:val="33"/>
        </w:rPr>
        <w:t>第二部分</w:t>
      </w:r>
    </w:p>
    <w:p w14:paraId="1C276B7B">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after="0" w:line="520" w:lineRule="atLeast"/>
        <w:ind w:firstLine="0"/>
        <w:jc w:val="center"/>
        <w:textAlignment w:val="auto"/>
        <w:rPr>
          <w:rFonts w:ascii="宋体" w:hAnsi="宋体" w:eastAsia="宋体" w:cs="宋体"/>
          <w:vanish w:val="0"/>
          <w:sz w:val="24"/>
        </w:rPr>
      </w:pPr>
    </w:p>
    <w:p w14:paraId="4A82CD5C">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after="0" w:line="520" w:lineRule="atLeast"/>
        <w:ind w:firstLine="0"/>
        <w:jc w:val="center"/>
        <w:textAlignment w:val="auto"/>
        <w:rPr>
          <w:rFonts w:ascii="宋体" w:hAnsi="宋体" w:eastAsia="宋体" w:cs="宋体"/>
          <w:vanish w:val="0"/>
          <w:sz w:val="24"/>
        </w:rPr>
      </w:pPr>
      <w:r>
        <w:rPr>
          <w:rFonts w:ascii="黑体" w:hAnsi="黑体" w:eastAsia="黑体" w:cs="黑体"/>
          <w:b/>
          <w:sz w:val="33"/>
        </w:rPr>
        <w:t>部门决算表</w:t>
      </w:r>
    </w:p>
    <w:p w14:paraId="0AEF195C">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after="0" w:line="520" w:lineRule="atLeast"/>
        <w:ind w:firstLine="0"/>
        <w:jc w:val="center"/>
        <w:textAlignment w:val="auto"/>
        <w:outlineLvl w:val="1"/>
        <w:rPr>
          <w:rFonts w:ascii="宋体" w:hAnsi="宋体" w:eastAsia="宋体" w:cs="宋体"/>
          <w:vanish w:val="0"/>
          <w:sz w:val="24"/>
        </w:rPr>
      </w:pPr>
      <w:r>
        <w:rPr>
          <w:rFonts w:ascii="黑体" w:hAnsi="黑体" w:eastAsia="黑体" w:cs="黑体"/>
          <w:b/>
          <w:sz w:val="33"/>
        </w:rPr>
        <w:t>(</w:t>
      </w:r>
      <w:r>
        <w:rPr>
          <w:rFonts w:ascii="黑体" w:hAnsi="黑体" w:eastAsia="黑体" w:cs="黑体"/>
          <w:sz w:val="33"/>
        </w:rPr>
        <w:t>表格见附件</w:t>
      </w:r>
      <w:r>
        <w:rPr>
          <w:rFonts w:ascii="黑体" w:hAnsi="黑体" w:eastAsia="黑体" w:cs="黑体"/>
          <w:b/>
          <w:sz w:val="33"/>
        </w:rPr>
        <w:t>)</w:t>
      </w:r>
    </w:p>
    <w:p w14:paraId="0EB3CAC4">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14:paraId="7E8DDC9A">
      <w:pPr>
        <w:pStyle w:val="4"/>
        <w:pBdr>
          <w:top w:val="none" w:color="auto" w:sz="0" w:space="0"/>
          <w:left w:val="none" w:color="auto" w:sz="0" w:space="0"/>
          <w:bottom w:val="none" w:color="auto" w:sz="0" w:space="0"/>
          <w:right w:val="none" w:color="auto" w:sz="0" w:space="0"/>
        </w:pBdr>
        <w:shd w:val="clear" w:color="auto" w:fill="auto"/>
        <w:spacing w:before="0" w:after="0" w:line="520" w:lineRule="atLeast"/>
        <w:jc w:val="center"/>
        <w:rPr>
          <w:rFonts w:ascii="黑体" w:hAnsi="黑体" w:eastAsia="黑体" w:cs="黑体"/>
          <w:b/>
          <w:color w:val="000000"/>
          <w:sz w:val="33"/>
        </w:rPr>
      </w:pPr>
    </w:p>
    <w:p w14:paraId="0AA1D526">
      <w:pPr>
        <w:pStyle w:val="4"/>
        <w:pBdr>
          <w:top w:val="none" w:color="auto" w:sz="0" w:space="0"/>
          <w:left w:val="none" w:color="auto" w:sz="0" w:space="0"/>
          <w:bottom w:val="none" w:color="auto" w:sz="0" w:space="0"/>
          <w:right w:val="none" w:color="auto" w:sz="0" w:space="0"/>
        </w:pBdr>
        <w:shd w:val="clear" w:color="auto" w:fill="auto"/>
        <w:spacing w:before="0" w:after="0" w:line="520" w:lineRule="atLeast"/>
        <w:jc w:val="center"/>
        <w:rPr>
          <w:rFonts w:ascii="黑体" w:hAnsi="黑体" w:eastAsia="黑体" w:cs="黑体"/>
          <w:b/>
          <w:color w:val="000000"/>
          <w:sz w:val="33"/>
        </w:rPr>
      </w:pPr>
    </w:p>
    <w:p w14:paraId="33595BA9">
      <w:pPr>
        <w:pStyle w:val="4"/>
        <w:pBdr>
          <w:top w:val="none" w:color="auto" w:sz="0" w:space="0"/>
          <w:left w:val="none" w:color="auto" w:sz="0" w:space="0"/>
          <w:bottom w:val="none" w:color="auto" w:sz="0" w:space="0"/>
          <w:right w:val="none" w:color="auto" w:sz="0" w:space="0"/>
        </w:pBdr>
        <w:shd w:val="clear" w:color="auto" w:fill="auto"/>
        <w:spacing w:before="0" w:after="0" w:line="520" w:lineRule="atLeast"/>
        <w:jc w:val="center"/>
        <w:rPr>
          <w:rFonts w:ascii="黑体" w:hAnsi="黑体" w:eastAsia="黑体" w:cs="黑体"/>
          <w:b/>
          <w:color w:val="000000"/>
          <w:sz w:val="33"/>
        </w:rPr>
      </w:pPr>
    </w:p>
    <w:p w14:paraId="40884439">
      <w:pPr>
        <w:pStyle w:val="4"/>
        <w:pBdr>
          <w:top w:val="none" w:color="auto" w:sz="0" w:space="0"/>
          <w:left w:val="none" w:color="auto" w:sz="0" w:space="0"/>
          <w:bottom w:val="none" w:color="auto" w:sz="0" w:space="0"/>
          <w:right w:val="none" w:color="auto" w:sz="0" w:space="0"/>
        </w:pBdr>
        <w:shd w:val="clear" w:color="auto" w:fill="auto"/>
        <w:spacing w:before="0" w:after="0" w:line="520" w:lineRule="atLeast"/>
        <w:jc w:val="center"/>
        <w:rPr>
          <w:rFonts w:ascii="黑体" w:hAnsi="黑体" w:eastAsia="黑体" w:cs="黑体"/>
          <w:b/>
          <w:color w:val="000000"/>
          <w:sz w:val="33"/>
        </w:rPr>
      </w:pPr>
    </w:p>
    <w:p w14:paraId="2E28B47B">
      <w:pPr>
        <w:pStyle w:val="4"/>
        <w:pBdr>
          <w:top w:val="none" w:color="auto" w:sz="0" w:space="0"/>
          <w:left w:val="none" w:color="auto" w:sz="0" w:space="0"/>
          <w:bottom w:val="none" w:color="auto" w:sz="0" w:space="0"/>
          <w:right w:val="none" w:color="auto" w:sz="0" w:space="0"/>
        </w:pBdr>
        <w:shd w:val="clear" w:color="auto" w:fill="auto"/>
        <w:spacing w:before="0" w:after="0" w:line="520" w:lineRule="atLeast"/>
        <w:jc w:val="center"/>
        <w:rPr>
          <w:rFonts w:ascii="黑体" w:hAnsi="黑体" w:eastAsia="黑体" w:cs="黑体"/>
          <w:b/>
          <w:color w:val="000000"/>
          <w:sz w:val="33"/>
        </w:rPr>
      </w:pPr>
    </w:p>
    <w:p w14:paraId="1ADE1BD2">
      <w:pPr>
        <w:pStyle w:val="4"/>
        <w:pBdr>
          <w:top w:val="none" w:color="auto" w:sz="0" w:space="0"/>
          <w:left w:val="none" w:color="auto" w:sz="0" w:space="0"/>
          <w:bottom w:val="none" w:color="auto" w:sz="0" w:space="0"/>
          <w:right w:val="none" w:color="auto" w:sz="0" w:space="0"/>
        </w:pBdr>
        <w:shd w:val="clear" w:color="auto" w:fill="auto"/>
        <w:spacing w:before="0" w:after="0" w:line="520" w:lineRule="atLeast"/>
        <w:jc w:val="center"/>
        <w:rPr>
          <w:rFonts w:ascii="黑体" w:hAnsi="黑体" w:eastAsia="黑体" w:cs="黑体"/>
          <w:b/>
          <w:color w:val="000000"/>
          <w:sz w:val="33"/>
        </w:rPr>
      </w:pPr>
    </w:p>
    <w:p w14:paraId="2E4770BA">
      <w:pPr>
        <w:pStyle w:val="4"/>
        <w:pBdr>
          <w:top w:val="none" w:color="auto" w:sz="0" w:space="0"/>
          <w:left w:val="none" w:color="auto" w:sz="0" w:space="0"/>
          <w:bottom w:val="none" w:color="auto" w:sz="0" w:space="0"/>
          <w:right w:val="none" w:color="auto" w:sz="0" w:space="0"/>
        </w:pBdr>
        <w:shd w:val="clear" w:color="auto" w:fill="auto"/>
        <w:spacing w:before="0" w:after="0" w:line="520" w:lineRule="atLeast"/>
        <w:jc w:val="center"/>
        <w:rPr>
          <w:rFonts w:ascii="黑体" w:hAnsi="黑体" w:eastAsia="黑体" w:cs="黑体"/>
          <w:b/>
          <w:color w:val="000000"/>
          <w:sz w:val="33"/>
        </w:rPr>
      </w:pPr>
    </w:p>
    <w:p w14:paraId="77DCBA0D">
      <w:pPr>
        <w:pStyle w:val="4"/>
        <w:pBdr>
          <w:top w:val="none" w:color="auto" w:sz="0" w:space="0"/>
          <w:left w:val="none" w:color="auto" w:sz="0" w:space="0"/>
          <w:bottom w:val="none" w:color="auto" w:sz="0" w:space="0"/>
          <w:right w:val="none" w:color="auto" w:sz="0" w:space="0"/>
        </w:pBdr>
        <w:shd w:val="clear" w:color="auto" w:fill="auto"/>
        <w:spacing w:before="0" w:after="0" w:line="520" w:lineRule="atLeast"/>
        <w:jc w:val="center"/>
        <w:rPr>
          <w:rFonts w:ascii="黑体" w:hAnsi="黑体" w:eastAsia="黑体" w:cs="黑体"/>
          <w:b/>
          <w:color w:val="000000"/>
          <w:sz w:val="33"/>
        </w:rPr>
      </w:pPr>
    </w:p>
    <w:p w14:paraId="09479700">
      <w:pPr>
        <w:pStyle w:val="4"/>
        <w:pBdr>
          <w:top w:val="none" w:color="auto" w:sz="0" w:space="0"/>
          <w:left w:val="none" w:color="auto" w:sz="0" w:space="0"/>
          <w:bottom w:val="none" w:color="auto" w:sz="0" w:space="0"/>
          <w:right w:val="none" w:color="auto" w:sz="0" w:space="0"/>
        </w:pBdr>
        <w:shd w:val="clear" w:color="auto" w:fill="auto"/>
        <w:spacing w:before="0" w:after="0" w:line="520" w:lineRule="atLeast"/>
        <w:jc w:val="center"/>
        <w:rPr>
          <w:rFonts w:ascii="黑体" w:hAnsi="黑体" w:eastAsia="黑体" w:cs="黑体"/>
          <w:b/>
          <w:color w:val="000000"/>
          <w:sz w:val="33"/>
        </w:rPr>
      </w:pPr>
    </w:p>
    <w:p w14:paraId="60634506">
      <w:pPr>
        <w:pStyle w:val="4"/>
        <w:pBdr>
          <w:top w:val="none" w:color="auto" w:sz="0" w:space="0"/>
          <w:left w:val="none" w:color="auto" w:sz="0" w:space="0"/>
          <w:bottom w:val="none" w:color="auto" w:sz="0" w:space="0"/>
          <w:right w:val="none" w:color="auto" w:sz="0" w:space="0"/>
        </w:pBdr>
        <w:shd w:val="clear" w:color="auto" w:fill="auto"/>
        <w:spacing w:before="0" w:after="0" w:line="520" w:lineRule="atLeast"/>
        <w:jc w:val="center"/>
        <w:rPr>
          <w:rFonts w:ascii="黑体" w:hAnsi="黑体" w:eastAsia="黑体" w:cs="黑体"/>
          <w:b/>
          <w:color w:val="000000"/>
          <w:sz w:val="33"/>
        </w:rPr>
      </w:pPr>
    </w:p>
    <w:p w14:paraId="46C29DC5">
      <w:pPr>
        <w:pStyle w:val="4"/>
        <w:pBdr>
          <w:top w:val="none" w:color="auto" w:sz="0" w:space="0"/>
          <w:left w:val="none" w:color="auto" w:sz="0" w:space="0"/>
          <w:bottom w:val="none" w:color="auto" w:sz="0" w:space="0"/>
          <w:right w:val="none" w:color="auto" w:sz="0" w:space="0"/>
        </w:pBdr>
        <w:shd w:val="clear" w:color="auto" w:fill="auto"/>
        <w:spacing w:before="0" w:after="0" w:line="520" w:lineRule="atLeast"/>
        <w:jc w:val="center"/>
        <w:rPr>
          <w:rFonts w:ascii="黑体" w:hAnsi="黑体" w:eastAsia="黑体" w:cs="黑体"/>
          <w:b/>
          <w:color w:val="000000"/>
          <w:sz w:val="33"/>
        </w:rPr>
      </w:pPr>
    </w:p>
    <w:p w14:paraId="79BDB26C">
      <w:pPr>
        <w:pStyle w:val="4"/>
        <w:pBdr>
          <w:top w:val="none" w:color="auto" w:sz="0" w:space="0"/>
          <w:left w:val="none" w:color="auto" w:sz="0" w:space="0"/>
          <w:bottom w:val="none" w:color="auto" w:sz="0" w:space="0"/>
          <w:right w:val="none" w:color="auto" w:sz="0" w:space="0"/>
        </w:pBdr>
        <w:shd w:val="clear" w:color="auto" w:fill="auto"/>
        <w:spacing w:before="0" w:after="0" w:line="520" w:lineRule="atLeast"/>
        <w:jc w:val="center"/>
        <w:rPr>
          <w:rFonts w:ascii="黑体" w:hAnsi="黑体" w:eastAsia="黑体" w:cs="黑体"/>
          <w:b/>
          <w:color w:val="000000"/>
          <w:sz w:val="33"/>
        </w:rPr>
      </w:pPr>
    </w:p>
    <w:p w14:paraId="48E33145">
      <w:pPr>
        <w:pStyle w:val="4"/>
        <w:pBdr>
          <w:top w:val="none" w:color="auto" w:sz="0" w:space="0"/>
          <w:left w:val="none" w:color="auto" w:sz="0" w:space="0"/>
          <w:bottom w:val="none" w:color="auto" w:sz="0" w:space="0"/>
          <w:right w:val="none" w:color="auto" w:sz="0" w:space="0"/>
        </w:pBdr>
        <w:shd w:val="clear" w:color="auto" w:fill="auto"/>
        <w:spacing w:before="0" w:after="0" w:line="520" w:lineRule="atLeast"/>
        <w:jc w:val="center"/>
        <w:rPr>
          <w:rFonts w:ascii="黑体" w:hAnsi="黑体" w:eastAsia="黑体" w:cs="黑体"/>
          <w:b/>
          <w:color w:val="000000"/>
          <w:sz w:val="33"/>
        </w:rPr>
      </w:pPr>
    </w:p>
    <w:p w14:paraId="6307561B">
      <w:pPr>
        <w:pStyle w:val="4"/>
        <w:pBdr>
          <w:top w:val="none" w:color="auto" w:sz="0" w:space="0"/>
          <w:left w:val="none" w:color="auto" w:sz="0" w:space="0"/>
          <w:bottom w:val="none" w:color="auto" w:sz="0" w:space="0"/>
          <w:right w:val="none" w:color="auto" w:sz="0" w:space="0"/>
        </w:pBdr>
        <w:shd w:val="clear" w:color="auto" w:fill="auto"/>
        <w:spacing w:before="0" w:after="0" w:line="520" w:lineRule="atLeast"/>
        <w:jc w:val="center"/>
        <w:outlineLvl w:val="0"/>
        <w:rPr>
          <w:rFonts w:ascii="宋体" w:hAnsi="宋体" w:eastAsia="宋体" w:cs="宋体"/>
          <w:vanish w:val="0"/>
          <w:sz w:val="24"/>
        </w:rPr>
      </w:pPr>
      <w:r>
        <w:rPr>
          <w:rFonts w:ascii="黑体" w:hAnsi="黑体" w:eastAsia="黑体" w:cs="黑体"/>
          <w:b/>
          <w:color w:val="000000"/>
          <w:sz w:val="33"/>
        </w:rPr>
        <w:t>第三部分</w:t>
      </w:r>
      <w:r>
        <w:rPr>
          <w:rFonts w:ascii="黑体" w:hAnsi="黑体" w:eastAsia="黑体" w:cs="黑体"/>
          <w:b/>
          <w:sz w:val="33"/>
        </w:rPr>
        <w:t>2022</w:t>
      </w:r>
      <w:r>
        <w:rPr>
          <w:rFonts w:ascii="黑体" w:hAnsi="黑体" w:eastAsia="黑体" w:cs="黑体"/>
          <w:b/>
          <w:color w:val="000000"/>
          <w:sz w:val="33"/>
        </w:rPr>
        <w:t>年度部门决算情况说明</w:t>
      </w:r>
    </w:p>
    <w:p w14:paraId="3EB06243">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1"/>
        <w:rPr>
          <w:rFonts w:ascii="宋体" w:hAnsi="宋体" w:eastAsia="宋体" w:cs="宋体"/>
          <w:vanish w:val="0"/>
          <w:sz w:val="24"/>
        </w:rPr>
      </w:pPr>
      <w:r>
        <w:rPr>
          <w:rFonts w:ascii="黑体" w:hAnsi="黑体" w:eastAsia="黑体" w:cs="黑体"/>
          <w:b/>
          <w:sz w:val="28"/>
        </w:rPr>
        <w:t>一、收入支出决算总体情况说明</w:t>
      </w:r>
    </w:p>
    <w:p w14:paraId="086367E0">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2022</w:t>
      </w:r>
      <w:r>
        <w:rPr>
          <w:rFonts w:ascii="宋体" w:hAnsi="宋体" w:eastAsia="宋体" w:cs="宋体"/>
          <w:color w:val="000000"/>
          <w:sz w:val="28"/>
        </w:rPr>
        <w:t>年度收入总计</w:t>
      </w:r>
      <w:r>
        <w:rPr>
          <w:rFonts w:ascii="宋体" w:hAnsi="宋体" w:eastAsia="宋体" w:cs="宋体"/>
          <w:sz w:val="28"/>
        </w:rPr>
        <w:t>407.34</w:t>
      </w:r>
      <w:r>
        <w:rPr>
          <w:rFonts w:ascii="宋体" w:hAnsi="宋体" w:eastAsia="宋体" w:cs="宋体"/>
          <w:color w:val="000000"/>
          <w:sz w:val="28"/>
        </w:rPr>
        <w:t>万元。与上年相比，</w:t>
      </w:r>
      <w:r>
        <w:rPr>
          <w:rFonts w:ascii="宋体" w:hAnsi="宋体" w:eastAsia="宋体" w:cs="宋体"/>
          <w:sz w:val="28"/>
        </w:rPr>
        <w:t>增加23.00万元</w:t>
      </w:r>
      <w:r>
        <w:rPr>
          <w:rFonts w:ascii="宋体" w:hAnsi="宋体" w:eastAsia="宋体" w:cs="宋体"/>
          <w:color w:val="000000"/>
          <w:sz w:val="28"/>
        </w:rPr>
        <w:t>，</w:t>
      </w:r>
      <w:r>
        <w:rPr>
          <w:rFonts w:ascii="宋体" w:hAnsi="宋体" w:eastAsia="宋体" w:cs="宋体"/>
          <w:sz w:val="28"/>
        </w:rPr>
        <w:t>增长5.98%</w:t>
      </w:r>
      <w:r>
        <w:rPr>
          <w:rFonts w:ascii="宋体" w:hAnsi="宋体" w:eastAsia="宋体" w:cs="宋体"/>
          <w:color w:val="000000"/>
          <w:sz w:val="28"/>
        </w:rPr>
        <w:t>，主要是因为人员经费收入（工资福利收入）的增加。</w:t>
      </w:r>
    </w:p>
    <w:p w14:paraId="2927CC5E">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2022</w:t>
      </w:r>
      <w:r>
        <w:rPr>
          <w:rFonts w:ascii="宋体" w:hAnsi="宋体" w:eastAsia="宋体" w:cs="宋体"/>
          <w:color w:val="000000"/>
          <w:sz w:val="28"/>
        </w:rPr>
        <w:t>年度支出总计</w:t>
      </w:r>
      <w:r>
        <w:rPr>
          <w:rFonts w:ascii="宋体" w:hAnsi="宋体" w:eastAsia="宋体" w:cs="宋体"/>
          <w:sz w:val="28"/>
        </w:rPr>
        <w:t>407.34</w:t>
      </w:r>
      <w:r>
        <w:rPr>
          <w:rFonts w:ascii="宋体" w:hAnsi="宋体" w:eastAsia="宋体" w:cs="宋体"/>
          <w:color w:val="000000"/>
          <w:sz w:val="28"/>
        </w:rPr>
        <w:t>万元。与上年相比，</w:t>
      </w:r>
      <w:r>
        <w:rPr>
          <w:rFonts w:ascii="宋体" w:hAnsi="宋体" w:eastAsia="宋体" w:cs="宋体"/>
          <w:sz w:val="28"/>
        </w:rPr>
        <w:t>增加23.00万元</w:t>
      </w:r>
      <w:r>
        <w:rPr>
          <w:rFonts w:ascii="宋体" w:hAnsi="宋体" w:eastAsia="宋体" w:cs="宋体"/>
          <w:color w:val="000000"/>
          <w:sz w:val="28"/>
        </w:rPr>
        <w:t>，</w:t>
      </w:r>
      <w:r>
        <w:rPr>
          <w:rFonts w:ascii="宋体" w:hAnsi="宋体" w:eastAsia="宋体" w:cs="宋体"/>
          <w:sz w:val="28"/>
        </w:rPr>
        <w:t>增长5.98%</w:t>
      </w:r>
      <w:r>
        <w:rPr>
          <w:rFonts w:ascii="宋体" w:hAnsi="宋体" w:eastAsia="宋体" w:cs="宋体"/>
          <w:color w:val="000000"/>
          <w:sz w:val="28"/>
        </w:rPr>
        <w:t>，主要是因为人员经费支出（工资福利支出）的增加。</w:t>
      </w:r>
    </w:p>
    <w:p w14:paraId="3C5B925F">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1"/>
        <w:rPr>
          <w:rFonts w:ascii="宋体" w:hAnsi="宋体" w:eastAsia="宋体" w:cs="宋体"/>
          <w:vanish w:val="0"/>
          <w:sz w:val="24"/>
        </w:rPr>
      </w:pPr>
      <w:r>
        <w:rPr>
          <w:rFonts w:ascii="黑体" w:hAnsi="黑体" w:eastAsia="黑体" w:cs="黑体"/>
          <w:b/>
          <w:sz w:val="28"/>
        </w:rPr>
        <w:t>二、收入决算情况说明</w:t>
      </w:r>
    </w:p>
    <w:p w14:paraId="08BA2E80">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2022年度本年收入合计407.34万元，其中：财政拨款收入407.34万元，占100.00%；上级补助收入0万元，占0%；事业收入0万元，占0%；经营收入0万元，占0%；附属单位上缴收入0万元，占0%；其他收入0万元，占0%。</w:t>
      </w:r>
    </w:p>
    <w:p w14:paraId="43673A05">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1"/>
        <w:rPr>
          <w:rFonts w:ascii="宋体" w:hAnsi="宋体" w:eastAsia="宋体" w:cs="宋体"/>
          <w:vanish w:val="0"/>
          <w:sz w:val="24"/>
        </w:rPr>
      </w:pPr>
      <w:r>
        <w:rPr>
          <w:rFonts w:ascii="黑体" w:hAnsi="黑体" w:eastAsia="黑体" w:cs="黑体"/>
          <w:b/>
          <w:sz w:val="28"/>
        </w:rPr>
        <w:t>三、支出决算情况说明</w:t>
      </w:r>
    </w:p>
    <w:p w14:paraId="6138EC65">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2022年度本年支出合计407.34万元，其中：基本支出314.86万元，占77.30%；项目支出92.48万元，占22.70%；上缴上级支出0万元，占0%；经营支出0万元，占0%；对附属单位补助支出0万元，占0%。</w:t>
      </w:r>
    </w:p>
    <w:p w14:paraId="5A2AAF5A">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1"/>
        <w:rPr>
          <w:rFonts w:ascii="宋体" w:hAnsi="宋体" w:eastAsia="宋体" w:cs="宋体"/>
          <w:vanish w:val="0"/>
          <w:sz w:val="24"/>
        </w:rPr>
      </w:pPr>
      <w:r>
        <w:rPr>
          <w:rFonts w:ascii="黑体" w:hAnsi="黑体" w:eastAsia="黑体" w:cs="黑体"/>
          <w:b/>
          <w:sz w:val="28"/>
        </w:rPr>
        <w:t>四、财政拨款收入支出决算总体情况说明</w:t>
      </w:r>
    </w:p>
    <w:p w14:paraId="1E67E57F">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2022年度财政拨款收入总计407.34万元，与上年相比，增加23.00万元，增长5.98%，主要是因为人员经费收入（工资福利收入）的增加。</w:t>
      </w:r>
    </w:p>
    <w:p w14:paraId="37459329">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2022年度财政拨款支出总计407.34万元，与上年相比，增加23.00万元，增长5.98%，主要是因为人员经费支出（工资福利支出）的增加。</w:t>
      </w:r>
    </w:p>
    <w:p w14:paraId="5E174DD4">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1"/>
        <w:rPr>
          <w:rFonts w:ascii="宋体" w:hAnsi="宋体" w:eastAsia="宋体" w:cs="宋体"/>
          <w:vanish w:val="0"/>
          <w:sz w:val="24"/>
        </w:rPr>
      </w:pPr>
      <w:r>
        <w:rPr>
          <w:rFonts w:ascii="黑体" w:hAnsi="黑体" w:eastAsia="黑体" w:cs="黑体"/>
          <w:b/>
          <w:sz w:val="28"/>
        </w:rPr>
        <w:t>五、一般公共预算财政拨款支出决算情况说明</w:t>
      </w:r>
    </w:p>
    <w:p w14:paraId="3C02BEBB">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2"/>
        <w:rPr>
          <w:rFonts w:ascii="宋体" w:hAnsi="宋体" w:eastAsia="宋体" w:cs="宋体"/>
          <w:vanish w:val="0"/>
          <w:sz w:val="24"/>
        </w:rPr>
      </w:pPr>
      <w:r>
        <w:rPr>
          <w:rFonts w:ascii="黑体" w:hAnsi="黑体" w:eastAsia="黑体" w:cs="黑体"/>
          <w:b/>
          <w:sz w:val="28"/>
        </w:rPr>
        <w:t>（一）财政拨款支出决算总体情况</w:t>
      </w:r>
    </w:p>
    <w:p w14:paraId="0C719395">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2022年度财政拨款支出407.34万元，占本年支出合计的100.00%，与上年相比，财政拨款支出增加23.00万元，增长5.98%，主要是因为人员经费支出（工资福利支出）的增加。</w:t>
      </w:r>
    </w:p>
    <w:p w14:paraId="691EF14F">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2"/>
        <w:rPr>
          <w:rFonts w:ascii="宋体" w:hAnsi="宋体" w:eastAsia="宋体" w:cs="宋体"/>
          <w:vanish w:val="0"/>
          <w:sz w:val="24"/>
        </w:rPr>
      </w:pPr>
      <w:r>
        <w:rPr>
          <w:rFonts w:ascii="黑体" w:hAnsi="黑体" w:eastAsia="黑体" w:cs="黑体"/>
          <w:b/>
          <w:sz w:val="28"/>
        </w:rPr>
        <w:t>（二）财政拨款支出决算结构情况</w:t>
      </w:r>
    </w:p>
    <w:p w14:paraId="104B004B">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vanish w:val="0"/>
          <w:sz w:val="24"/>
          <w:lang w:eastAsia="zh-CN"/>
        </w:rPr>
      </w:pPr>
      <w:r>
        <w:rPr>
          <w:rFonts w:ascii="宋体" w:hAnsi="宋体" w:eastAsia="宋体" w:cs="宋体"/>
          <w:sz w:val="28"/>
        </w:rPr>
        <w:t>2022年度财政拨款支出407.34万元，主要用于以下方面：一般公共服务支出（类）372.19万元，占91.37%；社会保障和就业支出（类）23.6万元，占5.79%；卫生健康支出（类）11.55万元，占2.84%</w:t>
      </w:r>
      <w:r>
        <w:rPr>
          <w:rFonts w:hint="eastAsia" w:ascii="宋体" w:hAnsi="宋体" w:eastAsia="宋体" w:cs="宋体"/>
          <w:sz w:val="28"/>
          <w:lang w:eastAsia="zh-CN"/>
        </w:rPr>
        <w:t>。</w:t>
      </w:r>
    </w:p>
    <w:p w14:paraId="6D9DC902">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2"/>
        <w:rPr>
          <w:rFonts w:ascii="宋体" w:hAnsi="宋体" w:eastAsia="宋体" w:cs="宋体"/>
          <w:vanish w:val="0"/>
          <w:sz w:val="24"/>
        </w:rPr>
      </w:pPr>
      <w:r>
        <w:rPr>
          <w:rFonts w:ascii="黑体" w:hAnsi="黑体" w:eastAsia="黑体" w:cs="黑体"/>
          <w:b/>
          <w:sz w:val="28"/>
        </w:rPr>
        <w:t>（三）财政拨款支出决算具体情况</w:t>
      </w:r>
    </w:p>
    <w:p w14:paraId="2DA81F6A">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vanish w:val="0"/>
          <w:sz w:val="24"/>
          <w:lang w:eastAsia="zh-CN"/>
        </w:rPr>
      </w:pPr>
      <w:r>
        <w:rPr>
          <w:rFonts w:ascii="宋体" w:hAnsi="宋体" w:eastAsia="宋体" w:cs="宋体"/>
          <w:color w:val="000000"/>
          <w:sz w:val="28"/>
        </w:rPr>
        <w:t>2022年度财政拨款支出年初预算数为313.90万元，支出决算数为</w:t>
      </w:r>
      <w:r>
        <w:rPr>
          <w:rFonts w:ascii="宋体" w:hAnsi="宋体" w:eastAsia="宋体" w:cs="宋体"/>
          <w:sz w:val="28"/>
        </w:rPr>
        <w:t>407.34</w:t>
      </w:r>
      <w:r>
        <w:rPr>
          <w:rFonts w:ascii="宋体" w:hAnsi="宋体" w:eastAsia="宋体" w:cs="宋体"/>
          <w:color w:val="000000"/>
          <w:sz w:val="28"/>
        </w:rPr>
        <w:t>万元，完成年初预算的129.77%，其中：</w:t>
      </w:r>
    </w:p>
    <w:p w14:paraId="4F8153FC">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1、一般公共服务支出（类）政府办公厅（室）及相关机构事务（款）行政运行（项）。</w:t>
      </w:r>
    </w:p>
    <w:p w14:paraId="69A45986">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年初预算为0万元，支出决算为147.81万元，因年初预算金额为0万元，无法计算百分比。决算数大于年初预算数的主要原因是：预算无行政运行项。</w:t>
      </w:r>
    </w:p>
    <w:p w14:paraId="45F981ED">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2、一般公共服务支出（类）政府办公厅（室）及相关机构事务（款）信访事务（项）。</w:t>
      </w:r>
    </w:p>
    <w:p w14:paraId="29E4279F">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vanish w:val="0"/>
          <w:sz w:val="24"/>
          <w:lang w:eastAsia="zh-CN"/>
        </w:rPr>
      </w:pPr>
      <w:r>
        <w:rPr>
          <w:rFonts w:ascii="宋体" w:hAnsi="宋体" w:eastAsia="宋体" w:cs="宋体"/>
          <w:color w:val="000000"/>
          <w:sz w:val="28"/>
        </w:rPr>
        <w:t>年初预算为262.68万元，支出决算为224.38万元，完成预算的85.42%。决算数小于年初预算数的主要原因是：信访业务支出减少。</w:t>
      </w:r>
    </w:p>
    <w:p w14:paraId="50D3CBCC">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3、社会保障和就业支出（类）行政事业单位养老支出（款）机关事业单位基本养老保险缴费支出（项）。</w:t>
      </w:r>
    </w:p>
    <w:p w14:paraId="504D6267">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vanish w:val="0"/>
          <w:sz w:val="24"/>
          <w:lang w:eastAsia="zh-CN"/>
        </w:rPr>
      </w:pPr>
      <w:r>
        <w:rPr>
          <w:rFonts w:ascii="宋体" w:hAnsi="宋体" w:eastAsia="宋体" w:cs="宋体"/>
          <w:color w:val="000000"/>
          <w:sz w:val="28"/>
        </w:rPr>
        <w:t>年初预算为23.65万元，支出决算为23.6万元，完成预算的99.79%。决算数小于年初预算数的主要原因是：人员调动。</w:t>
      </w:r>
    </w:p>
    <w:p w14:paraId="476CC10F">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4、卫生健康支出（类）行政事业单位医疗（款）行政单位医疗（项）。</w:t>
      </w:r>
    </w:p>
    <w:p w14:paraId="75D375FB">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color w:val="000000"/>
          <w:sz w:val="28"/>
        </w:rPr>
      </w:pPr>
      <w:r>
        <w:rPr>
          <w:rFonts w:ascii="宋体" w:hAnsi="宋体" w:eastAsia="宋体" w:cs="宋体"/>
          <w:color w:val="000000"/>
          <w:sz w:val="28"/>
        </w:rPr>
        <w:t>年初预算为11.43万元，支出决算为11.55万元，完成预算的101.05%。决算数大于年初预算数的主要原因是：人员调动。</w:t>
      </w:r>
    </w:p>
    <w:p w14:paraId="27B9CEFD">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color w:val="000000"/>
          <w:sz w:val="28"/>
        </w:rPr>
      </w:pPr>
      <w:r>
        <w:rPr>
          <w:rFonts w:hint="eastAsia" w:ascii="宋体" w:hAnsi="宋体" w:eastAsia="宋体" w:cs="宋体"/>
          <w:color w:val="000000"/>
          <w:sz w:val="28"/>
        </w:rPr>
        <w:t>5、住房保障支出（类）住房改革支出（款）住房公积金（项）。</w:t>
      </w:r>
    </w:p>
    <w:p w14:paraId="7A52372A">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color w:val="000000"/>
          <w:sz w:val="28"/>
        </w:rPr>
      </w:pPr>
      <w:r>
        <w:rPr>
          <w:rFonts w:hint="eastAsia" w:ascii="宋体" w:hAnsi="宋体" w:eastAsia="宋体" w:cs="宋体"/>
          <w:color w:val="000000"/>
          <w:sz w:val="28"/>
        </w:rPr>
        <w:t>年初预算为16.14万元，支出决算为0万元，完成预算的0%。决算数小于年初预算数的主要原因是：预算未形成支出。</w:t>
      </w:r>
    </w:p>
    <w:p w14:paraId="53249A8C">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1"/>
        <w:rPr>
          <w:rFonts w:ascii="宋体" w:hAnsi="宋体" w:eastAsia="宋体" w:cs="宋体"/>
          <w:vanish w:val="0"/>
          <w:sz w:val="24"/>
        </w:rPr>
      </w:pPr>
      <w:r>
        <w:rPr>
          <w:rFonts w:ascii="黑体" w:hAnsi="黑体" w:eastAsia="黑体" w:cs="黑体"/>
          <w:b/>
          <w:sz w:val="28"/>
        </w:rPr>
        <w:t>六、一般公共预算财政拨款基本支出决算情况说明</w:t>
      </w:r>
    </w:p>
    <w:p w14:paraId="10F0AF07">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2022</w:t>
      </w:r>
      <w:r>
        <w:rPr>
          <w:rFonts w:ascii="宋体" w:hAnsi="宋体" w:eastAsia="宋体" w:cs="宋体"/>
          <w:color w:val="000000"/>
          <w:sz w:val="28"/>
        </w:rPr>
        <w:t>年度财政拨款基本支出</w:t>
      </w:r>
      <w:r>
        <w:rPr>
          <w:rFonts w:ascii="宋体" w:hAnsi="宋体" w:eastAsia="宋体" w:cs="宋体"/>
          <w:sz w:val="28"/>
        </w:rPr>
        <w:t>314.86</w:t>
      </w:r>
      <w:r>
        <w:rPr>
          <w:rFonts w:ascii="宋体" w:hAnsi="宋体" w:eastAsia="宋体" w:cs="宋体"/>
          <w:color w:val="000000"/>
          <w:sz w:val="28"/>
        </w:rPr>
        <w:t>万元，其中：人员经费</w:t>
      </w:r>
      <w:r>
        <w:rPr>
          <w:rFonts w:ascii="宋体" w:hAnsi="宋体" w:eastAsia="宋体" w:cs="宋体"/>
          <w:sz w:val="28"/>
        </w:rPr>
        <w:t>272.25</w:t>
      </w:r>
      <w:r>
        <w:rPr>
          <w:rFonts w:ascii="宋体" w:hAnsi="宋体" w:eastAsia="宋体" w:cs="宋体"/>
          <w:color w:val="000000"/>
          <w:sz w:val="28"/>
        </w:rPr>
        <w:t>万元，占基本支出的</w:t>
      </w:r>
      <w:r>
        <w:rPr>
          <w:rFonts w:ascii="宋体" w:hAnsi="宋体" w:eastAsia="宋体" w:cs="宋体"/>
          <w:sz w:val="28"/>
        </w:rPr>
        <w:t>86.47%</w:t>
      </w:r>
      <w:r>
        <w:rPr>
          <w:rFonts w:ascii="宋体" w:hAnsi="宋体" w:eastAsia="宋体" w:cs="宋体"/>
          <w:color w:val="000000"/>
          <w:sz w:val="28"/>
        </w:rPr>
        <w:t>主要包括基本工资、津贴补贴、奖金、伙食补助费等；公用经费</w:t>
      </w:r>
      <w:r>
        <w:rPr>
          <w:rFonts w:ascii="宋体" w:hAnsi="宋体" w:eastAsia="宋体" w:cs="宋体"/>
          <w:sz w:val="28"/>
        </w:rPr>
        <w:t>42.61</w:t>
      </w:r>
      <w:r>
        <w:rPr>
          <w:rFonts w:ascii="宋体" w:hAnsi="宋体" w:eastAsia="宋体" w:cs="宋体"/>
          <w:color w:val="000000"/>
          <w:sz w:val="28"/>
        </w:rPr>
        <w:t>万元，占基本支出的</w:t>
      </w:r>
      <w:r>
        <w:rPr>
          <w:rFonts w:ascii="宋体" w:hAnsi="宋体" w:eastAsia="宋体" w:cs="宋体"/>
          <w:sz w:val="28"/>
        </w:rPr>
        <w:t>13.53%</w:t>
      </w:r>
      <w:r>
        <w:rPr>
          <w:rFonts w:ascii="宋体" w:hAnsi="宋体" w:eastAsia="宋体" w:cs="宋体"/>
          <w:color w:val="000000"/>
          <w:sz w:val="28"/>
        </w:rPr>
        <w:t>，主要包括办公费、印刷费、咨询费、手续费等。</w:t>
      </w:r>
    </w:p>
    <w:p w14:paraId="5EE64C62">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1"/>
        <w:rPr>
          <w:rFonts w:ascii="宋体" w:hAnsi="宋体" w:eastAsia="宋体" w:cs="宋体"/>
          <w:vanish w:val="0"/>
          <w:sz w:val="24"/>
        </w:rPr>
      </w:pPr>
      <w:r>
        <w:rPr>
          <w:rFonts w:ascii="黑体" w:hAnsi="黑体" w:eastAsia="黑体" w:cs="黑体"/>
          <w:b/>
          <w:sz w:val="28"/>
        </w:rPr>
        <w:t>七、一般公共预算财政拨款“三公”经费支出决算情况说明</w:t>
      </w:r>
    </w:p>
    <w:p w14:paraId="4B48DB31">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2"/>
        <w:rPr>
          <w:rFonts w:ascii="宋体" w:hAnsi="宋体" w:eastAsia="宋体" w:cs="宋体"/>
          <w:vanish w:val="0"/>
          <w:sz w:val="24"/>
        </w:rPr>
      </w:pPr>
      <w:r>
        <w:rPr>
          <w:rFonts w:ascii="黑体" w:hAnsi="黑体" w:eastAsia="黑体" w:cs="黑体"/>
          <w:b/>
          <w:sz w:val="28"/>
        </w:rPr>
        <w:t>（一）“三公”经费财政拨款支出决算总体情况说明</w:t>
      </w:r>
    </w:p>
    <w:p w14:paraId="18F46365">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“三公”经费财政拨款支出预算为1.63万元，支出决算为</w:t>
      </w:r>
      <w:r>
        <w:rPr>
          <w:rFonts w:ascii="宋体" w:hAnsi="宋体" w:eastAsia="宋体" w:cs="宋体"/>
          <w:sz w:val="28"/>
        </w:rPr>
        <w:t>1.33</w:t>
      </w:r>
      <w:r>
        <w:rPr>
          <w:rFonts w:ascii="宋体" w:hAnsi="宋体" w:eastAsia="宋体" w:cs="宋体"/>
          <w:color w:val="000000"/>
          <w:sz w:val="28"/>
        </w:rPr>
        <w:t>万元，完成预算的81.60%，其中：</w:t>
      </w:r>
    </w:p>
    <w:p w14:paraId="6B282569">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color w:val="000000"/>
          <w:sz w:val="28"/>
        </w:rPr>
      </w:pPr>
      <w:r>
        <w:rPr>
          <w:rFonts w:hint="eastAsia" w:ascii="宋体" w:hAnsi="宋体" w:eastAsia="宋体" w:cs="宋体"/>
          <w:color w:val="000000"/>
          <w:sz w:val="28"/>
        </w:rPr>
        <w:t>因公出国（境）费支出预算为0万元，支出决算为0万元，因年初预算金额为0万元</w:t>
      </w:r>
      <w:r>
        <w:rPr>
          <w:rFonts w:hint="eastAsia" w:ascii="宋体" w:hAnsi="宋体" w:eastAsia="宋体" w:cs="宋体"/>
          <w:color w:val="000000"/>
          <w:sz w:val="28"/>
          <w:lang w:eastAsia="zh-CN"/>
        </w:rPr>
        <w:t>，</w:t>
      </w:r>
      <w:r>
        <w:rPr>
          <w:rFonts w:hint="eastAsia" w:ascii="宋体" w:hAnsi="宋体" w:eastAsia="宋体" w:cs="宋体"/>
          <w:color w:val="000000"/>
          <w:sz w:val="28"/>
        </w:rPr>
        <w:t>无法计算百分比，决算数与预算数一致，与上年相比持平，持平主要原因是2022年无此项开支。</w:t>
      </w:r>
    </w:p>
    <w:p w14:paraId="3FCC7DDD">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公务接待费支出预算为</w:t>
      </w:r>
      <w:r>
        <w:rPr>
          <w:rFonts w:ascii="宋体" w:hAnsi="宋体" w:eastAsia="宋体" w:cs="宋体"/>
          <w:sz w:val="28"/>
        </w:rPr>
        <w:t>0.37</w:t>
      </w:r>
      <w:r>
        <w:rPr>
          <w:rFonts w:ascii="宋体" w:hAnsi="宋体" w:eastAsia="宋体" w:cs="宋体"/>
          <w:color w:val="000000"/>
          <w:sz w:val="28"/>
        </w:rPr>
        <w:t>万元，支出决算为</w:t>
      </w:r>
      <w:r>
        <w:rPr>
          <w:rFonts w:ascii="宋体" w:hAnsi="宋体" w:eastAsia="宋体" w:cs="宋体"/>
          <w:sz w:val="28"/>
        </w:rPr>
        <w:t>0.07</w:t>
      </w:r>
      <w:r>
        <w:rPr>
          <w:rFonts w:ascii="宋体" w:hAnsi="宋体" w:eastAsia="宋体" w:cs="宋体"/>
          <w:color w:val="000000"/>
          <w:sz w:val="28"/>
        </w:rPr>
        <w:t>万元，完成预算的18.92%，</w:t>
      </w:r>
      <w:r>
        <w:rPr>
          <w:rFonts w:hint="eastAsia" w:ascii="宋体" w:hAnsi="宋体" w:eastAsia="宋体" w:cs="宋体"/>
          <w:color w:val="000000"/>
          <w:sz w:val="28"/>
        </w:rPr>
        <w:t>决算数小于预算数的主要原因是厉行节约，减少相关开支</w:t>
      </w:r>
      <w:r>
        <w:rPr>
          <w:rFonts w:hint="eastAsia" w:ascii="宋体" w:hAnsi="宋体" w:eastAsia="宋体" w:cs="宋体"/>
          <w:color w:val="000000"/>
          <w:sz w:val="28"/>
          <w:lang w:eastAsia="zh-CN"/>
        </w:rPr>
        <w:t>，</w:t>
      </w:r>
      <w:r>
        <w:rPr>
          <w:rFonts w:ascii="宋体" w:hAnsi="宋体" w:eastAsia="宋体" w:cs="宋体"/>
          <w:color w:val="000000"/>
          <w:sz w:val="28"/>
        </w:rPr>
        <w:t>与上年相比减少0.31万元，减少主要原因是进一步规范公务接待管理，实行归口统一管理，先审批后安排，并明确接待地点和接待标准。</w:t>
      </w:r>
    </w:p>
    <w:p w14:paraId="37EEEADC">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公务用车购置费支出预算为</w:t>
      </w:r>
      <w:r>
        <w:rPr>
          <w:rFonts w:ascii="宋体" w:hAnsi="宋体" w:eastAsia="宋体" w:cs="宋体"/>
          <w:sz w:val="28"/>
        </w:rPr>
        <w:t>0</w:t>
      </w:r>
      <w:r>
        <w:rPr>
          <w:rFonts w:ascii="宋体" w:hAnsi="宋体" w:eastAsia="宋体" w:cs="宋体"/>
          <w:color w:val="000000"/>
          <w:sz w:val="28"/>
        </w:rPr>
        <w:t>万元，支出决算为</w:t>
      </w:r>
      <w:r>
        <w:rPr>
          <w:rFonts w:ascii="宋体" w:hAnsi="宋体" w:eastAsia="宋体" w:cs="宋体"/>
          <w:sz w:val="28"/>
        </w:rPr>
        <w:t>0</w:t>
      </w:r>
      <w:r>
        <w:rPr>
          <w:rFonts w:ascii="宋体" w:hAnsi="宋体" w:eastAsia="宋体" w:cs="宋体"/>
          <w:color w:val="000000"/>
          <w:sz w:val="28"/>
        </w:rPr>
        <w:t>万元，因年初预算金额为0万元，无法计算百分比，决算数与预算数一致</w:t>
      </w:r>
      <w:r>
        <w:rPr>
          <w:rFonts w:hint="eastAsia" w:ascii="宋体" w:hAnsi="宋体" w:eastAsia="宋体" w:cs="宋体"/>
          <w:color w:val="000000"/>
          <w:sz w:val="28"/>
          <w:lang w:eastAsia="zh-CN"/>
        </w:rPr>
        <w:t>，</w:t>
      </w:r>
      <w:r>
        <w:rPr>
          <w:rFonts w:ascii="宋体" w:hAnsi="宋体" w:eastAsia="宋体" w:cs="宋体"/>
          <w:color w:val="000000"/>
          <w:sz w:val="28"/>
        </w:rPr>
        <w:t>与上年相比持平，持平主要原因是本单位无公务用车购置费用支出。</w:t>
      </w:r>
    </w:p>
    <w:p w14:paraId="7389E4EC">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公务用车运行维护费支出预算为1.26万元，支出决算为1.26万元，完成预算的100.00%，决算数等于预算数的主要原因是</w:t>
      </w:r>
      <w:r>
        <w:rPr>
          <w:rFonts w:hint="default" w:ascii="宋体" w:hAnsi="宋体" w:eastAsia="宋体" w:cs="宋体"/>
          <w:color w:val="000000"/>
          <w:sz w:val="28"/>
        </w:rPr>
        <w:t>严格按照预算执行，</w:t>
      </w:r>
      <w:r>
        <w:rPr>
          <w:rFonts w:ascii="宋体" w:hAnsi="宋体" w:eastAsia="宋体" w:cs="宋体"/>
          <w:color w:val="000000"/>
          <w:sz w:val="28"/>
        </w:rPr>
        <w:t>与上年相比减少0.03万元，减少主要原因是规范用车，对车辆维修、加油、保险严格管理，专人负责。</w:t>
      </w:r>
    </w:p>
    <w:p w14:paraId="2F374668">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2"/>
        <w:rPr>
          <w:rFonts w:ascii="宋体" w:hAnsi="宋体" w:eastAsia="宋体" w:cs="宋体"/>
          <w:vanish w:val="0"/>
          <w:sz w:val="24"/>
        </w:rPr>
      </w:pPr>
      <w:r>
        <w:rPr>
          <w:rFonts w:ascii="黑体" w:hAnsi="黑体" w:eastAsia="黑体" w:cs="黑体"/>
          <w:b/>
          <w:sz w:val="28"/>
        </w:rPr>
        <w:t>（二）“三公”经费财政拨款支出决算具体情况说明</w:t>
      </w:r>
    </w:p>
    <w:p w14:paraId="73F9E00A">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2022</w:t>
      </w:r>
      <w:r>
        <w:rPr>
          <w:rFonts w:ascii="宋体" w:hAnsi="宋体" w:eastAsia="宋体" w:cs="宋体"/>
          <w:color w:val="000000"/>
          <w:sz w:val="28"/>
        </w:rPr>
        <w:t>年度“三公”经费财政拨款支出决算中，公务接待费支出决算</w:t>
      </w:r>
      <w:r>
        <w:rPr>
          <w:rFonts w:ascii="宋体" w:hAnsi="宋体" w:eastAsia="宋体" w:cs="宋体"/>
          <w:sz w:val="28"/>
        </w:rPr>
        <w:t>0.07</w:t>
      </w:r>
      <w:r>
        <w:rPr>
          <w:rFonts w:ascii="宋体" w:hAnsi="宋体" w:eastAsia="宋体" w:cs="宋体"/>
          <w:color w:val="000000"/>
          <w:sz w:val="28"/>
        </w:rPr>
        <w:t>万元，占</w:t>
      </w:r>
      <w:r>
        <w:rPr>
          <w:rFonts w:ascii="宋体" w:hAnsi="宋体" w:eastAsia="宋体" w:cs="宋体"/>
          <w:sz w:val="28"/>
        </w:rPr>
        <w:t>5.26</w:t>
      </w:r>
      <w:r>
        <w:rPr>
          <w:rFonts w:ascii="宋体" w:hAnsi="宋体" w:eastAsia="宋体" w:cs="宋体"/>
          <w:color w:val="000000"/>
          <w:sz w:val="28"/>
        </w:rPr>
        <w:t>%,因公出国（境）费支出决算</w:t>
      </w:r>
      <w:r>
        <w:rPr>
          <w:rFonts w:ascii="宋体" w:hAnsi="宋体" w:eastAsia="宋体" w:cs="宋体"/>
          <w:sz w:val="28"/>
        </w:rPr>
        <w:t>0</w:t>
      </w:r>
      <w:r>
        <w:rPr>
          <w:rFonts w:ascii="宋体" w:hAnsi="宋体" w:eastAsia="宋体" w:cs="宋体"/>
          <w:color w:val="000000"/>
          <w:sz w:val="28"/>
        </w:rPr>
        <w:t>万元，占</w:t>
      </w:r>
      <w:r>
        <w:rPr>
          <w:rFonts w:ascii="宋体" w:hAnsi="宋体" w:eastAsia="宋体" w:cs="宋体"/>
          <w:sz w:val="28"/>
        </w:rPr>
        <w:t>0</w:t>
      </w:r>
      <w:r>
        <w:rPr>
          <w:rFonts w:ascii="宋体" w:hAnsi="宋体" w:eastAsia="宋体" w:cs="宋体"/>
          <w:color w:val="000000"/>
          <w:sz w:val="28"/>
        </w:rPr>
        <w:t>%，公务用车购置费及运行维护费支出决算</w:t>
      </w:r>
      <w:r>
        <w:rPr>
          <w:rFonts w:ascii="宋体" w:hAnsi="宋体" w:eastAsia="宋体" w:cs="宋体"/>
          <w:sz w:val="28"/>
        </w:rPr>
        <w:t>1.26</w:t>
      </w:r>
      <w:r>
        <w:rPr>
          <w:rFonts w:ascii="宋体" w:hAnsi="宋体" w:eastAsia="宋体" w:cs="宋体"/>
          <w:color w:val="000000"/>
          <w:sz w:val="28"/>
        </w:rPr>
        <w:t>万元，占</w:t>
      </w:r>
      <w:r>
        <w:rPr>
          <w:rFonts w:ascii="宋体" w:hAnsi="宋体" w:eastAsia="宋体" w:cs="宋体"/>
          <w:sz w:val="28"/>
        </w:rPr>
        <w:t>94.74</w:t>
      </w:r>
      <w:r>
        <w:rPr>
          <w:rFonts w:ascii="宋体" w:hAnsi="宋体" w:eastAsia="宋体" w:cs="宋体"/>
          <w:color w:val="000000"/>
          <w:sz w:val="28"/>
        </w:rPr>
        <w:t>%。其中：</w:t>
      </w:r>
    </w:p>
    <w:p w14:paraId="2884E9F4">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w:t>
      </w:r>
      <w:r>
        <w:rPr>
          <w:rFonts w:ascii="宋体" w:hAnsi="宋体" w:eastAsia="宋体" w:cs="宋体"/>
          <w:sz w:val="28"/>
        </w:rPr>
        <w:t>因公出国（境）费支出决算为0万元，全年安排因公出国（境）团组0个，累计0人次,支出0万元。</w:t>
      </w:r>
    </w:p>
    <w:p w14:paraId="39C0118D">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2、公务接待费支出决算为</w:t>
      </w:r>
      <w:r>
        <w:rPr>
          <w:rFonts w:ascii="宋体" w:hAnsi="宋体" w:eastAsia="宋体" w:cs="宋体"/>
          <w:sz w:val="28"/>
        </w:rPr>
        <w:t>0.07</w:t>
      </w:r>
      <w:r>
        <w:rPr>
          <w:rFonts w:ascii="宋体" w:hAnsi="宋体" w:eastAsia="宋体" w:cs="宋体"/>
          <w:color w:val="000000"/>
          <w:sz w:val="28"/>
        </w:rPr>
        <w:t>万元，主要是全年共接待来访团组45个、来宾336人次，主要是用于接待来访群众发生的接待支出。</w:t>
      </w:r>
    </w:p>
    <w:p w14:paraId="3B45551B">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3、公务用车购置费及运行维护费支出决算为1.26万元，其中：公务用车购置费0万元，中方县信访局更新</w:t>
      </w:r>
      <w:r>
        <w:rPr>
          <w:rFonts w:ascii="宋体" w:hAnsi="宋体" w:eastAsia="宋体" w:cs="宋体"/>
          <w:color w:val="000000"/>
          <w:sz w:val="28"/>
        </w:rPr>
        <w:t>公务用车0辆。</w:t>
      </w:r>
      <w:r>
        <w:rPr>
          <w:rFonts w:ascii="宋体" w:hAnsi="宋体" w:eastAsia="宋体" w:cs="宋体"/>
          <w:sz w:val="28"/>
        </w:rPr>
        <w:t>公务用车运行维护费1.26万元，</w:t>
      </w:r>
      <w:r>
        <w:rPr>
          <w:rFonts w:ascii="宋体" w:hAnsi="宋体" w:eastAsia="宋体" w:cs="宋体"/>
          <w:color w:val="000000"/>
          <w:sz w:val="28"/>
        </w:rPr>
        <w:t>主要是公车日常运行维护及保险费用支出，</w:t>
      </w:r>
      <w:r>
        <w:rPr>
          <w:rFonts w:ascii="宋体" w:hAnsi="宋体" w:eastAsia="宋体" w:cs="宋体"/>
          <w:sz w:val="28"/>
        </w:rPr>
        <w:t>截止2022年12月31日，</w:t>
      </w:r>
      <w:r>
        <w:rPr>
          <w:rFonts w:ascii="宋体" w:hAnsi="宋体" w:eastAsia="宋体" w:cs="宋体"/>
          <w:color w:val="000000"/>
          <w:sz w:val="28"/>
        </w:rPr>
        <w:t>我单位开支财政拨款的公务用车保有量为1辆</w:t>
      </w:r>
      <w:r>
        <w:rPr>
          <w:rFonts w:ascii="宋体" w:hAnsi="宋体" w:eastAsia="宋体" w:cs="宋体"/>
          <w:sz w:val="28"/>
        </w:rPr>
        <w:t>。</w:t>
      </w:r>
    </w:p>
    <w:p w14:paraId="3F00D00C">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1"/>
        <w:rPr>
          <w:rFonts w:ascii="宋体" w:hAnsi="宋体" w:eastAsia="宋体" w:cs="宋体"/>
          <w:vanish w:val="0"/>
          <w:sz w:val="24"/>
        </w:rPr>
      </w:pPr>
      <w:r>
        <w:rPr>
          <w:rFonts w:ascii="黑体" w:hAnsi="黑体" w:eastAsia="黑体" w:cs="黑体"/>
          <w:b/>
          <w:sz w:val="28"/>
        </w:rPr>
        <w:t>八、政府性基金预算收入支出决算情况</w:t>
      </w:r>
    </w:p>
    <w:p w14:paraId="593CF62B">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2022</w:t>
      </w:r>
      <w:r>
        <w:rPr>
          <w:rFonts w:ascii="宋体" w:hAnsi="宋体" w:eastAsia="宋体" w:cs="宋体"/>
          <w:color w:val="000000"/>
          <w:sz w:val="28"/>
        </w:rPr>
        <w:t>年度政府性基金预算财政拨款收入</w:t>
      </w:r>
      <w:r>
        <w:rPr>
          <w:rFonts w:ascii="宋体" w:hAnsi="宋体" w:eastAsia="宋体" w:cs="宋体"/>
          <w:sz w:val="28"/>
        </w:rPr>
        <w:t>0</w:t>
      </w:r>
      <w:r>
        <w:rPr>
          <w:rFonts w:ascii="宋体" w:hAnsi="宋体" w:eastAsia="宋体" w:cs="宋体"/>
          <w:color w:val="000000"/>
          <w:sz w:val="28"/>
        </w:rPr>
        <w:t>万元；年初结转和结余</w:t>
      </w:r>
      <w:r>
        <w:rPr>
          <w:rFonts w:ascii="宋体" w:hAnsi="宋体" w:eastAsia="宋体" w:cs="宋体"/>
          <w:sz w:val="28"/>
        </w:rPr>
        <w:t>0</w:t>
      </w:r>
      <w:r>
        <w:rPr>
          <w:rFonts w:ascii="宋体" w:hAnsi="宋体" w:eastAsia="宋体" w:cs="宋体"/>
          <w:color w:val="000000"/>
          <w:sz w:val="28"/>
        </w:rPr>
        <w:t>万元；支出</w:t>
      </w:r>
      <w:r>
        <w:rPr>
          <w:rFonts w:ascii="宋体" w:hAnsi="宋体" w:eastAsia="宋体" w:cs="宋体"/>
          <w:sz w:val="28"/>
        </w:rPr>
        <w:t>0</w:t>
      </w:r>
      <w:r>
        <w:rPr>
          <w:rFonts w:ascii="宋体" w:hAnsi="宋体" w:eastAsia="宋体" w:cs="宋体"/>
          <w:color w:val="000000"/>
          <w:sz w:val="28"/>
        </w:rPr>
        <w:t>万元，其中基本支出</w:t>
      </w:r>
      <w:r>
        <w:rPr>
          <w:rFonts w:ascii="宋体" w:hAnsi="宋体" w:eastAsia="宋体" w:cs="宋体"/>
          <w:sz w:val="28"/>
        </w:rPr>
        <w:t>0</w:t>
      </w:r>
      <w:r>
        <w:rPr>
          <w:rFonts w:ascii="宋体" w:hAnsi="宋体" w:eastAsia="宋体" w:cs="宋体"/>
          <w:color w:val="000000"/>
          <w:sz w:val="28"/>
        </w:rPr>
        <w:t>万元，项目支出</w:t>
      </w:r>
      <w:r>
        <w:rPr>
          <w:rFonts w:ascii="宋体" w:hAnsi="宋体" w:eastAsia="宋体" w:cs="宋体"/>
          <w:sz w:val="28"/>
        </w:rPr>
        <w:t>0</w:t>
      </w:r>
      <w:r>
        <w:rPr>
          <w:rFonts w:ascii="宋体" w:hAnsi="宋体" w:eastAsia="宋体" w:cs="宋体"/>
          <w:color w:val="000000"/>
          <w:sz w:val="28"/>
        </w:rPr>
        <w:t>万元；年末结转和结余</w:t>
      </w:r>
      <w:r>
        <w:rPr>
          <w:rFonts w:ascii="宋体" w:hAnsi="宋体" w:eastAsia="宋体" w:cs="宋体"/>
          <w:sz w:val="28"/>
        </w:rPr>
        <w:t>0</w:t>
      </w:r>
      <w:r>
        <w:rPr>
          <w:rFonts w:ascii="宋体" w:hAnsi="宋体" w:eastAsia="宋体" w:cs="宋体"/>
          <w:color w:val="000000"/>
          <w:sz w:val="28"/>
        </w:rPr>
        <w:t>万元。</w:t>
      </w:r>
    </w:p>
    <w:p w14:paraId="0087A47B">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1"/>
        <w:rPr>
          <w:rFonts w:ascii="宋体" w:hAnsi="宋体" w:eastAsia="宋体" w:cs="宋体"/>
          <w:vanish w:val="0"/>
          <w:sz w:val="24"/>
        </w:rPr>
      </w:pPr>
      <w:r>
        <w:rPr>
          <w:rFonts w:ascii="黑体" w:hAnsi="黑体" w:eastAsia="黑体" w:cs="黑体"/>
          <w:b/>
          <w:sz w:val="28"/>
        </w:rPr>
        <w:t>九、关于机关运行经费支出说明</w:t>
      </w:r>
    </w:p>
    <w:p w14:paraId="0A3588DF">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本部门</w:t>
      </w:r>
      <w:r>
        <w:rPr>
          <w:rFonts w:ascii="宋体" w:hAnsi="宋体" w:eastAsia="宋体" w:cs="宋体"/>
          <w:sz w:val="28"/>
        </w:rPr>
        <w:t>2022</w:t>
      </w:r>
      <w:r>
        <w:rPr>
          <w:rFonts w:ascii="宋体" w:hAnsi="宋体" w:eastAsia="宋体" w:cs="宋体"/>
          <w:color w:val="000000"/>
          <w:sz w:val="28"/>
        </w:rPr>
        <w:t>年度机关运行经费支出42.61万元，比上年决算数</w:t>
      </w:r>
      <w:r>
        <w:rPr>
          <w:rFonts w:ascii="宋体" w:hAnsi="宋体" w:eastAsia="宋体" w:cs="宋体"/>
          <w:sz w:val="28"/>
        </w:rPr>
        <w:t>增加22.35万元，增加110.32%。</w:t>
      </w:r>
      <w:r>
        <w:rPr>
          <w:rFonts w:ascii="宋体" w:hAnsi="宋体" w:eastAsia="宋体" w:cs="宋体"/>
          <w:color w:val="000000"/>
          <w:sz w:val="28"/>
        </w:rPr>
        <w:t>主要原因是：福利费和工会</w:t>
      </w:r>
      <w:r>
        <w:rPr>
          <w:rFonts w:hint="eastAsia" w:ascii="宋体" w:hAnsi="宋体" w:eastAsia="宋体" w:cs="宋体"/>
          <w:color w:val="000000"/>
          <w:sz w:val="28"/>
          <w:lang w:eastAsia="zh-CN"/>
        </w:rPr>
        <w:t>经费支出</w:t>
      </w:r>
      <w:r>
        <w:rPr>
          <w:rFonts w:ascii="宋体" w:hAnsi="宋体" w:eastAsia="宋体" w:cs="宋体"/>
          <w:color w:val="000000"/>
          <w:sz w:val="28"/>
        </w:rPr>
        <w:t>增加。</w:t>
      </w:r>
    </w:p>
    <w:p w14:paraId="0902D71D">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1"/>
        <w:rPr>
          <w:rFonts w:ascii="宋体" w:hAnsi="宋体" w:eastAsia="宋体" w:cs="宋体"/>
          <w:vanish w:val="0"/>
          <w:sz w:val="24"/>
        </w:rPr>
      </w:pPr>
      <w:r>
        <w:rPr>
          <w:rFonts w:ascii="黑体" w:hAnsi="黑体" w:eastAsia="黑体" w:cs="黑体"/>
          <w:b/>
          <w:sz w:val="28"/>
        </w:rPr>
        <w:t>十、一般性支出情况</w:t>
      </w:r>
    </w:p>
    <w:p w14:paraId="20BA859E">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2022</w:t>
      </w:r>
      <w:r>
        <w:rPr>
          <w:rFonts w:ascii="宋体" w:hAnsi="宋体" w:eastAsia="宋体" w:cs="宋体"/>
          <w:color w:val="000000"/>
          <w:sz w:val="28"/>
        </w:rPr>
        <w:t>年本部门开支会议费</w:t>
      </w:r>
      <w:r>
        <w:rPr>
          <w:rFonts w:ascii="宋体" w:hAnsi="宋体" w:eastAsia="宋体" w:cs="宋体"/>
          <w:sz w:val="28"/>
        </w:rPr>
        <w:t>0</w:t>
      </w:r>
      <w:r>
        <w:rPr>
          <w:rFonts w:ascii="宋体" w:hAnsi="宋体" w:eastAsia="宋体" w:cs="宋体"/>
          <w:color w:val="000000"/>
          <w:sz w:val="28"/>
        </w:rPr>
        <w:t>万元，用于召开0场会议，人数0人，内容为本单位无县级会议费用支出；开支培训费</w:t>
      </w:r>
      <w:r>
        <w:rPr>
          <w:rFonts w:ascii="宋体" w:hAnsi="宋体" w:eastAsia="宋体" w:cs="宋体"/>
          <w:sz w:val="28"/>
        </w:rPr>
        <w:t>0.20</w:t>
      </w:r>
      <w:r>
        <w:rPr>
          <w:rFonts w:ascii="宋体" w:hAnsi="宋体" w:eastAsia="宋体" w:cs="宋体"/>
          <w:color w:val="000000"/>
          <w:sz w:val="28"/>
        </w:rPr>
        <w:t>万元，用于开展《信访条例》业务培训，人数12人，内容为《信访条例》业务知识及信访系统操作；未举办节庆、晚会、论坛、赛事等，开支0万元。</w:t>
      </w:r>
    </w:p>
    <w:p w14:paraId="4239BB37">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1"/>
        <w:rPr>
          <w:rFonts w:ascii="宋体" w:hAnsi="宋体" w:eastAsia="宋体" w:cs="宋体"/>
          <w:vanish w:val="0"/>
          <w:sz w:val="24"/>
        </w:rPr>
      </w:pPr>
      <w:r>
        <w:rPr>
          <w:rFonts w:ascii="黑体" w:hAnsi="黑体" w:eastAsia="黑体" w:cs="黑体"/>
          <w:b/>
          <w:sz w:val="28"/>
        </w:rPr>
        <w:t>十一、关于政府采购支出说明</w:t>
      </w:r>
    </w:p>
    <w:p w14:paraId="2D4F66B9">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本部门</w:t>
      </w:r>
      <w:r>
        <w:rPr>
          <w:rFonts w:ascii="宋体" w:hAnsi="宋体" w:eastAsia="宋体" w:cs="宋体"/>
          <w:sz w:val="28"/>
        </w:rPr>
        <w:t>2022</w:t>
      </w:r>
      <w:r>
        <w:rPr>
          <w:rFonts w:ascii="宋体" w:hAnsi="宋体" w:eastAsia="宋体" w:cs="宋体"/>
          <w:color w:val="000000"/>
          <w:sz w:val="28"/>
        </w:rPr>
        <w:t>年度政府采购支出总额3.00万元，其中：政府采购货物支出2.00万元、政府采购工程支出0万元、政府采购服务支出1.00万元。授予中小企业合同金额3.00万元，占政府采购支出总额的100.00%，其中：货物采购授予中小企业合同金额占货物支出金额的</w:t>
      </w:r>
      <w:r>
        <w:rPr>
          <w:rFonts w:hint="eastAsia" w:ascii="宋体" w:hAnsi="宋体" w:eastAsia="宋体" w:cs="宋体"/>
          <w:color w:val="000000"/>
          <w:sz w:val="28"/>
          <w:lang w:val="en-US" w:eastAsia="zh-CN"/>
        </w:rPr>
        <w:t>100</w:t>
      </w:r>
      <w:r>
        <w:rPr>
          <w:rFonts w:ascii="宋体" w:hAnsi="宋体" w:eastAsia="宋体" w:cs="宋体"/>
          <w:color w:val="000000"/>
          <w:sz w:val="28"/>
        </w:rPr>
        <w:t>%，</w:t>
      </w:r>
      <w:r>
        <w:rPr>
          <w:rFonts w:hint="eastAsia" w:ascii="宋体" w:hAnsi="宋体" w:eastAsia="宋体" w:cs="宋体"/>
          <w:color w:val="000000"/>
          <w:sz w:val="28"/>
        </w:rPr>
        <w:t>工程采购授予中小企业合同金额占工程支出金额的百分比无法计算，原因是政府采购工程支出金额为0万元，</w:t>
      </w:r>
      <w:r>
        <w:rPr>
          <w:rFonts w:ascii="宋体" w:hAnsi="宋体" w:eastAsia="宋体" w:cs="宋体"/>
          <w:color w:val="000000"/>
          <w:sz w:val="28"/>
        </w:rPr>
        <w:t>服务采购授予中小企业合同金额占服务支出金额的</w:t>
      </w:r>
      <w:r>
        <w:rPr>
          <w:rFonts w:hint="eastAsia" w:ascii="宋体" w:hAnsi="宋体" w:eastAsia="宋体" w:cs="宋体"/>
          <w:color w:val="000000"/>
          <w:sz w:val="28"/>
          <w:lang w:val="en-US" w:eastAsia="zh-CN"/>
        </w:rPr>
        <w:t>100</w:t>
      </w:r>
      <w:r>
        <w:rPr>
          <w:rFonts w:ascii="宋体" w:hAnsi="宋体" w:eastAsia="宋体" w:cs="宋体"/>
          <w:color w:val="000000"/>
          <w:sz w:val="28"/>
        </w:rPr>
        <w:t>%。</w:t>
      </w:r>
    </w:p>
    <w:p w14:paraId="49B5A81A">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1"/>
        <w:rPr>
          <w:rFonts w:ascii="宋体" w:hAnsi="宋体" w:eastAsia="宋体" w:cs="宋体"/>
          <w:vanish w:val="0"/>
          <w:sz w:val="24"/>
        </w:rPr>
      </w:pPr>
      <w:r>
        <w:rPr>
          <w:rFonts w:ascii="黑体" w:hAnsi="黑体" w:eastAsia="黑体" w:cs="黑体"/>
          <w:b/>
          <w:sz w:val="28"/>
        </w:rPr>
        <w:t>十二、关于国有资产占用情况说明</w:t>
      </w:r>
      <w:bookmarkStart w:id="0" w:name="_GoBack"/>
      <w:bookmarkEnd w:id="0"/>
    </w:p>
    <w:p w14:paraId="52406351">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截至</w:t>
      </w:r>
      <w:r>
        <w:rPr>
          <w:rFonts w:ascii="宋体" w:hAnsi="宋体" w:eastAsia="宋体" w:cs="宋体"/>
          <w:sz w:val="28"/>
        </w:rPr>
        <w:t>2022</w:t>
      </w:r>
      <w:r>
        <w:rPr>
          <w:rFonts w:ascii="宋体" w:hAnsi="宋体" w:eastAsia="宋体" w:cs="宋体"/>
          <w:color w:val="000000"/>
          <w:sz w:val="28"/>
        </w:rPr>
        <w:t>年12月31日，本单位共有车辆1辆，其中，主要领导干部用车0辆，机要通信用车1辆、应急保障用车0辆、执法执勤用车0辆、特种专业技术用车0辆、其他用车0辆，其他用车主要是无其他用车；单位价值50万元以上通用设备0台（套）；单位价值100万元以上专用设备0台（套）。</w:t>
      </w:r>
    </w:p>
    <w:p w14:paraId="023DC9B7">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outlineLvl w:val="1"/>
        <w:rPr>
          <w:rFonts w:ascii="宋体" w:hAnsi="宋体" w:eastAsia="宋体" w:cs="宋体"/>
          <w:vanish w:val="0"/>
          <w:sz w:val="24"/>
        </w:rPr>
      </w:pPr>
      <w:r>
        <w:rPr>
          <w:rFonts w:ascii="黑体" w:hAnsi="黑体" w:eastAsia="黑体" w:cs="黑体"/>
          <w:b/>
          <w:sz w:val="28"/>
        </w:rPr>
        <w:t>十三、关于2022年度预算绩效情况的说明</w:t>
      </w:r>
    </w:p>
    <w:p w14:paraId="65D01F9D">
      <w:pPr>
        <w:keepNext w:val="0"/>
        <w:keepLines w:val="0"/>
        <w:pageBreakBefore w:val="0"/>
        <w:widowControl/>
        <w:kinsoku/>
        <w:wordWrap/>
        <w:overflowPunct/>
        <w:topLinePunct w:val="0"/>
        <w:autoSpaceDE/>
        <w:autoSpaceDN/>
        <w:bidi w:val="0"/>
        <w:adjustRightInd/>
        <w:snapToGrid/>
        <w:spacing w:line="520" w:lineRule="exact"/>
        <w:ind w:firstLine="629" w:firstLineChars="0"/>
        <w:textAlignment w:val="auto"/>
        <w:outlineLvl w:val="2"/>
        <w:rPr>
          <w:rFonts w:hint="eastAsia" w:ascii="宋体" w:hAnsi="宋体" w:eastAsia="宋体" w:cs="宋体"/>
          <w:b/>
          <w:bCs/>
          <w:color w:val="000000"/>
          <w:sz w:val="28"/>
        </w:rPr>
      </w:pPr>
      <w:r>
        <w:rPr>
          <w:rFonts w:hint="eastAsia" w:ascii="宋体" w:hAnsi="宋体" w:eastAsia="宋体" w:cs="宋体"/>
          <w:b/>
          <w:bCs/>
          <w:color w:val="000000"/>
          <w:sz w:val="28"/>
        </w:rPr>
        <w:t>(一)部门整体支出绩效情况</w:t>
      </w:r>
    </w:p>
    <w:p w14:paraId="0BE60272">
      <w:pPr>
        <w:keepNext w:val="0"/>
        <w:keepLines w:val="0"/>
        <w:pageBreakBefore w:val="0"/>
        <w:widowControl/>
        <w:kinsoku/>
        <w:wordWrap/>
        <w:overflowPunct/>
        <w:topLinePunct w:val="0"/>
        <w:autoSpaceDE/>
        <w:autoSpaceDN/>
        <w:bidi w:val="0"/>
        <w:adjustRightInd/>
        <w:snapToGrid/>
        <w:spacing w:line="520" w:lineRule="exact"/>
        <w:ind w:firstLine="629" w:firstLineChars="0"/>
        <w:textAlignment w:val="auto"/>
        <w:rPr>
          <w:rFonts w:ascii="宋体" w:hAnsi="宋体" w:eastAsia="宋体" w:cs="宋体"/>
          <w:color w:val="000000"/>
          <w:sz w:val="28"/>
        </w:rPr>
      </w:pPr>
      <w:r>
        <w:rPr>
          <w:rFonts w:ascii="宋体" w:hAnsi="宋体" w:eastAsia="宋体" w:cs="宋体"/>
          <w:color w:val="000000"/>
          <w:sz w:val="28"/>
        </w:rPr>
        <w:t>2022年我单位部门整体预算收入313.9万元，预算支出313.9万元。2022年决算收入407.34万元，决算支出407.34万元,其中：基本支出314.86万元（三公”经费支出情况：2022年，“三公”经费预算1.64万元，完成1.33万元）;项目支出92.48</w:t>
      </w:r>
      <w:r>
        <w:rPr>
          <w:rFonts w:hint="eastAsia" w:ascii="宋体" w:hAnsi="宋体" w:eastAsia="宋体" w:cs="宋体"/>
          <w:color w:val="000000"/>
          <w:sz w:val="28"/>
          <w:lang w:eastAsia="zh-CN"/>
        </w:rPr>
        <w:t>万元</w:t>
      </w:r>
      <w:r>
        <w:rPr>
          <w:rFonts w:ascii="宋体" w:hAnsi="宋体" w:eastAsia="宋体" w:cs="宋体"/>
          <w:color w:val="000000"/>
          <w:sz w:val="28"/>
        </w:rPr>
        <w:t>。政府采购3万元。</w:t>
      </w:r>
    </w:p>
    <w:p w14:paraId="4B7F2B5E">
      <w:pPr>
        <w:keepNext w:val="0"/>
        <w:keepLines w:val="0"/>
        <w:pageBreakBefore w:val="0"/>
        <w:widowControl/>
        <w:kinsoku/>
        <w:wordWrap/>
        <w:overflowPunct/>
        <w:topLinePunct w:val="0"/>
        <w:autoSpaceDE/>
        <w:autoSpaceDN/>
        <w:bidi w:val="0"/>
        <w:adjustRightInd/>
        <w:snapToGrid/>
        <w:spacing w:line="520" w:lineRule="exact"/>
        <w:ind w:firstLine="629" w:firstLineChars="0"/>
        <w:textAlignment w:val="auto"/>
        <w:outlineLvl w:val="2"/>
        <w:rPr>
          <w:rFonts w:ascii="宋体" w:hAnsi="宋体" w:eastAsia="宋体" w:cs="宋体"/>
          <w:b/>
          <w:bCs/>
          <w:color w:val="000000"/>
          <w:sz w:val="28"/>
        </w:rPr>
      </w:pPr>
      <w:r>
        <w:rPr>
          <w:rFonts w:hint="eastAsia" w:ascii="宋体" w:hAnsi="宋体" w:eastAsia="宋体" w:cs="宋体"/>
          <w:b/>
          <w:bCs/>
          <w:color w:val="000000"/>
          <w:sz w:val="28"/>
        </w:rPr>
        <w:t>(二)存在的问题及原因分析</w:t>
      </w:r>
    </w:p>
    <w:p w14:paraId="5096ADFB">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after="0" w:line="520" w:lineRule="exact"/>
        <w:ind w:firstLine="629" w:firstLineChars="0"/>
        <w:jc w:val="both"/>
        <w:textAlignment w:val="auto"/>
        <w:rPr>
          <w:rFonts w:ascii="宋体" w:hAnsi="宋体" w:eastAsia="宋体" w:cs="宋体"/>
          <w:color w:val="000000"/>
          <w:sz w:val="28"/>
        </w:rPr>
      </w:pPr>
      <w:r>
        <w:rPr>
          <w:rFonts w:ascii="宋体" w:hAnsi="宋体" w:eastAsia="宋体" w:cs="宋体"/>
          <w:color w:val="000000"/>
          <w:sz w:val="28"/>
        </w:rPr>
        <w:t>我单位年初预算编制中，只编制了本单位的年度预算，而部门决算中包含了年初预算数，年度预算调整数，因此，预决算的对比口径差异较大，造成了预算执行率的对比可行性和可用性不高。</w:t>
      </w:r>
    </w:p>
    <w:p w14:paraId="4948B312">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p>
    <w:p w14:paraId="058EE7DE">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3765E551">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1F27CBA8">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465FCC0B">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507E74BA">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after="0" w:line="520" w:lineRule="atLeast"/>
        <w:ind w:firstLine="0"/>
        <w:jc w:val="center"/>
        <w:textAlignment w:val="auto"/>
        <w:outlineLvl w:val="0"/>
        <w:rPr>
          <w:rFonts w:ascii="宋体" w:hAnsi="宋体" w:eastAsia="宋体" w:cs="宋体"/>
          <w:vanish w:val="0"/>
          <w:sz w:val="24"/>
        </w:rPr>
      </w:pPr>
      <w:r>
        <w:rPr>
          <w:rFonts w:ascii="黑体" w:hAnsi="黑体" w:eastAsia="黑体" w:cs="黑体"/>
          <w:b/>
          <w:color w:val="000000"/>
          <w:sz w:val="33"/>
        </w:rPr>
        <w:t>第四部分名词解释</w:t>
      </w:r>
    </w:p>
    <w:p w14:paraId="4C25B6D8">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1、财政拨款收入：指单位本年度从同级财政部门取得的各类财政拨款。</w:t>
      </w:r>
    </w:p>
    <w:p w14:paraId="7808ADE9">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2、上级补助收入：指事业单位从主管部门和上级单位取得的非财政补助收入。</w:t>
      </w:r>
    </w:p>
    <w:p w14:paraId="3A44B8B0">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03EA3023">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4、事业收入：指事业单位开展专业业务活动及其辅助活动取得的收入，事业单位收到的财政专户实际核拨的教育收费等资金在此反映。</w:t>
      </w:r>
    </w:p>
    <w:p w14:paraId="072A0907">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5、经营收入：指事业单位在专业业务活动及其辅助活动之外开展非独立核算经营活动取得的收入。</w:t>
      </w:r>
    </w:p>
    <w:p w14:paraId="1807B2C2">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6、附属单位上缴收入：指事业单位附属独立核算单位按照有关规定上缴的收入。</w:t>
      </w:r>
    </w:p>
    <w:p w14:paraId="0ADE45AA">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7、其他收入：指单位取得的除上述“财政拨款收入”、“事业收入”、“经营收入”等以外的各项收入。</w:t>
      </w:r>
    </w:p>
    <w:p w14:paraId="3EBF9AC1">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8、使用非财政拨款结余：指事业单位使用非财政拨款结余（原事业基金）弥补当年收支差额的数额。</w:t>
      </w:r>
    </w:p>
    <w:p w14:paraId="396A3FC7">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9．年初结转和结余：指单位上年结转本年使用的基本支出结转、项目支出结转和结余和经营结余。</w:t>
      </w:r>
    </w:p>
    <w:p w14:paraId="343B5E85">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10、结余分配：指事业单位按规定对非财政拨款结余资金提取的专用基金、缴纳的所得税和转入非财政拨款结余等。</w:t>
      </w:r>
    </w:p>
    <w:p w14:paraId="53DAF1A7">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11、年末结转和结余资金：指本年度或以前年度预算安排、因客观条件发生变化无法按原计划实施，需要延迟到以后年度按有关规定继续使用的资金。</w:t>
      </w:r>
    </w:p>
    <w:p w14:paraId="607D4345">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12、基本支出：指为保障机构正常运转、完成日常工作任务而发生的支出，包括人员经费和公用经费。</w:t>
      </w:r>
    </w:p>
    <w:p w14:paraId="4723EA8D">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13、项目支出：指在为完成特定的工作任务和事业发展目标所发生的支出。</w:t>
      </w:r>
    </w:p>
    <w:p w14:paraId="42F541AC">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14、上缴上级支出：指事业单位按照财政部门和主管部门的规定上缴上级单位的支出。</w:t>
      </w:r>
    </w:p>
    <w:p w14:paraId="3469C396">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15、经营支出：指事业单位在专业业务活动及其辅助活动之外开展非独立核算经营活动发生的支出。</w:t>
      </w:r>
    </w:p>
    <w:p w14:paraId="0B0E445E">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16、对附属单位补助支出：指事业单位用财政拨款收入之外的收入对附属单位补助发生的支出。</w:t>
      </w:r>
    </w:p>
    <w:p w14:paraId="5772FF38">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17、“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2EB67878">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p>
    <w:p w14:paraId="0901A0B8">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p>
    <w:p w14:paraId="2D1CE1EC">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45519E8D">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489C00F9">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0AC8EF21">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黑体" w:hAnsi="黑体" w:eastAsia="黑体" w:cs="黑体"/>
          <w:b/>
          <w:color w:val="000000"/>
          <w:sz w:val="33"/>
        </w:rPr>
      </w:pPr>
    </w:p>
    <w:p w14:paraId="1CC68C50">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outlineLvl w:val="0"/>
        <w:rPr>
          <w:rFonts w:ascii="宋体" w:hAnsi="宋体" w:eastAsia="宋体" w:cs="宋体"/>
          <w:vanish w:val="0"/>
          <w:sz w:val="24"/>
        </w:rPr>
      </w:pPr>
      <w:r>
        <w:rPr>
          <w:rFonts w:ascii="黑体" w:hAnsi="黑体" w:eastAsia="黑体" w:cs="黑体"/>
          <w:b/>
          <w:color w:val="000000"/>
          <w:sz w:val="33"/>
        </w:rPr>
        <w:t>第五部分附件</w:t>
      </w:r>
    </w:p>
    <w:p w14:paraId="6DD616EF">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outlineLvl w:val="1"/>
        <w:rPr>
          <w:rFonts w:hint="eastAsia" w:ascii="黑体" w:hAnsi="黑体" w:eastAsia="黑体" w:cs="黑体"/>
          <w:b/>
          <w:bCs/>
          <w:color w:val="000000"/>
          <w:sz w:val="33"/>
          <w:szCs w:val="33"/>
        </w:rPr>
      </w:pPr>
      <w:r>
        <w:rPr>
          <w:rFonts w:hint="eastAsia" w:ascii="黑体" w:hAnsi="黑体" w:eastAsia="黑体" w:cs="黑体"/>
          <w:b/>
          <w:bCs/>
          <w:color w:val="000000"/>
          <w:sz w:val="33"/>
          <w:szCs w:val="33"/>
        </w:rPr>
        <w:t>中方县信访局2022年度部门整体支出绩效自评报告</w:t>
      </w:r>
    </w:p>
    <w:p w14:paraId="088CF30D">
      <w:pPr>
        <w:pStyle w:val="4"/>
        <w:numPr>
          <w:ilvl w:val="0"/>
          <w:numId w:val="1"/>
        </w:numPr>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outlineLvl w:val="1"/>
        <w:rPr>
          <w:rFonts w:hint="eastAsia" w:ascii="黑体" w:hAnsi="黑体" w:eastAsia="黑体" w:cs="黑体"/>
          <w:color w:val="000000"/>
          <w:sz w:val="28"/>
          <w:szCs w:val="28"/>
        </w:rPr>
      </w:pPr>
      <w:r>
        <w:rPr>
          <w:rFonts w:hint="eastAsia" w:ascii="黑体" w:hAnsi="黑体" w:eastAsia="黑体" w:cs="黑体"/>
          <w:color w:val="000000"/>
          <w:sz w:val="28"/>
          <w:szCs w:val="28"/>
        </w:rPr>
        <w:t>部门基本情况</w:t>
      </w:r>
      <w:r>
        <w:rPr>
          <w:rFonts w:hint="eastAsia" w:ascii="黑体" w:hAnsi="黑体" w:eastAsia="黑体" w:cs="黑体"/>
          <w:color w:val="000000"/>
          <w:sz w:val="28"/>
          <w:szCs w:val="28"/>
          <w:lang w:eastAsia="zh-CN"/>
        </w:rPr>
        <w:t>：</w:t>
      </w:r>
    </w:p>
    <w:p w14:paraId="18799AA9">
      <w:pPr>
        <w:pStyle w:val="4"/>
        <w:numPr>
          <w:ilvl w:val="0"/>
          <w:numId w:val="2"/>
        </w:numPr>
        <w:pBdr>
          <w:top w:val="none" w:color="auto" w:sz="0" w:space="0"/>
          <w:left w:val="none" w:color="auto" w:sz="0" w:space="0"/>
          <w:bottom w:val="none" w:color="auto" w:sz="0" w:space="0"/>
          <w:right w:val="none" w:color="auto" w:sz="0" w:space="0"/>
        </w:pBdr>
        <w:shd w:val="clear" w:color="auto" w:fill="auto"/>
        <w:spacing w:before="0" w:after="0" w:line="520" w:lineRule="atLeast"/>
        <w:ind w:firstLine="560" w:firstLineChars="200"/>
        <w:jc w:val="both"/>
        <w:rPr>
          <w:rFonts w:ascii="宋体" w:hAnsi="宋体" w:eastAsia="宋体" w:cs="宋体"/>
          <w:color w:val="000000"/>
          <w:sz w:val="28"/>
        </w:rPr>
      </w:pPr>
      <w:r>
        <w:rPr>
          <w:rFonts w:ascii="宋体" w:hAnsi="宋体" w:eastAsia="宋体" w:cs="宋体"/>
          <w:color w:val="000000"/>
          <w:sz w:val="28"/>
        </w:rPr>
        <w:t>部门职能与机构设置1、部门职能（1）负责处理人民群众给县委、县人民政府的来信(含网上信访)，接待群众上访，为领导同志接待上访群众做好组织服务工作;综合分析信访信息，及时、准确地向县委、县人民政府领导同志反映来信来访中提出的重要建议、意见和问题，保证信访渠道畅通。（2）负责上级信访部门和县委、县人民政府领导同志交办信访事项的转办、督办，</w:t>
      </w:r>
      <w:r>
        <w:rPr>
          <w:rFonts w:hint="eastAsia" w:ascii="宋体" w:hAnsi="宋体" w:eastAsia="宋体" w:cs="宋体"/>
          <w:color w:val="000000"/>
          <w:sz w:val="28"/>
          <w:lang w:eastAsia="zh-CN"/>
        </w:rPr>
        <w:t>督促检查</w:t>
      </w:r>
      <w:r>
        <w:rPr>
          <w:rFonts w:ascii="宋体" w:hAnsi="宋体" w:eastAsia="宋体" w:cs="宋体"/>
          <w:color w:val="000000"/>
          <w:sz w:val="28"/>
        </w:rPr>
        <w:t>领导同志批示件的落实情况;向各乡(镇)和县直部门交办信访事项，督促检查重要信访事项的处理和落实。（3）协调处理跨乡(镇)、跨部门的重大信访问题;协调处理群众集体来县到市赴省进京上访和异常、突发性信访事件;督促、协调各乡(镇)县</w:t>
      </w:r>
      <w:r>
        <w:rPr>
          <w:rFonts w:hint="eastAsia" w:ascii="宋体" w:hAnsi="宋体" w:eastAsia="宋体" w:cs="宋体"/>
          <w:color w:val="000000"/>
          <w:sz w:val="28"/>
          <w:lang w:eastAsia="zh-CN"/>
        </w:rPr>
        <w:t>和县</w:t>
      </w:r>
      <w:r>
        <w:rPr>
          <w:rFonts w:ascii="宋体" w:hAnsi="宋体" w:eastAsia="宋体" w:cs="宋体"/>
          <w:color w:val="000000"/>
          <w:sz w:val="28"/>
        </w:rPr>
        <w:t>各部门信访工作。（4）拟定全县有关信访工作的政策、制度、文件，并负责组织实施;负责全县信访系统的法治建设。（5）指导全县信访业务，总结推广信访工作经验，提出改进和加强信访工作的意见和建议。（6）了解并掌握全县信访工作队伍建设情况，提出加强信访队伍建设措施;组织信访干部的培训;指导信访办公自动化和信息化建设。（7）负责信访工作的调研宣传和信息报送等工作。（8）指导信访矛盾纠纷的协调处理，牵头协调处理重点信访</w:t>
      </w:r>
      <w:r>
        <w:rPr>
          <w:rFonts w:hint="eastAsia" w:ascii="宋体" w:hAnsi="宋体" w:eastAsia="宋体" w:cs="宋体"/>
          <w:color w:val="000000"/>
          <w:sz w:val="28"/>
          <w:lang w:eastAsia="zh-CN"/>
        </w:rPr>
        <w:t>矛盾</w:t>
      </w:r>
      <w:r>
        <w:rPr>
          <w:rFonts w:ascii="宋体" w:hAnsi="宋体" w:eastAsia="宋体" w:cs="宋体"/>
          <w:color w:val="000000"/>
          <w:sz w:val="28"/>
        </w:rPr>
        <w:t>纠纷。（9）承办县委、县人民政府交办的其他事项。2、机构设置：中方县信访局为正科级全额拨款行政单位，根据编委核定，我局下设县人民群众来访接待中心、怀化市“12345”市长热线中方中心2个二级事业机构和办公室、调纠室、网络信访室、政策法规室、综合督查室5个内设股室。</w:t>
      </w:r>
    </w:p>
    <w:p w14:paraId="6F755259">
      <w:pPr>
        <w:pStyle w:val="4"/>
        <w:numPr>
          <w:ilvl w:val="0"/>
          <w:numId w:val="2"/>
        </w:numPr>
        <w:pBdr>
          <w:top w:val="none" w:color="auto" w:sz="0" w:space="0"/>
          <w:left w:val="none" w:color="auto" w:sz="0" w:space="0"/>
          <w:bottom w:val="none" w:color="auto" w:sz="0" w:space="0"/>
          <w:right w:val="none" w:color="auto" w:sz="0" w:space="0"/>
        </w:pBdr>
        <w:shd w:val="clear" w:color="auto" w:fill="auto"/>
        <w:spacing w:before="0" w:after="0" w:line="520" w:lineRule="atLeast"/>
        <w:ind w:left="0" w:leftChars="0" w:firstLine="560" w:firstLineChars="200"/>
        <w:jc w:val="both"/>
        <w:rPr>
          <w:rFonts w:hint="eastAsia" w:ascii="宋体" w:hAnsi="宋体" w:eastAsia="宋体" w:cs="宋体"/>
          <w:vanish w:val="0"/>
          <w:sz w:val="24"/>
          <w:lang w:eastAsia="zh-CN"/>
        </w:rPr>
      </w:pPr>
      <w:r>
        <w:rPr>
          <w:rFonts w:ascii="宋体" w:hAnsi="宋体" w:eastAsia="宋体" w:cs="宋体"/>
          <w:color w:val="000000"/>
          <w:sz w:val="28"/>
        </w:rPr>
        <w:t>人员情况：2022年底，我单位共有编制18人，其中：行政编6人，事业编12人。年末实有在职人数22人。</w:t>
      </w:r>
    </w:p>
    <w:p w14:paraId="1E88E02B">
      <w:pPr>
        <w:pStyle w:val="4"/>
        <w:numPr>
          <w:ilvl w:val="0"/>
          <w:numId w:val="2"/>
        </w:numPr>
        <w:pBdr>
          <w:top w:val="none" w:color="auto" w:sz="0" w:space="0"/>
          <w:left w:val="none" w:color="auto" w:sz="0" w:space="0"/>
          <w:bottom w:val="none" w:color="auto" w:sz="0" w:space="0"/>
          <w:right w:val="none" w:color="auto" w:sz="0" w:space="0"/>
        </w:pBdr>
        <w:shd w:val="clear" w:color="auto" w:fill="auto"/>
        <w:spacing w:before="0" w:after="0" w:line="520" w:lineRule="atLeast"/>
        <w:ind w:left="0" w:leftChars="0" w:firstLine="560" w:firstLineChars="200"/>
        <w:jc w:val="both"/>
        <w:rPr>
          <w:rFonts w:ascii="宋体" w:hAnsi="宋体" w:eastAsia="宋体" w:cs="宋体"/>
          <w:color w:val="000000"/>
          <w:sz w:val="28"/>
        </w:rPr>
      </w:pPr>
      <w:r>
        <w:rPr>
          <w:rFonts w:ascii="宋体" w:hAnsi="宋体" w:eastAsia="宋体" w:cs="宋体"/>
          <w:color w:val="000000"/>
          <w:sz w:val="28"/>
        </w:rPr>
        <w:t>部门年度总体工作任务和重点工作任务；1、总体工作任务：群众到县上访（初访、重复访、集体访）总量平稳；到市赴省进京上访总体平稳；来信和网上投诉件的办结及时。2、重点工作任务：我县全国、全省信访工作示范县创建活动。</w:t>
      </w:r>
    </w:p>
    <w:p w14:paraId="576ED8E9">
      <w:pPr>
        <w:pStyle w:val="4"/>
        <w:numPr>
          <w:ilvl w:val="0"/>
          <w:numId w:val="2"/>
        </w:numPr>
        <w:pBdr>
          <w:top w:val="none" w:color="auto" w:sz="0" w:space="0"/>
          <w:left w:val="none" w:color="auto" w:sz="0" w:space="0"/>
          <w:bottom w:val="none" w:color="auto" w:sz="0" w:space="0"/>
          <w:right w:val="none" w:color="auto" w:sz="0" w:space="0"/>
        </w:pBdr>
        <w:shd w:val="clear" w:color="auto" w:fill="auto"/>
        <w:spacing w:before="0" w:after="0" w:line="520" w:lineRule="atLeast"/>
        <w:ind w:left="0" w:leftChars="0" w:firstLine="560" w:firstLineChars="200"/>
        <w:jc w:val="both"/>
        <w:rPr>
          <w:rFonts w:ascii="宋体" w:hAnsi="宋体" w:eastAsia="宋体" w:cs="宋体"/>
          <w:color w:val="000000"/>
          <w:sz w:val="28"/>
        </w:rPr>
      </w:pPr>
      <w:r>
        <w:rPr>
          <w:rFonts w:ascii="宋体" w:hAnsi="宋体" w:eastAsia="宋体" w:cs="宋体"/>
          <w:color w:val="000000"/>
          <w:sz w:val="28"/>
        </w:rPr>
        <w:t>部门年度整体收支情况，包括当年预算收入、预算支出和专项资金管理情况、“三公”经费支出情况以及政府采购情况等。2022年我单位部门整体预算收入313.9万元，预算支出313.9万元。2022年决算收入407.34万元，决算支出407.34万元,其中：基本支出314.86万元（三公”经费支出情况：2022年，“三公”经费预算1.64万元，完成1.33万元）;项目支出92.48</w:t>
      </w:r>
      <w:r>
        <w:rPr>
          <w:rFonts w:hint="eastAsia" w:ascii="宋体" w:hAnsi="宋体" w:eastAsia="宋体" w:cs="宋体"/>
          <w:color w:val="000000"/>
          <w:sz w:val="28"/>
          <w:lang w:eastAsia="zh-CN"/>
        </w:rPr>
        <w:t>万元</w:t>
      </w:r>
      <w:r>
        <w:rPr>
          <w:rFonts w:ascii="宋体" w:hAnsi="宋体" w:eastAsia="宋体" w:cs="宋体"/>
          <w:color w:val="000000"/>
          <w:sz w:val="28"/>
        </w:rPr>
        <w:t>。政府采购3万元。</w:t>
      </w:r>
    </w:p>
    <w:p w14:paraId="72787B3B">
      <w:pPr>
        <w:pStyle w:val="4"/>
        <w:numPr>
          <w:ilvl w:val="0"/>
          <w:numId w:val="2"/>
        </w:numPr>
        <w:pBdr>
          <w:top w:val="none" w:color="auto" w:sz="0" w:space="0"/>
          <w:left w:val="none" w:color="auto" w:sz="0" w:space="0"/>
          <w:bottom w:val="none" w:color="auto" w:sz="0" w:space="0"/>
          <w:right w:val="none" w:color="auto" w:sz="0" w:space="0"/>
        </w:pBdr>
        <w:shd w:val="clear" w:color="auto" w:fill="auto"/>
        <w:spacing w:before="0" w:after="0" w:line="520" w:lineRule="atLeast"/>
        <w:ind w:left="0" w:leftChars="0" w:firstLine="560" w:firstLineChars="200"/>
        <w:jc w:val="both"/>
        <w:rPr>
          <w:rFonts w:ascii="宋体" w:hAnsi="宋体" w:eastAsia="宋体" w:cs="宋体"/>
          <w:color w:val="000000"/>
          <w:sz w:val="28"/>
        </w:rPr>
      </w:pPr>
      <w:r>
        <w:rPr>
          <w:rFonts w:ascii="宋体" w:hAnsi="宋体" w:eastAsia="宋体" w:cs="宋体"/>
          <w:color w:val="000000"/>
          <w:sz w:val="28"/>
        </w:rPr>
        <w:t>部门年度整体工作目标任务完成情况，包括：财政资金支出达到的效果情况、社会满意度认可情况等。1、到县上访总量平稳。2022年我县在湖南省信访信息系统内登记的信访总量为317件。其中来访69批次95人次，同比减少5.33%和9.35%，其中：初访48批69人次，同比持平和减少4.17%；重复访批21批26人次，同比减少14.81%和20.0%；集体访1批5人次，同比上年持平。2、到市赴省进京上访总体平稳。2022年我县到市赴省进京上访，在信访信息系统内登记来访为46批72人次，同比减少36.99%和31.4%。其中：到市上访29批50人次，同比减少25.64%和9.09%；赴省上访16批21人次，同比减少48.39%和55.32%；进京访1批1人次，同比减少66.6%。3、2022年，收到群众来信69件，网上信访投诉153件、其他26件。信、访、网全口径及时受理率100%，按期答复率100%，一次性化解率96.5%，重复信访件数同比下降22.2%，群众参评满意率100%。4、2022年，我县无赴省进京集访、无到县级以上超过50人的集访、无因信访问题到北京重点地区、敏感部位或重大活动举办地滋事扰序的人员、无大规模聚集或个人极端行为、无因信访问题引发的负面炒作。5、2022年集中治理重复信访、化解信访积案专项工作，中央联席办交办的</w:t>
      </w:r>
      <w:r>
        <w:rPr>
          <w:rFonts w:hint="eastAsia" w:ascii="宋体" w:hAnsi="宋体" w:eastAsia="宋体" w:cs="宋体"/>
          <w:color w:val="000000"/>
          <w:sz w:val="28"/>
          <w:lang w:eastAsia="zh-CN"/>
        </w:rPr>
        <w:t>第一，</w:t>
      </w:r>
      <w:r>
        <w:rPr>
          <w:rFonts w:ascii="宋体" w:hAnsi="宋体" w:eastAsia="宋体" w:cs="宋体"/>
          <w:color w:val="000000"/>
          <w:sz w:val="28"/>
        </w:rPr>
        <w:t>第二批信访积案共39件，已全部化解，化解率100%，无倒流件。中央联席办和公安部交办的24名越级涉访重点人员，涉我县的2人已全部化解。</w:t>
      </w:r>
    </w:p>
    <w:p w14:paraId="406E9EAC">
      <w:pPr>
        <w:pStyle w:val="4"/>
        <w:numPr>
          <w:ilvl w:val="0"/>
          <w:numId w:val="1"/>
        </w:numPr>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outlineLvl w:val="1"/>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部门整体评价工作开展</w:t>
      </w:r>
      <w:r>
        <w:rPr>
          <w:rFonts w:hint="eastAsia" w:ascii="黑体" w:hAnsi="黑体" w:eastAsia="黑体" w:cs="黑体"/>
          <w:color w:val="000000"/>
          <w:sz w:val="28"/>
          <w:szCs w:val="28"/>
          <w:lang w:eastAsia="zh-CN"/>
        </w:rPr>
        <w:t>：</w:t>
      </w:r>
    </w:p>
    <w:p w14:paraId="2A3B1A32">
      <w:pPr>
        <w:pStyle w:val="4"/>
        <w:numPr>
          <w:ilvl w:val="0"/>
          <w:numId w:val="3"/>
        </w:numPr>
        <w:pBdr>
          <w:top w:val="none" w:color="auto" w:sz="0" w:space="0"/>
          <w:left w:val="none" w:color="auto" w:sz="0" w:space="0"/>
          <w:bottom w:val="none" w:color="auto" w:sz="0" w:space="0"/>
          <w:right w:val="none" w:color="auto" w:sz="0" w:space="0"/>
        </w:pBdr>
        <w:shd w:val="clear" w:color="auto" w:fill="auto"/>
        <w:spacing w:before="0" w:after="0" w:line="520" w:lineRule="atLeast"/>
        <w:ind w:firstLine="560" w:firstLineChars="200"/>
        <w:jc w:val="both"/>
        <w:rPr>
          <w:rFonts w:ascii="宋体" w:hAnsi="宋体" w:eastAsia="宋体" w:cs="宋体"/>
          <w:color w:val="000000"/>
          <w:sz w:val="28"/>
        </w:rPr>
      </w:pPr>
      <w:r>
        <w:rPr>
          <w:rFonts w:ascii="宋体" w:hAnsi="宋体" w:eastAsia="宋体" w:cs="宋体"/>
          <w:color w:val="000000"/>
          <w:sz w:val="28"/>
        </w:rPr>
        <w:t>绩效评价实施过程情况，包括评价方法、工作程序等；1、成立工作小组。成立以财务机构牵头、其他业务股室分头负责的绩效自评工作领导小组，主要负责组织相关人员制定绩效自评工作方案、下达绩效评价通知书、审核和报送绩效自评报告。2、单位自查。部门整体支出需填报部门整体支出绩效评价基础数据表、整体支出绩效</w:t>
      </w:r>
      <w:r>
        <w:rPr>
          <w:rFonts w:hint="eastAsia" w:ascii="宋体" w:hAnsi="宋体" w:eastAsia="宋体" w:cs="宋体"/>
          <w:color w:val="000000"/>
          <w:sz w:val="28"/>
          <w:lang w:eastAsia="zh-CN"/>
        </w:rPr>
        <w:t>评价</w:t>
      </w:r>
      <w:r>
        <w:rPr>
          <w:rFonts w:ascii="宋体" w:hAnsi="宋体" w:eastAsia="宋体" w:cs="宋体"/>
          <w:color w:val="000000"/>
          <w:sz w:val="28"/>
        </w:rPr>
        <w:t>指标评分表，撰写本单位整体支出绩效评价报告。项目支出先由资金使用单位填写《项目支出</w:t>
      </w:r>
      <w:r>
        <w:rPr>
          <w:rFonts w:hint="eastAsia" w:ascii="宋体" w:hAnsi="宋体" w:eastAsia="宋体" w:cs="宋体"/>
          <w:color w:val="000000"/>
          <w:sz w:val="28"/>
          <w:lang w:eastAsia="zh-CN"/>
        </w:rPr>
        <w:t>绩效</w:t>
      </w:r>
      <w:r>
        <w:rPr>
          <w:rFonts w:ascii="宋体" w:hAnsi="宋体" w:eastAsia="宋体" w:cs="宋体"/>
          <w:color w:val="000000"/>
          <w:sz w:val="28"/>
        </w:rPr>
        <w:t>自评表》进行自评，然后再运用科学、合理的绩效评价指</w:t>
      </w:r>
      <w:r>
        <w:rPr>
          <w:rFonts w:hint="eastAsia" w:ascii="宋体" w:hAnsi="宋体" w:eastAsia="宋体" w:cs="宋体"/>
          <w:color w:val="000000"/>
          <w:sz w:val="28"/>
          <w:lang w:eastAsia="zh-CN"/>
        </w:rPr>
        <w:t>标评</w:t>
      </w:r>
      <w:r>
        <w:rPr>
          <w:rFonts w:ascii="宋体" w:hAnsi="宋体" w:eastAsia="宋体" w:cs="宋体"/>
          <w:color w:val="000000"/>
          <w:sz w:val="28"/>
        </w:rPr>
        <w:t>价标准和方法，对本部门的项目组织开展绩效评价，撰写项目出绩效评价报告。</w:t>
      </w:r>
      <w:r>
        <w:rPr>
          <w:rFonts w:hint="eastAsia" w:ascii="宋体" w:hAnsi="宋体" w:eastAsia="宋体" w:cs="宋体"/>
          <w:color w:val="000000"/>
          <w:sz w:val="28"/>
          <w:lang w:val="en-US" w:eastAsia="zh-CN"/>
        </w:rPr>
        <w:t xml:space="preserve">    </w:t>
      </w:r>
    </w:p>
    <w:p w14:paraId="072F12A4">
      <w:pPr>
        <w:pStyle w:val="4"/>
        <w:numPr>
          <w:ilvl w:val="0"/>
          <w:numId w:val="0"/>
        </w:numPr>
        <w:pBdr>
          <w:top w:val="none" w:color="auto" w:sz="0" w:space="0"/>
          <w:left w:val="none" w:color="auto" w:sz="0" w:space="0"/>
          <w:bottom w:val="none" w:color="auto" w:sz="0" w:space="0"/>
          <w:right w:val="none" w:color="auto" w:sz="0" w:space="0"/>
        </w:pBdr>
        <w:shd w:val="clear" w:color="auto" w:fill="auto"/>
        <w:spacing w:before="0" w:after="0" w:line="520" w:lineRule="atLeast"/>
        <w:ind w:firstLine="560" w:firstLineChars="200"/>
        <w:jc w:val="both"/>
        <w:rPr>
          <w:rFonts w:ascii="宋体" w:hAnsi="宋体" w:eastAsia="宋体" w:cs="宋体"/>
          <w:color w:val="000000"/>
          <w:sz w:val="28"/>
        </w:rPr>
      </w:pPr>
      <w:r>
        <w:rPr>
          <w:rFonts w:ascii="宋体" w:hAnsi="宋体" w:eastAsia="宋体" w:cs="宋体"/>
          <w:color w:val="000000"/>
          <w:sz w:val="28"/>
        </w:rPr>
        <w:t>（二）绩效评价整体结果概况，如：得分情况（或档次）、预算编制和执行情况、节能降耗情况、三公经费控制情况，项目支出管理规范和绩效情况等。1、2022年本局绩效评价整体结果为：优秀2、预算编制和执行情况：2022年本部门预算收入合计313.9万元，预算支出313.9万元。实际收入407.34万元，支出407.34万元。3、2022年“三公”经费预算数为1.64万元（其中，公务接待费0.37万元，公务用车购置及运行费1.27万元），实际完成1.33万元（其中：公务接待费0.07万元，公务用车购置及运行费1.26万元）。4、项目支出管理及绩效情况：按照项目资金的使用内容和用途，我局的专项资金均为业务工作专项，2022年预算安排项目支出50万元（“县长热线”员工2022年度工资25万元、信访专项经费支出20万元（包含驻京维稳劝返工作经费15万元、重大活动期间劝返经费5万元）、人民群众来访接待中心专项资金5万元，），实际完成支出92.48万元，其中：（信访专项：驻京维稳劝返工作经费25万、重大活动期间经费64.94万；人民群众来访接待中心专项资金2.54万元），项目支出总体与年初预算对比增加42.48万元，主要体现在驻京维稳劝返工作经费及人民群众来访接待中心专项的增加，其原因主要是2022年特防期多（包括全国冬残奥会；全国、省、市两会、中国共产党第二十次全国代表大会、二十国集团领导人第十七次峰会等）工作经费较大，并且未在年初预算中反映。</w:t>
      </w:r>
    </w:p>
    <w:p w14:paraId="6B0B21DE">
      <w:pPr>
        <w:pStyle w:val="4"/>
        <w:numPr>
          <w:ilvl w:val="0"/>
          <w:numId w:val="1"/>
        </w:numPr>
        <w:pBdr>
          <w:top w:val="none" w:color="auto" w:sz="0" w:space="0"/>
          <w:left w:val="none" w:color="auto" w:sz="0" w:space="0"/>
          <w:bottom w:val="none" w:color="auto" w:sz="0" w:space="0"/>
          <w:right w:val="none" w:color="auto" w:sz="0" w:space="0"/>
        </w:pBdr>
        <w:shd w:val="clear" w:color="auto" w:fill="auto"/>
        <w:spacing w:before="0" w:after="0" w:line="520" w:lineRule="atLeast"/>
        <w:ind w:left="0" w:leftChars="0" w:firstLine="627" w:firstLineChars="0"/>
        <w:jc w:val="both"/>
        <w:outlineLvl w:val="1"/>
        <w:rPr>
          <w:rFonts w:hint="eastAsia" w:ascii="黑体" w:hAnsi="黑体" w:eastAsia="黑体" w:cs="黑体"/>
          <w:vanish w:val="0"/>
          <w:sz w:val="28"/>
          <w:szCs w:val="28"/>
          <w:lang w:eastAsia="zh-CN"/>
        </w:rPr>
      </w:pPr>
      <w:r>
        <w:rPr>
          <w:rFonts w:hint="eastAsia" w:ascii="黑体" w:hAnsi="黑体" w:eastAsia="黑体" w:cs="黑体"/>
          <w:color w:val="000000"/>
          <w:sz w:val="28"/>
          <w:szCs w:val="28"/>
        </w:rPr>
        <w:t>部门整体支出绩效评价分析</w:t>
      </w:r>
      <w:r>
        <w:rPr>
          <w:rFonts w:hint="eastAsia" w:ascii="黑体" w:hAnsi="黑体" w:eastAsia="黑体" w:cs="黑体"/>
          <w:color w:val="000000"/>
          <w:sz w:val="28"/>
          <w:szCs w:val="28"/>
          <w:lang w:eastAsia="zh-CN"/>
        </w:rPr>
        <w:t>：</w:t>
      </w:r>
    </w:p>
    <w:p w14:paraId="1E379973">
      <w:pPr>
        <w:pStyle w:val="4"/>
        <w:numPr>
          <w:ilvl w:val="0"/>
          <w:numId w:val="4"/>
        </w:numPr>
        <w:pBdr>
          <w:top w:val="none" w:color="auto" w:sz="0" w:space="0"/>
          <w:left w:val="none" w:color="auto" w:sz="0" w:space="0"/>
          <w:bottom w:val="none" w:color="auto" w:sz="0" w:space="0"/>
          <w:right w:val="none" w:color="auto" w:sz="0" w:space="0"/>
        </w:pBdr>
        <w:shd w:val="clear" w:color="auto" w:fill="auto"/>
        <w:spacing w:before="0" w:after="0" w:line="520" w:lineRule="atLeast"/>
        <w:ind w:firstLine="560" w:firstLineChars="200"/>
        <w:jc w:val="both"/>
        <w:rPr>
          <w:rFonts w:ascii="宋体" w:hAnsi="宋体" w:eastAsia="宋体" w:cs="宋体"/>
          <w:color w:val="000000"/>
          <w:sz w:val="28"/>
        </w:rPr>
      </w:pPr>
      <w:r>
        <w:rPr>
          <w:rFonts w:ascii="宋体" w:hAnsi="宋体" w:eastAsia="宋体" w:cs="宋体"/>
          <w:color w:val="000000"/>
          <w:sz w:val="28"/>
        </w:rPr>
        <w:t>投入情况分析，包括预算编制、目标设定分析等；1、预算编制情况：2022年底，我单位共有编制18人，其中：行政编6人，事业编12人。年末实有在职人数22人。2、目标设定分析：部门的职责设定符合“三定”方案中所赋予的职责和年度承担的重点工作；部门的活动在职责范围之内并符合部门中长期规划且设置了明确、合理的目标。</w:t>
      </w:r>
    </w:p>
    <w:p w14:paraId="6146EE73">
      <w:pPr>
        <w:pStyle w:val="4"/>
        <w:numPr>
          <w:ilvl w:val="0"/>
          <w:numId w:val="4"/>
        </w:numPr>
        <w:pBdr>
          <w:top w:val="none" w:color="auto" w:sz="0" w:space="0"/>
          <w:left w:val="none" w:color="auto" w:sz="0" w:space="0"/>
          <w:bottom w:val="none" w:color="auto" w:sz="0" w:space="0"/>
          <w:right w:val="none" w:color="auto" w:sz="0" w:space="0"/>
        </w:pBdr>
        <w:shd w:val="clear" w:color="auto" w:fill="auto"/>
        <w:spacing w:before="0" w:after="0" w:line="520" w:lineRule="atLeast"/>
        <w:ind w:left="0" w:leftChars="0" w:firstLine="560" w:firstLineChars="200"/>
        <w:jc w:val="both"/>
        <w:rPr>
          <w:rFonts w:ascii="宋体" w:hAnsi="宋体" w:eastAsia="宋体" w:cs="宋体"/>
          <w:color w:val="000000"/>
          <w:sz w:val="28"/>
        </w:rPr>
      </w:pPr>
      <w:r>
        <w:rPr>
          <w:rFonts w:ascii="宋体" w:hAnsi="宋体" w:eastAsia="宋体" w:cs="宋体"/>
          <w:color w:val="000000"/>
          <w:sz w:val="28"/>
        </w:rPr>
        <w:t>执行管理情况分析，包括资金执行进度、调整情况、成本控制情况分析及项目完成进度情况等。2022年本部门预算收入合计313.9万元，预算支出313.9万元；决算收入407.34万元，决算支出407.34万元。决算收入、支出均高于预算93.44万元。</w:t>
      </w:r>
    </w:p>
    <w:p w14:paraId="1B718793">
      <w:pPr>
        <w:pStyle w:val="4"/>
        <w:numPr>
          <w:ilvl w:val="0"/>
          <w:numId w:val="4"/>
        </w:numPr>
        <w:pBdr>
          <w:top w:val="none" w:color="auto" w:sz="0" w:space="0"/>
          <w:left w:val="none" w:color="auto" w:sz="0" w:space="0"/>
          <w:bottom w:val="none" w:color="auto" w:sz="0" w:space="0"/>
          <w:right w:val="none" w:color="auto" w:sz="0" w:space="0"/>
        </w:pBdr>
        <w:shd w:val="clear" w:color="auto" w:fill="auto"/>
        <w:spacing w:before="0" w:after="0" w:line="520" w:lineRule="atLeast"/>
        <w:ind w:left="0" w:leftChars="0" w:firstLine="560" w:firstLineChars="200"/>
        <w:jc w:val="both"/>
        <w:rPr>
          <w:rFonts w:ascii="宋体" w:hAnsi="宋体" w:eastAsia="宋体" w:cs="宋体"/>
          <w:color w:val="000000"/>
          <w:sz w:val="28"/>
        </w:rPr>
      </w:pPr>
      <w:r>
        <w:rPr>
          <w:rFonts w:ascii="宋体" w:hAnsi="宋体" w:eastAsia="宋体" w:cs="宋体"/>
          <w:color w:val="000000"/>
          <w:sz w:val="28"/>
        </w:rPr>
        <w:t>支出绩效情况分析，包括基本支出和项目支出的运行效果情况等。2022年本部门</w:t>
      </w:r>
      <w:r>
        <w:rPr>
          <w:rFonts w:hint="eastAsia" w:ascii="宋体" w:hAnsi="宋体" w:eastAsia="宋体" w:cs="宋体"/>
          <w:color w:val="000000"/>
          <w:sz w:val="28"/>
          <w:lang w:eastAsia="zh-CN"/>
        </w:rPr>
        <w:t>预算支出</w:t>
      </w:r>
      <w:r>
        <w:rPr>
          <w:rFonts w:ascii="宋体" w:hAnsi="宋体" w:eastAsia="宋体" w:cs="宋体"/>
          <w:color w:val="000000"/>
          <w:sz w:val="28"/>
        </w:rPr>
        <w:t>313.9万元，实际407.34万元。1、基本支出314.86万元，包括用于在职人员基本工资、津贴补贴及其他工资福利支出，对个人和家庭的补助等；公用支出42.61万元，为保障单位正常运转、完成日常工作任务而发生的各项支出，包括工会经费和职工福利费、一般商品和服务支出、公务交通补贴等经费的支出。基本支出高于预算50.96万元，主要是体现在人员支出，人员调整及工资调整。2、项目支出92.48万元，按照项目资金的使用内容和用途，我局的专项资金均为业务工作专项，其中：（信访专项：驻京维稳劝返工作经费25万、重大活动期间经费64.94万；人民群众来访接待中心专项资金2.54万元），项目支出总体与年初预算对比增加42.48万元，主要体现在驻京维稳劝返工作经费及人民群众来访接待中心专项的增加，其原因主要是2022年特防期多（包括全国冬残奥会；全国、省、市两会、中国共产党第二十次全国代表大会、二十国集团领导人第十七次峰会等）工作经费较大，并且未在年初预算中反映。</w:t>
      </w:r>
    </w:p>
    <w:p w14:paraId="6DE08B10">
      <w:pPr>
        <w:pStyle w:val="4"/>
        <w:numPr>
          <w:ilvl w:val="0"/>
          <w:numId w:val="1"/>
        </w:numPr>
        <w:pBdr>
          <w:top w:val="none" w:color="auto" w:sz="0" w:space="0"/>
          <w:left w:val="none" w:color="auto" w:sz="0" w:space="0"/>
          <w:bottom w:val="none" w:color="auto" w:sz="0" w:space="0"/>
          <w:right w:val="none" w:color="auto" w:sz="0" w:space="0"/>
        </w:pBdr>
        <w:shd w:val="clear" w:color="auto" w:fill="auto"/>
        <w:spacing w:before="0" w:after="0" w:line="520" w:lineRule="atLeast"/>
        <w:ind w:left="0" w:leftChars="0" w:firstLine="627" w:firstLineChars="0"/>
        <w:jc w:val="both"/>
        <w:outlineLvl w:val="1"/>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存在的问题</w:t>
      </w:r>
      <w:r>
        <w:rPr>
          <w:rFonts w:hint="eastAsia" w:ascii="黑体" w:hAnsi="黑体" w:eastAsia="黑体" w:cs="黑体"/>
          <w:color w:val="000000"/>
          <w:sz w:val="28"/>
          <w:szCs w:val="28"/>
          <w:lang w:eastAsia="zh-CN"/>
        </w:rPr>
        <w:t>：</w:t>
      </w:r>
    </w:p>
    <w:p w14:paraId="68ADE509">
      <w:pPr>
        <w:pStyle w:val="4"/>
        <w:numPr>
          <w:ilvl w:val="0"/>
          <w:numId w:val="0"/>
        </w:numPr>
        <w:pBdr>
          <w:top w:val="none" w:color="auto" w:sz="0" w:space="0"/>
          <w:left w:val="none" w:color="auto" w:sz="0" w:space="0"/>
          <w:bottom w:val="none" w:color="auto" w:sz="0" w:space="0"/>
          <w:right w:val="none" w:color="auto" w:sz="0" w:space="0"/>
        </w:pBdr>
        <w:shd w:val="clear" w:color="auto" w:fill="auto"/>
        <w:spacing w:before="0" w:after="0" w:line="520" w:lineRule="atLeast"/>
        <w:ind w:firstLine="560" w:firstLineChars="200"/>
        <w:jc w:val="both"/>
        <w:rPr>
          <w:rFonts w:ascii="宋体" w:hAnsi="宋体" w:eastAsia="宋体" w:cs="宋体"/>
          <w:color w:val="000000"/>
          <w:sz w:val="28"/>
        </w:rPr>
      </w:pPr>
      <w:r>
        <w:rPr>
          <w:rFonts w:ascii="宋体" w:hAnsi="宋体" w:eastAsia="宋体" w:cs="宋体"/>
          <w:color w:val="000000"/>
          <w:sz w:val="28"/>
        </w:rPr>
        <w:t>我单位年初预算编制中，只编制了本单位的年度预算，而部门决算中包含了年初预算数，年度预算调整数，因此，预决算的对比口径差异较大，造成了预算执行率的对比可行性和可用性不高。</w:t>
      </w:r>
    </w:p>
    <w:p w14:paraId="5D0285CA">
      <w:pPr>
        <w:pStyle w:val="4"/>
        <w:numPr>
          <w:ilvl w:val="0"/>
          <w:numId w:val="1"/>
        </w:numPr>
        <w:pBdr>
          <w:top w:val="none" w:color="auto" w:sz="0" w:space="0"/>
          <w:left w:val="none" w:color="auto" w:sz="0" w:space="0"/>
          <w:bottom w:val="none" w:color="auto" w:sz="0" w:space="0"/>
          <w:right w:val="none" w:color="auto" w:sz="0" w:space="0"/>
        </w:pBdr>
        <w:shd w:val="clear" w:color="auto" w:fill="auto"/>
        <w:spacing w:before="0" w:after="0" w:line="520" w:lineRule="atLeast"/>
        <w:ind w:left="0" w:leftChars="0" w:firstLine="627" w:firstLineChars="0"/>
        <w:jc w:val="both"/>
        <w:outlineLvl w:val="1"/>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整改措施或建议</w:t>
      </w:r>
      <w:r>
        <w:rPr>
          <w:rFonts w:hint="eastAsia" w:ascii="黑体" w:hAnsi="黑体" w:eastAsia="黑体" w:cs="黑体"/>
          <w:color w:val="000000"/>
          <w:sz w:val="28"/>
          <w:szCs w:val="28"/>
          <w:lang w:eastAsia="zh-CN"/>
        </w:rPr>
        <w:t>：</w:t>
      </w:r>
    </w:p>
    <w:p w14:paraId="3311C45D">
      <w:pPr>
        <w:pStyle w:val="4"/>
        <w:numPr>
          <w:ilvl w:val="0"/>
          <w:numId w:val="0"/>
        </w:numPr>
        <w:pBdr>
          <w:top w:val="none" w:color="auto" w:sz="0" w:space="0"/>
          <w:left w:val="none" w:color="auto" w:sz="0" w:space="0"/>
          <w:bottom w:val="none" w:color="auto" w:sz="0" w:space="0"/>
          <w:right w:val="none" w:color="auto" w:sz="0" w:space="0"/>
        </w:pBdr>
        <w:shd w:val="clear" w:color="auto" w:fill="auto"/>
        <w:spacing w:before="0" w:after="0" w:line="520" w:lineRule="atLeast"/>
        <w:ind w:firstLine="560" w:firstLineChars="200"/>
        <w:jc w:val="both"/>
        <w:rPr>
          <w:rFonts w:ascii="宋体" w:hAnsi="宋体" w:eastAsia="宋体" w:cs="宋体"/>
          <w:color w:val="000000"/>
          <w:sz w:val="28"/>
        </w:rPr>
      </w:pPr>
      <w:r>
        <w:rPr>
          <w:rFonts w:ascii="宋体" w:hAnsi="宋体" w:eastAsia="宋体" w:cs="宋体"/>
          <w:color w:val="000000"/>
          <w:sz w:val="28"/>
        </w:rPr>
        <w:t>科学合理编制预算，严格执行预算：我单位将不断加强预算编制的前瞻性，按照新《预算法》及其实施条例的相关规定，</w:t>
      </w:r>
      <w:r>
        <w:rPr>
          <w:rFonts w:hint="eastAsia" w:ascii="宋体" w:hAnsi="宋体" w:eastAsia="宋体" w:cs="宋体"/>
          <w:color w:val="000000"/>
          <w:sz w:val="28"/>
          <w:lang w:eastAsia="zh-CN"/>
        </w:rPr>
        <w:t>按照</w:t>
      </w:r>
      <w:r>
        <w:rPr>
          <w:rFonts w:ascii="宋体" w:hAnsi="宋体" w:eastAsia="宋体" w:cs="宋体"/>
          <w:color w:val="000000"/>
          <w:sz w:val="28"/>
        </w:rPr>
        <w:t>政策规定及本部门的发展规划，结合上一年度预算执行情况和本年度预算收支变化因素，科学、合理地编制本</w:t>
      </w:r>
      <w:r>
        <w:rPr>
          <w:rFonts w:hint="eastAsia" w:ascii="宋体" w:hAnsi="宋体" w:eastAsia="宋体" w:cs="宋体"/>
          <w:color w:val="000000"/>
          <w:sz w:val="28"/>
          <w:lang w:eastAsia="zh-CN"/>
        </w:rPr>
        <w:t>年度</w:t>
      </w:r>
      <w:r>
        <w:rPr>
          <w:rFonts w:ascii="宋体" w:hAnsi="宋体" w:eastAsia="宋体" w:cs="宋体"/>
          <w:color w:val="000000"/>
          <w:sz w:val="28"/>
        </w:rPr>
        <w:t>预算草案，避免预算支出与实际执行出现较大偏差的情况。</w:t>
      </w:r>
    </w:p>
    <w:p w14:paraId="3FD6B4C2">
      <w:pPr>
        <w:pStyle w:val="4"/>
        <w:numPr>
          <w:ilvl w:val="0"/>
          <w:numId w:val="1"/>
        </w:numPr>
        <w:pBdr>
          <w:top w:val="none" w:color="auto" w:sz="0" w:space="0"/>
          <w:left w:val="none" w:color="auto" w:sz="0" w:space="0"/>
          <w:bottom w:val="none" w:color="auto" w:sz="0" w:space="0"/>
          <w:right w:val="none" w:color="auto" w:sz="0" w:space="0"/>
        </w:pBdr>
        <w:shd w:val="clear" w:color="auto" w:fill="auto"/>
        <w:spacing w:before="0" w:after="0" w:line="520" w:lineRule="atLeast"/>
        <w:ind w:left="0" w:leftChars="0" w:firstLine="627" w:firstLineChars="0"/>
        <w:jc w:val="both"/>
        <w:outlineLvl w:val="1"/>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其他需要说明的问题</w:t>
      </w:r>
      <w:r>
        <w:rPr>
          <w:rFonts w:hint="eastAsia" w:ascii="黑体" w:hAnsi="黑体" w:eastAsia="黑体" w:cs="黑体"/>
          <w:color w:val="000000"/>
          <w:sz w:val="28"/>
          <w:szCs w:val="28"/>
          <w:lang w:eastAsia="zh-CN"/>
        </w:rPr>
        <w:t>：</w:t>
      </w:r>
    </w:p>
    <w:p w14:paraId="1C6901A4">
      <w:pPr>
        <w:pStyle w:val="4"/>
        <w:numPr>
          <w:ilvl w:val="0"/>
          <w:numId w:val="0"/>
        </w:numPr>
        <w:pBdr>
          <w:top w:val="none" w:color="auto" w:sz="0" w:space="0"/>
          <w:left w:val="none" w:color="auto" w:sz="0" w:space="0"/>
          <w:bottom w:val="none" w:color="auto" w:sz="0" w:space="0"/>
          <w:right w:val="none" w:color="auto" w:sz="0" w:space="0"/>
        </w:pBdr>
        <w:shd w:val="clear" w:color="auto" w:fill="auto"/>
        <w:spacing w:before="0" w:after="0" w:line="520" w:lineRule="atLeast"/>
        <w:ind w:left="627" w:leftChars="0"/>
        <w:jc w:val="both"/>
        <w:rPr>
          <w:rFonts w:hint="eastAsia" w:ascii="宋体" w:hAnsi="宋体" w:eastAsia="宋体" w:cs="宋体"/>
          <w:vanish w:val="0"/>
          <w:sz w:val="24"/>
          <w:lang w:eastAsia="zh-CN"/>
        </w:rPr>
      </w:pPr>
      <w:r>
        <w:rPr>
          <w:rFonts w:ascii="宋体" w:hAnsi="宋体" w:eastAsia="宋体" w:cs="宋体"/>
          <w:color w:val="000000"/>
          <w:sz w:val="28"/>
        </w:rPr>
        <w:t>无</w:t>
      </w:r>
    </w:p>
    <w:p w14:paraId="3E860BA4">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p>
    <w:p w14:paraId="045A600D">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p>
    <w:p w14:paraId="35701C5F">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p>
    <w:p w14:paraId="5A3D40B5">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p>
    <w:p w14:paraId="4746B98A">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p>
    <w:p w14:paraId="27D9C474">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p>
    <w:p w14:paraId="1CC33425">
      <w:pPr>
        <w:pStyle w:val="4"/>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p>
    <w:sectPr>
      <w:pgSz w:w="11907" w:h="16839"/>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4CA78"/>
    <w:multiLevelType w:val="singleLevel"/>
    <w:tmpl w:val="8654CA78"/>
    <w:lvl w:ilvl="0" w:tentative="0">
      <w:start w:val="1"/>
      <w:numFmt w:val="chineseCounting"/>
      <w:suff w:val="nothing"/>
      <w:lvlText w:val="%1、"/>
      <w:lvlJc w:val="left"/>
      <w:rPr>
        <w:rFonts w:hint="eastAsia"/>
      </w:rPr>
    </w:lvl>
  </w:abstractNum>
  <w:abstractNum w:abstractNumId="1">
    <w:nsid w:val="B61786E1"/>
    <w:multiLevelType w:val="singleLevel"/>
    <w:tmpl w:val="B61786E1"/>
    <w:lvl w:ilvl="0" w:tentative="0">
      <w:start w:val="1"/>
      <w:numFmt w:val="chineseCounting"/>
      <w:suff w:val="nothing"/>
      <w:lvlText w:val="（%1）"/>
      <w:lvlJc w:val="left"/>
      <w:rPr>
        <w:rFonts w:hint="eastAsia"/>
      </w:rPr>
    </w:lvl>
  </w:abstractNum>
  <w:abstractNum w:abstractNumId="2">
    <w:nsid w:val="C5943861"/>
    <w:multiLevelType w:val="singleLevel"/>
    <w:tmpl w:val="C5943861"/>
    <w:lvl w:ilvl="0" w:tentative="0">
      <w:start w:val="1"/>
      <w:numFmt w:val="chineseCounting"/>
      <w:suff w:val="nothing"/>
      <w:lvlText w:val="（%1）"/>
      <w:lvlJc w:val="left"/>
      <w:rPr>
        <w:rFonts w:hint="eastAsia"/>
      </w:rPr>
    </w:lvl>
  </w:abstractNum>
  <w:abstractNum w:abstractNumId="3">
    <w:nsid w:val="012F23A0"/>
    <w:multiLevelType w:val="singleLevel"/>
    <w:tmpl w:val="012F23A0"/>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NotTrackMoves/>
  <w:documentProtection w:edit="trackedChanges" w:enforcement="0"/>
  <w:defaultTabStop w:val="720"/>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5"/>
  </w:compat>
  <w:docVars>
    <w:docVar w:name="commondata" w:val="eyJoZGlkIjoiZThlYzAyNmZlMDBlN2NiNTkwMmMyOTAzOWYxMjc5NzAifQ=="/>
  </w:docVars>
  <w:rsids>
    <w:rsidRoot w:val="00000000"/>
    <w:rsid w:val="0DC403B9"/>
    <w:rsid w:val="15093CFC"/>
    <w:rsid w:val="1C7A104E"/>
    <w:rsid w:val="20E9518E"/>
    <w:rsid w:val="215350E0"/>
    <w:rsid w:val="21F5370E"/>
    <w:rsid w:val="222F1250"/>
    <w:rsid w:val="2BC34E47"/>
    <w:rsid w:val="314F7F64"/>
    <w:rsid w:val="6EDE0EE6"/>
    <w:rsid w:val="766C03C4"/>
    <w:rsid w:val="7A2612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auto"/>
    </w:pPr>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hd w:val="clear" w:color="auto" w:fill="auto"/>
    </w:pPr>
    <w:rPr>
      <w:sz w:val="24"/>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8002</Words>
  <Characters>8803</Characters>
  <TotalTime>6</TotalTime>
  <ScaleCrop>false</ScaleCrop>
  <LinksUpToDate>false</LinksUpToDate>
  <CharactersWithSpaces>8807</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2023-10-16T19:40:00Z</dcterms:created>
  <dc:creator>戴卓杰</dc:creator>
  <cp:lastModifiedBy>赵奕雯</cp:lastModifiedBy>
  <dcterms:modified xsi:type="dcterms:W3CDTF">2024-09-07T01:47:48Z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0127B752C9A64A098FC708760C4FB75A_13</vt:lpwstr>
  </property>
</Properties>
</file>