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972A2">
      <w:pPr>
        <w:pStyle w:val="11"/>
        <w:spacing w:after="60" w:line="590" w:lineRule="exact"/>
        <w:ind w:left="0" w:firstLine="0"/>
        <w:rPr>
          <w:rFonts w:hint="default" w:ascii="黑体" w:hAnsi="黑体" w:eastAsia="黑体"/>
          <w:color w:val="auto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lang w:val="en-US" w:eastAsia="zh-CN"/>
        </w:rPr>
        <w:t>附件1</w:t>
      </w:r>
    </w:p>
    <w:p w14:paraId="34B92129">
      <w:pPr>
        <w:pStyle w:val="11"/>
        <w:spacing w:after="60" w:line="590" w:lineRule="exact"/>
        <w:ind w:left="0" w:firstLine="0"/>
        <w:jc w:val="center"/>
        <w:rPr>
          <w:rFonts w:hint="eastAsia" w:ascii="方正小标宋简体" w:hAnsi="Times New Roman" w:eastAsia="方正小标宋简体" w:cs="Times New Roman"/>
          <w:bCs/>
          <w:color w:val="auto"/>
          <w:sz w:val="28"/>
          <w:szCs w:val="28"/>
        </w:rPr>
      </w:pPr>
      <w:r>
        <w:rPr>
          <w:rFonts w:hint="eastAsia" w:ascii="方正小标宋简体" w:hAnsi="Times New Roman" w:eastAsia="方正小标宋简体" w:cs="Times New Roman"/>
          <w:bCs/>
          <w:color w:val="auto"/>
          <w:sz w:val="44"/>
          <w:szCs w:val="28"/>
        </w:rPr>
        <w:t>绩效目标自评表</w:t>
      </w:r>
    </w:p>
    <w:p w14:paraId="083E4024">
      <w:pPr>
        <w:pStyle w:val="12"/>
        <w:spacing w:after="0" w:line="294" w:lineRule="exact"/>
        <w:jc w:val="center"/>
        <w:rPr>
          <w:rFonts w:hint="eastAsia" w:eastAsia="宋体" w:cs="Times New Roman"/>
          <w:color w:val="auto"/>
          <w:sz w:val="32"/>
          <w:szCs w:val="28"/>
          <w:lang w:eastAsia="zh-CN"/>
        </w:rPr>
      </w:pPr>
      <w:r>
        <w:rPr>
          <w:rFonts w:eastAsia="宋体" w:cs="Times New Roman"/>
          <w:color w:val="auto"/>
          <w:sz w:val="32"/>
          <w:szCs w:val="28"/>
          <w:lang w:val="en-US" w:eastAsia="zh-CN"/>
        </w:rPr>
        <w:t>（202</w:t>
      </w:r>
      <w:r>
        <w:rPr>
          <w:rFonts w:hint="eastAsia" w:eastAsia="宋体" w:cs="Times New Roman"/>
          <w:color w:val="auto"/>
          <w:sz w:val="32"/>
          <w:szCs w:val="28"/>
          <w:lang w:val="en-US" w:eastAsia="zh-CN"/>
        </w:rPr>
        <w:t>2</w:t>
      </w:r>
      <w:r>
        <w:rPr>
          <w:rFonts w:eastAsia="宋体" w:cs="Times New Roman"/>
          <w:color w:val="auto"/>
          <w:sz w:val="32"/>
          <w:szCs w:val="28"/>
        </w:rPr>
        <w:t>年度）</w:t>
      </w:r>
    </w:p>
    <w:p w14:paraId="66E85058">
      <w:pPr>
        <w:pStyle w:val="12"/>
        <w:spacing w:after="0" w:line="294" w:lineRule="exact"/>
        <w:jc w:val="right"/>
        <w:rPr>
          <w:rFonts w:eastAsia="宋体" w:cs="Times New Roman"/>
          <w:color w:val="auto"/>
          <w:sz w:val="28"/>
          <w:szCs w:val="28"/>
          <w:lang w:eastAsia="zh-CN"/>
        </w:rPr>
      </w:pPr>
    </w:p>
    <w:tbl>
      <w:tblPr>
        <w:tblStyle w:val="8"/>
        <w:tblW w:w="52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441"/>
        <w:gridCol w:w="601"/>
        <w:gridCol w:w="1061"/>
        <w:gridCol w:w="1212"/>
        <w:gridCol w:w="273"/>
        <w:gridCol w:w="983"/>
        <w:gridCol w:w="715"/>
        <w:gridCol w:w="305"/>
        <w:gridCol w:w="382"/>
        <w:gridCol w:w="633"/>
        <w:gridCol w:w="1031"/>
        <w:gridCol w:w="1283"/>
      </w:tblGrid>
      <w:tr w14:paraId="4F770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1179" w:type="pct"/>
            <w:gridSpan w:val="3"/>
            <w:shd w:val="clear" w:color="auto" w:fill="FFFFFF"/>
            <w:noWrap w:val="0"/>
            <w:vAlign w:val="center"/>
          </w:tcPr>
          <w:p w14:paraId="0568AB05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项目名称</w:t>
            </w:r>
          </w:p>
        </w:tc>
        <w:tc>
          <w:tcPr>
            <w:tcW w:w="1383" w:type="pct"/>
            <w:gridSpan w:val="3"/>
            <w:shd w:val="clear" w:color="auto" w:fill="FFFFFF"/>
            <w:noWrap w:val="0"/>
            <w:vAlign w:val="center"/>
          </w:tcPr>
          <w:p w14:paraId="79139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易地扶贫搬迁后续扶持</w:t>
            </w:r>
          </w:p>
        </w:tc>
        <w:tc>
          <w:tcPr>
            <w:tcW w:w="572" w:type="pct"/>
            <w:gridSpan w:val="2"/>
            <w:shd w:val="clear" w:color="auto" w:fill="FFFFFF"/>
            <w:noWrap w:val="0"/>
            <w:vAlign w:val="center"/>
          </w:tcPr>
          <w:p w14:paraId="74177AE9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项目负责人及电话</w:t>
            </w:r>
          </w:p>
        </w:tc>
        <w:tc>
          <w:tcPr>
            <w:tcW w:w="1867" w:type="pct"/>
            <w:gridSpan w:val="4"/>
            <w:shd w:val="clear" w:color="auto" w:fill="FFFFFF"/>
            <w:noWrap w:val="0"/>
            <w:vAlign w:val="center"/>
          </w:tcPr>
          <w:p w14:paraId="3F0DC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丁勇军13874545699</w:t>
            </w:r>
          </w:p>
        </w:tc>
      </w:tr>
      <w:tr w14:paraId="3175B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1179" w:type="pct"/>
            <w:gridSpan w:val="3"/>
            <w:shd w:val="clear" w:color="auto" w:fill="FFFFFF"/>
            <w:noWrap w:val="0"/>
            <w:vAlign w:val="center"/>
          </w:tcPr>
          <w:p w14:paraId="55F357E0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主管部门</w:t>
            </w:r>
          </w:p>
        </w:tc>
        <w:tc>
          <w:tcPr>
            <w:tcW w:w="1383" w:type="pct"/>
            <w:gridSpan w:val="3"/>
            <w:shd w:val="clear" w:color="auto" w:fill="FFFFFF"/>
            <w:noWrap w:val="0"/>
            <w:vAlign w:val="center"/>
          </w:tcPr>
          <w:p w14:paraId="3BFAA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中方县发展和改革局</w:t>
            </w:r>
          </w:p>
        </w:tc>
        <w:tc>
          <w:tcPr>
            <w:tcW w:w="572" w:type="pct"/>
            <w:gridSpan w:val="2"/>
            <w:shd w:val="clear" w:color="auto" w:fill="FFFFFF"/>
            <w:noWrap w:val="0"/>
            <w:vAlign w:val="center"/>
          </w:tcPr>
          <w:p w14:paraId="05C0640F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实施单位</w:t>
            </w:r>
          </w:p>
        </w:tc>
        <w:tc>
          <w:tcPr>
            <w:tcW w:w="1867" w:type="pct"/>
            <w:gridSpan w:val="4"/>
            <w:shd w:val="clear" w:color="auto" w:fill="FFFFFF"/>
            <w:noWrap w:val="0"/>
            <w:vAlign w:val="center"/>
          </w:tcPr>
          <w:p w14:paraId="2B687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县易迁后扶办</w:t>
            </w:r>
          </w:p>
        </w:tc>
      </w:tr>
      <w:tr w14:paraId="40791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1179" w:type="pct"/>
            <w:gridSpan w:val="3"/>
            <w:vMerge w:val="restart"/>
            <w:shd w:val="clear" w:color="auto" w:fill="FFFFFF"/>
            <w:noWrap w:val="0"/>
            <w:vAlign w:val="center"/>
          </w:tcPr>
          <w:p w14:paraId="1E5C0347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资金情况 （万元）</w:t>
            </w:r>
          </w:p>
        </w:tc>
        <w:tc>
          <w:tcPr>
            <w:tcW w:w="679" w:type="pct"/>
            <w:shd w:val="clear" w:color="auto" w:fill="FFFFFF"/>
            <w:noWrap w:val="0"/>
            <w:vAlign w:val="center"/>
          </w:tcPr>
          <w:p w14:paraId="03387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704" w:type="pct"/>
            <w:gridSpan w:val="2"/>
            <w:shd w:val="clear" w:color="auto" w:fill="FFFFFF"/>
            <w:noWrap w:val="0"/>
            <w:vAlign w:val="center"/>
          </w:tcPr>
          <w:p w14:paraId="22F2DB2B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全年预算 数</w:t>
            </w: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  <w:lang w:val="en-US" w:eastAsia="en-US"/>
              </w:rPr>
              <w:t>（A</w:t>
            </w:r>
            <w:r>
              <w:rPr>
                <w:rFonts w:hint="eastAsia" w:eastAsia="宋体" w:cs="Times New Roman"/>
                <w:bCs/>
                <w:color w:val="auto"/>
                <w:sz w:val="21"/>
                <w:szCs w:val="21"/>
                <w:lang w:val="en-US" w:eastAsia="en-US"/>
              </w:rPr>
              <w:t>）</w:t>
            </w:r>
          </w:p>
        </w:tc>
        <w:tc>
          <w:tcPr>
            <w:tcW w:w="786" w:type="pct"/>
            <w:gridSpan w:val="3"/>
            <w:shd w:val="clear" w:color="auto" w:fill="FFFFFF"/>
            <w:noWrap w:val="0"/>
            <w:vAlign w:val="center"/>
          </w:tcPr>
          <w:p w14:paraId="47572B99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全年执行数</w:t>
            </w:r>
          </w:p>
          <w:p w14:paraId="36228521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eastAsia" w:eastAsia="宋体" w:cs="Times New Roman"/>
                <w:bCs/>
                <w:color w:val="auto"/>
                <w:sz w:val="21"/>
                <w:szCs w:val="21"/>
                <w:lang w:val="en-US" w:eastAsia="en-US"/>
              </w:rPr>
              <w:t>（</w:t>
            </w: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  <w:lang w:val="en-US" w:eastAsia="en-US"/>
              </w:rPr>
              <w:t>B</w:t>
            </w:r>
            <w:r>
              <w:rPr>
                <w:rFonts w:hint="eastAsia" w:eastAsia="宋体" w:cs="Times New Roman"/>
                <w:bCs/>
                <w:color w:val="auto"/>
                <w:sz w:val="21"/>
                <w:szCs w:val="21"/>
                <w:lang w:val="en-US" w:eastAsia="en-US"/>
              </w:rPr>
              <w:t>）</w:t>
            </w:r>
          </w:p>
        </w:tc>
        <w:tc>
          <w:tcPr>
            <w:tcW w:w="355" w:type="pct"/>
            <w:shd w:val="clear" w:color="auto" w:fill="FFFFFF"/>
            <w:noWrap w:val="0"/>
            <w:vAlign w:val="center"/>
          </w:tcPr>
          <w:p w14:paraId="2792CDAC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分值</w:t>
            </w:r>
          </w:p>
        </w:tc>
        <w:tc>
          <w:tcPr>
            <w:tcW w:w="578" w:type="pct"/>
            <w:shd w:val="clear" w:color="auto" w:fill="FFFFFF"/>
            <w:noWrap w:val="0"/>
            <w:vAlign w:val="center"/>
          </w:tcPr>
          <w:p w14:paraId="2C906F86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 xml:space="preserve">执行率 </w:t>
            </w: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  <w:lang w:val="en-US" w:eastAsia="en-US"/>
              </w:rPr>
              <w:t>（B/A</w:t>
            </w:r>
            <w:r>
              <w:rPr>
                <w:rFonts w:hint="eastAsia" w:eastAsia="宋体" w:cs="Times New Roman"/>
                <w:bCs/>
                <w:color w:val="auto"/>
                <w:sz w:val="21"/>
                <w:szCs w:val="21"/>
                <w:lang w:val="en-US" w:eastAsia="en-US"/>
              </w:rPr>
              <w:t>）</w:t>
            </w:r>
          </w:p>
        </w:tc>
        <w:tc>
          <w:tcPr>
            <w:tcW w:w="720" w:type="pct"/>
            <w:shd w:val="clear" w:color="auto" w:fill="FFFFFF"/>
            <w:noWrap w:val="0"/>
            <w:vAlign w:val="center"/>
          </w:tcPr>
          <w:p w14:paraId="7003A965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得分</w:t>
            </w:r>
          </w:p>
        </w:tc>
      </w:tr>
      <w:tr w14:paraId="377E7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1179" w:type="pct"/>
            <w:gridSpan w:val="3"/>
            <w:vMerge w:val="continue"/>
            <w:shd w:val="clear" w:color="auto" w:fill="FFFFFF"/>
            <w:noWrap w:val="0"/>
            <w:vAlign w:val="center"/>
          </w:tcPr>
          <w:p w14:paraId="6BC43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679" w:type="pct"/>
            <w:shd w:val="clear" w:color="auto" w:fill="FFFFFF"/>
            <w:noWrap w:val="0"/>
            <w:vAlign w:val="center"/>
          </w:tcPr>
          <w:p w14:paraId="0034785B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年度资金总 额：</w:t>
            </w:r>
          </w:p>
        </w:tc>
        <w:tc>
          <w:tcPr>
            <w:tcW w:w="704" w:type="pct"/>
            <w:gridSpan w:val="2"/>
            <w:shd w:val="clear" w:color="auto" w:fill="FFFFFF"/>
            <w:noWrap w:val="0"/>
            <w:vAlign w:val="center"/>
          </w:tcPr>
          <w:p w14:paraId="63E11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1"/>
                <w:szCs w:val="21"/>
                <w:lang w:val="en-US" w:eastAsia="zh-CN"/>
              </w:rPr>
              <w:t>77.72</w:t>
            </w:r>
          </w:p>
        </w:tc>
        <w:tc>
          <w:tcPr>
            <w:tcW w:w="786" w:type="pct"/>
            <w:gridSpan w:val="3"/>
            <w:shd w:val="clear" w:color="auto" w:fill="FFFFFF"/>
            <w:noWrap w:val="0"/>
            <w:vAlign w:val="center"/>
          </w:tcPr>
          <w:p w14:paraId="5C17C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1"/>
                <w:szCs w:val="21"/>
                <w:lang w:val="en-US" w:eastAsia="zh-CN"/>
              </w:rPr>
              <w:t>77.72</w:t>
            </w:r>
          </w:p>
        </w:tc>
        <w:tc>
          <w:tcPr>
            <w:tcW w:w="355" w:type="pct"/>
            <w:shd w:val="clear" w:color="auto" w:fill="FFFFFF"/>
            <w:noWrap w:val="0"/>
            <w:vAlign w:val="center"/>
          </w:tcPr>
          <w:p w14:paraId="32D8DAF1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10</w:t>
            </w:r>
          </w:p>
        </w:tc>
        <w:tc>
          <w:tcPr>
            <w:tcW w:w="578" w:type="pct"/>
            <w:shd w:val="clear" w:color="auto" w:fill="FFFFFF"/>
            <w:noWrap w:val="0"/>
            <w:vAlign w:val="center"/>
          </w:tcPr>
          <w:p w14:paraId="76967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720" w:type="pct"/>
            <w:shd w:val="clear" w:color="auto" w:fill="FFFFFF"/>
            <w:noWrap w:val="0"/>
            <w:vAlign w:val="center"/>
          </w:tcPr>
          <w:p w14:paraId="4B037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1"/>
                <w:szCs w:val="21"/>
                <w:lang w:val="en-US" w:eastAsia="zh-CN"/>
              </w:rPr>
              <w:t>10</w:t>
            </w:r>
          </w:p>
        </w:tc>
      </w:tr>
      <w:tr w14:paraId="0CAE4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1179" w:type="pct"/>
            <w:gridSpan w:val="3"/>
            <w:vMerge w:val="continue"/>
            <w:shd w:val="clear" w:color="auto" w:fill="FFFFFF"/>
            <w:noWrap w:val="0"/>
            <w:vAlign w:val="center"/>
          </w:tcPr>
          <w:p w14:paraId="39799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679" w:type="pct"/>
            <w:shd w:val="clear" w:color="auto" w:fill="FFFFFF"/>
            <w:noWrap w:val="0"/>
            <w:vAlign w:val="center"/>
          </w:tcPr>
          <w:p w14:paraId="47188493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其中：本年</w:t>
            </w:r>
          </w:p>
          <w:p w14:paraId="141A36FD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财政拨款</w:t>
            </w:r>
          </w:p>
        </w:tc>
        <w:tc>
          <w:tcPr>
            <w:tcW w:w="704" w:type="pct"/>
            <w:gridSpan w:val="2"/>
            <w:shd w:val="clear" w:color="auto" w:fill="FFFFFF"/>
            <w:noWrap w:val="0"/>
            <w:vAlign w:val="center"/>
          </w:tcPr>
          <w:p w14:paraId="30F0A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1"/>
                <w:szCs w:val="21"/>
                <w:lang w:val="en-US" w:eastAsia="zh-CN"/>
              </w:rPr>
              <w:t>77.72</w:t>
            </w:r>
          </w:p>
        </w:tc>
        <w:tc>
          <w:tcPr>
            <w:tcW w:w="786" w:type="pct"/>
            <w:gridSpan w:val="3"/>
            <w:shd w:val="clear" w:color="auto" w:fill="FFFFFF"/>
            <w:noWrap w:val="0"/>
            <w:vAlign w:val="center"/>
          </w:tcPr>
          <w:p w14:paraId="06C34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 w:val="21"/>
                <w:szCs w:val="21"/>
                <w:lang w:val="en-US" w:eastAsia="zh-CN"/>
              </w:rPr>
              <w:t>77.72</w:t>
            </w:r>
          </w:p>
        </w:tc>
        <w:tc>
          <w:tcPr>
            <w:tcW w:w="355" w:type="pct"/>
            <w:shd w:val="clear" w:color="auto" w:fill="FFFFFF"/>
            <w:noWrap w:val="0"/>
            <w:vAlign w:val="center"/>
          </w:tcPr>
          <w:p w14:paraId="4DA1FF06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一</w:t>
            </w:r>
          </w:p>
        </w:tc>
        <w:tc>
          <w:tcPr>
            <w:tcW w:w="578" w:type="pct"/>
            <w:shd w:val="clear" w:color="auto" w:fill="FFFFFF"/>
            <w:noWrap w:val="0"/>
            <w:vAlign w:val="center"/>
          </w:tcPr>
          <w:p w14:paraId="2C0D5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720" w:type="pct"/>
            <w:shd w:val="clear" w:color="auto" w:fill="FFFFFF"/>
            <w:noWrap w:val="0"/>
            <w:vAlign w:val="center"/>
          </w:tcPr>
          <w:p w14:paraId="3DDE2B6E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一</w:t>
            </w:r>
          </w:p>
        </w:tc>
      </w:tr>
      <w:tr w14:paraId="67586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1179" w:type="pct"/>
            <w:gridSpan w:val="3"/>
            <w:vMerge w:val="continue"/>
            <w:shd w:val="clear" w:color="auto" w:fill="FFFFFF"/>
            <w:noWrap w:val="0"/>
            <w:vAlign w:val="center"/>
          </w:tcPr>
          <w:p w14:paraId="00008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679" w:type="pct"/>
            <w:shd w:val="clear" w:color="auto" w:fill="FFFFFF"/>
            <w:noWrap w:val="0"/>
            <w:vAlign w:val="center"/>
          </w:tcPr>
          <w:p w14:paraId="07F1C45D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105" w:firstLineChars="5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其他资金</w:t>
            </w:r>
          </w:p>
        </w:tc>
        <w:tc>
          <w:tcPr>
            <w:tcW w:w="704" w:type="pct"/>
            <w:gridSpan w:val="2"/>
            <w:shd w:val="clear" w:color="auto" w:fill="FFFFFF"/>
            <w:noWrap w:val="0"/>
            <w:vAlign w:val="center"/>
          </w:tcPr>
          <w:p w14:paraId="0A64B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786" w:type="pct"/>
            <w:gridSpan w:val="3"/>
            <w:shd w:val="clear" w:color="auto" w:fill="FFFFFF"/>
            <w:noWrap w:val="0"/>
            <w:vAlign w:val="center"/>
          </w:tcPr>
          <w:p w14:paraId="1DC74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355" w:type="pct"/>
            <w:shd w:val="clear" w:color="auto" w:fill="FFFFFF"/>
            <w:noWrap w:val="0"/>
            <w:vAlign w:val="center"/>
          </w:tcPr>
          <w:p w14:paraId="7F662244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一</w:t>
            </w:r>
          </w:p>
        </w:tc>
        <w:tc>
          <w:tcPr>
            <w:tcW w:w="578" w:type="pct"/>
            <w:shd w:val="clear" w:color="auto" w:fill="FFFFFF"/>
            <w:noWrap w:val="0"/>
            <w:vAlign w:val="center"/>
          </w:tcPr>
          <w:p w14:paraId="57AEA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720" w:type="pct"/>
            <w:shd w:val="clear" w:color="auto" w:fill="FFFFFF"/>
            <w:noWrap w:val="0"/>
            <w:vAlign w:val="center"/>
          </w:tcPr>
          <w:p w14:paraId="05ADC095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一</w:t>
            </w:r>
          </w:p>
        </w:tc>
      </w:tr>
      <w:tr w14:paraId="5CE12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247" w:type="pct"/>
            <w:vMerge w:val="restart"/>
            <w:shd w:val="clear" w:color="auto" w:fill="FFFFFF"/>
            <w:noWrap w:val="0"/>
            <w:vAlign w:val="center"/>
          </w:tcPr>
          <w:p w14:paraId="66779273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年</w:t>
            </w:r>
          </w:p>
          <w:p w14:paraId="23632396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度</w:t>
            </w:r>
          </w:p>
          <w:p w14:paraId="11D7BFC3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总</w:t>
            </w:r>
          </w:p>
          <w:p w14:paraId="735E1510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体</w:t>
            </w:r>
          </w:p>
          <w:p w14:paraId="57F62A62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目</w:t>
            </w:r>
          </w:p>
          <w:p w14:paraId="1C38FE66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标</w:t>
            </w:r>
          </w:p>
        </w:tc>
        <w:tc>
          <w:tcPr>
            <w:tcW w:w="2314" w:type="pct"/>
            <w:gridSpan w:val="5"/>
            <w:shd w:val="clear" w:color="auto" w:fill="FFFFFF"/>
            <w:noWrap w:val="0"/>
            <w:vAlign w:val="center"/>
          </w:tcPr>
          <w:p w14:paraId="52B8926A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年初设定目标</w:t>
            </w:r>
          </w:p>
        </w:tc>
        <w:tc>
          <w:tcPr>
            <w:tcW w:w="2438" w:type="pct"/>
            <w:gridSpan w:val="6"/>
            <w:shd w:val="clear" w:color="auto" w:fill="FFFFFF"/>
            <w:noWrap w:val="0"/>
            <w:vAlign w:val="center"/>
          </w:tcPr>
          <w:p w14:paraId="5CABC2B7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年度总体目标完成情况综述</w:t>
            </w:r>
          </w:p>
        </w:tc>
      </w:tr>
      <w:tr w14:paraId="5B76A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079" w:hRule="atLeast"/>
          <w:jc w:val="center"/>
        </w:trPr>
        <w:tc>
          <w:tcPr>
            <w:tcW w:w="247" w:type="pct"/>
            <w:vMerge w:val="continue"/>
            <w:shd w:val="clear" w:color="auto" w:fill="FFFFFF"/>
            <w:noWrap w:val="0"/>
            <w:textDirection w:val="tbRlV"/>
            <w:vAlign w:val="center"/>
          </w:tcPr>
          <w:p w14:paraId="29819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2314" w:type="pct"/>
            <w:gridSpan w:val="5"/>
            <w:shd w:val="clear" w:color="auto" w:fill="FFFFFF"/>
            <w:noWrap w:val="0"/>
            <w:vAlign w:val="center"/>
          </w:tcPr>
          <w:p w14:paraId="77489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进一步加强易地扶贫搬迁后续帮扶工作，确保“搬得出、稳得住、有就业、逐步能致富”，实现搬迁群众“生计不愁、生活温馨、安居乐业、融入新生活”</w:t>
            </w:r>
          </w:p>
        </w:tc>
        <w:tc>
          <w:tcPr>
            <w:tcW w:w="2438" w:type="pct"/>
            <w:gridSpan w:val="6"/>
            <w:shd w:val="clear" w:color="auto" w:fill="FFFFFF"/>
            <w:noWrap w:val="0"/>
            <w:vAlign w:val="center"/>
          </w:tcPr>
          <w:p w14:paraId="66FD5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确保了“搬得出、稳得住、有就业、逐步能致富”，实现搬迁群众“生计不愁、生活温馨、安居乐业、融入新生活”</w:t>
            </w:r>
          </w:p>
        </w:tc>
      </w:tr>
      <w:tr w14:paraId="672BD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247" w:type="pct"/>
            <w:vMerge w:val="restart"/>
            <w:shd w:val="clear" w:color="auto" w:fill="FFFFFF"/>
            <w:noWrap w:val="0"/>
            <w:vAlign w:val="center"/>
          </w:tcPr>
          <w:p w14:paraId="66F96CC1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绩效指标</w:t>
            </w:r>
          </w:p>
        </w:tc>
        <w:tc>
          <w:tcPr>
            <w:tcW w:w="337" w:type="pct"/>
            <w:shd w:val="clear" w:color="auto" w:fill="FFFFFF"/>
            <w:noWrap w:val="0"/>
            <w:vAlign w:val="center"/>
          </w:tcPr>
          <w:p w14:paraId="6802FCF1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级指标</w:t>
            </w:r>
          </w:p>
        </w:tc>
        <w:tc>
          <w:tcPr>
            <w:tcW w:w="594" w:type="pct"/>
            <w:shd w:val="clear" w:color="auto" w:fill="FFFFFF"/>
            <w:noWrap w:val="0"/>
            <w:vAlign w:val="center"/>
          </w:tcPr>
          <w:p w14:paraId="1D2A34AE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二级指标</w:t>
            </w:r>
          </w:p>
        </w:tc>
        <w:tc>
          <w:tcPr>
            <w:tcW w:w="832" w:type="pct"/>
            <w:gridSpan w:val="2"/>
            <w:shd w:val="clear" w:color="auto" w:fill="FFFFFF"/>
            <w:noWrap w:val="0"/>
            <w:vAlign w:val="center"/>
          </w:tcPr>
          <w:p w14:paraId="45973C30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三级指标</w:t>
            </w:r>
          </w:p>
        </w:tc>
        <w:tc>
          <w:tcPr>
            <w:tcW w:w="551" w:type="pct"/>
            <w:shd w:val="clear" w:color="auto" w:fill="FFFFFF"/>
            <w:noWrap w:val="0"/>
            <w:textDirection w:val="tbRlV"/>
            <w:vAlign w:val="center"/>
          </w:tcPr>
          <w:p w14:paraId="1B6B3E0C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 w:eastAsia="宋体" w:cs="Times New Roman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分</w:t>
            </w:r>
          </w:p>
          <w:p w14:paraId="614FA65D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值</w:t>
            </w:r>
          </w:p>
        </w:tc>
        <w:tc>
          <w:tcPr>
            <w:tcW w:w="401" w:type="pct"/>
            <w:shd w:val="clear" w:color="auto" w:fill="FFFFFF"/>
            <w:noWrap w:val="0"/>
            <w:vAlign w:val="center"/>
          </w:tcPr>
          <w:p w14:paraId="28510C60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年度 指标 值</w:t>
            </w:r>
          </w:p>
        </w:tc>
        <w:tc>
          <w:tcPr>
            <w:tcW w:w="385" w:type="pct"/>
            <w:gridSpan w:val="2"/>
            <w:shd w:val="clear" w:color="auto" w:fill="FFFFFF"/>
            <w:noWrap w:val="0"/>
            <w:vAlign w:val="center"/>
          </w:tcPr>
          <w:p w14:paraId="3BA9CB33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全年 实际 值</w:t>
            </w:r>
          </w:p>
        </w:tc>
        <w:tc>
          <w:tcPr>
            <w:tcW w:w="355" w:type="pct"/>
            <w:shd w:val="clear" w:color="auto" w:fill="FFFFFF"/>
            <w:noWrap w:val="0"/>
            <w:vAlign w:val="center"/>
          </w:tcPr>
          <w:p w14:paraId="0CB3FB93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得分</w:t>
            </w:r>
          </w:p>
        </w:tc>
        <w:tc>
          <w:tcPr>
            <w:tcW w:w="1298" w:type="pct"/>
            <w:gridSpan w:val="2"/>
            <w:shd w:val="clear" w:color="auto" w:fill="FFFFFF"/>
            <w:noWrap w:val="0"/>
            <w:vAlign w:val="center"/>
          </w:tcPr>
          <w:p w14:paraId="08F103D8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未完成原因及拟采取的改进措施</w:t>
            </w:r>
          </w:p>
        </w:tc>
      </w:tr>
      <w:tr w14:paraId="1D28C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247" w:type="pct"/>
            <w:vMerge w:val="continue"/>
            <w:shd w:val="clear" w:color="auto" w:fill="FFFFFF"/>
            <w:noWrap w:val="0"/>
            <w:vAlign w:val="center"/>
          </w:tcPr>
          <w:p w14:paraId="7A022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337" w:type="pct"/>
            <w:vMerge w:val="restart"/>
            <w:shd w:val="clear" w:color="auto" w:fill="FFFFFF"/>
            <w:noWrap w:val="0"/>
            <w:vAlign w:val="center"/>
          </w:tcPr>
          <w:p w14:paraId="156C0E5A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产</w:t>
            </w:r>
          </w:p>
          <w:p w14:paraId="6C4E4959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出</w:t>
            </w:r>
          </w:p>
          <w:p w14:paraId="33CEE30F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指</w:t>
            </w:r>
          </w:p>
          <w:p w14:paraId="6AD2CEAE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标</w:t>
            </w:r>
          </w:p>
          <w:p w14:paraId="22223782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(50分</w:t>
            </w: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94" w:type="pct"/>
            <w:shd w:val="clear" w:color="auto" w:fill="FFFFFF"/>
            <w:noWrap w:val="0"/>
            <w:vAlign w:val="center"/>
          </w:tcPr>
          <w:p w14:paraId="120E25AB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数量指标</w:t>
            </w:r>
          </w:p>
        </w:tc>
        <w:tc>
          <w:tcPr>
            <w:tcW w:w="832" w:type="pct"/>
            <w:gridSpan w:val="2"/>
            <w:shd w:val="clear" w:color="auto" w:fill="FFFFFF"/>
            <w:noWrap w:val="0"/>
            <w:vAlign w:val="center"/>
          </w:tcPr>
          <w:p w14:paraId="1E87B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实施搬迁3840人</w:t>
            </w:r>
          </w:p>
        </w:tc>
        <w:tc>
          <w:tcPr>
            <w:tcW w:w="551" w:type="pct"/>
            <w:shd w:val="clear" w:color="auto" w:fill="FFFFFF"/>
            <w:noWrap w:val="0"/>
            <w:vAlign w:val="center"/>
          </w:tcPr>
          <w:p w14:paraId="0D515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20</w:t>
            </w:r>
          </w:p>
        </w:tc>
        <w:tc>
          <w:tcPr>
            <w:tcW w:w="401" w:type="pct"/>
            <w:shd w:val="clear" w:color="auto" w:fill="FFFFFF"/>
            <w:noWrap w:val="0"/>
            <w:vAlign w:val="center"/>
          </w:tcPr>
          <w:p w14:paraId="7DE76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3840人</w:t>
            </w:r>
          </w:p>
        </w:tc>
        <w:tc>
          <w:tcPr>
            <w:tcW w:w="385" w:type="pct"/>
            <w:gridSpan w:val="2"/>
            <w:shd w:val="clear" w:color="auto" w:fill="FFFFFF"/>
            <w:noWrap w:val="0"/>
            <w:vAlign w:val="center"/>
          </w:tcPr>
          <w:p w14:paraId="40CD3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840人</w:t>
            </w:r>
          </w:p>
        </w:tc>
        <w:tc>
          <w:tcPr>
            <w:tcW w:w="355" w:type="pct"/>
            <w:shd w:val="clear" w:color="auto" w:fill="FFFFFF"/>
            <w:noWrap w:val="0"/>
            <w:vAlign w:val="center"/>
          </w:tcPr>
          <w:p w14:paraId="2C6E6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20</w:t>
            </w:r>
          </w:p>
        </w:tc>
        <w:tc>
          <w:tcPr>
            <w:tcW w:w="1298" w:type="pct"/>
            <w:gridSpan w:val="2"/>
            <w:shd w:val="clear" w:color="auto" w:fill="FFFFFF"/>
            <w:noWrap w:val="0"/>
            <w:vAlign w:val="center"/>
          </w:tcPr>
          <w:p w14:paraId="2C588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</w:p>
        </w:tc>
      </w:tr>
      <w:tr w14:paraId="2FA2E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247" w:type="pct"/>
            <w:vMerge w:val="continue"/>
            <w:shd w:val="clear" w:color="auto" w:fill="FFFFFF"/>
            <w:noWrap w:val="0"/>
            <w:vAlign w:val="center"/>
          </w:tcPr>
          <w:p w14:paraId="619F3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337" w:type="pct"/>
            <w:vMerge w:val="continue"/>
            <w:shd w:val="clear" w:color="auto" w:fill="FFFFFF"/>
            <w:noWrap w:val="0"/>
            <w:vAlign w:val="center"/>
          </w:tcPr>
          <w:p w14:paraId="3EA30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594" w:type="pct"/>
            <w:shd w:val="clear" w:color="auto" w:fill="FFFFFF"/>
            <w:noWrap w:val="0"/>
            <w:vAlign w:val="center"/>
          </w:tcPr>
          <w:p w14:paraId="745D1CF4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质量指标</w:t>
            </w:r>
          </w:p>
        </w:tc>
        <w:tc>
          <w:tcPr>
            <w:tcW w:w="832" w:type="pct"/>
            <w:gridSpan w:val="2"/>
            <w:shd w:val="clear" w:color="auto" w:fill="FFFFFF"/>
            <w:noWrap w:val="0"/>
            <w:vAlign w:val="center"/>
          </w:tcPr>
          <w:p w14:paraId="34E1F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易地扶贫搬迁入住</w:t>
            </w:r>
          </w:p>
        </w:tc>
        <w:tc>
          <w:tcPr>
            <w:tcW w:w="551" w:type="pct"/>
            <w:shd w:val="clear" w:color="auto" w:fill="FFFFFF"/>
            <w:noWrap w:val="0"/>
            <w:vAlign w:val="center"/>
          </w:tcPr>
          <w:p w14:paraId="50BB0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</w:t>
            </w:r>
          </w:p>
        </w:tc>
        <w:tc>
          <w:tcPr>
            <w:tcW w:w="401" w:type="pct"/>
            <w:shd w:val="clear" w:color="auto" w:fill="FFFFFF"/>
            <w:noWrap w:val="0"/>
            <w:vAlign w:val="center"/>
          </w:tcPr>
          <w:p w14:paraId="4605A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100%</w:t>
            </w:r>
          </w:p>
        </w:tc>
        <w:tc>
          <w:tcPr>
            <w:tcW w:w="385" w:type="pct"/>
            <w:gridSpan w:val="2"/>
            <w:shd w:val="clear" w:color="auto" w:fill="FFFFFF"/>
            <w:noWrap w:val="0"/>
            <w:vAlign w:val="center"/>
          </w:tcPr>
          <w:p w14:paraId="7FE5B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100%</w:t>
            </w:r>
          </w:p>
        </w:tc>
        <w:tc>
          <w:tcPr>
            <w:tcW w:w="355" w:type="pct"/>
            <w:shd w:val="clear" w:color="auto" w:fill="FFFFFF"/>
            <w:noWrap w:val="0"/>
            <w:vAlign w:val="center"/>
          </w:tcPr>
          <w:p w14:paraId="57944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</w:t>
            </w:r>
          </w:p>
        </w:tc>
        <w:tc>
          <w:tcPr>
            <w:tcW w:w="1298" w:type="pct"/>
            <w:gridSpan w:val="2"/>
            <w:shd w:val="clear" w:color="auto" w:fill="FFFFFF"/>
            <w:noWrap w:val="0"/>
            <w:vAlign w:val="center"/>
          </w:tcPr>
          <w:p w14:paraId="5B658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</w:p>
        </w:tc>
      </w:tr>
      <w:tr w14:paraId="0EBD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247" w:type="pct"/>
            <w:vMerge w:val="continue"/>
            <w:shd w:val="clear" w:color="auto" w:fill="FFFFFF"/>
            <w:noWrap w:val="0"/>
            <w:vAlign w:val="center"/>
          </w:tcPr>
          <w:p w14:paraId="0DC85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337" w:type="pct"/>
            <w:vMerge w:val="continue"/>
            <w:shd w:val="clear" w:color="auto" w:fill="FFFFFF"/>
            <w:noWrap w:val="0"/>
            <w:vAlign w:val="center"/>
          </w:tcPr>
          <w:p w14:paraId="637BF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594" w:type="pct"/>
            <w:shd w:val="clear" w:color="auto" w:fill="FFFFFF"/>
            <w:noWrap w:val="0"/>
            <w:vAlign w:val="center"/>
          </w:tcPr>
          <w:p w14:paraId="41338BBF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时效指标</w:t>
            </w:r>
          </w:p>
        </w:tc>
        <w:tc>
          <w:tcPr>
            <w:tcW w:w="832" w:type="pct"/>
            <w:gridSpan w:val="2"/>
            <w:shd w:val="clear" w:color="auto" w:fill="FFFFFF"/>
            <w:noWrap w:val="0"/>
            <w:vAlign w:val="center"/>
          </w:tcPr>
          <w:p w14:paraId="510C5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年搬迁户全部脱贫率</w:t>
            </w:r>
          </w:p>
        </w:tc>
        <w:tc>
          <w:tcPr>
            <w:tcW w:w="551" w:type="pct"/>
            <w:shd w:val="clear" w:color="auto" w:fill="FFFFFF"/>
            <w:noWrap w:val="0"/>
            <w:vAlign w:val="center"/>
          </w:tcPr>
          <w:p w14:paraId="4D269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</w:t>
            </w:r>
          </w:p>
        </w:tc>
        <w:tc>
          <w:tcPr>
            <w:tcW w:w="401" w:type="pct"/>
            <w:shd w:val="clear" w:color="auto" w:fill="FFFFFF"/>
            <w:noWrap w:val="0"/>
            <w:vAlign w:val="center"/>
          </w:tcPr>
          <w:p w14:paraId="1E4D0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100%</w:t>
            </w:r>
          </w:p>
        </w:tc>
        <w:tc>
          <w:tcPr>
            <w:tcW w:w="385" w:type="pct"/>
            <w:gridSpan w:val="2"/>
            <w:shd w:val="clear" w:color="auto" w:fill="FFFFFF"/>
            <w:noWrap w:val="0"/>
            <w:vAlign w:val="center"/>
          </w:tcPr>
          <w:p w14:paraId="492FA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100%</w:t>
            </w:r>
          </w:p>
        </w:tc>
        <w:tc>
          <w:tcPr>
            <w:tcW w:w="355" w:type="pct"/>
            <w:shd w:val="clear" w:color="auto" w:fill="FFFFFF"/>
            <w:noWrap w:val="0"/>
            <w:vAlign w:val="center"/>
          </w:tcPr>
          <w:p w14:paraId="65A17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</w:t>
            </w:r>
          </w:p>
        </w:tc>
        <w:tc>
          <w:tcPr>
            <w:tcW w:w="1298" w:type="pct"/>
            <w:gridSpan w:val="2"/>
            <w:shd w:val="clear" w:color="auto" w:fill="FFFFFF"/>
            <w:noWrap w:val="0"/>
            <w:vAlign w:val="center"/>
          </w:tcPr>
          <w:p w14:paraId="7C80D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</w:p>
        </w:tc>
      </w:tr>
      <w:tr w14:paraId="3842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247" w:type="pct"/>
            <w:vMerge w:val="continue"/>
            <w:shd w:val="clear" w:color="auto" w:fill="FFFFFF"/>
            <w:noWrap w:val="0"/>
            <w:vAlign w:val="center"/>
          </w:tcPr>
          <w:p w14:paraId="0E760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337" w:type="pct"/>
            <w:vMerge w:val="continue"/>
            <w:shd w:val="clear" w:color="auto" w:fill="FFFFFF"/>
            <w:noWrap w:val="0"/>
            <w:vAlign w:val="center"/>
          </w:tcPr>
          <w:p w14:paraId="73F90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594" w:type="pct"/>
            <w:shd w:val="clear" w:color="auto" w:fill="FFFFFF"/>
            <w:noWrap w:val="0"/>
            <w:vAlign w:val="center"/>
          </w:tcPr>
          <w:p w14:paraId="4D7A0E36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成本指标</w:t>
            </w:r>
          </w:p>
        </w:tc>
        <w:tc>
          <w:tcPr>
            <w:tcW w:w="832" w:type="pct"/>
            <w:gridSpan w:val="2"/>
            <w:shd w:val="clear" w:color="auto" w:fill="FFFFFF"/>
            <w:noWrap w:val="0"/>
            <w:vAlign w:val="center"/>
          </w:tcPr>
          <w:p w14:paraId="63053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巩固脱贫攻坚成果，有效衔接乡村振兴工作</w:t>
            </w:r>
          </w:p>
        </w:tc>
        <w:tc>
          <w:tcPr>
            <w:tcW w:w="551" w:type="pct"/>
            <w:shd w:val="clear" w:color="auto" w:fill="FFFFFF"/>
            <w:noWrap w:val="0"/>
            <w:vAlign w:val="center"/>
          </w:tcPr>
          <w:p w14:paraId="70869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</w:t>
            </w:r>
          </w:p>
        </w:tc>
        <w:tc>
          <w:tcPr>
            <w:tcW w:w="401" w:type="pct"/>
            <w:shd w:val="clear" w:color="auto" w:fill="FFFFFF"/>
            <w:noWrap w:val="0"/>
            <w:vAlign w:val="center"/>
          </w:tcPr>
          <w:p w14:paraId="3570A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巩固</w:t>
            </w:r>
          </w:p>
        </w:tc>
        <w:tc>
          <w:tcPr>
            <w:tcW w:w="385" w:type="pct"/>
            <w:gridSpan w:val="2"/>
            <w:shd w:val="clear" w:color="auto" w:fill="FFFFFF"/>
            <w:noWrap w:val="0"/>
            <w:vAlign w:val="center"/>
          </w:tcPr>
          <w:p w14:paraId="74C9E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巩固</w:t>
            </w:r>
          </w:p>
        </w:tc>
        <w:tc>
          <w:tcPr>
            <w:tcW w:w="355" w:type="pct"/>
            <w:shd w:val="clear" w:color="auto" w:fill="FFFFFF"/>
            <w:noWrap w:val="0"/>
            <w:vAlign w:val="center"/>
          </w:tcPr>
          <w:p w14:paraId="5BF03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</w:t>
            </w:r>
          </w:p>
        </w:tc>
        <w:tc>
          <w:tcPr>
            <w:tcW w:w="1298" w:type="pct"/>
            <w:gridSpan w:val="2"/>
            <w:shd w:val="clear" w:color="auto" w:fill="FFFFFF"/>
            <w:noWrap w:val="0"/>
            <w:vAlign w:val="center"/>
          </w:tcPr>
          <w:p w14:paraId="4A542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</w:p>
        </w:tc>
      </w:tr>
      <w:tr w14:paraId="6267E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874" w:hRule="atLeast"/>
          <w:jc w:val="center"/>
        </w:trPr>
        <w:tc>
          <w:tcPr>
            <w:tcW w:w="247" w:type="pct"/>
            <w:vMerge w:val="restart"/>
            <w:shd w:val="clear" w:color="auto" w:fill="FFFFFF"/>
            <w:noWrap w:val="0"/>
            <w:vAlign w:val="center"/>
          </w:tcPr>
          <w:p w14:paraId="56EDD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宋体" w:hAnsi="宋体" w:eastAsia="宋体" w:cs="Times New Roman"/>
                <w:bCs/>
                <w:sz w:val="21"/>
                <w:szCs w:val="21"/>
              </w:rPr>
              <w:t>绩效指标</w:t>
            </w:r>
          </w:p>
        </w:tc>
        <w:tc>
          <w:tcPr>
            <w:tcW w:w="337" w:type="pct"/>
            <w:vMerge w:val="restart"/>
            <w:shd w:val="clear" w:color="auto" w:fill="FFFFFF"/>
            <w:noWrap w:val="0"/>
            <w:vAlign w:val="center"/>
          </w:tcPr>
          <w:p w14:paraId="06596F69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效益指标(30分）</w:t>
            </w:r>
          </w:p>
        </w:tc>
        <w:tc>
          <w:tcPr>
            <w:tcW w:w="594" w:type="pct"/>
            <w:shd w:val="clear" w:color="auto" w:fill="FFFFFF"/>
            <w:noWrap w:val="0"/>
            <w:vAlign w:val="center"/>
          </w:tcPr>
          <w:p w14:paraId="4A31727A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经济效益</w:t>
            </w:r>
          </w:p>
          <w:p w14:paraId="528CD034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指标</w:t>
            </w:r>
          </w:p>
        </w:tc>
        <w:tc>
          <w:tcPr>
            <w:tcW w:w="832" w:type="pct"/>
            <w:gridSpan w:val="2"/>
            <w:shd w:val="clear" w:color="auto" w:fill="FFFFFF"/>
            <w:noWrap w:val="0"/>
            <w:vAlign w:val="center"/>
          </w:tcPr>
          <w:p w14:paraId="0E0B0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提升搬迁户收入</w:t>
            </w:r>
          </w:p>
        </w:tc>
        <w:tc>
          <w:tcPr>
            <w:tcW w:w="551" w:type="pct"/>
            <w:shd w:val="clear" w:color="auto" w:fill="FFFFFF"/>
            <w:noWrap w:val="0"/>
            <w:vAlign w:val="center"/>
          </w:tcPr>
          <w:p w14:paraId="735A1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</w:t>
            </w:r>
          </w:p>
        </w:tc>
        <w:tc>
          <w:tcPr>
            <w:tcW w:w="401" w:type="pct"/>
            <w:shd w:val="clear" w:color="auto" w:fill="FFFFFF"/>
            <w:noWrap w:val="0"/>
            <w:vAlign w:val="center"/>
          </w:tcPr>
          <w:p w14:paraId="66C68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提升</w:t>
            </w:r>
          </w:p>
        </w:tc>
        <w:tc>
          <w:tcPr>
            <w:tcW w:w="385" w:type="pct"/>
            <w:gridSpan w:val="2"/>
            <w:shd w:val="clear" w:color="auto" w:fill="FFFFFF"/>
            <w:noWrap w:val="0"/>
            <w:vAlign w:val="center"/>
          </w:tcPr>
          <w:p w14:paraId="50927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提升</w:t>
            </w:r>
          </w:p>
        </w:tc>
        <w:tc>
          <w:tcPr>
            <w:tcW w:w="355" w:type="pct"/>
            <w:shd w:val="clear" w:color="auto" w:fill="FFFFFF"/>
            <w:noWrap w:val="0"/>
            <w:vAlign w:val="center"/>
          </w:tcPr>
          <w:p w14:paraId="29CC8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</w:t>
            </w:r>
          </w:p>
        </w:tc>
        <w:tc>
          <w:tcPr>
            <w:tcW w:w="1298" w:type="pct"/>
            <w:gridSpan w:val="2"/>
            <w:shd w:val="clear" w:color="auto" w:fill="FFFFFF"/>
            <w:noWrap w:val="0"/>
            <w:vAlign w:val="center"/>
          </w:tcPr>
          <w:p w14:paraId="3921B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</w:p>
        </w:tc>
      </w:tr>
      <w:tr w14:paraId="184F2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247" w:type="pct"/>
            <w:vMerge w:val="continue"/>
            <w:shd w:val="clear" w:color="auto" w:fill="FFFFFF"/>
            <w:noWrap w:val="0"/>
            <w:textDirection w:val="tbRlV"/>
            <w:vAlign w:val="center"/>
          </w:tcPr>
          <w:p w14:paraId="3596E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337" w:type="pct"/>
            <w:vMerge w:val="continue"/>
            <w:shd w:val="clear" w:color="auto" w:fill="FFFFFF"/>
            <w:noWrap w:val="0"/>
            <w:textDirection w:val="tbRlV"/>
            <w:vAlign w:val="center"/>
          </w:tcPr>
          <w:p w14:paraId="174BF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594" w:type="pct"/>
            <w:shd w:val="clear" w:color="auto" w:fill="FFFFFF"/>
            <w:noWrap w:val="0"/>
            <w:vAlign w:val="center"/>
          </w:tcPr>
          <w:p w14:paraId="7E92ED75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社会效益</w:t>
            </w:r>
          </w:p>
          <w:p w14:paraId="6D44C5F9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指标</w:t>
            </w:r>
          </w:p>
        </w:tc>
        <w:tc>
          <w:tcPr>
            <w:tcW w:w="832" w:type="pct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6FDC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确保易地搬迁户无返贫现象</w:t>
            </w:r>
          </w:p>
        </w:tc>
        <w:tc>
          <w:tcPr>
            <w:tcW w:w="551" w:type="pct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D865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</w:t>
            </w:r>
          </w:p>
        </w:tc>
        <w:tc>
          <w:tcPr>
            <w:tcW w:w="401" w:type="pct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8A3C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3840人</w:t>
            </w:r>
          </w:p>
        </w:tc>
        <w:tc>
          <w:tcPr>
            <w:tcW w:w="385" w:type="pct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00D1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3840人</w:t>
            </w:r>
          </w:p>
        </w:tc>
        <w:tc>
          <w:tcPr>
            <w:tcW w:w="355" w:type="pct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2BDE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</w:t>
            </w:r>
          </w:p>
        </w:tc>
        <w:tc>
          <w:tcPr>
            <w:tcW w:w="1298" w:type="pct"/>
            <w:gridSpan w:val="2"/>
            <w:shd w:val="clear" w:color="auto" w:fill="FFFFFF"/>
            <w:noWrap w:val="0"/>
            <w:vAlign w:val="center"/>
          </w:tcPr>
          <w:p w14:paraId="15DC8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</w:p>
        </w:tc>
      </w:tr>
      <w:tr w14:paraId="7D6A5D2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2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0AD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3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AC8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F6FC6C6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生态效益指标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695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改善迁出区自然环境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081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5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4CA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改善</w:t>
            </w:r>
          </w:p>
        </w:tc>
        <w:tc>
          <w:tcPr>
            <w:tcW w:w="3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172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改善</w:t>
            </w: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F44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5</w:t>
            </w:r>
          </w:p>
        </w:tc>
        <w:tc>
          <w:tcPr>
            <w:tcW w:w="12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013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</w:p>
        </w:tc>
      </w:tr>
      <w:tr w14:paraId="0CEEC75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2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031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3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679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73F40A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可持续影响指标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4312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有效防止搬迁户返贫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CF5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5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52B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无返贫户</w:t>
            </w:r>
          </w:p>
        </w:tc>
        <w:tc>
          <w:tcPr>
            <w:tcW w:w="3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6FE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无返贫户</w:t>
            </w: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09E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5</w:t>
            </w:r>
          </w:p>
        </w:tc>
        <w:tc>
          <w:tcPr>
            <w:tcW w:w="12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3140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</w:p>
        </w:tc>
      </w:tr>
      <w:tr w14:paraId="5B8DD9E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2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494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B5D11D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  <w:lang w:eastAsia="zh-CN"/>
              </w:rPr>
              <w:t>满意度指</w:t>
            </w:r>
          </w:p>
          <w:p w14:paraId="04A4F741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 w:cs="Times New Roman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  <w:lang w:eastAsia="zh-CN"/>
              </w:rPr>
              <w:t>标</w:t>
            </w: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(10</w:t>
            </w: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分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496969F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服务对象满意度指</w:t>
            </w:r>
          </w:p>
          <w:p w14:paraId="0A253D93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标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483D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搬迁对象满意度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972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38A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≥99%</w:t>
            </w:r>
          </w:p>
        </w:tc>
        <w:tc>
          <w:tcPr>
            <w:tcW w:w="3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7D6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≥99%</w:t>
            </w: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EC1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仿宋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sz w:val="21"/>
                <w:szCs w:val="21"/>
              </w:rPr>
              <w:t>10</w:t>
            </w:r>
          </w:p>
        </w:tc>
        <w:tc>
          <w:tcPr>
            <w:tcW w:w="12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EEE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仿宋"/>
                <w:bCs/>
                <w:sz w:val="21"/>
                <w:szCs w:val="21"/>
              </w:rPr>
            </w:pPr>
          </w:p>
        </w:tc>
      </w:tr>
      <w:tr w14:paraId="6E41876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20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0DCA67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总分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5E9B4D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/>
              <w:jc w:val="center"/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eastAsia="宋体" w:cs="Times New Roman"/>
                <w:bCs/>
                <w:color w:val="auto"/>
                <w:sz w:val="21"/>
                <w:szCs w:val="21"/>
              </w:rPr>
              <w:t>100</w:t>
            </w:r>
          </w:p>
        </w:tc>
        <w:tc>
          <w:tcPr>
            <w:tcW w:w="78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0AE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646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2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57F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Times New Roman"/>
                <w:bCs/>
                <w:sz w:val="21"/>
                <w:szCs w:val="21"/>
              </w:rPr>
            </w:pPr>
          </w:p>
        </w:tc>
      </w:tr>
    </w:tbl>
    <w:p w14:paraId="6E442517">
      <w:pPr>
        <w:pStyle w:val="5"/>
        <w:rPr>
          <w:rFonts w:hint="eastAsia"/>
        </w:rPr>
      </w:pPr>
    </w:p>
    <w:p w14:paraId="0F98FE97">
      <w:pPr>
        <w:widowControl w:val="0"/>
        <w:spacing w:after="0" w:line="7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2D708F75">
      <w:pPr>
        <w:widowControl w:val="0"/>
        <w:spacing w:after="0" w:line="7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5630E2CA">
      <w:pPr>
        <w:widowControl w:val="0"/>
        <w:spacing w:after="0" w:line="700" w:lineRule="exact"/>
        <w:jc w:val="both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02ADCB08">
      <w:pPr>
        <w:pStyle w:val="2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46AAE2E4">
      <w:pP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25D62517">
      <w:pPr>
        <w:pStyle w:val="2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3AC3EB27">
      <w:pP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66567CDF">
      <w:pPr>
        <w:rPr>
          <w:rFonts w:hint="eastAsia"/>
        </w:rPr>
      </w:pPr>
    </w:p>
    <w:p w14:paraId="3512972C">
      <w:pPr>
        <w:widowControl w:val="0"/>
        <w:spacing w:after="0" w:line="7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76EF7E99">
      <w:pPr>
        <w:widowControl w:val="0"/>
        <w:spacing w:after="0" w:line="7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中方县易地扶贫搬迁2022年度后续扶持项目支出绩效自评报告</w:t>
      </w:r>
    </w:p>
    <w:p w14:paraId="31243D00">
      <w:pPr>
        <w:jc w:val="center"/>
        <w:rPr>
          <w:rFonts w:ascii="仿宋_GB2312"/>
          <w:szCs w:val="30"/>
        </w:rPr>
      </w:pPr>
    </w:p>
    <w:p w14:paraId="7C17D1C1">
      <w:pPr>
        <w:widowControl w:val="0"/>
        <w:spacing w:after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 w14:paraId="33C4086C">
      <w:pPr>
        <w:widowControl w:val="0"/>
        <w:spacing w:after="0" w:line="560" w:lineRule="exact"/>
        <w:ind w:firstLine="643" w:firstLineChars="200"/>
        <w:jc w:val="both"/>
        <w:outlineLvl w:val="0"/>
        <w:rPr>
          <w:rFonts w:hint="eastAsia" w:ascii="方正仿宋简体" w:hAnsi="仿宋" w:eastAsia="方正仿宋简体" w:cs="仿宋"/>
          <w:sz w:val="32"/>
          <w:szCs w:val="32"/>
        </w:rPr>
      </w:pPr>
      <w:r>
        <w:rPr>
          <w:rFonts w:hint="eastAsia" w:ascii="方正仿宋简体" w:hAnsi="仿宋" w:eastAsia="方正仿宋简体" w:cs="仿宋"/>
          <w:b/>
          <w:bCs/>
          <w:sz w:val="32"/>
          <w:szCs w:val="32"/>
        </w:rPr>
        <w:t>（一）项目概况。</w:t>
      </w:r>
      <w:r>
        <w:rPr>
          <w:rFonts w:hint="eastAsia" w:ascii="方正仿宋简体" w:hAnsi="仿宋" w:eastAsia="方正仿宋简体" w:cs="仿宋"/>
          <w:sz w:val="32"/>
          <w:szCs w:val="32"/>
        </w:rPr>
        <w:t>易地扶贫搬迁后续扶持项目2022年计划预算</w:t>
      </w:r>
      <w:r>
        <w:rPr>
          <w:rFonts w:hint="eastAsia" w:ascii="方正仿宋简体" w:hAnsi="仿宋" w:eastAsia="方正仿宋简体" w:cs="仿宋"/>
          <w:sz w:val="32"/>
          <w:szCs w:val="32"/>
          <w:lang w:val="en-US" w:eastAsia="zh-CN"/>
        </w:rPr>
        <w:t>77.72</w:t>
      </w:r>
      <w:r>
        <w:rPr>
          <w:rFonts w:hint="eastAsia" w:ascii="方正仿宋简体" w:hAnsi="仿宋" w:eastAsia="方正仿宋简体" w:cs="仿宋"/>
          <w:sz w:val="32"/>
          <w:szCs w:val="32"/>
        </w:rPr>
        <w:t>万元，</w:t>
      </w:r>
      <w:r>
        <w:rPr>
          <w:rFonts w:hint="eastAsia" w:ascii="方正仿宋简体" w:hAnsi="仿宋" w:eastAsia="方正仿宋简体" w:cs="仿宋"/>
          <w:sz w:val="32"/>
          <w:szCs w:val="32"/>
          <w:lang w:val="en-US" w:eastAsia="zh-CN"/>
        </w:rPr>
        <w:t>(推进乡村振兴补助资金〈集中安置区综合服务设施建设〉29.04万元、易地搬迁后续扶持管理费31.1万元、易地扶贫搬迁后续管理服务站公益性岗位补助17.58万元）。</w:t>
      </w:r>
      <w:r>
        <w:rPr>
          <w:rFonts w:hint="eastAsia" w:ascii="方正仿宋简体" w:hAnsi="仿宋" w:eastAsia="方正仿宋简体" w:cs="仿宋"/>
          <w:sz w:val="32"/>
          <w:szCs w:val="32"/>
        </w:rPr>
        <w:t>主要是为了防止全县1009</w:t>
      </w:r>
      <w:r>
        <w:rPr>
          <w:rFonts w:hint="eastAsia" w:ascii="方正仿宋简体" w:hAnsi="仿宋" w:eastAsia="方正仿宋简体" w:cs="仿宋"/>
          <w:sz w:val="32"/>
          <w:szCs w:val="32"/>
          <w:lang w:val="en-US" w:eastAsia="zh-CN"/>
        </w:rPr>
        <w:t>户</w:t>
      </w:r>
      <w:bookmarkStart w:id="0" w:name="_GoBack"/>
      <w:bookmarkEnd w:id="0"/>
      <w:r>
        <w:rPr>
          <w:rFonts w:hint="eastAsia" w:ascii="方正仿宋简体" w:hAnsi="仿宋" w:eastAsia="方正仿宋简体" w:cs="仿宋"/>
          <w:sz w:val="32"/>
          <w:szCs w:val="32"/>
        </w:rPr>
        <w:t>3840人易地扶贫搬迁安置户在2022年出现返贫现象。通过全年的工作开展，县易地扶贫搬迁户未出现返贫人员，全年支出</w:t>
      </w:r>
      <w:r>
        <w:rPr>
          <w:rFonts w:hint="eastAsia" w:ascii="方正仿宋简体" w:hAnsi="仿宋" w:eastAsia="方正仿宋简体" w:cs="仿宋"/>
          <w:sz w:val="32"/>
          <w:szCs w:val="32"/>
          <w:lang w:val="en-US" w:eastAsia="zh-CN"/>
        </w:rPr>
        <w:t>77.72</w:t>
      </w:r>
      <w:r>
        <w:rPr>
          <w:rFonts w:hint="eastAsia" w:ascii="方正仿宋简体" w:hAnsi="仿宋" w:eastAsia="方正仿宋简体" w:cs="仿宋"/>
          <w:sz w:val="32"/>
          <w:szCs w:val="32"/>
        </w:rPr>
        <w:t>万元，执行率100%。</w:t>
      </w:r>
    </w:p>
    <w:p w14:paraId="14C05367">
      <w:pPr>
        <w:widowControl w:val="0"/>
        <w:spacing w:after="0" w:line="560" w:lineRule="exact"/>
        <w:ind w:firstLine="643" w:firstLineChars="200"/>
        <w:jc w:val="both"/>
        <w:rPr>
          <w:rFonts w:hint="eastAsia" w:ascii="方正仿宋简体" w:hAnsi="仿宋" w:eastAsia="方正仿宋简体" w:cs="仿宋"/>
          <w:color w:val="000000"/>
          <w:sz w:val="32"/>
          <w:szCs w:val="32"/>
        </w:rPr>
      </w:pPr>
      <w:r>
        <w:rPr>
          <w:rFonts w:hint="eastAsia" w:ascii="方正仿宋简体" w:hAnsi="仿宋" w:eastAsia="方正仿宋简体" w:cs="仿宋"/>
          <w:b/>
          <w:bCs/>
          <w:sz w:val="32"/>
          <w:szCs w:val="32"/>
        </w:rPr>
        <w:t>（二）项目绩效目标。</w:t>
      </w:r>
      <w:r>
        <w:rPr>
          <w:rFonts w:hint="eastAsia" w:ascii="方正仿宋简体" w:hAnsi="仿宋" w:eastAsia="方正仿宋简体" w:cs="仿宋"/>
          <w:color w:val="000000"/>
          <w:sz w:val="32"/>
          <w:szCs w:val="32"/>
        </w:rPr>
        <w:t>做好易地扶贫搬迁后续帮扶，巩固拓展易地搬迁脱贫攻坚成果同乡村振兴有效衔接，守住易地搬迁脱贫成果，防止发生大面积规模性返贫，全面推进乡村振兴 工作。</w:t>
      </w:r>
    </w:p>
    <w:p w14:paraId="7B48F1BE">
      <w:pPr>
        <w:widowControl w:val="0"/>
        <w:spacing w:after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绩效评价工作开展情况</w:t>
      </w:r>
    </w:p>
    <w:p w14:paraId="7C343FF8">
      <w:pPr>
        <w:widowControl w:val="0"/>
        <w:spacing w:after="0" w:line="560" w:lineRule="exact"/>
        <w:ind w:firstLine="643" w:firstLineChars="200"/>
        <w:jc w:val="both"/>
        <w:rPr>
          <w:rFonts w:hint="eastAsia" w:ascii="方正仿宋简体" w:hAnsi="仿宋" w:eastAsia="方正仿宋简体" w:cs="仿宋"/>
          <w:color w:val="000000"/>
          <w:sz w:val="32"/>
          <w:szCs w:val="32"/>
        </w:rPr>
      </w:pPr>
      <w:r>
        <w:rPr>
          <w:rFonts w:hint="eastAsia" w:ascii="方正仿宋简体" w:hAnsi="仿宋" w:eastAsia="方正仿宋简体" w:cs="仿宋"/>
          <w:b/>
          <w:bCs/>
          <w:sz w:val="32"/>
          <w:szCs w:val="32"/>
        </w:rPr>
        <w:t>（一）绩效评价目的、对象和范围。</w:t>
      </w:r>
      <w:r>
        <w:rPr>
          <w:rFonts w:hint="eastAsia" w:ascii="方正仿宋简体" w:hAnsi="仿宋" w:eastAsia="方正仿宋简体" w:cs="仿宋"/>
          <w:sz w:val="32"/>
          <w:szCs w:val="32"/>
        </w:rPr>
        <w:t>对“十三五”时期中方县易地扶贫搬迁完成任务1009户3840人的后续扶持工作进行评价，</w:t>
      </w:r>
      <w:r>
        <w:rPr>
          <w:rFonts w:hint="eastAsia" w:ascii="方正仿宋简体" w:hAnsi="仿宋" w:eastAsia="方正仿宋简体" w:cs="仿宋"/>
          <w:color w:val="000000"/>
          <w:sz w:val="32"/>
          <w:szCs w:val="32"/>
        </w:rPr>
        <w:t>按照习近平总书记提出的“四个要跟上”和“三个全覆盖”要求，强化易地扶贫搬迁后续帮扶，加强搬迁安置区社区化服务管理，大力开展产业和就业帮扶，切实提高搬迁群众的获得感和幸福感，确保1009户3840名搬迁群众“稳得住、有就业、逐步能致富”。</w:t>
      </w:r>
    </w:p>
    <w:p w14:paraId="289242B9">
      <w:pPr>
        <w:widowControl w:val="0"/>
        <w:spacing w:after="0" w:line="560" w:lineRule="exact"/>
        <w:ind w:firstLine="643" w:firstLineChars="200"/>
        <w:jc w:val="both"/>
        <w:rPr>
          <w:rFonts w:hint="eastAsia" w:ascii="方正仿宋简体" w:hAnsi="仿宋" w:eastAsia="方正仿宋简体" w:cs="仿宋"/>
          <w:sz w:val="32"/>
          <w:szCs w:val="32"/>
        </w:rPr>
      </w:pPr>
      <w:r>
        <w:rPr>
          <w:rFonts w:hint="eastAsia" w:ascii="方正仿宋简体" w:hAnsi="仿宋" w:eastAsia="方正仿宋简体" w:cs="仿宋"/>
          <w:b/>
          <w:bCs/>
          <w:sz w:val="32"/>
          <w:szCs w:val="32"/>
        </w:rPr>
        <w:t>（二）绩效评价原则、评价指标体系（附表说明）、评价方法、评价标准等</w:t>
      </w:r>
      <w:r>
        <w:rPr>
          <w:rFonts w:hint="eastAsia" w:ascii="方正仿宋简体" w:hAnsi="仿宋" w:eastAsia="方正仿宋简体" w:cs="仿宋"/>
          <w:sz w:val="32"/>
          <w:szCs w:val="32"/>
        </w:rPr>
        <w:t>。分析</w:t>
      </w:r>
      <w:r>
        <w:rPr>
          <w:rFonts w:hint="eastAsia" w:ascii="方正仿宋简体" w:hAnsi="仿宋" w:eastAsia="方正仿宋简体"/>
          <w:sz w:val="32"/>
          <w:szCs w:val="32"/>
        </w:rPr>
        <w:t>产出指标、效益指标、满意度指标三大类指标，重点从项目概算评审数量、评审效率、概算金额审减率等方面进行评价，主要通过审阅资料、现场核实等方式进行评价。</w:t>
      </w:r>
    </w:p>
    <w:p w14:paraId="1C1678DB">
      <w:pPr>
        <w:pStyle w:val="10"/>
        <w:widowControl w:val="0"/>
        <w:adjustRightInd/>
        <w:snapToGrid/>
        <w:spacing w:after="0" w:line="560" w:lineRule="exact"/>
        <w:ind w:firstLine="643" w:firstLineChars="200"/>
        <w:jc w:val="both"/>
        <w:rPr>
          <w:rFonts w:hint="eastAsia" w:ascii="方正仿宋简体" w:hAnsi="仿宋" w:eastAsia="方正仿宋简体" w:cs="仿宋"/>
          <w:sz w:val="32"/>
          <w:szCs w:val="32"/>
        </w:rPr>
      </w:pPr>
      <w:r>
        <w:rPr>
          <w:rFonts w:hint="eastAsia" w:ascii="方正仿宋简体" w:hAnsi="仿宋" w:eastAsia="方正仿宋简体" w:cs="仿宋"/>
          <w:b/>
          <w:bCs/>
          <w:sz w:val="32"/>
          <w:szCs w:val="32"/>
        </w:rPr>
        <w:t>（三）绩效评价工作过程。</w:t>
      </w:r>
      <w:r>
        <w:rPr>
          <w:rFonts w:hint="eastAsia" w:ascii="方正仿宋简体" w:hAnsi="仿宋" w:eastAsia="方正仿宋简体"/>
          <w:sz w:val="32"/>
          <w:szCs w:val="32"/>
        </w:rPr>
        <w:t>县易迁后扶办负责对该项目进行绩效评价，绩效评价现场由县发改局、财政局相关股室负责人参加，通过查阅资料、收付款凭据等资料进行绩效复核。</w:t>
      </w:r>
    </w:p>
    <w:p w14:paraId="1B811794">
      <w:pPr>
        <w:widowControl w:val="0"/>
        <w:spacing w:after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三、综合评价情况及评价结论（附相关评分表）</w:t>
      </w:r>
    </w:p>
    <w:p w14:paraId="44B06CC4">
      <w:pPr>
        <w:pStyle w:val="10"/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方正仿宋简体" w:hAnsi="仿宋" w:eastAsia="方正仿宋简体" w:cs="仿宋"/>
          <w:sz w:val="32"/>
          <w:szCs w:val="32"/>
        </w:rPr>
      </w:pPr>
      <w:r>
        <w:rPr>
          <w:rFonts w:hint="eastAsia" w:ascii="方正仿宋简体" w:hAnsi="仿宋" w:eastAsia="方正仿宋简体" w:cs="仿宋"/>
          <w:color w:val="000000"/>
          <w:sz w:val="32"/>
          <w:szCs w:val="32"/>
        </w:rPr>
        <w:t>项目支出绩效自评得分100分，为优秀等级。</w:t>
      </w:r>
    </w:p>
    <w:p w14:paraId="591696FE">
      <w:pPr>
        <w:widowControl w:val="0"/>
        <w:spacing w:after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四、绩效评价指标分析</w:t>
      </w:r>
    </w:p>
    <w:p w14:paraId="05CC3AA2">
      <w:pPr>
        <w:pStyle w:val="10"/>
        <w:widowControl w:val="0"/>
        <w:adjustRightInd/>
        <w:snapToGrid/>
        <w:spacing w:after="0" w:line="560" w:lineRule="exact"/>
        <w:ind w:firstLine="643" w:firstLineChars="200"/>
        <w:jc w:val="both"/>
        <w:rPr>
          <w:rFonts w:hint="eastAsia" w:ascii="方正仿宋简体" w:hAnsi="仿宋" w:eastAsia="方正仿宋简体" w:cs="仿宋"/>
          <w:sz w:val="32"/>
          <w:szCs w:val="32"/>
        </w:rPr>
      </w:pPr>
      <w:r>
        <w:rPr>
          <w:rFonts w:hint="eastAsia" w:ascii="方正仿宋简体" w:hAnsi="仿宋" w:eastAsia="方正仿宋简体" w:cs="仿宋"/>
          <w:b/>
          <w:bCs/>
          <w:sz w:val="32"/>
          <w:szCs w:val="32"/>
        </w:rPr>
        <w:t>（一）项目决策情况。</w:t>
      </w:r>
      <w:r>
        <w:rPr>
          <w:rFonts w:hint="eastAsia" w:ascii="方正仿宋简体" w:hAnsi="仿宋" w:eastAsia="方正仿宋简体" w:cs="仿宋"/>
          <w:sz w:val="32"/>
          <w:szCs w:val="32"/>
        </w:rPr>
        <w:t>根据《2022中方县乡村振兴、财政涉农资金统筹》文件要求，开展县易地扶贫搬迁后续扶持工作。</w:t>
      </w:r>
    </w:p>
    <w:p w14:paraId="60B0D48F">
      <w:pPr>
        <w:pStyle w:val="10"/>
        <w:widowControl w:val="0"/>
        <w:adjustRightInd/>
        <w:snapToGrid/>
        <w:spacing w:after="0" w:line="560" w:lineRule="exact"/>
        <w:ind w:firstLine="643" w:firstLineChars="200"/>
        <w:jc w:val="both"/>
        <w:rPr>
          <w:rFonts w:hint="eastAsia" w:ascii="方正仿宋简体" w:hAnsi="仿宋" w:eastAsia="方正仿宋简体" w:cs="仿宋"/>
          <w:sz w:val="32"/>
          <w:szCs w:val="32"/>
        </w:rPr>
      </w:pPr>
      <w:r>
        <w:rPr>
          <w:rFonts w:hint="eastAsia" w:ascii="方正仿宋简体" w:hAnsi="仿宋" w:eastAsia="方正仿宋简体" w:cs="仿宋"/>
          <w:b/>
          <w:bCs/>
          <w:sz w:val="32"/>
          <w:szCs w:val="32"/>
        </w:rPr>
        <w:t>（二）项目过程情况。</w:t>
      </w:r>
      <w:r>
        <w:rPr>
          <w:rFonts w:hint="eastAsia" w:ascii="方正仿宋简体" w:hAnsi="仿宋" w:eastAsia="方正仿宋简体" w:cs="仿宋"/>
          <w:sz w:val="32"/>
          <w:szCs w:val="32"/>
        </w:rPr>
        <w:t>项目建设单位提出概算申请并提交概算报告及初步设计等资料，县易迁后扶办组织验收，县发改局、县财政局进行审核。</w:t>
      </w:r>
    </w:p>
    <w:p w14:paraId="0CF24AD1">
      <w:pPr>
        <w:widowControl w:val="0"/>
        <w:spacing w:after="0" w:line="560" w:lineRule="exact"/>
        <w:ind w:firstLine="643" w:firstLineChars="200"/>
        <w:jc w:val="both"/>
        <w:outlineLvl w:val="0"/>
        <w:rPr>
          <w:rFonts w:hint="eastAsia" w:ascii="方正仿宋简体" w:hAnsi="仿宋" w:eastAsia="方正仿宋简体" w:cs="仿宋"/>
          <w:sz w:val="32"/>
          <w:szCs w:val="32"/>
        </w:rPr>
      </w:pPr>
      <w:r>
        <w:rPr>
          <w:rFonts w:hint="eastAsia" w:ascii="方正仿宋简体" w:hAnsi="仿宋" w:eastAsia="方正仿宋简体" w:cs="仿宋"/>
          <w:b/>
          <w:bCs/>
          <w:sz w:val="32"/>
          <w:szCs w:val="32"/>
        </w:rPr>
        <w:t>（三）项目产出情况。</w:t>
      </w:r>
      <w:r>
        <w:rPr>
          <w:rFonts w:hint="eastAsia" w:ascii="方正仿宋简体" w:hAnsi="仿宋" w:eastAsia="方正仿宋简体" w:cs="仿宋"/>
          <w:sz w:val="32"/>
          <w:szCs w:val="32"/>
        </w:rPr>
        <w:t>资金支付率100%，确保了2022年度易地扶贫搬迁户未出现返贫人员。</w:t>
      </w:r>
    </w:p>
    <w:p w14:paraId="5E1FE12C">
      <w:pPr>
        <w:widowControl w:val="0"/>
        <w:spacing w:after="0" w:line="560" w:lineRule="exact"/>
        <w:ind w:firstLine="643" w:firstLineChars="200"/>
        <w:jc w:val="both"/>
        <w:rPr>
          <w:rFonts w:hint="eastAsia" w:ascii="方正仿宋简体" w:hAnsi="仿宋" w:eastAsia="方正仿宋简体" w:cs="仿宋"/>
          <w:color w:val="000000"/>
          <w:sz w:val="32"/>
          <w:szCs w:val="32"/>
        </w:rPr>
      </w:pPr>
      <w:r>
        <w:rPr>
          <w:rFonts w:hint="eastAsia" w:ascii="方正仿宋简体" w:hAnsi="仿宋" w:eastAsia="方正仿宋简体" w:cs="仿宋"/>
          <w:b/>
          <w:bCs/>
          <w:sz w:val="32"/>
          <w:szCs w:val="32"/>
        </w:rPr>
        <w:t>（四）项目效益情况。</w:t>
      </w:r>
      <w:r>
        <w:rPr>
          <w:rFonts w:hint="eastAsia" w:ascii="方正仿宋简体" w:hAnsi="仿宋" w:eastAsia="方正仿宋简体" w:cs="仿宋"/>
          <w:color w:val="000000"/>
          <w:sz w:val="32"/>
          <w:szCs w:val="32"/>
        </w:rPr>
        <w:t>切实提高搬迁群众的获得感和幸福感，确保1009户3840名搬迁群众“稳得住、有就业、逐步能致富”。</w:t>
      </w:r>
    </w:p>
    <w:p w14:paraId="42AB633A">
      <w:pPr>
        <w:widowControl w:val="0"/>
        <w:numPr>
          <w:ilvl w:val="0"/>
          <w:numId w:val="1"/>
        </w:numPr>
        <w:spacing w:after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主要经验及做法、存在的问题及原因分析</w:t>
      </w:r>
    </w:p>
    <w:p w14:paraId="0B21E720">
      <w:pPr>
        <w:pStyle w:val="10"/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方正仿宋简体" w:eastAsia="方正仿宋简体"/>
        </w:rPr>
      </w:pPr>
      <w:r>
        <w:rPr>
          <w:rFonts w:hint="eastAsia" w:ascii="方正仿宋简体" w:hAnsi="Times New Roman" w:eastAsia="方正仿宋简体"/>
          <w:color w:val="000000"/>
          <w:sz w:val="32"/>
          <w:szCs w:val="32"/>
        </w:rPr>
        <w:t>主要做法：严格按照</w:t>
      </w:r>
      <w:r>
        <w:rPr>
          <w:rFonts w:hint="eastAsia" w:ascii="方正仿宋简体" w:hAnsi="仿宋" w:eastAsia="方正仿宋简体" w:cs="仿宋"/>
          <w:sz w:val="32"/>
          <w:szCs w:val="32"/>
        </w:rPr>
        <w:t>《2022中方县乡村振兴、财政涉农资金统筹》文件要求，确保资金拨付合规，有效开展县易地扶贫搬迁后续扶持工作。</w:t>
      </w:r>
    </w:p>
    <w:p w14:paraId="41523096">
      <w:pPr>
        <w:widowControl w:val="0"/>
        <w:spacing w:after="0" w:line="560" w:lineRule="exact"/>
        <w:jc w:val="both"/>
        <w:rPr>
          <w:rFonts w:hint="eastAsia" w:ascii="方正仿宋简体" w:hAnsi="仿宋" w:eastAsia="方正仿宋简体" w:cs="仿宋"/>
          <w:sz w:val="32"/>
          <w:szCs w:val="32"/>
        </w:rPr>
      </w:pPr>
      <w:r>
        <w:rPr>
          <w:rFonts w:hint="eastAsia" w:ascii="方正仿宋简体" w:hAnsi="宋体" w:eastAsia="方正仿宋简体" w:cs="宋体"/>
          <w:sz w:val="30"/>
          <w:szCs w:val="30"/>
        </w:rPr>
        <w:t xml:space="preserve"> </w:t>
      </w:r>
      <w:r>
        <w:rPr>
          <w:rFonts w:hint="eastAsia" w:ascii="方正仿宋简体" w:hAnsi="宋体" w:eastAsia="方正仿宋简体" w:cs="宋体"/>
          <w:sz w:val="32"/>
          <w:szCs w:val="32"/>
        </w:rPr>
        <w:t xml:space="preserve">   </w:t>
      </w:r>
    </w:p>
    <w:p w14:paraId="7398F304">
      <w:pPr>
        <w:pStyle w:val="10"/>
        <w:widowControl w:val="0"/>
        <w:adjustRightInd/>
        <w:snapToGrid/>
        <w:spacing w:after="0" w:line="560" w:lineRule="exact"/>
        <w:ind w:firstLine="2880" w:firstLineChars="900"/>
        <w:jc w:val="both"/>
        <w:rPr>
          <w:rFonts w:hint="eastAsia" w:ascii="方正仿宋简体" w:hAnsi="仿宋" w:eastAsia="方正仿宋简体" w:cs="仿宋"/>
          <w:sz w:val="32"/>
          <w:szCs w:val="32"/>
        </w:rPr>
      </w:pPr>
    </w:p>
    <w:p w14:paraId="54BD16AC">
      <w:pPr>
        <w:pStyle w:val="10"/>
        <w:widowControl w:val="0"/>
        <w:adjustRightInd/>
        <w:snapToGrid/>
        <w:spacing w:after="0" w:line="560" w:lineRule="exact"/>
        <w:ind w:firstLine="2880" w:firstLineChars="900"/>
        <w:jc w:val="both"/>
        <w:rPr>
          <w:rFonts w:hint="eastAsia" w:ascii="方正仿宋简体" w:hAnsi="仿宋" w:eastAsia="方正仿宋简体" w:cs="仿宋"/>
          <w:sz w:val="32"/>
          <w:szCs w:val="32"/>
        </w:rPr>
      </w:pPr>
      <w:r>
        <w:rPr>
          <w:rFonts w:hint="eastAsia" w:ascii="方正仿宋简体" w:hAnsi="仿宋" w:eastAsia="方正仿宋简体" w:cs="仿宋"/>
          <w:sz w:val="32"/>
          <w:szCs w:val="32"/>
        </w:rPr>
        <w:t>中方县易地扶贫搬迁后续扶持联席办</w:t>
      </w:r>
    </w:p>
    <w:p w14:paraId="6048777B">
      <w:pPr>
        <w:pStyle w:val="10"/>
        <w:widowControl w:val="0"/>
        <w:adjustRightInd/>
        <w:snapToGrid/>
        <w:spacing w:after="0" w:line="560" w:lineRule="exact"/>
        <w:ind w:firstLine="3840" w:firstLineChars="1200"/>
        <w:jc w:val="both"/>
        <w:rPr>
          <w:rFonts w:hint="eastAsia" w:ascii="方正仿宋简体" w:hAnsi="仿宋" w:eastAsia="方正仿宋简体" w:cs="仿宋"/>
          <w:sz w:val="32"/>
          <w:szCs w:val="32"/>
        </w:rPr>
      </w:pPr>
    </w:p>
    <w:p w14:paraId="76D92D7F">
      <w:pPr>
        <w:pStyle w:val="10"/>
        <w:widowControl w:val="0"/>
        <w:adjustRightInd/>
        <w:snapToGrid/>
        <w:spacing w:after="0" w:line="560" w:lineRule="exact"/>
        <w:ind w:firstLine="3840" w:firstLineChars="1200"/>
        <w:jc w:val="both"/>
        <w:rPr>
          <w:rFonts w:hint="eastAsia"/>
        </w:rPr>
      </w:pPr>
      <w:r>
        <w:rPr>
          <w:rFonts w:hint="eastAsia" w:ascii="方正仿宋简体" w:hAnsi="仿宋" w:eastAsia="方正仿宋简体" w:cs="仿宋"/>
          <w:sz w:val="32"/>
          <w:szCs w:val="32"/>
        </w:rPr>
        <w:t>2023年</w:t>
      </w:r>
      <w:r>
        <w:rPr>
          <w:rFonts w:hint="eastAsia" w:ascii="方正仿宋简体" w:hAnsi="仿宋" w:eastAsia="方正仿宋简体" w:cs="仿宋"/>
          <w:sz w:val="32"/>
          <w:szCs w:val="32"/>
          <w:lang w:val="en-US" w:eastAsia="zh-CN"/>
        </w:rPr>
        <w:t>7</w:t>
      </w:r>
      <w:r>
        <w:rPr>
          <w:rFonts w:hint="eastAsia" w:ascii="方正仿宋简体" w:hAnsi="仿宋" w:eastAsia="方正仿宋简体" w:cs="仿宋"/>
          <w:sz w:val="32"/>
          <w:szCs w:val="32"/>
        </w:rPr>
        <w:t>月</w:t>
      </w:r>
      <w:r>
        <w:rPr>
          <w:rFonts w:hint="eastAsia" w:ascii="方正仿宋简体" w:hAnsi="仿宋" w:eastAsia="方正仿宋简体" w:cs="仿宋"/>
          <w:sz w:val="32"/>
          <w:szCs w:val="32"/>
          <w:lang w:val="en-US" w:eastAsia="zh-CN"/>
        </w:rPr>
        <w:t>13</w:t>
      </w:r>
      <w:r>
        <w:rPr>
          <w:rFonts w:hint="eastAsia" w:ascii="方正仿宋简体" w:hAnsi="仿宋" w:eastAsia="方正仿宋简体" w:cs="仿宋"/>
          <w:sz w:val="32"/>
          <w:szCs w:val="32"/>
        </w:rPr>
        <w:t>日</w:t>
      </w:r>
    </w:p>
    <w:sectPr>
      <w:footerReference r:id="rId4" w:type="default"/>
      <w:pgSz w:w="11906" w:h="16838"/>
      <w:pgMar w:top="1440" w:right="1800" w:bottom="110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02B7DF-F10C-4085-A86E-6B2FC6CC59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F220D2F-7D41-4B50-8918-8B1F220F96B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AD74D781-57FC-468D-9B8A-BEDF1463310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6EB866C-20D1-4F34-9BAC-0FEDDECF4736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9BA48E8B-F1F8-4189-9092-AC8F67377E5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97279">
    <w:pPr>
      <w:pStyle w:val="6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703E37"/>
    <w:multiLevelType w:val="singleLevel"/>
    <w:tmpl w:val="91703E37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kNTMyN2M3YzE0ZjFiMmYyM2E3YTk1OThhMzU0MTAifQ=="/>
  </w:docVars>
  <w:rsids>
    <w:rsidRoot w:val="006F2E2F"/>
    <w:rsid w:val="00102450"/>
    <w:rsid w:val="006F2E2F"/>
    <w:rsid w:val="0074613A"/>
    <w:rsid w:val="00D33D2F"/>
    <w:rsid w:val="00FE0397"/>
    <w:rsid w:val="01FB42F7"/>
    <w:rsid w:val="205158D4"/>
    <w:rsid w:val="311225C6"/>
    <w:rsid w:val="3FD4567E"/>
    <w:rsid w:val="43143F80"/>
    <w:rsid w:val="4446293B"/>
    <w:rsid w:val="4BAE073A"/>
    <w:rsid w:val="550C0D58"/>
    <w:rsid w:val="72880C71"/>
    <w:rsid w:val="73414050"/>
    <w:rsid w:val="756E03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  <w:rPr>
      <w:szCs w:val="24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仿宋" w:cs="Times New Roman"/>
      <w:sz w:val="32"/>
    </w:rPr>
  </w:style>
  <w:style w:type="paragraph" w:styleId="5">
    <w:name w:val="Body Text"/>
    <w:basedOn w:val="1"/>
    <w:next w:val="1"/>
    <w:qFormat/>
    <w:uiPriority w:val="0"/>
    <w:pPr>
      <w:widowControl/>
      <w:spacing w:line="360" w:lineRule="auto"/>
      <w:jc w:val="left"/>
    </w:pPr>
    <w:rPr>
      <w:rFonts w:ascii="宋体" w:hAnsi="Times New Roman"/>
      <w:kern w:val="0"/>
      <w:sz w:val="24"/>
      <w:szCs w:val="20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No Spacing"/>
    <w:basedOn w:val="1"/>
    <w:qFormat/>
    <w:uiPriority w:val="99"/>
  </w:style>
  <w:style w:type="paragraph" w:customStyle="1" w:styleId="11">
    <w:name w:val="Body text|2"/>
    <w:basedOn w:val="1"/>
    <w:qFormat/>
    <w:uiPriority w:val="99"/>
    <w:pPr>
      <w:spacing w:line="581" w:lineRule="exact"/>
      <w:ind w:left="260" w:firstLine="660"/>
      <w:jc w:val="left"/>
    </w:pPr>
    <w:rPr>
      <w:rFonts w:ascii="宋体" w:hAnsi="宋体" w:cs="宋体"/>
      <w:color w:val="000000"/>
      <w:kern w:val="0"/>
      <w:sz w:val="30"/>
      <w:szCs w:val="30"/>
      <w:lang w:val="zh-TW" w:eastAsia="zh-TW"/>
    </w:rPr>
  </w:style>
  <w:style w:type="paragraph" w:customStyle="1" w:styleId="12">
    <w:name w:val="Body text|4"/>
    <w:basedOn w:val="1"/>
    <w:qFormat/>
    <w:uiPriority w:val="99"/>
    <w:pPr>
      <w:spacing w:after="320"/>
      <w:jc w:val="left"/>
    </w:pPr>
    <w:rPr>
      <w:rFonts w:ascii="宋体" w:hAnsi="宋体" w:cs="宋体"/>
      <w:color w:val="000000"/>
      <w:kern w:val="0"/>
      <w:sz w:val="11"/>
      <w:szCs w:val="11"/>
      <w:lang w:val="zh-TW" w:eastAsia="zh-TW"/>
    </w:rPr>
  </w:style>
  <w:style w:type="paragraph" w:customStyle="1" w:styleId="13">
    <w:name w:val="Other|1"/>
    <w:basedOn w:val="1"/>
    <w:qFormat/>
    <w:uiPriority w:val="99"/>
    <w:pPr>
      <w:spacing w:line="410" w:lineRule="auto"/>
      <w:ind w:firstLine="400"/>
      <w:jc w:val="left"/>
    </w:pPr>
    <w:rPr>
      <w:rFonts w:ascii="宋体" w:hAnsi="宋体" w:cs="宋体"/>
      <w:color w:val="000000"/>
      <w:kern w:val="0"/>
      <w:sz w:val="20"/>
      <w:szCs w:val="20"/>
      <w:lang w:val="zh-TW" w:eastAsia="zh-TW"/>
    </w:rPr>
  </w:style>
  <w:style w:type="paragraph" w:customStyle="1" w:styleId="14">
    <w:name w:val="Other|2"/>
    <w:basedOn w:val="1"/>
    <w:qFormat/>
    <w:uiPriority w:val="99"/>
    <w:pPr>
      <w:jc w:val="center"/>
    </w:pPr>
    <w:rPr>
      <w:rFonts w:ascii="宋体" w:hAnsi="宋体" w:cs="宋体"/>
      <w:color w:val="000000"/>
      <w:kern w:val="0"/>
      <w:sz w:val="20"/>
      <w:szCs w:val="20"/>
      <w:lang w:val="zh-TW" w:eastAsia="zh-TW"/>
    </w:rPr>
  </w:style>
  <w:style w:type="character" w:customStyle="1" w:styleId="15">
    <w:name w:val="页眉 Char"/>
    <w:basedOn w:val="9"/>
    <w:link w:val="7"/>
    <w:qFormat/>
    <w:uiPriority w:val="0"/>
    <w:rPr>
      <w:rFonts w:ascii="Tahoma" w:hAnsi="Tahoma" w:eastAsia="微软雅黑"/>
      <w:sz w:val="18"/>
      <w:szCs w:val="18"/>
    </w:rPr>
  </w:style>
  <w:style w:type="character" w:customStyle="1" w:styleId="16">
    <w:name w:val="页脚 Char"/>
    <w:basedOn w:val="9"/>
    <w:link w:val="6"/>
    <w:qFormat/>
    <w:uiPriority w:val="99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1542</Words>
  <Characters>1705</Characters>
  <Lines>13</Lines>
  <Paragraphs>3</Paragraphs>
  <TotalTime>3</TotalTime>
  <ScaleCrop>false</ScaleCrop>
  <LinksUpToDate>false</LinksUpToDate>
  <CharactersWithSpaces>1718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2023-06-08T08:24:00Z</dcterms:created>
  <dc:creator>Administrator</dc:creator>
  <cp:lastModifiedBy>祁某人</cp:lastModifiedBy>
  <cp:lastPrinted>2023-07-27T01:42:00Z</cp:lastPrinted>
  <dcterms:modified xsi:type="dcterms:W3CDTF">2026-07-06T04:09:13Z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82AECCBC65734D3CBA4A8C1BA9AF3EC3_13</vt:lpwstr>
  </property>
  <property fmtid="{D5CDD505-2E9C-101B-9397-08002B2CF9AE}" pid="4" name="KSOTemplateDocerSaveRecord">
    <vt:lpwstr>eyJoZGlkIjoiYTYzOWYxNjMwNGEyNjY3YjI4MWZmNzQ2NGM0NjRhY2QiLCJ1c2VySWQiOiI0MDg5NDE3MTYifQ==</vt:lpwstr>
  </property>
</Properties>
</file>