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734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jc w:val="both"/>
        <w:textAlignment w:val="auto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附件1：</w:t>
      </w:r>
    </w:p>
    <w:p w14:paraId="2E129791">
      <w:pPr>
        <w:spacing w:after="0" w:line="7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项目支出绩效自评表</w:t>
      </w:r>
    </w:p>
    <w:p w14:paraId="0A297982">
      <w:pPr>
        <w:spacing w:after="0"/>
        <w:jc w:val="center"/>
        <w:rPr>
          <w:rFonts w:ascii="黑体" w:hAnsi="黑体" w:eastAsia="黑体" w:cs="黑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2022</w:t>
      </w:r>
      <w:r>
        <w:rPr>
          <w:rFonts w:hint="eastAsia" w:ascii="宋体" w:hAnsi="宋体" w:eastAsia="宋体" w:cs="宋体"/>
          <w:sz w:val="24"/>
          <w:szCs w:val="24"/>
        </w:rPr>
        <w:t>年度）</w:t>
      </w:r>
    </w:p>
    <w:tbl>
      <w:tblPr>
        <w:tblStyle w:val="6"/>
        <w:tblW w:w="90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980"/>
        <w:gridCol w:w="1195"/>
        <w:gridCol w:w="647"/>
        <w:gridCol w:w="1134"/>
        <w:gridCol w:w="284"/>
        <w:gridCol w:w="850"/>
        <w:gridCol w:w="851"/>
        <w:gridCol w:w="283"/>
        <w:gridCol w:w="284"/>
        <w:gridCol w:w="425"/>
        <w:gridCol w:w="142"/>
        <w:gridCol w:w="709"/>
        <w:gridCol w:w="708"/>
      </w:tblGrid>
      <w:tr w14:paraId="58D83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217E6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项目名称</w:t>
            </w:r>
          </w:p>
        </w:tc>
        <w:tc>
          <w:tcPr>
            <w:tcW w:w="751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A0F6C">
            <w:pPr>
              <w:spacing w:line="240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中方县农村客货邮融合发展试点县建设项目</w:t>
            </w:r>
          </w:p>
        </w:tc>
      </w:tr>
      <w:tr w14:paraId="18DAA2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F5DBB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主管部门</w:t>
            </w:r>
          </w:p>
        </w:tc>
        <w:tc>
          <w:tcPr>
            <w:tcW w:w="41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F7C0B4">
            <w:pPr>
              <w:spacing w:line="240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中方县发展和改革局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D6E2FB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A029BD">
            <w:pPr>
              <w:spacing w:line="240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湖南德隆民生信息科技有限公司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.怀化望家欢农业科技有限公司</w:t>
            </w:r>
          </w:p>
        </w:tc>
      </w:tr>
      <w:tr w14:paraId="3A727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15254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项目资金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（万元）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E20D7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39433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年初预算数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FBD3B4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11F6AD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65EC99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EB1D9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B9A437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得分</w:t>
            </w:r>
          </w:p>
        </w:tc>
      </w:tr>
      <w:tr w14:paraId="3CCCE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FBBCB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55B293">
            <w:pPr>
              <w:spacing w:line="240" w:lineRule="exac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84C5C3">
            <w:pPr>
              <w:spacing w:line="240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B6F7A5">
            <w:pPr>
              <w:spacing w:line="240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D9B07F">
            <w:pPr>
              <w:spacing w:line="240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800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5582DF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A22034">
            <w:pPr>
              <w:spacing w:line="240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D4C4AB">
            <w:pPr>
              <w:spacing w:line="240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</w:tr>
      <w:tr w14:paraId="782A0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2BF77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DDC8C4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20C669">
            <w:pPr>
              <w:spacing w:line="240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3479E6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69B00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800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EA8027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7D3F8A">
            <w:pPr>
              <w:spacing w:line="240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53072E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—</w:t>
            </w:r>
          </w:p>
        </w:tc>
      </w:tr>
      <w:tr w14:paraId="2E5DA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E387E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C28A6B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8640FE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BBDEBD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427450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611252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DDCCF1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35C3CA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—</w:t>
            </w:r>
          </w:p>
        </w:tc>
      </w:tr>
      <w:tr w14:paraId="36FD91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6C73D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B06174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 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00B0A0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CAC051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44A276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173F9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DEC80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0856F0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—</w:t>
            </w:r>
          </w:p>
        </w:tc>
      </w:tr>
      <w:tr w14:paraId="5ECEE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DCDAD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年度总体目标</w:t>
            </w: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D7E438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0EA70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实际完成情况</w:t>
            </w:r>
          </w:p>
        </w:tc>
      </w:tr>
      <w:tr w14:paraId="5F2D1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exact"/>
          <w:jc w:val="center"/>
        </w:trPr>
        <w:tc>
          <w:tcPr>
            <w:tcW w:w="5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D17DC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54B665">
            <w:pPr>
              <w:spacing w:line="240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完成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村级物流网点建设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、冷链配送中心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建设、物流信息化平台建设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C80072">
            <w:pPr>
              <w:spacing w:line="240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村级物流网点建设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、冷链配送中心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建设、物流信息化平台建设均已完工并投入使用</w:t>
            </w:r>
          </w:p>
        </w:tc>
      </w:tr>
      <w:tr w14:paraId="4E8385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69CF126A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绩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效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指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51AA4E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一级指标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FB8EC0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二级指标</w:t>
            </w: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169AD8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三级指标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D57B0">
            <w:pPr>
              <w:spacing w:after="0"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年度</w:t>
            </w:r>
          </w:p>
          <w:p w14:paraId="4FFAAC4B">
            <w:pPr>
              <w:spacing w:after="0"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7371B7">
            <w:pPr>
              <w:spacing w:after="0"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实际</w:t>
            </w:r>
          </w:p>
          <w:p w14:paraId="7A186CC7">
            <w:pPr>
              <w:spacing w:after="0"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7F40F3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分值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E52102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得分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BBA184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偏差原因分析及改进措施</w:t>
            </w:r>
          </w:p>
        </w:tc>
      </w:tr>
      <w:tr w14:paraId="5862D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5FA25F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145CB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产出指标</w:t>
            </w:r>
          </w:p>
        </w:tc>
        <w:tc>
          <w:tcPr>
            <w:tcW w:w="11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1EED2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数量指标</w:t>
            </w: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B4FC7C">
            <w:pPr>
              <w:spacing w:line="24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指标1：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  <w:t>项目开工数量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340700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C686C6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1264B3">
            <w:pPr>
              <w:spacing w:line="240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E6A276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34EF7C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5F46F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7E1CE3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B4D1D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BE2EA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DEC8A6">
            <w:pPr>
              <w:spacing w:line="24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E895BD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41B77B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29EF18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D4B6EC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E19A19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3E7804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1E432E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F6274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117C5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DB01CE">
            <w:pPr>
              <w:spacing w:line="24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9DED6D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259AB2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895FD0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F6BCBA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B07C4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4ACD3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10271E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82D0B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4B646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质量指标</w:t>
            </w: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4847C0">
            <w:pPr>
              <w:spacing w:line="24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指标1：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  <w:t>投资完成率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D7E219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2A973A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E21D4">
            <w:pPr>
              <w:spacing w:line="240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B7CAC7">
            <w:pPr>
              <w:spacing w:line="240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7EE51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588F67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37E4F4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022D1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54FE6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BE47EB">
            <w:pPr>
              <w:spacing w:line="24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8982BA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EABC52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113BAD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2210AE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649B8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3A7F5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C6F87D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0745A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C22D5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F2EBA2">
            <w:pPr>
              <w:spacing w:line="24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2CBE6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E28187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33C190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7B5B1F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5104A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10D4E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75AAD7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0A9FE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10046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时效指标</w:t>
            </w: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7A1830">
            <w:pPr>
              <w:spacing w:line="24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指标1：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资金划拨及时率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73CA49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上级资金按进度拨付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4CDE2B">
            <w:pPr>
              <w:spacing w:line="240" w:lineRule="exact"/>
              <w:jc w:val="both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800万元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076FBD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BEBBCB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07791F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1BF10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2A538C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4BADC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1B5B3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DA602B">
            <w:pPr>
              <w:spacing w:line="24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83B2C4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F3284F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54811D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FA4A33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6C7BCE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525D36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89A58A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5909D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53D58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B89621">
            <w:pPr>
              <w:spacing w:line="24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89710E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117364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CBAB46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6A8C28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2D7C50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5FA71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94F654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3486C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AE7CB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成本指标</w:t>
            </w: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3F5356">
            <w:pPr>
              <w:spacing w:line="24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指标1：完成项目支出计划工作目标的实际节约成本与计划成本的比率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A53411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  <w:lang w:eastAsia="zh-CN"/>
              </w:rPr>
              <w:t>≤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238849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513E35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5FE50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4A771A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6E8FF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04E1FA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AC2F2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A1DBB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94F292">
            <w:pPr>
              <w:spacing w:line="24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C7F97A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EC80A2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97AE6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5C12A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A56278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6499B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327D05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626C7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A2CEE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29705A">
            <w:pPr>
              <w:spacing w:line="24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B7F0B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55D29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D4B9C5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DE7681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12BF8D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6C037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6EE30C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0DEB5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效益指标</w:t>
            </w:r>
          </w:p>
        </w:tc>
        <w:tc>
          <w:tcPr>
            <w:tcW w:w="11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E8DD8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经济效益</w:t>
            </w:r>
          </w:p>
          <w:p w14:paraId="10C345E8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指标</w:t>
            </w: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4F107">
            <w:pPr>
              <w:spacing w:line="24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指标1：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  <w:t>项目实施对经济发展所带来的直接或间接影响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371FCD">
            <w:pPr>
              <w:spacing w:line="240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物流成本降低，物流效率提升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571236">
            <w:pPr>
              <w:spacing w:line="240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物流成本降低，物流效率提升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B87BB2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FC1DA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4476CC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5D4B90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0E5928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40200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BA505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66DB48">
            <w:pPr>
              <w:spacing w:line="24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1E45FF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2D0FDD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CAD5E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10BA81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AE4F83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69795D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2EE4FE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66EE7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9B29C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6D29DC">
            <w:pPr>
              <w:spacing w:line="24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F240C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050FE7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B17827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4B7051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1A09A8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46C8E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D12CBB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7E53C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7A608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社会效益</w:t>
            </w:r>
          </w:p>
          <w:p w14:paraId="109EE00F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指标</w:t>
            </w: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A38D8">
            <w:pPr>
              <w:spacing w:line="24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指标1：对社会发展所带来的直接或间接影响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E38963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降本增效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E9347D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降本增效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B1446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FB6722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C6640F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4B499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25EEC1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6F70E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54834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1594D9">
            <w:pPr>
              <w:spacing w:line="24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853662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31A76A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DDC172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0767FA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DE311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3DCC5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EF082A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3E171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8D51C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A4406A">
            <w:pPr>
              <w:spacing w:line="24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4FBF78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5A8790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154403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0256BE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0C50A8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39136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B0DF44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ADED3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C62DE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生态效益</w:t>
            </w:r>
          </w:p>
          <w:p w14:paraId="2A6F4304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指标</w:t>
            </w: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E4D3DC">
            <w:pPr>
              <w:spacing w:line="24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指标1：对生态环境所带来的直接或间接影响情况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67D71B">
            <w:pPr>
              <w:spacing w:line="240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0污染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BD5090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0污染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2BEAE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3385D8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F802F3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2588D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128CA0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44051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779E2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78EE3D">
            <w:pPr>
              <w:spacing w:line="24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A0222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DBF4D0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0D4FCE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272EF3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98982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090B9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942F87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DB500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AEC2D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B18EF4">
            <w:pPr>
              <w:spacing w:line="24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58E52C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EB2033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192279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4435A3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893DE4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45C64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055A55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88F6A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66533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可持续影响指标</w:t>
            </w: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12E9B8">
            <w:pPr>
              <w:spacing w:line="240" w:lineRule="exac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指标1：提升当地就业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106BF7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有效提升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EF52E5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有效提升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326321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939146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B8BB34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51F64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84BEA5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5DD77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0BBA7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7A24EF">
            <w:pPr>
              <w:spacing w:line="24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4C8618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58CB2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80BABB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0DBC3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92A855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13BC8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2632AD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A193B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A0E53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9FA31B">
            <w:pPr>
              <w:spacing w:line="24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9BD1AF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2F06C5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1D1C7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073AB0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29BEF6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324E4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BD13EB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1D56DCBD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满意度</w:t>
            </w:r>
          </w:p>
          <w:p w14:paraId="65141481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指标</w:t>
            </w:r>
          </w:p>
        </w:tc>
        <w:tc>
          <w:tcPr>
            <w:tcW w:w="11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010CF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服务对象满意度指标</w:t>
            </w: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7AE6F0">
            <w:pPr>
              <w:spacing w:line="24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指标1：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扶持企业满意度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91BECB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F66138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ABFDA8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E9002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EDD83F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3E30A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08735E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56AA21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5C550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3A90E8">
            <w:pPr>
              <w:spacing w:line="24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6642F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42959F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7947AA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AE7BC6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512439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6663F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160FA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93596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7DC47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E4C063">
            <w:pPr>
              <w:spacing w:line="24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E4C6EF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6A439B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C15476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4EBDE2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76B11B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6A69A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65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653FD">
            <w:pPr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50B5AC">
            <w:pPr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A72A60">
            <w:pPr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EE8351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</w:tbl>
    <w:p w14:paraId="1BD2DEC6">
      <w:pPr>
        <w:spacing w:after="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ascii="黑体" w:hAnsi="黑体" w:eastAsia="黑体"/>
          <w:sz w:val="28"/>
          <w:szCs w:val="28"/>
        </w:rPr>
        <w:t>2</w:t>
      </w:r>
      <w:r>
        <w:rPr>
          <w:rFonts w:hint="eastAsia" w:ascii="黑体" w:hAnsi="黑体" w:eastAsia="黑体"/>
          <w:sz w:val="28"/>
          <w:szCs w:val="28"/>
        </w:rPr>
        <w:t>：</w:t>
      </w:r>
    </w:p>
    <w:p w14:paraId="36F9B9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中方县部门（单位）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2022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年度中方县</w:t>
      </w:r>
    </w:p>
    <w:p w14:paraId="42BAB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农村客货邮融合发展试点县建设项目</w:t>
      </w:r>
    </w:p>
    <w:p w14:paraId="5D5084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支出绩效自评报告</w:t>
      </w:r>
    </w:p>
    <w:p w14:paraId="666E8CC6">
      <w:pPr>
        <w:jc w:val="center"/>
        <w:rPr>
          <w:rFonts w:ascii="仿宋_GB2312"/>
          <w:szCs w:val="30"/>
        </w:rPr>
      </w:pPr>
    </w:p>
    <w:p w14:paraId="25898C2A">
      <w:pPr>
        <w:spacing w:after="0" w:line="60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一、基本情况</w:t>
      </w:r>
    </w:p>
    <w:p w14:paraId="43C1D877">
      <w:pPr>
        <w:spacing w:after="0" w:line="600" w:lineRule="exact"/>
        <w:ind w:firstLine="640" w:firstLineChars="200"/>
        <w:outlineLvl w:val="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（一）项目概况。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共3个项目：1、村级物流网点建设项目建设内容为装修130个村级物流网点，购置快递面单机、出库仪、智能终端机、高拍仪、打印复印一体机、真空包装机设备、冷柜、视频监控设备，制作统一的标识标牌；2、物流信息化平台项目建设内容为建成县级统一的信息服务平台，具备快递包裹的安全监管、过程跟踪和数据分析等功能，村级物流服务点信息服务功能，并与县级信息服务平台实现数据互联互通；3、冷链配送中心项目建设内容为新建650平方米农产品冷链库，新建装修农产品分拣中心及购置制冷设备。</w:t>
      </w:r>
    </w:p>
    <w:p w14:paraId="10D9A3F6">
      <w:pPr>
        <w:spacing w:after="0" w:line="60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（二）项目绩效目标。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2022年10月底前完成800万省预算内资金拨付、完成村级物流网点建设、冷链配送中心建设、物流信息化平台建设，并通过省检查组项目验收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7ECBAACA">
      <w:pPr>
        <w:spacing w:after="0" w:line="60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二、绩效评价工作开展情况</w:t>
      </w:r>
    </w:p>
    <w:p w14:paraId="1A140053">
      <w:pPr>
        <w:spacing w:after="0" w:line="60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</w:rPr>
        <w:t>（一）绩效评价目的、对象和范围。</w:t>
      </w:r>
      <w:r>
        <w:rPr>
          <w:rFonts w:ascii="仿宋" w:hAnsi="仿宋" w:eastAsia="仿宋" w:cs="Times New Roman"/>
          <w:sz w:val="32"/>
          <w:szCs w:val="32"/>
        </w:rPr>
        <w:t>绩效评价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目的是规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范</w:t>
      </w:r>
      <w:bookmarkStart w:id="0" w:name="_GoBack"/>
      <w:bookmarkEnd w:id="0"/>
      <w:r>
        <w:rPr>
          <w:rFonts w:hint="eastAsia" w:ascii="仿宋" w:hAnsi="仿宋" w:eastAsia="仿宋" w:cs="Times New Roman"/>
          <w:sz w:val="32"/>
          <w:szCs w:val="32"/>
          <w:lang w:eastAsia="zh-CN"/>
        </w:rPr>
        <w:t>最大限度发挥上级资金引导力。绩效评价对象和范围是由湖南德隆民生信息科技有限公司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实施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村级物流网点建设项目、物流信息化平台建设项目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由怀化望家欢农业科技有限公司实施的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冷链配送中心建设项目。</w:t>
      </w:r>
    </w:p>
    <w:p w14:paraId="7256D5AB">
      <w:pPr>
        <w:spacing w:after="0"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（二）绩效评价原则、评价指标体系（附表说明）、评价方法、评价标准等。</w:t>
      </w:r>
      <w:r>
        <w:rPr>
          <w:rFonts w:ascii="仿宋" w:hAnsi="仿宋" w:eastAsia="仿宋" w:cs="Times New Roman"/>
          <w:sz w:val="32"/>
          <w:szCs w:val="32"/>
        </w:rPr>
        <w:t>绩效评价原则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是规范使用上级资金，评价方法</w:t>
      </w:r>
      <w:r>
        <w:rPr>
          <w:rFonts w:ascii="仿宋" w:hAnsi="仿宋" w:eastAsia="仿宋" w:cs="Times New Roman"/>
          <w:sz w:val="32"/>
          <w:szCs w:val="32"/>
        </w:rPr>
        <w:t>、评价标准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见附件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。</w:t>
      </w:r>
    </w:p>
    <w:p w14:paraId="6EE5C07E">
      <w:pPr>
        <w:spacing w:after="0"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（三）绩效评价工作过程。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县发改局为该项目的日常监管责任单位，绩效评价由县发改局、县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交通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局、县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财政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局相关股室工作人员参与，通过查阅资料，现场查看的方式进行。</w:t>
      </w:r>
    </w:p>
    <w:p w14:paraId="5FB71794">
      <w:pPr>
        <w:spacing w:after="0" w:line="60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三、综合评价情况及评价结论（附相关评分表）</w:t>
      </w:r>
    </w:p>
    <w:p w14:paraId="60C37998">
      <w:pPr>
        <w:pStyle w:val="11"/>
        <w:spacing w:line="51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仿宋" w:hAnsi="仿宋" w:eastAsia="仿宋" w:cs="Times New Roman"/>
          <w:sz w:val="32"/>
          <w:szCs w:val="32"/>
        </w:rPr>
        <w:t>绩效评价等级一般划分为四档：</w:t>
      </w:r>
      <w:r>
        <w:rPr>
          <w:rFonts w:ascii="Times New Roman" w:hAnsi="Times New Roman" w:eastAsia="仿宋" w:cs="Times New Roman"/>
          <w:sz w:val="32"/>
          <w:szCs w:val="32"/>
        </w:rPr>
        <w:t>90</w:t>
      </w:r>
      <w:r>
        <w:rPr>
          <w:rFonts w:ascii="仿宋" w:hAnsi="仿宋" w:eastAsia="仿宋" w:cs="Times New Roman"/>
          <w:sz w:val="32"/>
          <w:szCs w:val="32"/>
        </w:rPr>
        <w:t>分（含）</w:t>
      </w:r>
      <w:r>
        <w:rPr>
          <w:rFonts w:ascii="Times New Roman" w:hAnsi="Times New Roman" w:eastAsia="仿宋" w:cs="Times New Roman"/>
          <w:sz w:val="32"/>
          <w:szCs w:val="32"/>
        </w:rPr>
        <w:t>—100</w:t>
      </w:r>
      <w:r>
        <w:rPr>
          <w:rFonts w:ascii="仿宋" w:hAnsi="仿宋" w:eastAsia="仿宋" w:cs="Times New Roman"/>
          <w:sz w:val="32"/>
          <w:szCs w:val="32"/>
        </w:rPr>
        <w:t>分为优，</w:t>
      </w:r>
      <w:r>
        <w:rPr>
          <w:rFonts w:ascii="Times New Roman" w:hAnsi="Times New Roman" w:eastAsia="仿宋" w:cs="Times New Roman"/>
          <w:sz w:val="32"/>
          <w:szCs w:val="32"/>
        </w:rPr>
        <w:t>80</w:t>
      </w:r>
      <w:r>
        <w:rPr>
          <w:rFonts w:ascii="仿宋" w:hAnsi="仿宋" w:eastAsia="仿宋" w:cs="Times New Roman"/>
          <w:sz w:val="32"/>
          <w:szCs w:val="32"/>
        </w:rPr>
        <w:t>分（含）</w:t>
      </w:r>
      <w:r>
        <w:rPr>
          <w:rFonts w:ascii="Times New Roman" w:hAnsi="Times New Roman" w:eastAsia="仿宋" w:cs="Times New Roman"/>
          <w:sz w:val="32"/>
          <w:szCs w:val="32"/>
        </w:rPr>
        <w:t>—90</w:t>
      </w:r>
      <w:r>
        <w:rPr>
          <w:rFonts w:ascii="仿宋" w:hAnsi="仿宋" w:eastAsia="仿宋" w:cs="Times New Roman"/>
          <w:sz w:val="32"/>
          <w:szCs w:val="32"/>
        </w:rPr>
        <w:t>分为良，</w:t>
      </w:r>
      <w:r>
        <w:rPr>
          <w:rFonts w:ascii="Times New Roman" w:hAnsi="Times New Roman" w:eastAsia="仿宋" w:cs="Times New Roman"/>
          <w:sz w:val="32"/>
          <w:szCs w:val="32"/>
        </w:rPr>
        <w:t>60</w:t>
      </w:r>
      <w:r>
        <w:rPr>
          <w:rFonts w:ascii="仿宋" w:hAnsi="仿宋" w:eastAsia="仿宋" w:cs="Times New Roman"/>
          <w:sz w:val="32"/>
          <w:szCs w:val="32"/>
        </w:rPr>
        <w:t>分（含）</w:t>
      </w:r>
      <w:r>
        <w:rPr>
          <w:rFonts w:ascii="Times New Roman" w:hAnsi="Times New Roman" w:eastAsia="仿宋" w:cs="Times New Roman"/>
          <w:sz w:val="32"/>
          <w:szCs w:val="32"/>
        </w:rPr>
        <w:t>—80</w:t>
      </w:r>
      <w:r>
        <w:rPr>
          <w:rFonts w:ascii="仿宋" w:hAnsi="仿宋" w:eastAsia="仿宋" w:cs="Times New Roman"/>
          <w:sz w:val="32"/>
          <w:szCs w:val="32"/>
        </w:rPr>
        <w:t>分为中，</w:t>
      </w:r>
      <w:r>
        <w:rPr>
          <w:rFonts w:ascii="Times New Roman" w:hAnsi="Times New Roman" w:eastAsia="仿宋" w:cs="Times New Roman"/>
          <w:sz w:val="32"/>
          <w:szCs w:val="32"/>
        </w:rPr>
        <w:t>60</w:t>
      </w:r>
      <w:r>
        <w:rPr>
          <w:rFonts w:ascii="仿宋" w:hAnsi="仿宋" w:eastAsia="仿宋" w:cs="Times New Roman"/>
          <w:sz w:val="32"/>
          <w:szCs w:val="32"/>
        </w:rPr>
        <w:t>分以下为差。</w:t>
      </w:r>
    </w:p>
    <w:p w14:paraId="720141E3">
      <w:pPr>
        <w:spacing w:after="0" w:line="60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 w:bidi="ar-SA"/>
        </w:rPr>
        <w:t>该项目评分100分,为优秀。</w:t>
      </w:r>
    </w:p>
    <w:p w14:paraId="625B86B2">
      <w:pPr>
        <w:spacing w:after="0" w:line="60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四、绩效评价指标分析</w:t>
      </w:r>
    </w:p>
    <w:p w14:paraId="3FA8FD20">
      <w:pPr>
        <w:spacing w:after="0" w:line="600" w:lineRule="exact"/>
        <w:ind w:firstLine="640" w:firstLineChars="200"/>
        <w:outlineLvl w:val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（一）项目决策情况。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该项目由县发改局、县财政局、县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交通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局按上级文件要求筛选而出，上报至省市发改委，通过后予以下达。</w:t>
      </w:r>
    </w:p>
    <w:p w14:paraId="0092665E">
      <w:pPr>
        <w:spacing w:after="0" w:line="600" w:lineRule="exact"/>
        <w:ind w:firstLine="640" w:firstLineChars="200"/>
        <w:outlineLvl w:val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（二）项目过程情况。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项目由湖南德隆民生信息科技有限公司、怀化望家欢农业科技有限公司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建设实施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，县发改局负责日常监管工作。</w:t>
      </w:r>
    </w:p>
    <w:p w14:paraId="7AFF59E0">
      <w:pPr>
        <w:spacing w:after="0" w:line="600" w:lineRule="exact"/>
        <w:ind w:firstLine="640" w:firstLineChars="200"/>
        <w:outlineLvl w:val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（三）项目产出情况。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目前项目已完工并通过验收。</w:t>
      </w:r>
    </w:p>
    <w:p w14:paraId="10B7393E">
      <w:pPr>
        <w:spacing w:after="0" w:line="600" w:lineRule="exact"/>
        <w:ind w:firstLine="640" w:firstLineChars="200"/>
        <w:outlineLvl w:val="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（四）项目效益情况。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物流成本降低，物流效率提升。</w:t>
      </w:r>
    </w:p>
    <w:p w14:paraId="0819091A">
      <w:pPr>
        <w:spacing w:after="0" w:line="60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五、主要经验及做法、存在的问题及原因分析</w:t>
      </w:r>
    </w:p>
    <w:p w14:paraId="30785568">
      <w:pPr>
        <w:spacing w:after="0" w:line="600" w:lineRule="exact"/>
        <w:ind w:firstLine="640" w:firstLineChars="200"/>
        <w:outlineLvl w:val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无。</w:t>
      </w:r>
    </w:p>
    <w:p w14:paraId="543BD97F">
      <w:pPr>
        <w:numPr>
          <w:ilvl w:val="0"/>
          <w:numId w:val="1"/>
        </w:numPr>
        <w:spacing w:after="0" w:line="60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有关建议</w:t>
      </w:r>
    </w:p>
    <w:p w14:paraId="6E3BA5FD">
      <w:pPr>
        <w:spacing w:after="0" w:line="600" w:lineRule="exact"/>
        <w:ind w:firstLine="640" w:firstLineChars="200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无。</w:t>
      </w:r>
    </w:p>
    <w:p w14:paraId="0A1FC45E">
      <w:pPr>
        <w:numPr>
          <w:ilvl w:val="0"/>
          <w:numId w:val="1"/>
        </w:numPr>
        <w:spacing w:after="0" w:line="600" w:lineRule="exact"/>
        <w:ind w:left="0" w:leftChars="0"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其他需要说明</w:t>
      </w:r>
    </w:p>
    <w:p w14:paraId="29DC2045">
      <w:pPr>
        <w:spacing w:after="0" w:line="600" w:lineRule="exact"/>
        <w:ind w:firstLine="640" w:firstLineChars="200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无。</w:t>
      </w: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9DBB498-D383-40CA-B0FE-60936217AF8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1C223727-D850-400A-B146-CD262A46E4B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9FED903-09BF-4035-AD9C-040ACCACF84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664C4E98-A26E-4D42-9BDF-FA1D72934B4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FBE70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AA727A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LK+nM7gAQAAwQ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CAA727A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8C625D"/>
    <w:multiLevelType w:val="singleLevel"/>
    <w:tmpl w:val="378C625D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noPunctuationKerning w:val="1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iMmQ1M2U2MTVkMmU2MWZmMTExZmYyZjMxM2U0OTkifQ=="/>
  </w:docVars>
  <w:rsids>
    <w:rsidRoot w:val="00D31D50"/>
    <w:rsid w:val="00091BC8"/>
    <w:rsid w:val="001500F1"/>
    <w:rsid w:val="00163425"/>
    <w:rsid w:val="001A6DB8"/>
    <w:rsid w:val="00323B43"/>
    <w:rsid w:val="00360D9A"/>
    <w:rsid w:val="003D37D8"/>
    <w:rsid w:val="00426133"/>
    <w:rsid w:val="004358AB"/>
    <w:rsid w:val="005C7BA2"/>
    <w:rsid w:val="005D58DE"/>
    <w:rsid w:val="008B7726"/>
    <w:rsid w:val="00AF0306"/>
    <w:rsid w:val="00BB7A29"/>
    <w:rsid w:val="00C55800"/>
    <w:rsid w:val="00C635E3"/>
    <w:rsid w:val="00D31D50"/>
    <w:rsid w:val="00E85223"/>
    <w:rsid w:val="02EE3660"/>
    <w:rsid w:val="03E2409E"/>
    <w:rsid w:val="07C774CC"/>
    <w:rsid w:val="10DF0599"/>
    <w:rsid w:val="12E71B09"/>
    <w:rsid w:val="13DA09E1"/>
    <w:rsid w:val="1EDC5E47"/>
    <w:rsid w:val="25DC5E46"/>
    <w:rsid w:val="26C422AA"/>
    <w:rsid w:val="293F1222"/>
    <w:rsid w:val="2A4C7E8F"/>
    <w:rsid w:val="2BD64D1F"/>
    <w:rsid w:val="2CE5674F"/>
    <w:rsid w:val="2EEE2BF6"/>
    <w:rsid w:val="2F793A1F"/>
    <w:rsid w:val="310316CF"/>
    <w:rsid w:val="310B19E4"/>
    <w:rsid w:val="34CD18B6"/>
    <w:rsid w:val="387B52F8"/>
    <w:rsid w:val="39036A27"/>
    <w:rsid w:val="3A134870"/>
    <w:rsid w:val="3BFA58E5"/>
    <w:rsid w:val="405D597D"/>
    <w:rsid w:val="414C4C6E"/>
    <w:rsid w:val="44507CD3"/>
    <w:rsid w:val="510161A8"/>
    <w:rsid w:val="51713C0E"/>
    <w:rsid w:val="55397EB4"/>
    <w:rsid w:val="5ADF7076"/>
    <w:rsid w:val="5D494145"/>
    <w:rsid w:val="5EBB2DEA"/>
    <w:rsid w:val="60077599"/>
    <w:rsid w:val="61524309"/>
    <w:rsid w:val="619E503E"/>
    <w:rsid w:val="61D57E6A"/>
    <w:rsid w:val="6386514C"/>
    <w:rsid w:val="638F5A2C"/>
    <w:rsid w:val="6B427B3E"/>
    <w:rsid w:val="6FF62842"/>
    <w:rsid w:val="73E57241"/>
    <w:rsid w:val="78A878C3"/>
    <w:rsid w:val="78F662D3"/>
    <w:rsid w:val="7BE91522"/>
    <w:rsid w:val="7D72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before="0" w:beforeAutospacing="0" w:after="120" w:afterAutospacing="0" w:line="240" w:lineRule="auto"/>
      <w:ind w:left="420" w:leftChars="200" w:firstLine="0" w:firstLineChars="0"/>
    </w:pPr>
    <w:rPr>
      <w:sz w:val="21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Body Text First Indent 2"/>
    <w:basedOn w:val="2"/>
    <w:next w:val="1"/>
    <w:qFormat/>
    <w:uiPriority w:val="0"/>
    <w:pPr>
      <w:autoSpaceDE w:val="0"/>
      <w:autoSpaceDN w:val="0"/>
      <w:adjustRightInd w:val="0"/>
      <w:spacing w:after="0"/>
      <w:ind w:firstLine="420"/>
      <w:jc w:val="left"/>
    </w:pPr>
    <w:rPr>
      <w:rFonts w:ascii="Calibri" w:hAnsi="Calibri"/>
    </w:rPr>
  </w:style>
  <w:style w:type="character" w:styleId="8">
    <w:name w:val="Hyperlink"/>
    <w:basedOn w:val="7"/>
    <w:semiHidden/>
    <w:unhideWhenUsed/>
    <w:qFormat/>
    <w:uiPriority w:val="99"/>
    <w:rPr>
      <w:color w:val="333333"/>
      <w:u w:val="none"/>
    </w:rPr>
  </w:style>
  <w:style w:type="character" w:customStyle="1" w:styleId="9">
    <w:name w:val="页眉 Char"/>
    <w:basedOn w:val="7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rFonts w:ascii="Tahoma" w:hAnsi="Tahoma"/>
      <w:sz w:val="18"/>
      <w:szCs w:val="18"/>
    </w:rPr>
  </w:style>
  <w:style w:type="paragraph" w:styleId="11">
    <w:name w:val="No Spacing"/>
    <w:basedOn w:val="1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1553</Words>
  <Characters>1636</Characters>
  <Lines>46</Lines>
  <Paragraphs>12</Paragraphs>
  <TotalTime>0</TotalTime>
  <ScaleCrop>false</ScaleCrop>
  <LinksUpToDate>false</LinksUpToDate>
  <CharactersWithSpaces>1644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祁某人</cp:lastModifiedBy>
  <cp:lastPrinted>2023-06-28T02:46:00Z</cp:lastPrinted>
  <dcterms:modified xsi:type="dcterms:W3CDTF">2026-07-06T04:12:28Z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744A11985DCE4EE6BA5830BE70AC41B4_13</vt:lpwstr>
  </property>
  <property fmtid="{D5CDD505-2E9C-101B-9397-08002B2CF9AE}" pid="4" name="KSOTemplateDocerSaveRecord">
    <vt:lpwstr>eyJoZGlkIjoiYTYzOWYxNjMwNGEyNjY3YjI4MWZmNzQ2NGM0NjRhY2QiLCJ1c2VySWQiOiI0MDg5NDE3MTYifQ==</vt:lpwstr>
  </property>
</Properties>
</file>