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5CC8D">
      <w:pPr>
        <w:jc w:val="center"/>
        <w:rPr>
          <w:rFonts w:hint="eastAsia" w:ascii="Times New Roman" w:hAnsi="Times New Roman" w:cs="Times New Roman"/>
          <w:color w:val="auto"/>
          <w:sz w:val="48"/>
          <w:szCs w:val="48"/>
          <w:lang w:eastAsia="zh-CN"/>
        </w:rPr>
      </w:pPr>
    </w:p>
    <w:p w14:paraId="69910D5C">
      <w:pPr>
        <w:jc w:val="center"/>
        <w:rPr>
          <w:rFonts w:hint="eastAsia" w:ascii="Times New Roman" w:hAnsi="Times New Roman" w:cs="Times New Roman"/>
          <w:color w:val="auto"/>
          <w:sz w:val="48"/>
          <w:szCs w:val="48"/>
          <w:lang w:eastAsia="zh-CN"/>
        </w:rPr>
      </w:pPr>
      <w:r>
        <w:rPr>
          <w:rFonts w:hint="eastAsia" w:ascii="Times New Roman" w:hAnsi="Times New Roman" w:cs="Times New Roman"/>
          <w:color w:val="auto"/>
          <w:sz w:val="48"/>
          <w:szCs w:val="48"/>
          <w:lang w:eastAsia="zh-CN"/>
        </w:rPr>
        <w:t>中方县发展和改革局</w:t>
      </w:r>
    </w:p>
    <w:p w14:paraId="4C873D76">
      <w:pPr>
        <w:jc w:val="center"/>
        <w:rPr>
          <w:rFonts w:ascii="Times New Roman" w:hAnsi="Times New Roman" w:eastAsia="方正小标宋_GBK" w:cs="Times New Roman"/>
          <w:color w:val="auto"/>
          <w:sz w:val="48"/>
          <w:szCs w:val="48"/>
        </w:rPr>
      </w:pPr>
      <w:r>
        <w:rPr>
          <w:rFonts w:ascii="Times New Roman" w:hAnsi="Times New Roman" w:eastAsia="方正小标宋_GBK" w:cs="Times New Roman"/>
          <w:color w:val="auto"/>
          <w:sz w:val="48"/>
          <w:szCs w:val="48"/>
        </w:rPr>
        <w:t>20</w:t>
      </w:r>
      <w:r>
        <w:rPr>
          <w:rFonts w:ascii="Times New Roman" w:hAnsi="Times New Roman" w:cs="Times New Roman"/>
          <w:color w:val="auto"/>
          <w:sz w:val="48"/>
          <w:szCs w:val="48"/>
        </w:rPr>
        <w:t>2</w:t>
      </w:r>
      <w:r>
        <w:rPr>
          <w:rFonts w:hint="eastAsia" w:ascii="Times New Roman" w:hAnsi="Times New Roman" w:cs="Times New Roman"/>
          <w:color w:val="auto"/>
          <w:sz w:val="48"/>
          <w:szCs w:val="48"/>
          <w:lang w:val="en-US" w:eastAsia="zh-CN"/>
        </w:rPr>
        <w:t>2</w:t>
      </w:r>
      <w:r>
        <w:rPr>
          <w:rFonts w:hint="eastAsia" w:ascii="宋体" w:hAnsi="宋体" w:cs="宋体"/>
          <w:color w:val="auto"/>
          <w:sz w:val="48"/>
          <w:szCs w:val="48"/>
        </w:rPr>
        <w:t>年度部门整体支出绩效自评报告</w:t>
      </w:r>
    </w:p>
    <w:p w14:paraId="11B58031">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57C429FB">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723CD8F1">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736ED9C6">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7F7E5264">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66BFEDDB">
      <w:pPr>
        <w:jc w:val="center"/>
        <w:rPr>
          <w:rFonts w:ascii="Times New Roman" w:hAnsi="Times New Roman" w:eastAsia="黑体" w:cs="Times New Roman"/>
          <w:color w:val="auto"/>
          <w:sz w:val="32"/>
          <w:szCs w:val="32"/>
        </w:rPr>
      </w:pPr>
    </w:p>
    <w:p w14:paraId="4CC32C09">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63384BA2">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6D13F431">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73FDE44A">
      <w:pPr>
        <w:jc w:val="center"/>
        <w:rPr>
          <w:rFonts w:hint="eastAsia" w:ascii="Times New Roman" w:hAnsi="Times New Roman" w:eastAsia="黑体" w:cs="Times New Roman"/>
          <w:color w:val="auto"/>
          <w:sz w:val="44"/>
          <w:szCs w:val="44"/>
          <w:lang w:eastAsia="zh-CN"/>
        </w:rPr>
      </w:pPr>
      <w:r>
        <w:rPr>
          <w:rFonts w:ascii="黑体" w:hAnsi="黑体" w:eastAsia="黑体" w:cs="Times New Roman"/>
          <w:color w:val="auto"/>
          <w:sz w:val="44"/>
          <w:szCs w:val="44"/>
        </w:rPr>
        <w:t>单位名称（盖章）</w:t>
      </w:r>
      <w:r>
        <w:rPr>
          <w:rFonts w:hint="eastAsia" w:ascii="黑体" w:hAnsi="黑体" w:eastAsia="黑体" w:cs="Times New Roman"/>
          <w:color w:val="auto"/>
          <w:sz w:val="44"/>
          <w:szCs w:val="44"/>
          <w:lang w:eastAsia="zh-CN"/>
        </w:rPr>
        <w:t>：中方县发展和改革局</w:t>
      </w:r>
    </w:p>
    <w:p w14:paraId="2F484C45">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5169D0B0">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 xml:space="preserve"> </w:t>
      </w:r>
    </w:p>
    <w:p w14:paraId="1E0CCCA2">
      <w:pPr>
        <w:spacing w:line="580" w:lineRule="exact"/>
        <w:rPr>
          <w:rFonts w:hint="eastAsia" w:ascii="楷体" w:hAnsi="楷体" w:eastAsia="楷体" w:cs="楷体"/>
          <w:bCs/>
          <w:color w:val="auto"/>
          <w:sz w:val="36"/>
          <w:szCs w:val="36"/>
        </w:rPr>
      </w:pPr>
      <w:r>
        <w:rPr>
          <w:rFonts w:ascii="Times New Roman" w:hAnsi="Times New Roman" w:eastAsia="黑体"/>
          <w:color w:val="auto"/>
          <w:sz w:val="32"/>
          <w:szCs w:val="32"/>
        </w:rPr>
        <w:br w:type="page"/>
      </w:r>
    </w:p>
    <w:p w14:paraId="38A75AF5">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rPr>
        <w:t>一、部门基本情况</w:t>
      </w:r>
    </w:p>
    <w:p w14:paraId="28A5C42F">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60" w:lineRule="exact"/>
        <w:ind w:left="0" w:leftChars="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（一）部门职能与机构设置；</w:t>
      </w:r>
    </w:p>
    <w:p w14:paraId="4038C547">
      <w:pPr>
        <w:pStyle w:val="7"/>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460" w:lineRule="exact"/>
        <w:ind w:left="0" w:leftChars="0" w:right="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kern w:val="1"/>
          <w:sz w:val="32"/>
          <w:szCs w:val="32"/>
          <w:lang w:val="en-US" w:eastAsia="zh-CN"/>
        </w:rPr>
        <w:t>1、</w:t>
      </w:r>
      <w:r>
        <w:rPr>
          <w:rFonts w:hint="eastAsia" w:ascii="仿宋" w:hAnsi="仿宋" w:eastAsia="仿宋" w:cs="仿宋"/>
          <w:color w:val="auto"/>
          <w:kern w:val="1"/>
          <w:sz w:val="32"/>
          <w:szCs w:val="32"/>
        </w:rPr>
        <w:t>中方县发展和改革局主要职</w:t>
      </w:r>
      <w:r>
        <w:rPr>
          <w:rFonts w:hint="eastAsia" w:ascii="仿宋" w:hAnsi="仿宋" w:eastAsia="仿宋" w:cs="仿宋"/>
          <w:color w:val="auto"/>
          <w:kern w:val="1"/>
          <w:sz w:val="32"/>
          <w:szCs w:val="32"/>
          <w:lang w:eastAsia="zh-CN"/>
        </w:rPr>
        <w:t>能</w:t>
      </w:r>
      <w:r>
        <w:rPr>
          <w:rFonts w:hint="eastAsia" w:ascii="仿宋" w:hAnsi="仿宋" w:eastAsia="仿宋" w:cs="仿宋"/>
          <w:color w:val="auto"/>
          <w:kern w:val="1"/>
          <w:sz w:val="32"/>
          <w:szCs w:val="32"/>
        </w:rPr>
        <w:t>是：</w:t>
      </w:r>
      <w:r>
        <w:rPr>
          <w:rFonts w:hint="eastAsia" w:ascii="仿宋" w:hAnsi="仿宋" w:eastAsia="仿宋" w:cs="仿宋"/>
          <w:color w:val="auto"/>
          <w:sz w:val="32"/>
          <w:szCs w:val="32"/>
          <w:shd w:val="clear" w:color="auto" w:fill="FFFFFF"/>
        </w:rPr>
        <w:t>拟订并组织实施全县国民经济和社会发展战略、中长期规划和年度计划。研究提出加快建设现代化经济体系、推动高质量发展的总体目标、重大任务以及相关政策。研究提出全县国民经济和社会发展主要目标，监测预测预警宏观经济和社会发展态势趋势，提出宏观调控政策建议，综合协调宏观经济政策，牵头研究宏观经济应对措施。研究提出和综合协调全县经济体制改革有关工作，提出相关改革建议。研究提出全县利</w:t>
      </w:r>
      <w:r>
        <w:rPr>
          <w:rFonts w:hint="eastAsia" w:ascii="仿宋" w:hAnsi="仿宋" w:eastAsia="仿宋" w:cs="仿宋"/>
          <w:color w:val="auto"/>
          <w:sz w:val="32"/>
          <w:szCs w:val="32"/>
          <w:shd w:val="clear" w:color="auto" w:fill="FFFFFF"/>
          <w:lang w:val="en-US" w:eastAsia="zh-CN"/>
        </w:rPr>
        <w:t>用</w:t>
      </w:r>
      <w:r>
        <w:rPr>
          <w:rFonts w:hint="eastAsia" w:ascii="仿宋" w:hAnsi="仿宋" w:eastAsia="仿宋" w:cs="仿宋"/>
          <w:color w:val="auto"/>
          <w:sz w:val="32"/>
          <w:szCs w:val="32"/>
          <w:shd w:val="clear" w:color="auto" w:fill="FFFFFF"/>
        </w:rPr>
        <w:t>外资和境外投资的战略、规划、总量平衡和结构优化的政策。负责投资综合管理，拟订全县全社会固定资产投资总规模和投资结构的调控目标、政策及措施。推进落实区域协调发展战略、新型城镇化战略和重大政策、组织拟订相关区域规划和政策。组织拟订综合性产业政策，负责协调第一、二、三产业发展的重大问题并统筹衔接相关发展规划和重大政策。推动实施创新驱动发展战略。跟踪研判涉及经济安全、生态安全、资源安全、科技安全、社会安全等各类风险隐患，提出相关工作建议。负责社会发展与国民经济发展的政策衔接，组织拟订社会发展战略、总体规划。推进可持续发展战略，推动生态文明建</w:t>
      </w:r>
      <w:r>
        <w:rPr>
          <w:rFonts w:hint="eastAsia" w:ascii="仿宋" w:hAnsi="仿宋" w:eastAsia="仿宋" w:cs="仿宋"/>
          <w:color w:val="auto"/>
          <w:sz w:val="32"/>
          <w:szCs w:val="32"/>
          <w:shd w:val="clear" w:color="auto" w:fill="FFFFFF"/>
          <w:lang w:val="en-US" w:eastAsia="zh-CN"/>
        </w:rPr>
        <w:t>设</w:t>
      </w:r>
      <w:r>
        <w:rPr>
          <w:rFonts w:hint="eastAsia" w:ascii="仿宋" w:hAnsi="仿宋" w:eastAsia="仿宋" w:cs="仿宋"/>
          <w:color w:val="auto"/>
          <w:sz w:val="32"/>
          <w:szCs w:val="32"/>
          <w:shd w:val="clear" w:color="auto" w:fill="FFFFFF"/>
        </w:rPr>
        <w:t>和改革，协调生态环境保护与修复、能源资源节约和综合利用等工作。拟订全县价格改革方案和年度计划，研究提出价格调控目标和政策建议、组织实施价格总水平调控。指导、协调全县工程建设项目招标投标工作，负责权限内工程建设项目招标事项核准和监管。会同有关部门拟订全县经济建设与国防建设协调发展的战略和规划、协调有关重大问题。研究提出全县粮食宏观调控及粮食流通的中长期规划，拟订全县粮食市场体系建设与发展规划，承担全县粮食流通宏观调控的具体工作。研究提出全县战略物资储备规划建设。管理全县粮食、棉花和食糖储备，负责全县储备粮棉行政管理。拟订粮食和物资储备仓储管理有关技术标准和规范并组织实施。根据全县储备总体发展规划，统一负责储备基础设施建设和管理。负责对管理的政府储备、企业储备以及储备政策落实情况进行监督检查。负责粮食流通行业管理，制定行业发展规划、政策，拟订粮食流通和物资储备有关标准、粮食质量标准，制定有关技术规范并监督执行。完成县委和县政府交办的其他任务。</w:t>
      </w:r>
    </w:p>
    <w:p w14:paraId="0F78A136">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shd w:val="clear" w:color="auto" w:fill="FFFFFF"/>
          <w:lang w:val="en-US" w:eastAsia="zh-CN"/>
        </w:rPr>
        <w:t>2、</w:t>
      </w:r>
      <w:r>
        <w:rPr>
          <w:rFonts w:hint="eastAsia" w:ascii="仿宋" w:hAnsi="仿宋" w:eastAsia="仿宋" w:cs="仿宋"/>
          <w:color w:val="auto"/>
          <w:sz w:val="32"/>
          <w:szCs w:val="32"/>
          <w:shd w:val="clear" w:color="auto" w:fill="FFFFFF"/>
          <w:lang w:eastAsia="zh-CN"/>
        </w:rPr>
        <w:t>机构设置：</w:t>
      </w:r>
      <w:r>
        <w:rPr>
          <w:rFonts w:hint="eastAsia" w:ascii="仿宋" w:hAnsi="仿宋" w:eastAsia="仿宋" w:cs="仿宋"/>
          <w:color w:val="auto"/>
          <w:sz w:val="32"/>
          <w:szCs w:val="32"/>
          <w:shd w:val="clear" w:color="auto" w:fill="FFFFFF"/>
        </w:rPr>
        <w:t>中方县发展和改革局为正科级行政单位，</w:t>
      </w:r>
      <w:r>
        <w:rPr>
          <w:rFonts w:hint="eastAsia" w:ascii="仿宋" w:hAnsi="仿宋" w:eastAsia="仿宋" w:cs="仿宋"/>
          <w:b w:val="0"/>
          <w:bCs w:val="0"/>
          <w:color w:val="auto"/>
          <w:sz w:val="32"/>
          <w:szCs w:val="32"/>
          <w:shd w:val="clear" w:color="auto" w:fill="FFFFFF"/>
        </w:rPr>
        <w:t>局本级下设</w:t>
      </w:r>
      <w:r>
        <w:rPr>
          <w:rFonts w:hint="eastAsia" w:ascii="仿宋" w:hAnsi="仿宋" w:eastAsia="仿宋" w:cs="仿宋"/>
          <w:b w:val="0"/>
          <w:bCs w:val="0"/>
          <w:color w:val="auto"/>
          <w:sz w:val="32"/>
          <w:szCs w:val="32"/>
          <w:shd w:val="clear" w:color="auto" w:fill="FFFFFF"/>
          <w:lang w:val="en-US" w:eastAsia="zh-CN"/>
        </w:rPr>
        <w:t>12</w:t>
      </w:r>
      <w:r>
        <w:rPr>
          <w:rFonts w:hint="eastAsia" w:ascii="仿宋" w:hAnsi="仿宋" w:eastAsia="仿宋" w:cs="仿宋"/>
          <w:b w:val="0"/>
          <w:bCs w:val="0"/>
          <w:color w:val="auto"/>
          <w:sz w:val="32"/>
          <w:szCs w:val="32"/>
          <w:shd w:val="clear" w:color="auto" w:fill="FFFFFF"/>
        </w:rPr>
        <w:t>个内设机构及</w:t>
      </w:r>
      <w:r>
        <w:rPr>
          <w:rFonts w:hint="eastAsia" w:ascii="仿宋" w:hAnsi="仿宋" w:eastAsia="仿宋" w:cs="仿宋"/>
          <w:b w:val="0"/>
          <w:bCs w:val="0"/>
          <w:color w:val="auto"/>
          <w:sz w:val="32"/>
          <w:szCs w:val="32"/>
          <w:shd w:val="clear" w:color="auto" w:fill="FFFFFF"/>
          <w:lang w:val="en-US" w:eastAsia="zh-CN"/>
        </w:rPr>
        <w:t>6</w:t>
      </w:r>
      <w:r>
        <w:rPr>
          <w:rFonts w:hint="eastAsia" w:ascii="仿宋" w:hAnsi="仿宋" w:eastAsia="仿宋" w:cs="仿宋"/>
          <w:b w:val="0"/>
          <w:bCs w:val="0"/>
          <w:color w:val="auto"/>
          <w:sz w:val="32"/>
          <w:szCs w:val="32"/>
          <w:shd w:val="clear" w:color="auto" w:fill="FFFFFF"/>
        </w:rPr>
        <w:t>个二级非独立核算单位</w:t>
      </w:r>
      <w:r>
        <w:rPr>
          <w:rFonts w:hint="eastAsia" w:ascii="仿宋" w:hAnsi="仿宋" w:eastAsia="仿宋" w:cs="仿宋"/>
          <w:b w:val="0"/>
          <w:bCs w:val="0"/>
          <w:color w:val="auto"/>
          <w:sz w:val="32"/>
          <w:szCs w:val="32"/>
        </w:rPr>
        <w:t>。</w:t>
      </w:r>
      <w:r>
        <w:rPr>
          <w:rFonts w:hint="eastAsia" w:ascii="仿宋" w:hAnsi="仿宋" w:eastAsia="仿宋" w:cs="仿宋"/>
          <w:b w:val="0"/>
          <w:bCs w:val="0"/>
          <w:i w:val="0"/>
          <w:caps w:val="0"/>
          <w:color w:val="auto"/>
          <w:spacing w:val="0"/>
          <w:kern w:val="0"/>
          <w:sz w:val="32"/>
          <w:szCs w:val="32"/>
          <w:lang w:val="en-US" w:eastAsia="zh-CN" w:bidi="ar"/>
        </w:rPr>
        <w:t>内设机构分别为：办公室、行政审批服务股、国民经济综合规划与服务业股、</w:t>
      </w:r>
      <w:r>
        <w:rPr>
          <w:rFonts w:hint="eastAsia" w:ascii="仿宋" w:hAnsi="仿宋" w:eastAsia="仿宋" w:cs="仿宋"/>
          <w:b w:val="0"/>
          <w:bCs w:val="0"/>
          <w:i w:val="0"/>
          <w:caps w:val="0"/>
          <w:color w:val="auto"/>
          <w:spacing w:val="0"/>
          <w:sz w:val="32"/>
          <w:szCs w:val="32"/>
        </w:rPr>
        <w:t>法规和综合改革股、</w:t>
      </w:r>
      <w:r>
        <w:rPr>
          <w:rFonts w:hint="eastAsia" w:ascii="仿宋" w:hAnsi="仿宋" w:eastAsia="仿宋" w:cs="仿宋"/>
          <w:b w:val="0"/>
          <w:bCs w:val="0"/>
          <w:i w:val="0"/>
          <w:caps w:val="0"/>
          <w:color w:val="auto"/>
          <w:spacing w:val="0"/>
          <w:kern w:val="0"/>
          <w:sz w:val="32"/>
          <w:szCs w:val="32"/>
          <w:lang w:val="en-US" w:eastAsia="zh-CN" w:bidi="ar"/>
        </w:rPr>
        <w:t>固定资产投资股、</w:t>
      </w:r>
      <w:r>
        <w:rPr>
          <w:rFonts w:hint="eastAsia" w:ascii="仿宋" w:hAnsi="仿宋" w:eastAsia="仿宋" w:cs="仿宋"/>
          <w:b w:val="0"/>
          <w:bCs w:val="0"/>
          <w:i w:val="0"/>
          <w:caps w:val="0"/>
          <w:color w:val="auto"/>
          <w:spacing w:val="0"/>
          <w:sz w:val="32"/>
          <w:szCs w:val="32"/>
        </w:rPr>
        <w:t>工业农业和基础设施股</w:t>
      </w:r>
      <w:r>
        <w:rPr>
          <w:rFonts w:hint="eastAsia" w:ascii="仿宋" w:hAnsi="仿宋" w:eastAsia="仿宋" w:cs="仿宋"/>
          <w:b w:val="0"/>
          <w:bCs w:val="0"/>
          <w:i w:val="0"/>
          <w:caps w:val="0"/>
          <w:color w:val="auto"/>
          <w:spacing w:val="0"/>
          <w:kern w:val="0"/>
          <w:sz w:val="32"/>
          <w:szCs w:val="32"/>
          <w:lang w:val="en-US" w:eastAsia="zh-CN" w:bidi="ar"/>
        </w:rPr>
        <w:t>、社会发展与财贸外经股、湘西地区开发和能源股、</w:t>
      </w:r>
      <w:r>
        <w:rPr>
          <w:rFonts w:hint="eastAsia" w:ascii="仿宋" w:hAnsi="仿宋" w:eastAsia="仿宋" w:cs="仿宋"/>
          <w:b w:val="0"/>
          <w:bCs w:val="0"/>
          <w:i w:val="0"/>
          <w:caps w:val="0"/>
          <w:color w:val="auto"/>
          <w:spacing w:val="0"/>
          <w:sz w:val="32"/>
          <w:szCs w:val="32"/>
        </w:rPr>
        <w:t>价格管理股、粮食行业发展股、粮食和物资储备股、人事股。</w:t>
      </w:r>
      <w:r>
        <w:rPr>
          <w:rFonts w:hint="eastAsia" w:ascii="仿宋" w:hAnsi="仿宋" w:eastAsia="仿宋" w:cs="仿宋"/>
          <w:b w:val="0"/>
          <w:bCs w:val="0"/>
          <w:i w:val="0"/>
          <w:caps w:val="0"/>
          <w:color w:val="auto"/>
          <w:spacing w:val="0"/>
          <w:sz w:val="32"/>
          <w:szCs w:val="32"/>
          <w:shd w:val="clear" w:fill="FFFFFF"/>
        </w:rPr>
        <w:t>二级非独立核算单位</w:t>
      </w:r>
      <w:r>
        <w:rPr>
          <w:rFonts w:hint="eastAsia" w:ascii="仿宋" w:hAnsi="仿宋" w:eastAsia="仿宋" w:cs="仿宋"/>
          <w:b w:val="0"/>
          <w:bCs w:val="0"/>
          <w:i w:val="0"/>
          <w:caps w:val="0"/>
          <w:color w:val="auto"/>
          <w:spacing w:val="0"/>
          <w:sz w:val="32"/>
          <w:szCs w:val="32"/>
          <w:shd w:val="clear" w:fill="FFFFFF"/>
          <w:lang w:val="en-US" w:eastAsia="zh-CN"/>
        </w:rPr>
        <w:t>分别为：</w:t>
      </w:r>
      <w:r>
        <w:rPr>
          <w:rFonts w:hint="eastAsia" w:ascii="仿宋" w:hAnsi="仿宋" w:eastAsia="仿宋" w:cs="仿宋"/>
          <w:b w:val="0"/>
          <w:bCs w:val="0"/>
          <w:i w:val="0"/>
          <w:caps w:val="0"/>
          <w:color w:val="auto"/>
          <w:spacing w:val="0"/>
          <w:sz w:val="32"/>
          <w:szCs w:val="32"/>
        </w:rPr>
        <w:t>县重点建设项目服务中心；县招标投标服务中心；县物资行业服务中心；县价格调节基金征收服务中心；县装备动员办公室；县价格认证中心。</w:t>
      </w:r>
    </w:p>
    <w:p w14:paraId="671DD1B5">
      <w:pPr>
        <w:pStyle w:val="7"/>
        <w:widowControl/>
        <w:shd w:val="clear" w:color="auto" w:fill="FFFFFF"/>
        <w:spacing w:beforeAutospacing="0" w:afterAutospacing="0" w:line="520" w:lineRule="exact"/>
        <w:ind w:firstLine="640" w:firstLineChars="200"/>
        <w:contextualSpacing/>
        <w:rPr>
          <w:rFonts w:hint="eastAsia" w:ascii="仿宋" w:hAnsi="仿宋" w:eastAsia="仿宋" w:cs="仿宋"/>
          <w:color w:val="auto"/>
          <w:sz w:val="32"/>
          <w:szCs w:val="32"/>
        </w:rPr>
      </w:pPr>
      <w:r>
        <w:rPr>
          <w:rFonts w:hint="eastAsia" w:ascii="仿宋" w:hAnsi="仿宋" w:eastAsia="仿宋" w:cs="仿宋"/>
          <w:color w:val="auto"/>
          <w:sz w:val="32"/>
          <w:szCs w:val="32"/>
        </w:rPr>
        <w:t>（二）人员情况；</w:t>
      </w:r>
    </w:p>
    <w:p w14:paraId="1EC16931">
      <w:pPr>
        <w:pStyle w:val="7"/>
        <w:widowControl/>
        <w:shd w:val="clear" w:color="auto" w:fill="FFFFFF"/>
        <w:spacing w:beforeAutospacing="0" w:afterAutospacing="0" w:line="520" w:lineRule="exact"/>
        <w:ind w:firstLine="640" w:firstLineChars="200"/>
        <w:contextualSpacing/>
        <w:rPr>
          <w:rFonts w:ascii="仿宋" w:hAnsi="仿宋" w:eastAsia="仿宋" w:cs="仿宋"/>
          <w:color w:val="auto"/>
          <w:sz w:val="32"/>
          <w:szCs w:val="32"/>
        </w:rPr>
      </w:pPr>
      <w:r>
        <w:rPr>
          <w:rFonts w:hint="eastAsia" w:ascii="仿宋" w:hAnsi="仿宋" w:eastAsia="仿宋" w:cs="仿宋"/>
          <w:b w:val="0"/>
          <w:bCs w:val="0"/>
          <w:i w:val="0"/>
          <w:caps w:val="0"/>
          <w:color w:val="auto"/>
          <w:spacing w:val="0"/>
          <w:sz w:val="32"/>
          <w:szCs w:val="32"/>
        </w:rPr>
        <w:t>核定编制41人，其中：行政编制8人，后勤编制2人，事业编制31人</w:t>
      </w:r>
      <w:r>
        <w:rPr>
          <w:rFonts w:hint="eastAsia" w:ascii="仿宋" w:hAnsi="仿宋" w:eastAsia="仿宋" w:cs="仿宋"/>
          <w:b w:val="0"/>
          <w:bCs w:val="0"/>
          <w:i w:val="0"/>
          <w:caps w:val="0"/>
          <w:color w:val="auto"/>
          <w:spacing w:val="0"/>
          <w:sz w:val="32"/>
          <w:szCs w:val="32"/>
          <w:lang w:eastAsia="zh-CN"/>
        </w:rPr>
        <w:t>；</w:t>
      </w:r>
      <w:r>
        <w:rPr>
          <w:rFonts w:hint="eastAsia" w:ascii="仿宋" w:hAnsi="仿宋" w:eastAsia="仿宋" w:cs="仿宋"/>
          <w:color w:val="auto"/>
          <w:sz w:val="32"/>
          <w:szCs w:val="32"/>
          <w:shd w:val="clear" w:color="auto" w:fill="FFFFFF"/>
        </w:rPr>
        <w:t>实有人数5</w:t>
      </w:r>
      <w:r>
        <w:rPr>
          <w:rFonts w:hint="eastAsia" w:ascii="仿宋" w:hAnsi="仿宋" w:eastAsia="仿宋" w:cs="仿宋"/>
          <w:color w:val="auto"/>
          <w:sz w:val="32"/>
          <w:szCs w:val="32"/>
          <w:shd w:val="clear" w:color="auto" w:fill="FFFFFF"/>
          <w:lang w:val="en-US" w:eastAsia="zh-CN"/>
        </w:rPr>
        <w:t>6</w:t>
      </w:r>
      <w:r>
        <w:rPr>
          <w:rFonts w:hint="eastAsia" w:ascii="仿宋" w:hAnsi="仿宋" w:eastAsia="仿宋" w:cs="仿宋"/>
          <w:color w:val="auto"/>
          <w:sz w:val="32"/>
          <w:szCs w:val="32"/>
          <w:shd w:val="clear" w:color="auto" w:fill="FFFFFF"/>
        </w:rPr>
        <w:t>人（含提前退休</w:t>
      </w:r>
      <w:r>
        <w:rPr>
          <w:rFonts w:hint="eastAsia" w:ascii="仿宋" w:hAnsi="仿宋" w:eastAsia="仿宋" w:cs="仿宋"/>
          <w:color w:val="auto"/>
          <w:sz w:val="32"/>
          <w:szCs w:val="32"/>
          <w:shd w:val="clear" w:color="auto" w:fill="FFFFFF"/>
          <w:lang w:val="en-US" w:eastAsia="zh-CN"/>
        </w:rPr>
        <w:t>3</w:t>
      </w:r>
      <w:r>
        <w:rPr>
          <w:rFonts w:hint="eastAsia" w:ascii="仿宋" w:hAnsi="仿宋" w:eastAsia="仿宋" w:cs="仿宋"/>
          <w:color w:val="auto"/>
          <w:sz w:val="32"/>
          <w:szCs w:val="32"/>
          <w:shd w:val="clear" w:color="auto" w:fill="FFFFFF"/>
        </w:rPr>
        <w:t>人），退休人员2</w:t>
      </w:r>
      <w:r>
        <w:rPr>
          <w:rFonts w:hint="eastAsia" w:ascii="仿宋" w:hAnsi="仿宋" w:eastAsia="仿宋" w:cs="仿宋"/>
          <w:color w:val="auto"/>
          <w:sz w:val="32"/>
          <w:szCs w:val="32"/>
          <w:shd w:val="clear" w:color="auto" w:fill="FFFFFF"/>
          <w:lang w:val="en-US" w:eastAsia="zh-CN"/>
        </w:rPr>
        <w:t>8</w:t>
      </w:r>
      <w:r>
        <w:rPr>
          <w:rFonts w:hint="eastAsia" w:ascii="仿宋" w:hAnsi="仿宋" w:eastAsia="仿宋" w:cs="仿宋"/>
          <w:color w:val="auto"/>
          <w:sz w:val="32"/>
          <w:szCs w:val="32"/>
          <w:shd w:val="clear" w:color="auto" w:fill="FFFFFF"/>
        </w:rPr>
        <w:t>人。当年调入</w:t>
      </w:r>
      <w:r>
        <w:rPr>
          <w:rFonts w:hint="eastAsia" w:ascii="仿宋" w:hAnsi="仿宋" w:eastAsia="仿宋" w:cs="仿宋"/>
          <w:color w:val="auto"/>
          <w:sz w:val="32"/>
          <w:szCs w:val="32"/>
          <w:shd w:val="clear" w:color="auto" w:fill="FFFFFF"/>
          <w:lang w:val="en-US" w:eastAsia="zh-CN"/>
        </w:rPr>
        <w:t>4</w:t>
      </w:r>
      <w:r>
        <w:rPr>
          <w:rFonts w:hint="eastAsia" w:ascii="仿宋" w:hAnsi="仿宋" w:eastAsia="仿宋" w:cs="仿宋"/>
          <w:color w:val="auto"/>
          <w:sz w:val="32"/>
          <w:szCs w:val="32"/>
          <w:shd w:val="clear" w:color="auto" w:fill="FFFFFF"/>
        </w:rPr>
        <w:t>人，调出</w:t>
      </w:r>
      <w:r>
        <w:rPr>
          <w:rFonts w:hint="eastAsia" w:ascii="仿宋" w:hAnsi="仿宋" w:eastAsia="仿宋" w:cs="仿宋"/>
          <w:color w:val="auto"/>
          <w:sz w:val="32"/>
          <w:szCs w:val="32"/>
          <w:shd w:val="clear" w:color="auto" w:fill="FFFFFF"/>
          <w:lang w:val="en-US" w:eastAsia="zh-CN"/>
        </w:rPr>
        <w:t>1</w:t>
      </w:r>
      <w:r>
        <w:rPr>
          <w:rFonts w:hint="eastAsia" w:ascii="仿宋" w:hAnsi="仿宋" w:eastAsia="仿宋" w:cs="仿宋"/>
          <w:color w:val="auto"/>
          <w:sz w:val="32"/>
          <w:szCs w:val="32"/>
          <w:shd w:val="clear" w:color="auto" w:fill="FFFFFF"/>
        </w:rPr>
        <w:t>人，</w:t>
      </w:r>
      <w:r>
        <w:rPr>
          <w:rFonts w:hint="eastAsia" w:ascii="仿宋" w:hAnsi="仿宋" w:eastAsia="仿宋" w:cs="仿宋"/>
          <w:color w:val="auto"/>
          <w:sz w:val="32"/>
          <w:szCs w:val="32"/>
          <w:shd w:val="clear" w:color="auto" w:fill="FFFFFF"/>
          <w:lang w:eastAsia="zh-CN"/>
        </w:rPr>
        <w:t>退休</w:t>
      </w:r>
      <w:r>
        <w:rPr>
          <w:rFonts w:hint="eastAsia" w:ascii="仿宋" w:hAnsi="仿宋" w:eastAsia="仿宋" w:cs="仿宋"/>
          <w:color w:val="auto"/>
          <w:sz w:val="32"/>
          <w:szCs w:val="32"/>
          <w:shd w:val="clear" w:color="auto" w:fill="FFFFFF"/>
          <w:lang w:val="en-US" w:eastAsia="zh-CN"/>
        </w:rPr>
        <w:t>3人，</w:t>
      </w:r>
      <w:r>
        <w:rPr>
          <w:rFonts w:hint="eastAsia" w:ascii="仿宋" w:hAnsi="仿宋" w:eastAsia="仿宋" w:cs="仿宋"/>
          <w:color w:val="auto"/>
          <w:sz w:val="32"/>
          <w:szCs w:val="32"/>
          <w:shd w:val="clear" w:color="auto" w:fill="FFFFFF"/>
        </w:rPr>
        <w:t>实有人数比上年增加</w:t>
      </w:r>
      <w:r>
        <w:rPr>
          <w:rFonts w:hint="eastAsia" w:ascii="仿宋" w:hAnsi="仿宋" w:eastAsia="仿宋" w:cs="仿宋"/>
          <w:color w:val="auto"/>
          <w:sz w:val="32"/>
          <w:szCs w:val="32"/>
          <w:shd w:val="clear" w:color="auto" w:fill="FFFFFF"/>
          <w:lang w:val="en-US" w:eastAsia="zh-CN"/>
        </w:rPr>
        <w:t>1</w:t>
      </w:r>
      <w:r>
        <w:rPr>
          <w:rFonts w:hint="eastAsia" w:ascii="仿宋" w:hAnsi="仿宋" w:eastAsia="仿宋" w:cs="仿宋"/>
          <w:color w:val="auto"/>
          <w:sz w:val="32"/>
          <w:szCs w:val="32"/>
          <w:shd w:val="clear" w:color="auto" w:fill="FFFFFF"/>
        </w:rPr>
        <w:t>人。现有车辆1台</w:t>
      </w:r>
    </w:p>
    <w:p w14:paraId="293A3108">
      <w:pPr>
        <w:keepNext w:val="0"/>
        <w:keepLines w:val="0"/>
        <w:pageBreakBefore w:val="0"/>
        <w:widowControl/>
        <w:numPr>
          <w:ilvl w:val="0"/>
          <w:numId w:val="1"/>
        </w:numPr>
        <w:kinsoku/>
        <w:wordWrap/>
        <w:overflowPunct/>
        <w:topLinePunct w:val="0"/>
        <w:autoSpaceDE/>
        <w:autoSpaceDN/>
        <w:bidi w:val="0"/>
        <w:adjustRightInd w:val="0"/>
        <w:snapToGrid w:val="0"/>
        <w:spacing w:after="0" w:line="600" w:lineRule="atLeas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部门年度总体工作任务和重点工作任务；</w:t>
      </w:r>
    </w:p>
    <w:p w14:paraId="591536CD">
      <w:pPr>
        <w:bidi w:val="0"/>
        <w:rPr>
          <w:rFonts w:hint="eastAsia" w:ascii="Tahoma" w:hAnsi="Tahoma" w:eastAsia="微软雅黑" w:cstheme="minorBidi"/>
          <w:color w:val="auto"/>
          <w:sz w:val="22"/>
          <w:szCs w:val="22"/>
          <w:lang w:val="en-US" w:eastAsia="zh-CN" w:bidi="ar-SA"/>
        </w:rPr>
      </w:pPr>
    </w:p>
    <w:p w14:paraId="13C6FF5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 xml:space="preserve"> 1.紧盯投资目标任务不放松。</w:t>
      </w:r>
    </w:p>
    <w:p w14:paraId="6B9C6B0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2.抓牢投资政策“窗口期”和项目建设“牛鼻子”，努力增加有效投资。</w:t>
      </w:r>
    </w:p>
    <w:p w14:paraId="585367A2">
      <w:pPr>
        <w:pStyle w:val="5"/>
        <w:pageBreakBefore w:val="0"/>
        <w:widowControl w:val="0"/>
        <w:kinsoku/>
        <w:wordWrap/>
        <w:overflowPunct/>
        <w:topLinePunct w:val="0"/>
        <w:autoSpaceDE/>
        <w:autoSpaceDN/>
        <w:bidi w:val="0"/>
        <w:adjustRightInd/>
        <w:spacing w:line="540" w:lineRule="exact"/>
        <w:ind w:firstLine="640" w:firstLineChars="200"/>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3.继续做好“十四五”规划编制工作。</w:t>
      </w:r>
    </w:p>
    <w:p w14:paraId="3065862A">
      <w:pPr>
        <w:pageBreakBefore w:val="0"/>
        <w:kinsoku/>
        <w:wordWrap/>
        <w:overflowPunct/>
        <w:topLinePunct w:val="0"/>
        <w:autoSpaceDE/>
        <w:autoSpaceDN/>
        <w:bidi w:val="0"/>
        <w:adjustRightInd/>
        <w:spacing w:line="540" w:lineRule="exact"/>
        <w:ind w:firstLine="640" w:firstLineChars="200"/>
        <w:jc w:val="both"/>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4.大力推进重点项目建设。</w:t>
      </w:r>
    </w:p>
    <w:p w14:paraId="116E1120">
      <w:pPr>
        <w:pageBreakBefore w:val="0"/>
        <w:kinsoku/>
        <w:wordWrap/>
        <w:overflowPunct/>
        <w:topLinePunct w:val="0"/>
        <w:autoSpaceDE/>
        <w:autoSpaceDN/>
        <w:bidi w:val="0"/>
        <w:adjustRightInd/>
        <w:spacing w:line="540" w:lineRule="exact"/>
        <w:ind w:firstLine="640" w:firstLineChars="200"/>
        <w:jc w:val="both"/>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5.加快工作进度，做好调区扩园后续工作。</w:t>
      </w:r>
    </w:p>
    <w:p w14:paraId="6561E4C8">
      <w:pPr>
        <w:pageBreakBefore w:val="0"/>
        <w:kinsoku/>
        <w:wordWrap/>
        <w:overflowPunct/>
        <w:topLinePunct w:val="0"/>
        <w:autoSpaceDE/>
        <w:autoSpaceDN/>
        <w:bidi w:val="0"/>
        <w:adjustRightInd/>
        <w:spacing w:line="540" w:lineRule="exact"/>
        <w:ind w:firstLine="640" w:firstLineChars="200"/>
        <w:jc w:val="both"/>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6.围绕重点领域和关键环节开展招标投标专项整治工作。</w:t>
      </w:r>
    </w:p>
    <w:p w14:paraId="2C583C85">
      <w:pPr>
        <w:pageBreakBefore w:val="0"/>
        <w:kinsoku/>
        <w:wordWrap/>
        <w:overflowPunct/>
        <w:topLinePunct w:val="0"/>
        <w:autoSpaceDE/>
        <w:autoSpaceDN/>
        <w:bidi w:val="0"/>
        <w:adjustRightInd/>
        <w:spacing w:line="540" w:lineRule="exact"/>
        <w:ind w:firstLine="640" w:firstLineChars="200"/>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7.加强项目资金申报力度。</w:t>
      </w:r>
    </w:p>
    <w:p w14:paraId="4F612E5B">
      <w:pPr>
        <w:pageBreakBefore w:val="0"/>
        <w:kinsoku/>
        <w:wordWrap/>
        <w:overflowPunct/>
        <w:topLinePunct w:val="0"/>
        <w:autoSpaceDE/>
        <w:autoSpaceDN/>
        <w:bidi w:val="0"/>
        <w:adjustRightInd/>
        <w:spacing w:line="540" w:lineRule="exact"/>
        <w:ind w:firstLine="640" w:firstLineChars="200"/>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8.打好易地扶贫搬迁收官战。</w:t>
      </w:r>
    </w:p>
    <w:p w14:paraId="399C9C10">
      <w:pPr>
        <w:pageBreakBefore w:val="0"/>
        <w:kinsoku/>
        <w:wordWrap/>
        <w:overflowPunct/>
        <w:topLinePunct w:val="0"/>
        <w:autoSpaceDE/>
        <w:autoSpaceDN/>
        <w:bidi w:val="0"/>
        <w:adjustRightInd/>
        <w:spacing w:line="540" w:lineRule="exact"/>
        <w:ind w:firstLine="640" w:firstLineChars="200"/>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9.抓好粮食收购，确保储粮安全。</w:t>
      </w:r>
    </w:p>
    <w:p w14:paraId="2D274E1C">
      <w:pPr>
        <w:pStyle w:val="7"/>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240" w:afterAutospacing="0" w:line="540" w:lineRule="exact"/>
        <w:ind w:left="0" w:right="0" w:firstLine="640" w:firstLineChars="200"/>
        <w:textAlignment w:val="auto"/>
        <w:rPr>
          <w:rFonts w:hint="default" w:ascii="仿宋" w:hAnsi="仿宋" w:eastAsia="仿宋" w:cs="仿宋"/>
          <w:b w:val="0"/>
          <w:bCs w:val="0"/>
          <w:i w:val="0"/>
          <w:caps w:val="0"/>
          <w:color w:val="auto"/>
          <w:spacing w:val="0"/>
          <w:sz w:val="32"/>
          <w:szCs w:val="32"/>
          <w:lang w:val="en-US" w:eastAsia="zh-CN" w:bidi="ar-SA"/>
        </w:rPr>
      </w:pPr>
      <w:r>
        <w:rPr>
          <w:rFonts w:hint="default" w:ascii="仿宋" w:hAnsi="仿宋" w:eastAsia="仿宋" w:cs="仿宋"/>
          <w:b w:val="0"/>
          <w:bCs w:val="0"/>
          <w:i w:val="0"/>
          <w:caps w:val="0"/>
          <w:color w:val="auto"/>
          <w:spacing w:val="0"/>
          <w:sz w:val="32"/>
          <w:szCs w:val="32"/>
          <w:lang w:val="en-US" w:eastAsia="zh-CN" w:bidi="ar-SA"/>
        </w:rPr>
        <w:t>10.建立居民阶梯水价工作。</w:t>
      </w:r>
    </w:p>
    <w:p w14:paraId="5E391B0A">
      <w:pPr>
        <w:bidi w:val="0"/>
        <w:ind w:firstLine="473" w:firstLineChars="0"/>
        <w:jc w:val="left"/>
        <w:rPr>
          <w:rFonts w:hint="eastAsia"/>
          <w:color w:val="auto"/>
          <w:lang w:val="en-US" w:eastAsia="zh-CN"/>
        </w:rPr>
      </w:pPr>
    </w:p>
    <w:p w14:paraId="1B81C5DD">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（四）部门年度整体收支情况，包括当年预算收入、预算支出和专项资金管理情况、“三公”经费支出情况以及政府采购情况等。</w:t>
      </w:r>
    </w:p>
    <w:p w14:paraId="5E24A9AA">
      <w:pPr>
        <w:spacing w:line="520" w:lineRule="atLeast"/>
        <w:ind w:firstLine="640" w:firstLineChars="200"/>
        <w:rPr>
          <w:rFonts w:hint="eastAsia" w:ascii="仿宋" w:hAnsi="仿宋" w:eastAsia="仿宋" w:cs="仿宋"/>
          <w:color w:val="auto"/>
          <w:kern w:val="1"/>
          <w:sz w:val="32"/>
          <w:szCs w:val="32"/>
        </w:rPr>
      </w:pPr>
      <w:r>
        <w:rPr>
          <w:rFonts w:hint="eastAsia" w:ascii="仿宋" w:hAnsi="仿宋" w:eastAsia="仿宋" w:cs="仿宋"/>
          <w:color w:val="auto"/>
          <w:kern w:val="1"/>
          <w:sz w:val="32"/>
          <w:szCs w:val="32"/>
          <w:lang w:val="en-US" w:eastAsia="zh-CN"/>
        </w:rPr>
        <w:t>1、收入预算：2022年初预算收入指标980.19万元，实际本年收入2376.41万元，其中一般公共预算拨款2376.41万元，本年收入比年初预算增加142.44%，差额1396.22</w:t>
      </w:r>
      <w:r>
        <w:rPr>
          <w:rFonts w:hint="eastAsia" w:ascii="仿宋" w:hAnsi="仿宋" w:eastAsia="仿宋" w:cs="仿宋"/>
          <w:color w:val="auto"/>
          <w:kern w:val="1"/>
          <w:sz w:val="32"/>
          <w:szCs w:val="32"/>
        </w:rPr>
        <w:t>万元</w:t>
      </w:r>
      <w:r>
        <w:rPr>
          <w:rFonts w:hint="eastAsia" w:ascii="仿宋" w:hAnsi="仿宋" w:eastAsia="仿宋" w:cs="仿宋"/>
          <w:color w:val="auto"/>
          <w:kern w:val="1"/>
          <w:sz w:val="32"/>
          <w:szCs w:val="32"/>
          <w:lang w:eastAsia="zh-CN"/>
        </w:rPr>
        <w:t>。</w:t>
      </w:r>
      <w:r>
        <w:rPr>
          <w:rFonts w:hint="eastAsia" w:ascii="仿宋" w:hAnsi="仿宋" w:eastAsia="仿宋" w:cs="仿宋"/>
          <w:color w:val="auto"/>
          <w:kern w:val="1"/>
          <w:sz w:val="32"/>
          <w:szCs w:val="32"/>
        </w:rPr>
        <w:t>增减变动原因</w:t>
      </w:r>
      <w:r>
        <w:rPr>
          <w:rFonts w:hint="eastAsia" w:ascii="仿宋" w:hAnsi="仿宋" w:eastAsia="仿宋" w:cs="仿宋"/>
          <w:color w:val="auto"/>
          <w:kern w:val="1"/>
          <w:sz w:val="32"/>
          <w:szCs w:val="32"/>
          <w:lang w:eastAsia="zh-CN"/>
        </w:rPr>
        <w:t>：</w:t>
      </w:r>
      <w:r>
        <w:rPr>
          <w:rFonts w:hint="eastAsia" w:ascii="仿宋" w:hAnsi="仿宋" w:eastAsia="仿宋" w:cs="仿宋"/>
          <w:color w:val="auto"/>
          <w:kern w:val="1"/>
          <w:sz w:val="32"/>
          <w:szCs w:val="32"/>
          <w:lang w:val="en-US" w:eastAsia="zh-CN"/>
        </w:rPr>
        <w:t>131.86万元是人员增加、工资调标、退休人员补缴养老金职业年金医疗保险等基本经费增加;1264.36</w:t>
      </w:r>
      <w:r>
        <w:rPr>
          <w:rFonts w:hint="eastAsia" w:ascii="仿宋" w:hAnsi="仿宋" w:eastAsia="仿宋" w:cs="仿宋"/>
          <w:color w:val="auto"/>
          <w:kern w:val="1"/>
          <w:sz w:val="32"/>
          <w:szCs w:val="32"/>
        </w:rPr>
        <w:t>万</w:t>
      </w:r>
      <w:r>
        <w:rPr>
          <w:rFonts w:hint="eastAsia" w:ascii="仿宋" w:hAnsi="仿宋" w:eastAsia="仿宋" w:cs="仿宋"/>
          <w:color w:val="auto"/>
          <w:kern w:val="1"/>
          <w:sz w:val="32"/>
          <w:szCs w:val="32"/>
          <w:lang w:eastAsia="zh-CN"/>
        </w:rPr>
        <w:t>是</w:t>
      </w:r>
      <w:r>
        <w:rPr>
          <w:rFonts w:hint="eastAsia" w:ascii="仿宋" w:hAnsi="仿宋" w:eastAsia="仿宋" w:cs="仿宋"/>
          <w:color w:val="auto"/>
          <w:kern w:val="1"/>
          <w:sz w:val="32"/>
          <w:szCs w:val="32"/>
        </w:rPr>
        <w:t>项目</w:t>
      </w:r>
      <w:r>
        <w:rPr>
          <w:rFonts w:hint="eastAsia" w:ascii="仿宋" w:hAnsi="仿宋" w:eastAsia="仿宋" w:cs="仿宋"/>
          <w:color w:val="auto"/>
          <w:kern w:val="1"/>
          <w:sz w:val="32"/>
          <w:szCs w:val="32"/>
          <w:lang w:eastAsia="zh-CN"/>
        </w:rPr>
        <w:t>资金增加</w:t>
      </w:r>
      <w:r>
        <w:rPr>
          <w:rFonts w:hint="eastAsia" w:ascii="仿宋" w:hAnsi="仿宋" w:eastAsia="仿宋" w:cs="仿宋"/>
          <w:color w:val="auto"/>
          <w:kern w:val="1"/>
          <w:sz w:val="32"/>
          <w:szCs w:val="32"/>
          <w:lang w:val="en-US" w:eastAsia="zh-CN"/>
        </w:rPr>
        <w:t>，如</w:t>
      </w:r>
      <w:r>
        <w:rPr>
          <w:rFonts w:hint="eastAsia" w:ascii="仿宋" w:hAnsi="仿宋" w:eastAsia="仿宋" w:cs="仿宋"/>
          <w:color w:val="auto"/>
          <w:kern w:val="1"/>
          <w:sz w:val="32"/>
          <w:szCs w:val="32"/>
          <w:lang w:eastAsia="zh-CN"/>
        </w:rPr>
        <w:t>省、市重点项目暨市生态文化旅游产业重点项目集中开工经费</w:t>
      </w:r>
      <w:r>
        <w:rPr>
          <w:rFonts w:hint="eastAsia" w:ascii="仿宋" w:hAnsi="仿宋" w:eastAsia="仿宋" w:cs="仿宋"/>
          <w:color w:val="auto"/>
          <w:kern w:val="1"/>
          <w:sz w:val="32"/>
          <w:szCs w:val="32"/>
          <w:lang w:val="en-US" w:eastAsia="zh-CN"/>
        </w:rPr>
        <w:t>、易地搬迁后扶奖补、易地扶贫搬迁后续管理服务站公益性岗位补助、推进乡村振兴补助资金(集中安置区综合服务设施建设）、增收节支奖励、粮食政策性亏损挂账贷款利息费用、县级粮食储备库围墙建设资金、粮油安全监管费、粮食风险基金、省农村客货邮融合发展试点物流专项、“县-乡-村”物流配送建设专项、大湘西地区文化生态旅游精品线路建设专项等等，</w:t>
      </w:r>
      <w:r>
        <w:rPr>
          <w:rFonts w:hint="eastAsia" w:ascii="仿宋" w:hAnsi="仿宋" w:eastAsia="仿宋" w:cs="仿宋"/>
          <w:color w:val="auto"/>
          <w:kern w:val="1"/>
          <w:sz w:val="32"/>
          <w:szCs w:val="32"/>
          <w:lang w:eastAsia="zh-CN"/>
        </w:rPr>
        <w:t>因</w:t>
      </w:r>
      <w:r>
        <w:rPr>
          <w:rFonts w:hint="eastAsia" w:ascii="仿宋" w:hAnsi="仿宋" w:eastAsia="仿宋" w:cs="仿宋"/>
          <w:color w:val="auto"/>
          <w:kern w:val="1"/>
          <w:sz w:val="32"/>
          <w:szCs w:val="32"/>
        </w:rPr>
        <w:t>年初</w:t>
      </w:r>
      <w:r>
        <w:rPr>
          <w:rFonts w:hint="eastAsia" w:ascii="仿宋" w:hAnsi="仿宋" w:eastAsia="仿宋" w:cs="仿宋"/>
          <w:color w:val="auto"/>
          <w:kern w:val="1"/>
          <w:sz w:val="32"/>
          <w:szCs w:val="32"/>
          <w:lang w:eastAsia="zh-CN"/>
        </w:rPr>
        <w:t>无上级资金文件和县委政府会议纪要</w:t>
      </w:r>
      <w:r>
        <w:rPr>
          <w:rFonts w:hint="eastAsia" w:ascii="仿宋" w:hAnsi="仿宋" w:eastAsia="仿宋" w:cs="仿宋"/>
          <w:color w:val="auto"/>
          <w:kern w:val="1"/>
          <w:sz w:val="32"/>
          <w:szCs w:val="32"/>
        </w:rPr>
        <w:t>无法报预算</w:t>
      </w:r>
      <w:r>
        <w:rPr>
          <w:rFonts w:hint="eastAsia" w:ascii="仿宋" w:hAnsi="仿宋" w:eastAsia="仿宋" w:cs="仿宋"/>
          <w:color w:val="auto"/>
          <w:kern w:val="1"/>
          <w:sz w:val="32"/>
          <w:szCs w:val="32"/>
          <w:lang w:eastAsia="zh-CN"/>
        </w:rPr>
        <w:t>，</w:t>
      </w:r>
      <w:r>
        <w:rPr>
          <w:rFonts w:hint="eastAsia" w:ascii="仿宋" w:hAnsi="仿宋" w:eastAsia="仿宋" w:cs="仿宋"/>
          <w:color w:val="auto"/>
          <w:kern w:val="1"/>
          <w:sz w:val="32"/>
          <w:szCs w:val="32"/>
          <w:lang w:val="en-US" w:eastAsia="zh-CN"/>
        </w:rPr>
        <w:t>只能年中追加预算的</w:t>
      </w:r>
      <w:r>
        <w:rPr>
          <w:rFonts w:hint="eastAsia" w:ascii="仿宋" w:hAnsi="仿宋" w:eastAsia="仿宋" w:cs="仿宋"/>
          <w:color w:val="auto"/>
          <w:kern w:val="1"/>
          <w:sz w:val="32"/>
          <w:szCs w:val="32"/>
        </w:rPr>
        <w:t>。</w:t>
      </w:r>
    </w:p>
    <w:p w14:paraId="6B1A56CA">
      <w:pPr>
        <w:spacing w:line="520" w:lineRule="atLeast"/>
        <w:ind w:firstLine="640" w:firstLineChars="200"/>
        <w:rPr>
          <w:rFonts w:hint="eastAsia" w:ascii="仿宋" w:hAnsi="仿宋" w:eastAsia="仿宋" w:cs="仿宋"/>
          <w:color w:val="auto"/>
          <w:sz w:val="32"/>
          <w:szCs w:val="32"/>
        </w:rPr>
      </w:pPr>
      <w:r>
        <w:rPr>
          <w:rFonts w:hint="eastAsia" w:ascii="仿宋" w:hAnsi="仿宋" w:eastAsia="仿宋" w:cs="仿宋"/>
          <w:color w:val="auto"/>
          <w:kern w:val="1"/>
          <w:sz w:val="32"/>
          <w:szCs w:val="32"/>
          <w:lang w:val="en-US" w:eastAsia="zh-CN"/>
        </w:rPr>
        <w:t>2、支出预算：</w:t>
      </w:r>
      <w:r>
        <w:rPr>
          <w:rFonts w:hint="eastAsia" w:ascii="仿宋" w:hAnsi="仿宋" w:eastAsia="仿宋" w:cs="仿宋"/>
          <w:color w:val="auto"/>
          <w:kern w:val="1"/>
          <w:sz w:val="32"/>
          <w:szCs w:val="32"/>
        </w:rPr>
        <w:t>20</w:t>
      </w:r>
      <w:r>
        <w:rPr>
          <w:rFonts w:hint="eastAsia" w:ascii="仿宋" w:hAnsi="仿宋" w:eastAsia="仿宋" w:cs="仿宋"/>
          <w:color w:val="auto"/>
          <w:kern w:val="1"/>
          <w:sz w:val="32"/>
          <w:szCs w:val="32"/>
          <w:lang w:val="en-US" w:eastAsia="zh-CN"/>
        </w:rPr>
        <w:t>22</w:t>
      </w:r>
      <w:r>
        <w:rPr>
          <w:rFonts w:hint="eastAsia" w:ascii="仿宋" w:hAnsi="仿宋" w:eastAsia="仿宋" w:cs="仿宋"/>
          <w:color w:val="auto"/>
          <w:kern w:val="1"/>
          <w:sz w:val="32"/>
          <w:szCs w:val="32"/>
        </w:rPr>
        <w:t>年初预算支出指标</w:t>
      </w:r>
      <w:r>
        <w:rPr>
          <w:rFonts w:hint="eastAsia" w:ascii="仿宋" w:hAnsi="仿宋" w:eastAsia="仿宋" w:cs="仿宋"/>
          <w:color w:val="auto"/>
          <w:kern w:val="1"/>
          <w:sz w:val="32"/>
          <w:szCs w:val="32"/>
          <w:lang w:val="en-US" w:eastAsia="zh-CN"/>
        </w:rPr>
        <w:t>980.19</w:t>
      </w:r>
      <w:r>
        <w:rPr>
          <w:rFonts w:hint="eastAsia" w:ascii="仿宋" w:hAnsi="仿宋" w:eastAsia="仿宋" w:cs="仿宋"/>
          <w:color w:val="auto"/>
          <w:kern w:val="1"/>
          <w:sz w:val="32"/>
          <w:szCs w:val="32"/>
        </w:rPr>
        <w:t>万元，实际本年支出</w:t>
      </w:r>
      <w:r>
        <w:rPr>
          <w:rFonts w:hint="eastAsia" w:ascii="仿宋" w:hAnsi="仿宋" w:eastAsia="仿宋" w:cs="仿宋"/>
          <w:color w:val="auto"/>
          <w:kern w:val="1"/>
          <w:sz w:val="32"/>
          <w:szCs w:val="32"/>
          <w:lang w:val="en-US" w:eastAsia="zh-CN"/>
        </w:rPr>
        <w:t>2376.41</w:t>
      </w:r>
      <w:r>
        <w:rPr>
          <w:rFonts w:hint="eastAsia" w:ascii="仿宋" w:hAnsi="仿宋" w:eastAsia="仿宋" w:cs="仿宋"/>
          <w:color w:val="auto"/>
          <w:kern w:val="1"/>
          <w:sz w:val="32"/>
          <w:szCs w:val="32"/>
        </w:rPr>
        <w:t>万元，本年支出比年初预算增加</w:t>
      </w:r>
      <w:r>
        <w:rPr>
          <w:rFonts w:hint="eastAsia" w:ascii="仿宋" w:hAnsi="仿宋" w:eastAsia="仿宋" w:cs="仿宋"/>
          <w:color w:val="auto"/>
          <w:kern w:val="1"/>
          <w:sz w:val="32"/>
          <w:szCs w:val="32"/>
          <w:lang w:val="en-US" w:eastAsia="zh-CN"/>
        </w:rPr>
        <w:t>142.44</w:t>
      </w:r>
      <w:r>
        <w:rPr>
          <w:rFonts w:hint="eastAsia" w:ascii="仿宋" w:hAnsi="仿宋" w:eastAsia="仿宋" w:cs="仿宋"/>
          <w:color w:val="auto"/>
          <w:kern w:val="1"/>
          <w:sz w:val="32"/>
          <w:szCs w:val="32"/>
        </w:rPr>
        <w:t>%，差额</w:t>
      </w:r>
      <w:r>
        <w:rPr>
          <w:rFonts w:hint="eastAsia" w:ascii="仿宋" w:hAnsi="仿宋" w:eastAsia="仿宋" w:cs="仿宋"/>
          <w:color w:val="auto"/>
          <w:kern w:val="1"/>
          <w:sz w:val="32"/>
          <w:szCs w:val="32"/>
          <w:lang w:val="en-US" w:eastAsia="zh-CN"/>
        </w:rPr>
        <w:t>1396.22</w:t>
      </w:r>
      <w:r>
        <w:rPr>
          <w:rFonts w:hint="eastAsia" w:ascii="仿宋" w:hAnsi="仿宋" w:eastAsia="仿宋" w:cs="仿宋"/>
          <w:color w:val="auto"/>
          <w:kern w:val="1"/>
          <w:sz w:val="32"/>
          <w:szCs w:val="32"/>
        </w:rPr>
        <w:t>万元</w:t>
      </w:r>
      <w:r>
        <w:rPr>
          <w:rFonts w:hint="eastAsia" w:ascii="仿宋" w:hAnsi="仿宋" w:eastAsia="仿宋" w:cs="仿宋"/>
          <w:color w:val="auto"/>
          <w:kern w:val="1"/>
          <w:sz w:val="32"/>
          <w:szCs w:val="32"/>
          <w:lang w:eastAsia="zh-CN"/>
        </w:rPr>
        <w:t>。</w:t>
      </w:r>
    </w:p>
    <w:p w14:paraId="33E55E4F">
      <w:pPr>
        <w:snapToGrid w:val="0"/>
        <w:spacing w:line="520" w:lineRule="exact"/>
        <w:ind w:firstLine="640" w:firstLineChars="200"/>
        <w:rPr>
          <w:rFonts w:hint="eastAsia" w:ascii="仿宋" w:hAnsi="仿宋" w:eastAsia="仿宋" w:cs="仿宋"/>
          <w:color w:val="auto"/>
          <w:kern w:val="1"/>
          <w:sz w:val="32"/>
          <w:szCs w:val="32"/>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专项资金管理情况</w:t>
      </w:r>
      <w:r>
        <w:rPr>
          <w:rFonts w:hint="eastAsia" w:ascii="仿宋" w:hAnsi="仿宋" w:eastAsia="仿宋" w:cs="仿宋"/>
          <w:color w:val="auto"/>
          <w:kern w:val="1"/>
          <w:sz w:val="32"/>
          <w:szCs w:val="32"/>
        </w:rPr>
        <w:t>：项目支出</w:t>
      </w:r>
      <w:r>
        <w:rPr>
          <w:rFonts w:hint="eastAsia" w:ascii="仿宋" w:hAnsi="仿宋" w:eastAsia="仿宋" w:cs="仿宋"/>
          <w:color w:val="auto"/>
          <w:kern w:val="1"/>
          <w:sz w:val="32"/>
          <w:szCs w:val="32"/>
          <w:lang w:val="en-US" w:eastAsia="zh-CN"/>
        </w:rPr>
        <w:t>1636.44</w:t>
      </w:r>
      <w:r>
        <w:rPr>
          <w:rFonts w:hint="eastAsia" w:ascii="仿宋" w:hAnsi="仿宋" w:eastAsia="仿宋" w:cs="仿宋"/>
          <w:color w:val="auto"/>
          <w:kern w:val="1"/>
          <w:sz w:val="32"/>
          <w:szCs w:val="32"/>
        </w:rPr>
        <w:t>万元，</w:t>
      </w:r>
      <w:r>
        <w:rPr>
          <w:rFonts w:hint="default" w:ascii="仿宋_GB2312" w:hAnsi="仿宋" w:eastAsia="仿宋_GB2312" w:cs="仿宋_GB2312"/>
          <w:i w:val="0"/>
          <w:iCs w:val="0"/>
          <w:caps w:val="0"/>
          <w:color w:val="auto"/>
          <w:spacing w:val="0"/>
          <w:sz w:val="32"/>
          <w:szCs w:val="32"/>
          <w:shd w:val="clear" w:fill="FFFFFF"/>
        </w:rPr>
        <w:t>其中一般公共服务</w:t>
      </w:r>
      <w:r>
        <w:rPr>
          <w:rFonts w:hint="eastAsia" w:ascii="仿宋_GB2312" w:hAnsi="仿宋" w:eastAsia="仿宋_GB2312" w:cs="仿宋_GB2312"/>
          <w:i w:val="0"/>
          <w:iCs w:val="0"/>
          <w:caps w:val="0"/>
          <w:color w:val="auto"/>
          <w:spacing w:val="0"/>
          <w:sz w:val="32"/>
          <w:szCs w:val="32"/>
          <w:shd w:val="clear" w:fill="FFFFFF"/>
          <w:lang w:eastAsia="zh-CN"/>
        </w:rPr>
        <w:t>支出</w:t>
      </w:r>
      <w:r>
        <w:rPr>
          <w:rFonts w:hint="eastAsia" w:ascii="仿宋_GB2312" w:hAnsi="仿宋" w:eastAsia="仿宋_GB2312" w:cs="仿宋_GB2312"/>
          <w:i w:val="0"/>
          <w:iCs w:val="0"/>
          <w:caps w:val="0"/>
          <w:color w:val="auto"/>
          <w:spacing w:val="0"/>
          <w:sz w:val="32"/>
          <w:szCs w:val="32"/>
          <w:shd w:val="clear" w:fill="FFFFFF"/>
          <w:lang w:val="en-US" w:eastAsia="zh-CN"/>
        </w:rPr>
        <w:t>1358.50</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w:t>
      </w:r>
      <w:r>
        <w:rPr>
          <w:rFonts w:hint="eastAsia" w:ascii="仿宋_GB2312" w:hAnsi="仿宋" w:eastAsia="仿宋_GB2312" w:cs="仿宋_GB2312"/>
          <w:i w:val="0"/>
          <w:iCs w:val="0"/>
          <w:caps w:val="0"/>
          <w:color w:val="auto"/>
          <w:spacing w:val="0"/>
          <w:sz w:val="32"/>
          <w:szCs w:val="32"/>
          <w:shd w:val="clear" w:fill="FFFFFF"/>
          <w:lang w:eastAsia="zh-CN"/>
        </w:rPr>
        <w:t>含基本建设类</w:t>
      </w:r>
      <w:r>
        <w:rPr>
          <w:rFonts w:hint="eastAsia" w:ascii="仿宋" w:hAnsi="仿宋" w:eastAsia="仿宋" w:cs="仿宋"/>
          <w:color w:val="auto"/>
          <w:kern w:val="1"/>
          <w:sz w:val="32"/>
          <w:szCs w:val="32"/>
          <w:lang w:val="en-US" w:eastAsia="zh-CN"/>
        </w:rPr>
        <w:t>1241</w:t>
      </w:r>
      <w:r>
        <w:rPr>
          <w:rFonts w:hint="eastAsia" w:ascii="仿宋_GB2312" w:hAnsi="仿宋" w:eastAsia="仿宋_GB2312" w:cs="仿宋_GB2312"/>
          <w:i w:val="0"/>
          <w:iCs w:val="0"/>
          <w:caps w:val="0"/>
          <w:color w:val="auto"/>
          <w:spacing w:val="0"/>
          <w:sz w:val="32"/>
          <w:szCs w:val="32"/>
          <w:shd w:val="clear" w:fill="FFFFFF"/>
          <w:lang w:val="en-US" w:eastAsia="zh-CN"/>
        </w:rPr>
        <w:t>万元</w:t>
      </w:r>
      <w:r>
        <w:rPr>
          <w:rFonts w:hint="eastAsia" w:ascii="仿宋_GB2312" w:hAnsi="仿宋" w:eastAsia="仿宋_GB2312" w:cs="仿宋_GB2312"/>
          <w:i w:val="0"/>
          <w:iCs w:val="0"/>
          <w:caps w:val="0"/>
          <w:color w:val="auto"/>
          <w:spacing w:val="0"/>
          <w:sz w:val="32"/>
          <w:szCs w:val="32"/>
          <w:shd w:val="clear" w:fill="FFFFFF"/>
          <w:lang w:eastAsia="zh-CN"/>
        </w:rPr>
        <w:t>）</w:t>
      </w:r>
      <w:r>
        <w:rPr>
          <w:rFonts w:hint="eastAsia" w:ascii="仿宋" w:hAnsi="仿宋" w:eastAsia="仿宋" w:cs="仿宋"/>
          <w:i w:val="0"/>
          <w:iCs w:val="0"/>
          <w:caps w:val="0"/>
          <w:color w:val="auto"/>
          <w:spacing w:val="0"/>
          <w:sz w:val="32"/>
          <w:szCs w:val="32"/>
          <w:shd w:val="clear" w:fill="FFFFFF"/>
        </w:rPr>
        <w:t>，农林水支出</w:t>
      </w:r>
      <w:r>
        <w:rPr>
          <w:rFonts w:hint="eastAsia" w:ascii="仿宋" w:hAnsi="仿宋" w:eastAsia="仿宋" w:cs="仿宋"/>
          <w:i w:val="0"/>
          <w:iCs w:val="0"/>
          <w:caps w:val="0"/>
          <w:color w:val="auto"/>
          <w:spacing w:val="0"/>
          <w:sz w:val="32"/>
          <w:szCs w:val="32"/>
          <w:shd w:val="clear" w:fill="FFFFFF"/>
          <w:lang w:val="en-US" w:eastAsia="zh-CN"/>
        </w:rPr>
        <w:t>53.95</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i w:val="0"/>
          <w:iCs w:val="0"/>
          <w:caps w:val="0"/>
          <w:color w:val="auto"/>
          <w:spacing w:val="0"/>
          <w:sz w:val="32"/>
          <w:szCs w:val="32"/>
          <w:shd w:val="clear" w:fill="FFFFFF"/>
          <w:lang w:eastAsia="zh-CN"/>
        </w:rPr>
        <w:t>粮油物资储备支出</w:t>
      </w:r>
      <w:r>
        <w:rPr>
          <w:rFonts w:hint="eastAsia" w:ascii="仿宋" w:hAnsi="仿宋" w:eastAsia="仿宋" w:cs="仿宋"/>
          <w:i w:val="0"/>
          <w:iCs w:val="0"/>
          <w:caps w:val="0"/>
          <w:color w:val="auto"/>
          <w:spacing w:val="0"/>
          <w:sz w:val="32"/>
          <w:szCs w:val="32"/>
          <w:shd w:val="clear" w:fill="FFFFFF"/>
          <w:lang w:val="en-US" w:eastAsia="zh-CN"/>
        </w:rPr>
        <w:t>223.99</w:t>
      </w:r>
      <w:r>
        <w:rPr>
          <w:rFonts w:hint="eastAsia" w:ascii="仿宋" w:hAnsi="仿宋" w:eastAsia="仿宋" w:cs="仿宋"/>
          <w:i w:val="0"/>
          <w:iCs w:val="0"/>
          <w:caps w:val="0"/>
          <w:color w:val="auto"/>
          <w:spacing w:val="0"/>
          <w:sz w:val="32"/>
          <w:szCs w:val="32"/>
          <w:shd w:val="clear" w:fill="FFFFFF"/>
        </w:rPr>
        <w:t>万元</w:t>
      </w:r>
      <w:r>
        <w:rPr>
          <w:rFonts w:hint="eastAsia" w:ascii="仿宋" w:hAnsi="仿宋" w:eastAsia="仿宋" w:cs="仿宋"/>
          <w:color w:val="auto"/>
          <w:kern w:val="1"/>
          <w:sz w:val="32"/>
          <w:szCs w:val="32"/>
          <w:lang w:eastAsia="zh-CN"/>
        </w:rPr>
        <w:t>。</w:t>
      </w:r>
      <w:r>
        <w:rPr>
          <w:rFonts w:hint="default" w:ascii="仿宋_GB2312" w:hAnsi="仿宋" w:eastAsia="仿宋_GB2312" w:cs="仿宋_GB2312"/>
          <w:i w:val="0"/>
          <w:iCs w:val="0"/>
          <w:caps w:val="0"/>
          <w:color w:val="auto"/>
          <w:spacing w:val="0"/>
          <w:sz w:val="32"/>
          <w:szCs w:val="32"/>
          <w:shd w:val="clear" w:fill="FFFFFF"/>
        </w:rPr>
        <w:t>我局建立严格的专项资金管理体系，严格按照专项资金支出的条件和要求对专项资金使用情况进行管理。对专项资金实行国库集中支付和专账核算，使各项目资金真正做到专项管理，专款专用，确保资金无挤占、挪用、串用等现象。</w:t>
      </w:r>
    </w:p>
    <w:p w14:paraId="45EECBE1">
      <w:pPr>
        <w:spacing w:line="520" w:lineRule="atLeast"/>
        <w:ind w:firstLine="640" w:firstLineChars="200"/>
        <w:rPr>
          <w:rFonts w:hint="eastAsia" w:ascii="仿宋" w:hAnsi="仿宋" w:eastAsia="仿宋" w:cs="仿宋"/>
          <w:color w:val="auto"/>
          <w:sz w:val="32"/>
          <w:szCs w:val="32"/>
          <w:lang w:val="zh-CN" w:bidi="zh-CN"/>
        </w:rPr>
      </w:pPr>
      <w:r>
        <w:rPr>
          <w:rFonts w:hint="eastAsia" w:ascii="仿宋" w:hAnsi="仿宋" w:eastAsia="仿宋" w:cs="仿宋"/>
          <w:color w:val="auto"/>
          <w:kern w:val="1"/>
          <w:sz w:val="32"/>
          <w:szCs w:val="32"/>
          <w:lang w:val="en-US" w:eastAsia="zh-CN"/>
        </w:rPr>
        <w:t>4、“三公”经费支出情况：2022年“</w:t>
      </w:r>
      <w:r>
        <w:rPr>
          <w:rFonts w:hint="eastAsia" w:ascii="仿宋" w:hAnsi="仿宋" w:eastAsia="仿宋" w:cs="仿宋"/>
          <w:color w:val="auto"/>
          <w:kern w:val="1"/>
          <w:sz w:val="32"/>
          <w:szCs w:val="32"/>
        </w:rPr>
        <w:t>三公”经费年初预算数</w:t>
      </w:r>
      <w:r>
        <w:rPr>
          <w:rFonts w:hint="eastAsia" w:ascii="仿宋" w:hAnsi="仿宋" w:eastAsia="仿宋" w:cs="仿宋"/>
          <w:color w:val="auto"/>
          <w:kern w:val="1"/>
          <w:sz w:val="32"/>
          <w:szCs w:val="32"/>
          <w:lang w:val="en-US" w:eastAsia="zh-CN"/>
        </w:rPr>
        <w:t>18.03</w:t>
      </w:r>
      <w:r>
        <w:rPr>
          <w:rFonts w:hint="eastAsia" w:ascii="仿宋" w:hAnsi="仿宋" w:eastAsia="仿宋" w:cs="仿宋"/>
          <w:color w:val="auto"/>
          <w:kern w:val="1"/>
          <w:sz w:val="32"/>
          <w:szCs w:val="32"/>
        </w:rPr>
        <w:t>万元</w:t>
      </w:r>
      <w:r>
        <w:rPr>
          <w:rFonts w:hint="eastAsia" w:ascii="仿宋" w:hAnsi="仿宋" w:eastAsia="仿宋" w:cs="仿宋"/>
          <w:color w:val="auto"/>
          <w:kern w:val="1"/>
          <w:sz w:val="32"/>
          <w:szCs w:val="32"/>
          <w:lang w:eastAsia="zh-CN"/>
        </w:rPr>
        <w:t>，其中</w:t>
      </w:r>
      <w:r>
        <w:rPr>
          <w:rFonts w:hint="eastAsia" w:ascii="仿宋" w:hAnsi="仿宋" w:eastAsia="仿宋" w:cs="仿宋"/>
          <w:color w:val="auto"/>
          <w:kern w:val="1"/>
          <w:sz w:val="32"/>
          <w:szCs w:val="32"/>
        </w:rPr>
        <w:t>公务接待费</w:t>
      </w:r>
      <w:r>
        <w:rPr>
          <w:rFonts w:hint="eastAsia" w:ascii="仿宋" w:hAnsi="仿宋" w:eastAsia="仿宋" w:cs="仿宋"/>
          <w:color w:val="auto"/>
          <w:kern w:val="1"/>
          <w:sz w:val="32"/>
          <w:szCs w:val="32"/>
          <w:lang w:val="en-US" w:eastAsia="zh-CN"/>
        </w:rPr>
        <w:t>7.29</w:t>
      </w:r>
      <w:r>
        <w:rPr>
          <w:rFonts w:hint="eastAsia" w:ascii="仿宋" w:hAnsi="仿宋" w:eastAsia="仿宋" w:cs="仿宋"/>
          <w:color w:val="auto"/>
          <w:kern w:val="1"/>
          <w:sz w:val="32"/>
          <w:szCs w:val="32"/>
        </w:rPr>
        <w:t>万元</w:t>
      </w:r>
      <w:r>
        <w:rPr>
          <w:rFonts w:hint="eastAsia" w:ascii="仿宋" w:hAnsi="仿宋" w:eastAsia="仿宋" w:cs="仿宋"/>
          <w:color w:val="auto"/>
          <w:kern w:val="1"/>
          <w:sz w:val="32"/>
          <w:szCs w:val="32"/>
          <w:lang w:eastAsia="zh-CN"/>
        </w:rPr>
        <w:t>，</w:t>
      </w:r>
      <w:r>
        <w:rPr>
          <w:rFonts w:hint="eastAsia" w:ascii="仿宋" w:hAnsi="仿宋" w:eastAsia="仿宋" w:cs="仿宋"/>
          <w:color w:val="auto"/>
          <w:kern w:val="1"/>
          <w:sz w:val="32"/>
          <w:szCs w:val="32"/>
        </w:rPr>
        <w:t>公务用车运</w:t>
      </w:r>
      <w:r>
        <w:rPr>
          <w:rFonts w:hint="eastAsia" w:ascii="仿宋" w:hAnsi="仿宋" w:eastAsia="仿宋" w:cs="仿宋"/>
          <w:color w:val="auto"/>
          <w:kern w:val="1"/>
          <w:sz w:val="32"/>
          <w:szCs w:val="32"/>
          <w:lang w:eastAsia="zh-CN"/>
        </w:rPr>
        <w:t>行</w:t>
      </w:r>
      <w:r>
        <w:rPr>
          <w:rFonts w:hint="eastAsia" w:ascii="仿宋" w:hAnsi="仿宋" w:eastAsia="仿宋" w:cs="仿宋"/>
          <w:color w:val="auto"/>
          <w:kern w:val="1"/>
          <w:sz w:val="32"/>
          <w:szCs w:val="32"/>
        </w:rPr>
        <w:t>维护费</w:t>
      </w:r>
      <w:r>
        <w:rPr>
          <w:rFonts w:hint="eastAsia" w:ascii="仿宋" w:hAnsi="仿宋" w:eastAsia="仿宋" w:cs="仿宋"/>
          <w:color w:val="auto"/>
          <w:kern w:val="1"/>
          <w:sz w:val="32"/>
          <w:szCs w:val="32"/>
          <w:lang w:val="en-US" w:eastAsia="zh-CN"/>
        </w:rPr>
        <w:t>10.74</w:t>
      </w:r>
      <w:r>
        <w:rPr>
          <w:rFonts w:hint="eastAsia" w:ascii="仿宋" w:hAnsi="仿宋" w:eastAsia="仿宋" w:cs="仿宋"/>
          <w:color w:val="auto"/>
          <w:kern w:val="1"/>
          <w:sz w:val="32"/>
          <w:szCs w:val="32"/>
        </w:rPr>
        <w:t>万元</w:t>
      </w:r>
      <w:r>
        <w:rPr>
          <w:rFonts w:hint="eastAsia" w:ascii="仿宋" w:hAnsi="仿宋" w:eastAsia="仿宋" w:cs="仿宋"/>
          <w:color w:val="auto"/>
          <w:kern w:val="1"/>
          <w:sz w:val="32"/>
          <w:szCs w:val="32"/>
          <w:lang w:eastAsia="zh-CN"/>
        </w:rPr>
        <w:t>，</w:t>
      </w:r>
      <w:r>
        <w:rPr>
          <w:rFonts w:hint="eastAsia" w:ascii="仿宋" w:hAnsi="仿宋" w:eastAsia="仿宋" w:cs="仿宋"/>
          <w:color w:val="auto"/>
          <w:kern w:val="1"/>
          <w:sz w:val="32"/>
          <w:szCs w:val="32"/>
        </w:rPr>
        <w:t>公务</w:t>
      </w:r>
      <w:r>
        <w:rPr>
          <w:rFonts w:hint="eastAsia" w:ascii="仿宋" w:hAnsi="仿宋" w:eastAsia="仿宋" w:cs="仿宋"/>
          <w:color w:val="auto"/>
          <w:kern w:val="1"/>
          <w:sz w:val="32"/>
          <w:szCs w:val="32"/>
          <w:lang w:eastAsia="zh-CN"/>
        </w:rPr>
        <w:t>用</w:t>
      </w:r>
      <w:r>
        <w:rPr>
          <w:rFonts w:hint="eastAsia" w:ascii="仿宋" w:hAnsi="仿宋" w:eastAsia="仿宋" w:cs="仿宋"/>
          <w:color w:val="auto"/>
          <w:kern w:val="1"/>
          <w:sz w:val="32"/>
          <w:szCs w:val="32"/>
        </w:rPr>
        <w:t>车购置</w:t>
      </w:r>
      <w:r>
        <w:rPr>
          <w:rFonts w:hint="eastAsia" w:ascii="仿宋" w:hAnsi="仿宋" w:eastAsia="仿宋" w:cs="仿宋"/>
          <w:color w:val="auto"/>
          <w:kern w:val="1"/>
          <w:sz w:val="32"/>
          <w:szCs w:val="32"/>
          <w:lang w:eastAsia="zh-CN"/>
        </w:rPr>
        <w:t>费</w:t>
      </w:r>
      <w:r>
        <w:rPr>
          <w:rFonts w:hint="eastAsia" w:ascii="仿宋" w:hAnsi="仿宋" w:eastAsia="仿宋" w:cs="仿宋"/>
          <w:color w:val="auto"/>
          <w:kern w:val="1"/>
          <w:sz w:val="32"/>
          <w:szCs w:val="32"/>
          <w:lang w:val="en-US" w:eastAsia="zh-CN"/>
        </w:rPr>
        <w:t>0万元</w:t>
      </w:r>
      <w:r>
        <w:rPr>
          <w:rFonts w:hint="eastAsia" w:ascii="仿宋" w:hAnsi="仿宋" w:eastAsia="仿宋" w:cs="仿宋"/>
          <w:color w:val="auto"/>
          <w:kern w:val="1"/>
          <w:sz w:val="32"/>
          <w:szCs w:val="32"/>
        </w:rPr>
        <w:t>,因公出国（境)</w:t>
      </w:r>
      <w:r>
        <w:rPr>
          <w:rFonts w:hint="eastAsia" w:ascii="仿宋" w:hAnsi="仿宋" w:eastAsia="仿宋" w:cs="仿宋"/>
          <w:color w:val="auto"/>
          <w:kern w:val="1"/>
          <w:sz w:val="32"/>
          <w:szCs w:val="32"/>
          <w:lang w:eastAsia="zh-CN"/>
        </w:rPr>
        <w:t>费</w:t>
      </w:r>
      <w:r>
        <w:rPr>
          <w:rFonts w:hint="eastAsia" w:ascii="仿宋" w:hAnsi="仿宋" w:eastAsia="仿宋" w:cs="仿宋"/>
          <w:color w:val="auto"/>
          <w:kern w:val="1"/>
          <w:sz w:val="32"/>
          <w:szCs w:val="32"/>
          <w:lang w:val="en-US" w:eastAsia="zh-CN"/>
        </w:rPr>
        <w:t>0万元；2022年“</w:t>
      </w:r>
      <w:r>
        <w:rPr>
          <w:rFonts w:hint="eastAsia" w:ascii="仿宋" w:hAnsi="仿宋" w:eastAsia="仿宋" w:cs="仿宋"/>
          <w:color w:val="auto"/>
          <w:kern w:val="1"/>
          <w:sz w:val="32"/>
          <w:szCs w:val="32"/>
        </w:rPr>
        <w:t>三公”</w:t>
      </w:r>
      <w:r>
        <w:rPr>
          <w:rFonts w:hint="eastAsia" w:ascii="仿宋" w:hAnsi="仿宋" w:eastAsia="仿宋" w:cs="仿宋"/>
          <w:color w:val="auto"/>
          <w:kern w:val="1"/>
          <w:sz w:val="32"/>
          <w:szCs w:val="32"/>
          <w:lang w:eastAsia="zh-CN"/>
        </w:rPr>
        <w:t>经费实际支出</w:t>
      </w:r>
      <w:r>
        <w:rPr>
          <w:rFonts w:hint="eastAsia" w:ascii="仿宋" w:hAnsi="仿宋" w:eastAsia="仿宋" w:cs="仿宋"/>
          <w:color w:val="auto"/>
          <w:kern w:val="1"/>
          <w:sz w:val="32"/>
          <w:szCs w:val="32"/>
        </w:rPr>
        <w:t>总额</w:t>
      </w:r>
      <w:r>
        <w:rPr>
          <w:rFonts w:hint="eastAsia" w:ascii="仿宋" w:hAnsi="仿宋" w:eastAsia="仿宋" w:cs="仿宋"/>
          <w:color w:val="auto"/>
          <w:kern w:val="1"/>
          <w:sz w:val="32"/>
          <w:szCs w:val="32"/>
          <w:lang w:val="en-US" w:eastAsia="zh-CN"/>
        </w:rPr>
        <w:t>2.64</w:t>
      </w:r>
      <w:r>
        <w:rPr>
          <w:rFonts w:hint="eastAsia" w:ascii="仿宋" w:hAnsi="仿宋" w:eastAsia="仿宋" w:cs="仿宋"/>
          <w:color w:val="auto"/>
          <w:kern w:val="1"/>
          <w:sz w:val="32"/>
          <w:szCs w:val="32"/>
        </w:rPr>
        <w:t>万元,其中公务接待费</w:t>
      </w:r>
      <w:r>
        <w:rPr>
          <w:rFonts w:hint="eastAsia" w:ascii="仿宋" w:hAnsi="仿宋" w:eastAsia="仿宋" w:cs="仿宋"/>
          <w:color w:val="auto"/>
          <w:kern w:val="1"/>
          <w:sz w:val="32"/>
          <w:szCs w:val="32"/>
          <w:lang w:val="en-US" w:eastAsia="zh-CN"/>
        </w:rPr>
        <w:t>1.24</w:t>
      </w:r>
      <w:r>
        <w:rPr>
          <w:rFonts w:hint="eastAsia" w:ascii="仿宋" w:hAnsi="仿宋" w:eastAsia="仿宋" w:cs="仿宋"/>
          <w:color w:val="auto"/>
          <w:kern w:val="1"/>
          <w:sz w:val="32"/>
          <w:szCs w:val="32"/>
        </w:rPr>
        <w:t>万元,公务用车运</w:t>
      </w:r>
      <w:r>
        <w:rPr>
          <w:rFonts w:hint="eastAsia" w:ascii="仿宋" w:hAnsi="仿宋" w:eastAsia="仿宋" w:cs="仿宋"/>
          <w:color w:val="auto"/>
          <w:kern w:val="1"/>
          <w:sz w:val="32"/>
          <w:szCs w:val="32"/>
          <w:lang w:eastAsia="zh-CN"/>
        </w:rPr>
        <w:t>行</w:t>
      </w:r>
      <w:r>
        <w:rPr>
          <w:rFonts w:hint="eastAsia" w:ascii="仿宋" w:hAnsi="仿宋" w:eastAsia="仿宋" w:cs="仿宋"/>
          <w:color w:val="auto"/>
          <w:kern w:val="1"/>
          <w:sz w:val="32"/>
          <w:szCs w:val="32"/>
        </w:rPr>
        <w:t>维护费</w:t>
      </w:r>
      <w:r>
        <w:rPr>
          <w:rFonts w:hint="eastAsia" w:ascii="仿宋" w:hAnsi="仿宋" w:eastAsia="仿宋" w:cs="仿宋"/>
          <w:color w:val="auto"/>
          <w:kern w:val="1"/>
          <w:sz w:val="32"/>
          <w:szCs w:val="32"/>
          <w:lang w:val="en-US" w:eastAsia="zh-CN"/>
        </w:rPr>
        <w:t>1.4</w:t>
      </w:r>
      <w:r>
        <w:rPr>
          <w:rFonts w:hint="eastAsia" w:ascii="仿宋" w:hAnsi="仿宋" w:eastAsia="仿宋" w:cs="仿宋"/>
          <w:color w:val="auto"/>
          <w:kern w:val="1"/>
          <w:sz w:val="32"/>
          <w:szCs w:val="32"/>
        </w:rPr>
        <w:t>万元，公务</w:t>
      </w:r>
      <w:r>
        <w:rPr>
          <w:rFonts w:hint="eastAsia" w:ascii="仿宋" w:hAnsi="仿宋" w:eastAsia="仿宋" w:cs="仿宋"/>
          <w:color w:val="auto"/>
          <w:kern w:val="1"/>
          <w:sz w:val="32"/>
          <w:szCs w:val="32"/>
          <w:lang w:eastAsia="zh-CN"/>
        </w:rPr>
        <w:t>用</w:t>
      </w:r>
      <w:r>
        <w:rPr>
          <w:rFonts w:hint="eastAsia" w:ascii="仿宋" w:hAnsi="仿宋" w:eastAsia="仿宋" w:cs="仿宋"/>
          <w:color w:val="auto"/>
          <w:kern w:val="1"/>
          <w:sz w:val="32"/>
          <w:szCs w:val="32"/>
        </w:rPr>
        <w:t>车购置</w:t>
      </w:r>
      <w:r>
        <w:rPr>
          <w:rFonts w:hint="eastAsia" w:ascii="仿宋" w:hAnsi="仿宋" w:eastAsia="仿宋" w:cs="仿宋"/>
          <w:color w:val="auto"/>
          <w:kern w:val="1"/>
          <w:sz w:val="32"/>
          <w:szCs w:val="32"/>
          <w:lang w:eastAsia="zh-CN"/>
        </w:rPr>
        <w:t>费</w:t>
      </w:r>
      <w:r>
        <w:rPr>
          <w:rFonts w:hint="eastAsia" w:ascii="仿宋" w:hAnsi="仿宋" w:eastAsia="仿宋" w:cs="仿宋"/>
          <w:color w:val="auto"/>
          <w:kern w:val="1"/>
          <w:sz w:val="32"/>
          <w:szCs w:val="32"/>
          <w:lang w:val="en-US" w:eastAsia="zh-CN"/>
        </w:rPr>
        <w:t>0万元</w:t>
      </w:r>
      <w:r>
        <w:rPr>
          <w:rFonts w:hint="eastAsia" w:ascii="仿宋" w:hAnsi="仿宋" w:eastAsia="仿宋" w:cs="仿宋"/>
          <w:color w:val="auto"/>
          <w:kern w:val="1"/>
          <w:sz w:val="32"/>
          <w:szCs w:val="32"/>
        </w:rPr>
        <w:t>,因公出国（境)</w:t>
      </w:r>
      <w:r>
        <w:rPr>
          <w:rFonts w:hint="eastAsia" w:ascii="仿宋" w:hAnsi="仿宋" w:eastAsia="仿宋" w:cs="仿宋"/>
          <w:color w:val="auto"/>
          <w:kern w:val="1"/>
          <w:sz w:val="32"/>
          <w:szCs w:val="32"/>
          <w:lang w:eastAsia="zh-CN"/>
        </w:rPr>
        <w:t>费</w:t>
      </w:r>
      <w:r>
        <w:rPr>
          <w:rFonts w:hint="eastAsia" w:ascii="仿宋" w:hAnsi="仿宋" w:eastAsia="仿宋" w:cs="仿宋"/>
          <w:color w:val="auto"/>
          <w:kern w:val="1"/>
          <w:sz w:val="32"/>
          <w:szCs w:val="32"/>
          <w:lang w:val="en-US" w:eastAsia="zh-CN"/>
        </w:rPr>
        <w:t>0万元</w:t>
      </w:r>
      <w:r>
        <w:rPr>
          <w:rFonts w:hint="eastAsia" w:ascii="仿宋" w:hAnsi="仿宋" w:eastAsia="仿宋" w:cs="仿宋"/>
          <w:color w:val="auto"/>
          <w:kern w:val="1"/>
          <w:sz w:val="32"/>
          <w:szCs w:val="32"/>
        </w:rPr>
        <w:t>。</w:t>
      </w:r>
    </w:p>
    <w:p w14:paraId="2785EAEC">
      <w:pPr>
        <w:spacing w:line="520" w:lineRule="atLeast"/>
        <w:ind w:firstLine="640" w:firstLineChars="200"/>
        <w:rPr>
          <w:rFonts w:hint="eastAsia" w:ascii="仿宋" w:hAnsi="仿宋" w:eastAsia="仿宋" w:cs="仿宋"/>
          <w:color w:val="auto"/>
          <w:kern w:val="1"/>
          <w:sz w:val="32"/>
          <w:szCs w:val="32"/>
        </w:rPr>
      </w:pPr>
      <w:r>
        <w:rPr>
          <w:rFonts w:hint="eastAsia" w:ascii="仿宋" w:hAnsi="仿宋" w:eastAsia="仿宋" w:cs="仿宋"/>
          <w:color w:val="auto"/>
          <w:sz w:val="32"/>
          <w:szCs w:val="32"/>
          <w:lang w:val="en-US" w:bidi="zh-CN"/>
        </w:rPr>
        <w:t>5、政府采购情况：</w:t>
      </w:r>
      <w:r>
        <w:rPr>
          <w:rFonts w:hint="eastAsia" w:ascii="仿宋" w:hAnsi="仿宋" w:eastAsia="仿宋" w:cs="仿宋"/>
          <w:color w:val="auto"/>
          <w:sz w:val="32"/>
          <w:szCs w:val="32"/>
          <w:shd w:val="clear" w:color="auto" w:fill="FFFFFF"/>
        </w:rPr>
        <w:t>20</w:t>
      </w:r>
      <w:r>
        <w:rPr>
          <w:rFonts w:hint="eastAsia" w:ascii="仿宋" w:hAnsi="仿宋" w:eastAsia="仿宋" w:cs="仿宋"/>
          <w:color w:val="auto"/>
          <w:sz w:val="32"/>
          <w:szCs w:val="32"/>
          <w:shd w:val="clear" w:color="auto" w:fill="FFFFFF"/>
          <w:lang w:val="en-US" w:eastAsia="zh-CN"/>
        </w:rPr>
        <w:t>22</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本单位</w:t>
      </w:r>
      <w:r>
        <w:rPr>
          <w:rFonts w:hint="eastAsia" w:ascii="仿宋" w:hAnsi="仿宋" w:eastAsia="仿宋" w:cs="仿宋"/>
          <w:color w:val="auto"/>
          <w:sz w:val="32"/>
          <w:szCs w:val="32"/>
        </w:rPr>
        <w:t>政府采购</w:t>
      </w:r>
      <w:r>
        <w:rPr>
          <w:rFonts w:hint="eastAsia" w:ascii="仿宋" w:hAnsi="仿宋" w:eastAsia="仿宋" w:cs="仿宋"/>
          <w:color w:val="auto"/>
          <w:sz w:val="32"/>
          <w:szCs w:val="32"/>
          <w:lang w:eastAsia="zh-CN"/>
        </w:rPr>
        <w:t>预算总额</w:t>
      </w:r>
      <w:r>
        <w:rPr>
          <w:rFonts w:hint="eastAsia" w:ascii="仿宋" w:hAnsi="仿宋" w:eastAsia="仿宋" w:cs="仿宋"/>
          <w:color w:val="auto"/>
          <w:sz w:val="32"/>
          <w:szCs w:val="32"/>
          <w:lang w:val="en-US" w:eastAsia="zh-CN"/>
        </w:rPr>
        <w:t>233.88 万元，其中</w:t>
      </w:r>
      <w:r>
        <w:rPr>
          <w:rFonts w:hint="eastAsia" w:ascii="仿宋" w:hAnsi="仿宋" w:eastAsia="仿宋" w:cs="仿宋_GB2312"/>
          <w:color w:val="auto"/>
          <w:sz w:val="32"/>
          <w:szCs w:val="32"/>
          <w:shd w:val="clear" w:color="auto" w:fill="FFFFFF"/>
        </w:rPr>
        <w:t>政府采购货物</w:t>
      </w:r>
      <w:r>
        <w:rPr>
          <w:rFonts w:hint="eastAsia" w:ascii="仿宋" w:hAnsi="仿宋" w:eastAsia="仿宋" w:cs="仿宋_GB2312"/>
          <w:color w:val="auto"/>
          <w:sz w:val="32"/>
          <w:szCs w:val="32"/>
          <w:shd w:val="clear" w:color="auto" w:fill="FFFFFF"/>
          <w:lang w:eastAsia="zh-CN"/>
        </w:rPr>
        <w:t>类</w:t>
      </w:r>
      <w:r>
        <w:rPr>
          <w:rFonts w:hint="eastAsia" w:ascii="仿宋" w:hAnsi="仿宋" w:eastAsia="仿宋" w:cs="仿宋_GB2312"/>
          <w:color w:val="auto"/>
          <w:sz w:val="32"/>
          <w:szCs w:val="32"/>
          <w:shd w:val="clear" w:color="auto" w:fill="FFFFFF"/>
        </w:rPr>
        <w:t>预算</w:t>
      </w:r>
      <w:r>
        <w:rPr>
          <w:rFonts w:hint="eastAsia" w:ascii="仿宋" w:hAnsi="仿宋" w:eastAsia="仿宋" w:cs="仿宋_GB2312"/>
          <w:color w:val="auto"/>
          <w:sz w:val="32"/>
          <w:szCs w:val="32"/>
          <w:shd w:val="clear" w:color="auto" w:fill="FFFFFF"/>
          <w:lang w:val="en-US" w:eastAsia="zh-CN"/>
        </w:rPr>
        <w:t>217.08</w:t>
      </w:r>
      <w:r>
        <w:rPr>
          <w:rFonts w:hint="eastAsia" w:ascii="仿宋" w:hAnsi="仿宋" w:eastAsia="仿宋" w:cs="仿宋_GB2312"/>
          <w:color w:val="auto"/>
          <w:sz w:val="32"/>
          <w:szCs w:val="32"/>
          <w:shd w:val="clear" w:color="auto" w:fill="FFFFFF"/>
        </w:rPr>
        <w:t>万元</w:t>
      </w:r>
      <w:r>
        <w:rPr>
          <w:rFonts w:hint="eastAsia" w:ascii="仿宋" w:hAnsi="仿宋" w:eastAsia="仿宋" w:cs="仿宋_GB2312"/>
          <w:color w:val="auto"/>
          <w:sz w:val="32"/>
          <w:szCs w:val="32"/>
          <w:shd w:val="clear" w:color="auto" w:fill="FFFFFF"/>
          <w:lang w:eastAsia="zh-CN"/>
        </w:rPr>
        <w:t>，工程类采购预算</w:t>
      </w:r>
      <w:r>
        <w:rPr>
          <w:rFonts w:hint="eastAsia" w:ascii="仿宋" w:hAnsi="仿宋" w:eastAsia="仿宋" w:cs="仿宋_GB2312"/>
          <w:color w:val="auto"/>
          <w:sz w:val="32"/>
          <w:szCs w:val="32"/>
          <w:shd w:val="clear" w:color="auto" w:fill="FFFFFF"/>
          <w:lang w:val="en-US" w:eastAsia="zh-CN"/>
        </w:rPr>
        <w:t>0万元，</w:t>
      </w:r>
      <w:r>
        <w:rPr>
          <w:rFonts w:hint="eastAsia" w:ascii="仿宋" w:hAnsi="仿宋" w:eastAsia="仿宋" w:cs="仿宋_GB2312"/>
          <w:color w:val="auto"/>
          <w:sz w:val="32"/>
          <w:szCs w:val="32"/>
          <w:shd w:val="clear" w:color="auto" w:fill="FFFFFF"/>
        </w:rPr>
        <w:t>政府采购服务</w:t>
      </w:r>
      <w:r>
        <w:rPr>
          <w:rFonts w:hint="eastAsia" w:ascii="仿宋" w:hAnsi="仿宋" w:eastAsia="仿宋" w:cs="仿宋_GB2312"/>
          <w:color w:val="auto"/>
          <w:sz w:val="32"/>
          <w:szCs w:val="32"/>
          <w:shd w:val="clear" w:color="auto" w:fill="FFFFFF"/>
          <w:lang w:eastAsia="zh-CN"/>
        </w:rPr>
        <w:t>类</w:t>
      </w:r>
      <w:r>
        <w:rPr>
          <w:rFonts w:hint="eastAsia" w:ascii="仿宋" w:hAnsi="仿宋" w:eastAsia="仿宋" w:cs="仿宋_GB2312"/>
          <w:color w:val="auto"/>
          <w:sz w:val="32"/>
          <w:szCs w:val="32"/>
          <w:shd w:val="clear" w:color="auto" w:fill="FFFFFF"/>
        </w:rPr>
        <w:t>预算</w:t>
      </w:r>
      <w:r>
        <w:rPr>
          <w:rFonts w:hint="eastAsia" w:ascii="仿宋" w:hAnsi="仿宋" w:eastAsia="仿宋" w:cs="仿宋_GB2312"/>
          <w:color w:val="auto"/>
          <w:sz w:val="32"/>
          <w:szCs w:val="32"/>
          <w:shd w:val="clear" w:color="auto" w:fill="FFFFFF"/>
          <w:lang w:val="en-US" w:eastAsia="zh-CN"/>
        </w:rPr>
        <w:t>16.8</w:t>
      </w:r>
      <w:r>
        <w:rPr>
          <w:rFonts w:hint="eastAsia" w:ascii="仿宋" w:hAnsi="仿宋" w:eastAsia="仿宋" w:cs="仿宋_GB2312"/>
          <w:color w:val="auto"/>
          <w:sz w:val="32"/>
          <w:szCs w:val="32"/>
          <w:shd w:val="clear" w:color="auto" w:fill="FFFFFF"/>
        </w:rPr>
        <w:t>万元。</w:t>
      </w:r>
      <w:r>
        <w:rPr>
          <w:rFonts w:hint="eastAsia" w:ascii="仿宋" w:hAnsi="仿宋" w:eastAsia="仿宋" w:cs="仿宋"/>
          <w:color w:val="auto"/>
          <w:sz w:val="32"/>
          <w:szCs w:val="32"/>
          <w:shd w:val="clear" w:color="auto" w:fill="FFFFFF"/>
        </w:rPr>
        <w:t>20</w:t>
      </w:r>
      <w:r>
        <w:rPr>
          <w:rFonts w:hint="eastAsia" w:ascii="仿宋" w:hAnsi="仿宋" w:eastAsia="仿宋" w:cs="仿宋"/>
          <w:color w:val="auto"/>
          <w:sz w:val="32"/>
          <w:szCs w:val="32"/>
          <w:shd w:val="clear" w:color="auto" w:fill="FFFFFF"/>
          <w:lang w:val="en-US" w:eastAsia="zh-CN"/>
        </w:rPr>
        <w:t>22</w:t>
      </w:r>
      <w:r>
        <w:rPr>
          <w:rFonts w:hint="eastAsia" w:ascii="仿宋" w:hAnsi="仿宋" w:eastAsia="仿宋" w:cs="仿宋"/>
          <w:color w:val="auto"/>
          <w:sz w:val="32"/>
          <w:szCs w:val="32"/>
        </w:rPr>
        <w:t>年度政府采购</w:t>
      </w:r>
      <w:r>
        <w:rPr>
          <w:rFonts w:hint="eastAsia" w:ascii="仿宋" w:hAnsi="仿宋" w:eastAsia="仿宋" w:cs="仿宋"/>
          <w:color w:val="auto"/>
          <w:sz w:val="32"/>
          <w:szCs w:val="32"/>
          <w:lang w:eastAsia="zh-CN"/>
        </w:rPr>
        <w:t>实际</w:t>
      </w:r>
      <w:r>
        <w:rPr>
          <w:rFonts w:hint="eastAsia" w:ascii="仿宋" w:hAnsi="仿宋" w:eastAsia="仿宋" w:cs="仿宋"/>
          <w:color w:val="auto"/>
          <w:sz w:val="32"/>
          <w:szCs w:val="32"/>
        </w:rPr>
        <w:t>支出总额</w:t>
      </w:r>
      <w:r>
        <w:rPr>
          <w:rFonts w:hint="eastAsia" w:ascii="仿宋" w:hAnsi="仿宋" w:eastAsia="仿宋" w:cs="仿宋"/>
          <w:color w:val="auto"/>
          <w:sz w:val="32"/>
          <w:szCs w:val="32"/>
          <w:lang w:val="en-US" w:eastAsia="zh-CN"/>
        </w:rPr>
        <w:t>312.85</w:t>
      </w:r>
      <w:r>
        <w:rPr>
          <w:rFonts w:hint="eastAsia" w:ascii="仿宋" w:hAnsi="仿宋" w:eastAsia="仿宋" w:cs="仿宋"/>
          <w:color w:val="auto"/>
          <w:sz w:val="32"/>
          <w:szCs w:val="32"/>
          <w:shd w:val="clear" w:color="auto" w:fill="FFFFFF"/>
        </w:rPr>
        <w:t>万元</w:t>
      </w:r>
      <w:r>
        <w:rPr>
          <w:rFonts w:hint="eastAsia" w:ascii="仿宋" w:hAnsi="仿宋" w:eastAsia="仿宋" w:cs="仿宋"/>
          <w:color w:val="auto"/>
          <w:sz w:val="32"/>
          <w:szCs w:val="32"/>
          <w:shd w:val="clear" w:color="auto" w:fill="FFFFFF"/>
          <w:lang w:eastAsia="zh-CN"/>
        </w:rPr>
        <w:t>，</w:t>
      </w:r>
      <w:r>
        <w:rPr>
          <w:rFonts w:hint="eastAsia" w:ascii="仿宋" w:hAnsi="仿宋" w:eastAsia="仿宋" w:cs="仿宋"/>
          <w:color w:val="auto"/>
          <w:sz w:val="32"/>
          <w:szCs w:val="32"/>
          <w:shd w:val="clear" w:color="auto" w:fill="FFFFFF"/>
        </w:rPr>
        <w:t>其中政府采购货物支出</w:t>
      </w:r>
      <w:r>
        <w:rPr>
          <w:rFonts w:hint="eastAsia" w:ascii="仿宋" w:hAnsi="仿宋" w:eastAsia="仿宋" w:cs="仿宋_GB2312"/>
          <w:color w:val="auto"/>
          <w:sz w:val="32"/>
          <w:szCs w:val="32"/>
          <w:shd w:val="clear" w:color="auto" w:fill="FFFFFF"/>
          <w:lang w:val="en-US" w:eastAsia="zh-CN"/>
        </w:rPr>
        <w:t>29.80</w:t>
      </w:r>
      <w:r>
        <w:rPr>
          <w:rFonts w:hint="eastAsia" w:ascii="仿宋" w:hAnsi="仿宋" w:eastAsia="仿宋" w:cs="仿宋"/>
          <w:color w:val="auto"/>
          <w:sz w:val="32"/>
          <w:szCs w:val="32"/>
          <w:shd w:val="clear" w:color="auto" w:fill="FFFFFF"/>
        </w:rPr>
        <w:t>万元，</w:t>
      </w:r>
      <w:r>
        <w:rPr>
          <w:rFonts w:hint="eastAsia" w:ascii="仿宋" w:hAnsi="仿宋" w:eastAsia="仿宋" w:cs="仿宋"/>
          <w:color w:val="auto"/>
          <w:sz w:val="32"/>
          <w:szCs w:val="32"/>
          <w:shd w:val="clear" w:color="auto" w:fill="FFFFFF"/>
          <w:lang w:eastAsia="zh-CN"/>
        </w:rPr>
        <w:t>政府采购工程类支出</w:t>
      </w:r>
      <w:r>
        <w:rPr>
          <w:rFonts w:hint="eastAsia" w:ascii="仿宋" w:hAnsi="仿宋" w:eastAsia="仿宋" w:cs="仿宋_GB2312"/>
          <w:color w:val="auto"/>
          <w:sz w:val="32"/>
          <w:szCs w:val="32"/>
          <w:shd w:val="clear" w:color="auto" w:fill="FFFFFF"/>
          <w:lang w:val="en-US" w:eastAsia="zh-CN"/>
        </w:rPr>
        <w:t>23.41</w:t>
      </w:r>
      <w:r>
        <w:rPr>
          <w:rFonts w:hint="eastAsia" w:ascii="仿宋" w:hAnsi="仿宋" w:eastAsia="仿宋" w:cs="仿宋"/>
          <w:color w:val="auto"/>
          <w:sz w:val="32"/>
          <w:szCs w:val="32"/>
          <w:shd w:val="clear" w:color="auto" w:fill="FFFFFF"/>
          <w:lang w:val="en-US" w:eastAsia="zh-CN"/>
        </w:rPr>
        <w:t>万元，</w:t>
      </w:r>
      <w:r>
        <w:rPr>
          <w:rFonts w:hint="eastAsia" w:ascii="仿宋" w:hAnsi="仿宋" w:eastAsia="仿宋" w:cs="仿宋_GB2312"/>
          <w:color w:val="auto"/>
          <w:sz w:val="32"/>
          <w:szCs w:val="32"/>
          <w:shd w:val="clear" w:color="auto" w:fill="FFFFFF"/>
        </w:rPr>
        <w:t>政府采购</w:t>
      </w:r>
      <w:r>
        <w:rPr>
          <w:rFonts w:hint="eastAsia" w:ascii="仿宋" w:hAnsi="仿宋" w:eastAsia="仿宋" w:cs="仿宋"/>
          <w:color w:val="auto"/>
          <w:sz w:val="32"/>
          <w:szCs w:val="32"/>
          <w:shd w:val="clear" w:color="auto" w:fill="FFFFFF"/>
        </w:rPr>
        <w:t>服务类</w:t>
      </w:r>
      <w:r>
        <w:rPr>
          <w:rFonts w:hint="eastAsia" w:ascii="仿宋" w:hAnsi="仿宋" w:eastAsia="仿宋" w:cs="仿宋"/>
          <w:color w:val="auto"/>
          <w:sz w:val="32"/>
          <w:szCs w:val="32"/>
          <w:shd w:val="clear" w:color="auto" w:fill="FFFFFF"/>
          <w:lang w:eastAsia="zh-CN"/>
        </w:rPr>
        <w:t>支出</w:t>
      </w:r>
      <w:r>
        <w:rPr>
          <w:rFonts w:hint="eastAsia" w:ascii="仿宋" w:hAnsi="仿宋" w:eastAsia="仿宋" w:cs="仿宋_GB2312"/>
          <w:color w:val="auto"/>
          <w:sz w:val="32"/>
          <w:szCs w:val="32"/>
          <w:shd w:val="clear" w:color="auto" w:fill="FFFFFF"/>
          <w:lang w:val="en-US" w:eastAsia="zh-CN"/>
        </w:rPr>
        <w:t>259.64</w:t>
      </w:r>
      <w:r>
        <w:rPr>
          <w:rFonts w:hint="eastAsia" w:ascii="仿宋" w:hAnsi="仿宋" w:eastAsia="仿宋" w:cs="仿宋"/>
          <w:color w:val="auto"/>
          <w:sz w:val="32"/>
          <w:szCs w:val="32"/>
          <w:shd w:val="clear" w:color="auto" w:fill="FFFFFF"/>
        </w:rPr>
        <w:t>万元。</w:t>
      </w:r>
      <w:r>
        <w:rPr>
          <w:rFonts w:hint="eastAsia" w:ascii="仿宋" w:hAnsi="仿宋" w:eastAsia="仿宋" w:cs="仿宋"/>
          <w:color w:val="auto"/>
          <w:kern w:val="1"/>
          <w:sz w:val="32"/>
          <w:szCs w:val="32"/>
        </w:rPr>
        <w:t>增</w:t>
      </w:r>
      <w:r>
        <w:rPr>
          <w:rFonts w:hint="eastAsia" w:ascii="仿宋" w:hAnsi="仿宋" w:eastAsia="仿宋" w:cs="仿宋"/>
          <w:color w:val="auto"/>
          <w:kern w:val="1"/>
          <w:sz w:val="32"/>
          <w:szCs w:val="32"/>
          <w:lang w:eastAsia="zh-CN"/>
        </w:rPr>
        <w:t>加</w:t>
      </w:r>
      <w:r>
        <w:rPr>
          <w:rFonts w:hint="eastAsia" w:ascii="仿宋" w:hAnsi="仿宋" w:eastAsia="仿宋" w:cs="仿宋"/>
          <w:color w:val="auto"/>
          <w:kern w:val="1"/>
          <w:sz w:val="32"/>
          <w:szCs w:val="32"/>
        </w:rPr>
        <w:t>原因</w:t>
      </w:r>
      <w:r>
        <w:rPr>
          <w:rFonts w:hint="eastAsia" w:ascii="仿宋" w:hAnsi="仿宋" w:eastAsia="仿宋" w:cs="仿宋"/>
          <w:color w:val="auto"/>
          <w:kern w:val="1"/>
          <w:sz w:val="32"/>
          <w:szCs w:val="32"/>
          <w:lang w:eastAsia="zh-CN"/>
        </w:rPr>
        <w:t>：</w:t>
      </w:r>
      <w:r>
        <w:rPr>
          <w:rFonts w:hint="eastAsia" w:ascii="仿宋" w:hAnsi="仿宋" w:eastAsia="仿宋" w:cs="仿宋"/>
          <w:color w:val="auto"/>
          <w:kern w:val="1"/>
          <w:sz w:val="32"/>
          <w:szCs w:val="32"/>
          <w:lang w:val="en-US" w:eastAsia="zh-CN"/>
        </w:rPr>
        <w:t>项目资金</w:t>
      </w:r>
      <w:r>
        <w:rPr>
          <w:rFonts w:hint="eastAsia" w:ascii="仿宋" w:hAnsi="仿宋" w:eastAsia="仿宋" w:cs="仿宋"/>
          <w:color w:val="auto"/>
          <w:kern w:val="1"/>
          <w:sz w:val="32"/>
          <w:szCs w:val="32"/>
          <w:lang w:eastAsia="zh-CN"/>
        </w:rPr>
        <w:t>因</w:t>
      </w:r>
      <w:r>
        <w:rPr>
          <w:rFonts w:hint="eastAsia" w:ascii="仿宋" w:hAnsi="仿宋" w:eastAsia="仿宋" w:cs="仿宋"/>
          <w:color w:val="auto"/>
          <w:kern w:val="1"/>
          <w:sz w:val="32"/>
          <w:szCs w:val="32"/>
        </w:rPr>
        <w:t>年初</w:t>
      </w:r>
      <w:r>
        <w:rPr>
          <w:rFonts w:hint="eastAsia" w:ascii="仿宋" w:hAnsi="仿宋" w:eastAsia="仿宋" w:cs="仿宋"/>
          <w:color w:val="auto"/>
          <w:kern w:val="1"/>
          <w:sz w:val="32"/>
          <w:szCs w:val="32"/>
          <w:lang w:eastAsia="zh-CN"/>
        </w:rPr>
        <w:t>无上级资金文件和县委政府会议纪要</w:t>
      </w:r>
      <w:r>
        <w:rPr>
          <w:rFonts w:hint="eastAsia" w:ascii="仿宋" w:hAnsi="仿宋" w:eastAsia="仿宋" w:cs="仿宋"/>
          <w:color w:val="auto"/>
          <w:kern w:val="1"/>
          <w:sz w:val="32"/>
          <w:szCs w:val="32"/>
        </w:rPr>
        <w:t>无法报预算</w:t>
      </w:r>
      <w:r>
        <w:rPr>
          <w:rFonts w:hint="eastAsia" w:ascii="仿宋" w:hAnsi="仿宋" w:eastAsia="仿宋" w:cs="仿宋"/>
          <w:color w:val="auto"/>
          <w:kern w:val="1"/>
          <w:sz w:val="32"/>
          <w:szCs w:val="32"/>
          <w:lang w:eastAsia="zh-CN"/>
        </w:rPr>
        <w:t>，</w:t>
      </w:r>
      <w:r>
        <w:rPr>
          <w:rFonts w:hint="eastAsia" w:ascii="仿宋" w:hAnsi="仿宋" w:eastAsia="仿宋" w:cs="仿宋"/>
          <w:color w:val="auto"/>
          <w:kern w:val="1"/>
          <w:sz w:val="32"/>
          <w:szCs w:val="32"/>
          <w:lang w:val="en-US" w:eastAsia="zh-CN"/>
        </w:rPr>
        <w:t>只能年中追加预算的</w:t>
      </w:r>
      <w:r>
        <w:rPr>
          <w:rFonts w:hint="eastAsia" w:ascii="仿宋" w:hAnsi="仿宋" w:eastAsia="仿宋" w:cs="仿宋"/>
          <w:color w:val="auto"/>
          <w:kern w:val="1"/>
          <w:sz w:val="32"/>
          <w:szCs w:val="32"/>
        </w:rPr>
        <w:t>。</w:t>
      </w:r>
    </w:p>
    <w:p w14:paraId="13D3D697">
      <w:pPr>
        <w:spacing w:line="520" w:lineRule="atLeas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部门年度整体工作目标任务完成情况，包括：财政资金支出达到的效果情况、社会满意度认可情况等。</w:t>
      </w:r>
    </w:p>
    <w:p w14:paraId="372C8AE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color w:val="auto"/>
        </w:rPr>
      </w:pPr>
      <w:r>
        <w:rPr>
          <w:rFonts w:hint="eastAsia" w:ascii="仿宋" w:hAnsi="仿宋" w:eastAsia="仿宋" w:cs="仿宋"/>
          <w:color w:val="auto"/>
          <w:sz w:val="32"/>
          <w:szCs w:val="32"/>
        </w:rPr>
        <w:t>概述单位工作开展情况及主要事业成效</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完成</w:t>
      </w:r>
      <w:r>
        <w:rPr>
          <w:rFonts w:hint="eastAsia" w:ascii="仿宋" w:hAnsi="仿宋" w:eastAsia="仿宋" w:cs="仿宋"/>
          <w:color w:val="auto"/>
          <w:sz w:val="32"/>
          <w:szCs w:val="32"/>
        </w:rPr>
        <w:t>固定资产投资增长14%的任务，编制了《中方县2022年固定资产投资项目工作手册》，1-11月，全县固定资产投资完成57.07亿元，同比增长10.3%。争取中央预算内投资项目3个，中央资金1270万元；积极争取农村客货邮融合发展试点县省级补助资金1600万元，成功发行地方政府专项债券项目5个，发行专项债券资金29500万元。谋划2023年第一批专项债券项目13个，总投资53.11亿元，谋划2023年中央预算内投资项目25个，总投资14.35亿元。截至11月底，项目开工50个，开工率58.8%，完成投资47.9亿元，为年计划的81.7%，其中16个市级重点全部开工，完成投资28.2亿元，为年计划的134.3%，13个市重点产业项目完成投资24.8亿元，为年计划的134.5%，产业项目完成投资占比88%，超目标任务（60%）28个百分点。截至12月，窗口累计办件166件，其中政府审批54件，企业备案112件。承诺件办结率达100%，未发生一件错办件和信访投诉件。</w:t>
      </w:r>
      <w:r>
        <w:rPr>
          <w:rFonts w:hint="eastAsia" w:ascii="仿宋" w:hAnsi="仿宋" w:eastAsia="仿宋" w:cs="仿宋"/>
          <w:color w:val="auto"/>
          <w:sz w:val="32"/>
          <w:szCs w:val="32"/>
          <w:lang w:eastAsia="zh-CN"/>
        </w:rPr>
        <w:t>全</w:t>
      </w:r>
      <w:r>
        <w:rPr>
          <w:rFonts w:hint="eastAsia" w:ascii="仿宋" w:hAnsi="仿宋" w:eastAsia="仿宋" w:cs="仿宋"/>
          <w:color w:val="auto"/>
          <w:sz w:val="32"/>
          <w:szCs w:val="32"/>
        </w:rPr>
        <w:t>县共3000余家市场主体注册信易贷，平台贷款达到7.4亿元。县泸阳风力发电、</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宝山风力发电项目总投资约11亿元，核定装机15.1万千瓦。提前储备谋划</w:t>
      </w:r>
      <w:r>
        <w:rPr>
          <w:rFonts w:hint="eastAsia" w:ascii="仿宋" w:hAnsi="仿宋" w:eastAsia="仿宋" w:cs="仿宋"/>
          <w:color w:val="auto"/>
          <w:sz w:val="32"/>
          <w:szCs w:val="32"/>
          <w:lang w:eastAsia="zh-CN"/>
        </w:rPr>
        <w:t>了</w:t>
      </w:r>
      <w:r>
        <w:rPr>
          <w:rFonts w:hint="eastAsia" w:ascii="仿宋" w:hAnsi="仿宋" w:eastAsia="仿宋" w:cs="仿宋"/>
          <w:color w:val="auto"/>
          <w:sz w:val="32"/>
          <w:szCs w:val="32"/>
        </w:rPr>
        <w:t>新能源开发储备项目14个，总投资57.25亿元。截至目前，48户户用屋顶光伏正常运行使用，年度发电量约80万度。对中方县第一幼儿园、童之梦幼儿园等23所幼儿园进行了收费备案。建立和完善了县行政事业性收费目录清单和县涉企服务收费目录清单。全年共办理各类案件价格认证18起，价格认定值4.505万元。完成了2010年至2021年期间存量案件的录入工作，共计3100余个。加强价格监测工作</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全年共上报价格日报表120余份，采集各类数据8000余条。</w:t>
      </w:r>
      <w:r>
        <w:rPr>
          <w:rFonts w:hint="eastAsia" w:ascii="仿宋" w:hAnsi="仿宋" w:eastAsia="仿宋" w:cs="仿宋"/>
          <w:bCs/>
          <w:color w:val="auto"/>
          <w:sz w:val="32"/>
          <w:szCs w:val="32"/>
        </w:rPr>
        <w:t>粮食购销储备通过省粮食交易批发市场公开拍卖1430吨粮食。</w:t>
      </w:r>
      <w:r>
        <w:rPr>
          <w:rFonts w:hint="eastAsia" w:ascii="仿宋" w:hAnsi="仿宋" w:eastAsia="仿宋" w:cs="仿宋"/>
          <w:color w:val="auto"/>
          <w:sz w:val="32"/>
          <w:szCs w:val="32"/>
        </w:rPr>
        <w:t>全县完成42个以上粮油样品送检工作；开展政策性粮食专项检查专项执法行动20余次，检查企业10余家次，出动执法人员80余人次。落实县级储备粮3500吨，应急成品粮180吨，确定了1家粮油应急加工企业、1家配送中心、2家储运企业、17个供应网点</w:t>
      </w:r>
      <w:r>
        <w:rPr>
          <w:rFonts w:hint="eastAsia" w:ascii="仿宋" w:hAnsi="仿宋" w:eastAsia="仿宋" w:cs="仿宋"/>
          <w:bCs/>
          <w:color w:val="auto"/>
          <w:sz w:val="32"/>
          <w:szCs w:val="32"/>
        </w:rPr>
        <w:t>。</w:t>
      </w:r>
      <w:r>
        <w:rPr>
          <w:rFonts w:hint="eastAsia" w:ascii="仿宋" w:hAnsi="仿宋" w:eastAsia="仿宋" w:cs="仿宋"/>
          <w:color w:val="auto"/>
          <w:sz w:val="32"/>
          <w:szCs w:val="32"/>
        </w:rPr>
        <w:t>2022年共监管政策性粮食转化5万吨。制定了《2022年易地扶贫搬迁后续扶持工作计划》等系统文件举办5场“春风行动”现场企业</w:t>
      </w:r>
      <w:r>
        <w:rPr>
          <w:rFonts w:hint="eastAsia" w:ascii="仿宋" w:hAnsi="仿宋" w:eastAsia="仿宋" w:cs="仿宋"/>
          <w:color w:val="auto"/>
          <w:sz w:val="32"/>
          <w:szCs w:val="32"/>
          <w:lang w:eastAsia="zh-CN"/>
        </w:rPr>
        <w:t>专项</w:t>
      </w:r>
      <w:r>
        <w:rPr>
          <w:rFonts w:hint="eastAsia" w:ascii="仿宋" w:hAnsi="仿宋" w:eastAsia="仿宋" w:cs="仿宋"/>
          <w:color w:val="auto"/>
          <w:sz w:val="32"/>
          <w:szCs w:val="32"/>
        </w:rPr>
        <w:t>招聘会</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解决搬迁群众就近就业50余人。开办技能培训办3场，参与培训的搬迁人员为342人次。截</w:t>
      </w:r>
      <w:r>
        <w:rPr>
          <w:rFonts w:hint="eastAsia" w:ascii="仿宋" w:hAnsi="仿宋" w:eastAsia="仿宋" w:cs="仿宋"/>
          <w:color w:val="auto"/>
          <w:sz w:val="32"/>
          <w:szCs w:val="32"/>
          <w:lang w:val="en-US" w:eastAsia="zh-CN"/>
        </w:rPr>
        <w:t>至</w:t>
      </w:r>
      <w:r>
        <w:rPr>
          <w:rFonts w:hint="eastAsia" w:ascii="仿宋" w:hAnsi="仿宋" w:eastAsia="仿宋" w:cs="仿宋"/>
          <w:color w:val="auto"/>
          <w:sz w:val="32"/>
          <w:szCs w:val="32"/>
        </w:rPr>
        <w:t>目前全县易地搬迁公益性岗位已设立63个。对自主发展实体创业的，一次性给予固定资产投资额20%奖励，每户最多不超过1万元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2022年度搬迁户自主创业9户39人，计划奖补资金9万元。2022年度落实后续就业发展项目5个，解决搬迁人员就业79人，76户家庭377人收益，户均年增收3万余元。全年能源领域共发现安全隐患2991处，累计完成整改销号2919处，整改率达98%。全年召开党建工作会议6次，开展党建理论学习12次、党组织书记双述双评3人/次，评选优秀党员6人，慰问困难生病党员6人。全年开展党组理论中心组学习12次、支部上党课8次，开展党建知识竞赛3次，开展党的二十大会议精神宣讲4次。</w:t>
      </w:r>
      <w:r>
        <w:rPr>
          <w:rFonts w:hint="eastAsia" w:ascii="仿宋" w:hAnsi="仿宋" w:eastAsia="仿宋" w:cs="仿宋"/>
          <w:b w:val="0"/>
          <w:bCs/>
          <w:color w:val="auto"/>
          <w:spacing w:val="-6"/>
          <w:sz w:val="32"/>
          <w:szCs w:val="32"/>
          <w:lang w:val="en-US" w:eastAsia="zh-CN"/>
        </w:rPr>
        <w:t>各方面工作</w:t>
      </w:r>
      <w:r>
        <w:rPr>
          <w:rFonts w:hint="eastAsia" w:ascii="仿宋" w:hAnsi="仿宋" w:eastAsia="仿宋" w:cs="仿宋"/>
          <w:color w:val="auto"/>
          <w:sz w:val="32"/>
          <w:szCs w:val="32"/>
        </w:rPr>
        <w:t>社会满意度</w:t>
      </w:r>
      <w:r>
        <w:rPr>
          <w:rFonts w:hint="eastAsia" w:ascii="仿宋" w:hAnsi="仿宋" w:eastAsia="仿宋" w:cs="仿宋"/>
          <w:b w:val="0"/>
          <w:bCs/>
          <w:color w:val="auto"/>
          <w:spacing w:val="-6"/>
          <w:sz w:val="32"/>
          <w:szCs w:val="32"/>
          <w:lang w:val="en-US" w:eastAsia="zh-CN"/>
        </w:rPr>
        <w:t>100%。</w:t>
      </w:r>
    </w:p>
    <w:p w14:paraId="673FAB52">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rPr>
        <w:t>二、部门整体评价工作开展</w:t>
      </w:r>
    </w:p>
    <w:p w14:paraId="190D2EE0">
      <w:pPr>
        <w:pStyle w:val="7"/>
        <w:keepNext w:val="0"/>
        <w:keepLines w:val="0"/>
        <w:pageBreakBefore w:val="0"/>
        <w:shd w:val="clear" w:color="auto" w:fill="FFFFFF"/>
        <w:kinsoku/>
        <w:wordWrap/>
        <w:topLinePunct w:val="0"/>
        <w:autoSpaceDE/>
        <w:autoSpaceDN/>
        <w:bidi w:val="0"/>
        <w:adjustRightInd/>
        <w:snapToGrid/>
        <w:spacing w:before="0" w:beforeAutospacing="0" w:after="300" w:afterAutospacing="0" w:line="560" w:lineRule="exact"/>
        <w:ind w:left="638" w:leftChars="290" w:firstLine="0" w:firstLineChars="0"/>
        <w:contextualSpacing/>
        <w:textAlignment w:val="auto"/>
        <w:rPr>
          <w:rFonts w:hint="eastAsia" w:ascii="仿宋" w:hAnsi="仿宋" w:eastAsia="仿宋" w:cs="仿宋"/>
          <w:bCs/>
          <w:color w:val="auto"/>
          <w:spacing w:val="-11"/>
          <w:sz w:val="32"/>
          <w:szCs w:val="32"/>
        </w:rPr>
      </w:pPr>
      <w:r>
        <w:rPr>
          <w:rFonts w:hint="eastAsia" w:ascii="仿宋" w:hAnsi="仿宋" w:eastAsia="仿宋" w:cs="仿宋"/>
          <w:color w:val="auto"/>
          <w:spacing w:val="-11"/>
          <w:sz w:val="32"/>
          <w:szCs w:val="32"/>
        </w:rPr>
        <w:t>（一）绩效评价实施过程情况，</w:t>
      </w:r>
      <w:r>
        <w:rPr>
          <w:rFonts w:hint="eastAsia" w:ascii="仿宋" w:hAnsi="仿宋" w:eastAsia="仿宋" w:cs="仿宋"/>
          <w:bCs/>
          <w:color w:val="auto"/>
          <w:spacing w:val="-11"/>
          <w:sz w:val="32"/>
          <w:szCs w:val="32"/>
        </w:rPr>
        <w:t>包括评价方法、工作程序</w:t>
      </w:r>
    </w:p>
    <w:p w14:paraId="458BD549">
      <w:pPr>
        <w:pStyle w:val="7"/>
        <w:keepNext w:val="0"/>
        <w:keepLines w:val="0"/>
        <w:pageBreakBefore w:val="0"/>
        <w:shd w:val="clear" w:color="auto" w:fill="FFFFFF"/>
        <w:kinsoku/>
        <w:wordWrap/>
        <w:topLinePunct w:val="0"/>
        <w:autoSpaceDE/>
        <w:autoSpaceDN/>
        <w:bidi w:val="0"/>
        <w:adjustRightInd/>
        <w:snapToGrid/>
        <w:spacing w:before="0" w:beforeAutospacing="0" w:after="300" w:afterAutospacing="0" w:line="560" w:lineRule="exact"/>
        <w:ind w:firstLine="643" w:firstLineChars="200"/>
        <w:contextualSpacing/>
        <w:textAlignment w:val="auto"/>
        <w:rPr>
          <w:rFonts w:ascii="仿宋_GB2312" w:hAnsi="Calibri" w:eastAsia="仿宋_GB2312" w:cs="Times New Roman"/>
          <w:color w:val="auto"/>
          <w:kern w:val="2"/>
          <w:sz w:val="32"/>
          <w:szCs w:val="32"/>
        </w:rPr>
      </w:pPr>
      <w:r>
        <w:rPr>
          <w:rFonts w:hint="eastAsia" w:ascii="楷体" w:hAnsi="楷体" w:eastAsia="楷体" w:cs="楷体"/>
          <w:b/>
          <w:bCs/>
          <w:color w:val="auto"/>
          <w:kern w:val="2"/>
          <w:sz w:val="32"/>
          <w:szCs w:val="32"/>
          <w:lang w:val="en-US" w:eastAsia="zh-CN"/>
        </w:rPr>
        <w:t>1、</w:t>
      </w:r>
      <w:r>
        <w:rPr>
          <w:rFonts w:hint="eastAsia" w:ascii="楷体" w:hAnsi="楷体" w:eastAsia="楷体" w:cs="楷体"/>
          <w:b/>
          <w:bCs/>
          <w:color w:val="auto"/>
          <w:kern w:val="2"/>
          <w:sz w:val="32"/>
          <w:szCs w:val="32"/>
        </w:rPr>
        <w:t>前期准备阶段</w:t>
      </w:r>
      <w:r>
        <w:rPr>
          <w:rFonts w:hint="eastAsia" w:ascii="楷体" w:hAnsi="楷体" w:eastAsia="楷体" w:cs="楷体"/>
          <w:b/>
          <w:bCs/>
          <w:color w:val="auto"/>
          <w:kern w:val="2"/>
          <w:sz w:val="32"/>
          <w:szCs w:val="32"/>
          <w:lang w:eastAsia="zh-CN"/>
        </w:rPr>
        <w:t>。</w:t>
      </w:r>
      <w:r>
        <w:rPr>
          <w:rFonts w:hint="eastAsia" w:ascii="仿宋_GB2312" w:hAnsi="Calibri" w:eastAsia="仿宋_GB2312" w:cs="Times New Roman"/>
          <w:color w:val="auto"/>
          <w:kern w:val="2"/>
          <w:sz w:val="32"/>
          <w:szCs w:val="32"/>
        </w:rPr>
        <w:t>组建评价工作</w:t>
      </w:r>
      <w:r>
        <w:rPr>
          <w:rFonts w:hint="eastAsia" w:ascii="仿宋_GB2312" w:hAnsi="Calibri" w:eastAsia="仿宋_GB2312" w:cs="Times New Roman"/>
          <w:color w:val="auto"/>
          <w:kern w:val="2"/>
          <w:sz w:val="32"/>
          <w:szCs w:val="32"/>
          <w:lang w:eastAsia="zh-CN"/>
        </w:rPr>
        <w:t>小</w:t>
      </w:r>
      <w:r>
        <w:rPr>
          <w:rFonts w:hint="eastAsia" w:ascii="仿宋_GB2312" w:hAnsi="Calibri" w:eastAsia="仿宋_GB2312" w:cs="Times New Roman"/>
          <w:color w:val="auto"/>
          <w:kern w:val="2"/>
          <w:sz w:val="32"/>
          <w:szCs w:val="32"/>
        </w:rPr>
        <w:t>组,制定具体的绩效评价工作方案。评价工作组与</w:t>
      </w:r>
      <w:r>
        <w:rPr>
          <w:rFonts w:hint="eastAsia" w:ascii="仿宋_GB2312" w:hAnsi="Calibri" w:eastAsia="仿宋_GB2312" w:cs="Times New Roman"/>
          <w:color w:val="auto"/>
          <w:kern w:val="2"/>
          <w:sz w:val="32"/>
          <w:szCs w:val="32"/>
          <w:lang w:eastAsia="zh-CN"/>
        </w:rPr>
        <w:t>相</w:t>
      </w:r>
      <w:r>
        <w:rPr>
          <w:rFonts w:hint="eastAsia" w:ascii="仿宋_GB2312" w:hAnsi="Calibri" w:eastAsia="仿宋_GB2312" w:cs="Times New Roman"/>
          <w:color w:val="auto"/>
          <w:kern w:val="2"/>
          <w:sz w:val="32"/>
          <w:szCs w:val="32"/>
        </w:rPr>
        <w:t>关人员进行座谈、了解项目情况，结合本次绩效评价工作要求的基础上，制定绩效评价工作方案，明确评价对象和范围、评价目的、评价内容、评价方法、指标体系框架、组织形式、时间安排和工作要求等具体事项。</w:t>
      </w:r>
    </w:p>
    <w:p w14:paraId="55EEC4C5">
      <w:pPr>
        <w:pStyle w:val="7"/>
        <w:keepNext w:val="0"/>
        <w:keepLines w:val="0"/>
        <w:pageBreakBefore w:val="0"/>
        <w:shd w:val="clear" w:color="auto" w:fill="FFFFFF"/>
        <w:kinsoku/>
        <w:wordWrap/>
        <w:topLinePunct w:val="0"/>
        <w:autoSpaceDE/>
        <w:autoSpaceDN/>
        <w:bidi w:val="0"/>
        <w:adjustRightInd/>
        <w:snapToGrid/>
        <w:spacing w:before="0" w:beforeAutospacing="0" w:after="300" w:afterAutospacing="0" w:line="560" w:lineRule="exact"/>
        <w:contextualSpacing/>
        <w:textAlignment w:val="auto"/>
        <w:rPr>
          <w:rFonts w:ascii="仿宋_GB2312" w:hAnsi="Calibri" w:eastAsia="仿宋_GB2312" w:cs="Times New Roman"/>
          <w:color w:val="auto"/>
          <w:kern w:val="2"/>
          <w:sz w:val="32"/>
          <w:szCs w:val="32"/>
        </w:rPr>
      </w:pPr>
      <w:r>
        <w:rPr>
          <w:rFonts w:hint="eastAsia" w:ascii="仿宋_GB2312" w:hAnsi="Calibri" w:eastAsia="仿宋_GB2312" w:cs="Times New Roman"/>
          <w:color w:val="auto"/>
          <w:kern w:val="2"/>
          <w:sz w:val="32"/>
          <w:szCs w:val="32"/>
        </w:rPr>
        <w:t>　　</w:t>
      </w:r>
      <w:r>
        <w:rPr>
          <w:rFonts w:hint="eastAsia" w:ascii="楷体" w:hAnsi="楷体" w:eastAsia="楷体" w:cs="楷体"/>
          <w:b/>
          <w:bCs/>
          <w:color w:val="auto"/>
          <w:kern w:val="2"/>
          <w:sz w:val="32"/>
          <w:szCs w:val="32"/>
        </w:rPr>
        <w:t>2</w:t>
      </w:r>
      <w:r>
        <w:rPr>
          <w:rFonts w:hint="eastAsia" w:ascii="楷体" w:hAnsi="楷体" w:eastAsia="楷体" w:cs="楷体"/>
          <w:b/>
          <w:bCs/>
          <w:color w:val="auto"/>
          <w:kern w:val="2"/>
          <w:sz w:val="32"/>
          <w:szCs w:val="32"/>
          <w:lang w:eastAsia="zh-CN"/>
        </w:rPr>
        <w:t>、</w:t>
      </w:r>
      <w:r>
        <w:rPr>
          <w:rFonts w:hint="eastAsia" w:ascii="楷体" w:hAnsi="楷体" w:eastAsia="楷体" w:cs="楷体"/>
          <w:b/>
          <w:bCs/>
          <w:color w:val="auto"/>
          <w:kern w:val="2"/>
          <w:sz w:val="32"/>
          <w:szCs w:val="32"/>
        </w:rPr>
        <w:t>现场调研及审核阶</w:t>
      </w:r>
      <w:r>
        <w:rPr>
          <w:rFonts w:hint="eastAsia" w:ascii="楷体" w:hAnsi="楷体" w:eastAsia="楷体" w:cs="楷体"/>
          <w:b/>
          <w:bCs/>
          <w:color w:val="auto"/>
          <w:kern w:val="2"/>
          <w:sz w:val="32"/>
          <w:szCs w:val="32"/>
          <w:lang w:eastAsia="zh-CN"/>
        </w:rPr>
        <w:t>段。</w:t>
      </w:r>
      <w:r>
        <w:rPr>
          <w:rFonts w:hint="eastAsia" w:ascii="仿宋_GB2312" w:hAnsi="Calibri" w:eastAsia="仿宋_GB2312" w:cs="Times New Roman"/>
          <w:color w:val="auto"/>
          <w:kern w:val="2"/>
          <w:sz w:val="32"/>
          <w:szCs w:val="32"/>
        </w:rPr>
        <w:t>主要工作包括：听取项目的介绍，核查、收集与项目实施有关的文件材料，了解项目资金使用及效益情况。对本项目资金使用情况</w:t>
      </w:r>
      <w:r>
        <w:rPr>
          <w:rFonts w:hint="eastAsia" w:ascii="仿宋_GB2312" w:hAnsi="Calibri" w:eastAsia="仿宋_GB2312" w:cs="Times New Roman"/>
          <w:color w:val="auto"/>
          <w:kern w:val="2"/>
          <w:sz w:val="32"/>
          <w:szCs w:val="32"/>
          <w:lang w:eastAsia="zh-CN"/>
        </w:rPr>
        <w:t>、</w:t>
      </w:r>
      <w:r>
        <w:rPr>
          <w:rFonts w:hint="eastAsia" w:ascii="仿宋_GB2312" w:hAnsi="Calibri" w:eastAsia="仿宋_GB2312" w:cs="Times New Roman"/>
          <w:color w:val="auto"/>
          <w:kern w:val="2"/>
          <w:sz w:val="32"/>
          <w:szCs w:val="32"/>
        </w:rPr>
        <w:t>项目情况进行调查了解，收集、整理、填报评价基础数据资料，对有关内容进行审核，重点对评价基础数据的准确性、完整性及相应佐证材料的有效性进行审核，并将审核过程中发现的问题、审核意见记录清楚。在整理分析总体情况和项目资料之后，评价工作组根据现场调研情况，细化评价指标，明确指标权重和评分标准，制定评价指标体系。</w:t>
      </w:r>
    </w:p>
    <w:p w14:paraId="78F3F56C">
      <w:pPr>
        <w:pStyle w:val="7"/>
        <w:keepNext w:val="0"/>
        <w:keepLines w:val="0"/>
        <w:pageBreakBefore w:val="0"/>
        <w:shd w:val="clear" w:color="auto" w:fill="FFFFFF"/>
        <w:kinsoku/>
        <w:wordWrap/>
        <w:topLinePunct w:val="0"/>
        <w:autoSpaceDE/>
        <w:autoSpaceDN/>
        <w:bidi w:val="0"/>
        <w:adjustRightInd/>
        <w:snapToGrid/>
        <w:spacing w:before="0" w:beforeAutospacing="0" w:after="300" w:afterAutospacing="0" w:line="560" w:lineRule="exact"/>
        <w:ind w:firstLine="641"/>
        <w:contextualSpacing/>
        <w:textAlignment w:val="auto"/>
        <w:rPr>
          <w:rFonts w:ascii="仿宋" w:hAnsi="仿宋" w:eastAsia="仿宋" w:cs="仿宋"/>
          <w:color w:val="auto"/>
          <w:spacing w:val="-11"/>
          <w:sz w:val="32"/>
          <w:szCs w:val="32"/>
        </w:rPr>
      </w:pPr>
      <w:r>
        <w:rPr>
          <w:rFonts w:hint="eastAsia" w:ascii="楷体" w:hAnsi="楷体" w:eastAsia="楷体" w:cs="楷体"/>
          <w:b/>
          <w:bCs/>
          <w:color w:val="auto"/>
          <w:kern w:val="2"/>
          <w:sz w:val="32"/>
          <w:szCs w:val="32"/>
        </w:rPr>
        <w:t>3</w:t>
      </w:r>
      <w:r>
        <w:rPr>
          <w:rFonts w:hint="eastAsia" w:ascii="楷体" w:hAnsi="楷体" w:eastAsia="楷体" w:cs="楷体"/>
          <w:b/>
          <w:bCs/>
          <w:color w:val="auto"/>
          <w:kern w:val="2"/>
          <w:sz w:val="32"/>
          <w:szCs w:val="32"/>
          <w:lang w:eastAsia="zh-CN"/>
        </w:rPr>
        <w:t>、</w:t>
      </w:r>
      <w:r>
        <w:rPr>
          <w:rFonts w:hint="eastAsia" w:ascii="楷体" w:hAnsi="楷体" w:eastAsia="楷体" w:cs="楷体"/>
          <w:b/>
          <w:bCs/>
          <w:color w:val="auto"/>
          <w:kern w:val="2"/>
          <w:sz w:val="32"/>
          <w:szCs w:val="32"/>
        </w:rPr>
        <w:t>评价总结阶</w:t>
      </w:r>
      <w:r>
        <w:rPr>
          <w:rFonts w:hint="eastAsia" w:ascii="楷体" w:hAnsi="楷体" w:eastAsia="楷体" w:cs="楷体"/>
          <w:b/>
          <w:bCs/>
          <w:color w:val="auto"/>
          <w:kern w:val="2"/>
          <w:sz w:val="32"/>
          <w:szCs w:val="32"/>
          <w:lang w:eastAsia="zh-CN"/>
        </w:rPr>
        <w:t>段。</w:t>
      </w:r>
      <w:r>
        <w:rPr>
          <w:rFonts w:hint="eastAsia" w:ascii="仿宋_GB2312" w:hAnsi="Calibri" w:eastAsia="仿宋_GB2312" w:cs="Times New Roman"/>
          <w:color w:val="auto"/>
          <w:kern w:val="2"/>
          <w:sz w:val="32"/>
          <w:szCs w:val="32"/>
        </w:rPr>
        <w:t>主要工作包括：撰写绩效评价报告；沟通初步评价意见；形成绩效评价报告；报送绩效评价报告；归档绩效评价资料。</w:t>
      </w:r>
    </w:p>
    <w:p w14:paraId="238D72B1">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hint="eastAsia" w:ascii="仿宋" w:hAnsi="仿宋" w:eastAsia="仿宋" w:cs="仿宋"/>
          <w:bCs/>
          <w:color w:val="auto"/>
          <w:sz w:val="32"/>
          <w:szCs w:val="32"/>
        </w:rPr>
      </w:pPr>
      <w:r>
        <w:rPr>
          <w:rFonts w:hint="eastAsia" w:ascii="仿宋" w:hAnsi="仿宋" w:eastAsia="仿宋" w:cs="仿宋"/>
          <w:color w:val="auto"/>
          <w:sz w:val="32"/>
          <w:szCs w:val="32"/>
        </w:rPr>
        <w:t>（二）绩效评价整体结果概况，</w:t>
      </w:r>
      <w:r>
        <w:rPr>
          <w:rFonts w:hint="eastAsia" w:ascii="仿宋" w:hAnsi="仿宋" w:eastAsia="仿宋" w:cs="仿宋"/>
          <w:bCs/>
          <w:color w:val="auto"/>
          <w:sz w:val="32"/>
          <w:szCs w:val="32"/>
        </w:rPr>
        <w:t>如：得分情况（或档次）、预算编制和执行情况、节能降耗情况、三公经费控制情况，项目支出管理规范和绩效情况等。</w:t>
      </w:r>
    </w:p>
    <w:p w14:paraId="1C443043">
      <w:pPr>
        <w:keepNext w:val="0"/>
        <w:keepLines w:val="0"/>
        <w:pageBreakBefore w:val="0"/>
        <w:kinsoku/>
        <w:wordWrap/>
        <w:topLinePunct w:val="0"/>
        <w:autoSpaceDE/>
        <w:autoSpaceDN/>
        <w:bidi w:val="0"/>
        <w:adjustRightInd/>
        <w:snapToGrid/>
        <w:spacing w:line="560" w:lineRule="exact"/>
        <w:ind w:firstLine="640" w:firstLineChars="200"/>
        <w:textAlignment w:val="auto"/>
        <w:rPr>
          <w:rFonts w:hint="eastAsia" w:eastAsia="微软雅黑"/>
          <w:b w:val="0"/>
          <w:bCs w:val="0"/>
          <w:color w:val="auto"/>
          <w:sz w:val="32"/>
          <w:szCs w:val="32"/>
          <w:lang w:val="en-US" w:eastAsia="zh-CN"/>
        </w:rPr>
      </w:pPr>
      <w:r>
        <w:rPr>
          <w:rFonts w:ascii="仿宋_GB2312" w:hAnsi="仿宋" w:eastAsia="仿宋_GB2312" w:cs="仿宋_GB2312"/>
          <w:i w:val="0"/>
          <w:iCs w:val="0"/>
          <w:caps w:val="0"/>
          <w:color w:val="auto"/>
          <w:spacing w:val="0"/>
          <w:sz w:val="32"/>
          <w:szCs w:val="32"/>
          <w:shd w:val="clear" w:fill="FFFFFF"/>
        </w:rPr>
        <w:t>根据资金绩效评价指标体系和绩效检查情况，</w:t>
      </w:r>
      <w:r>
        <w:rPr>
          <w:rFonts w:hint="default" w:ascii="仿宋_GB2312" w:hAnsi="仿宋" w:eastAsia="仿宋_GB2312" w:cs="仿宋_GB2312"/>
          <w:i w:val="0"/>
          <w:iCs w:val="0"/>
          <w:caps w:val="0"/>
          <w:color w:val="auto"/>
          <w:spacing w:val="0"/>
          <w:sz w:val="32"/>
          <w:szCs w:val="32"/>
          <w:shd w:val="clear" w:fill="FFFFFF"/>
        </w:rPr>
        <w:t>财政资金整体绩效分值</w:t>
      </w:r>
      <w:r>
        <w:rPr>
          <w:rFonts w:hint="eastAsia" w:ascii="仿宋" w:hAnsi="仿宋" w:eastAsia="仿宋" w:cs="仿宋"/>
          <w:i w:val="0"/>
          <w:iCs w:val="0"/>
          <w:caps w:val="0"/>
          <w:color w:val="auto"/>
          <w:spacing w:val="0"/>
          <w:sz w:val="32"/>
          <w:szCs w:val="32"/>
          <w:shd w:val="clear" w:fill="FFFFFF"/>
        </w:rPr>
        <w:t>100分，从预算编制和执行情况、节能降耗情况、三公经费控制情况，项目支出管理规范和绩效情况等方面总体评价，实得</w:t>
      </w:r>
      <w:r>
        <w:rPr>
          <w:rFonts w:hint="default" w:ascii="仿宋_GB2312" w:hAnsi="仿宋" w:eastAsia="仿宋_GB2312" w:cs="仿宋_GB2312"/>
          <w:i w:val="0"/>
          <w:iCs w:val="0"/>
          <w:caps w:val="0"/>
          <w:color w:val="auto"/>
          <w:spacing w:val="0"/>
          <w:sz w:val="32"/>
          <w:szCs w:val="32"/>
          <w:shd w:val="clear" w:fill="FFFFFF"/>
        </w:rPr>
        <w:t>9</w:t>
      </w:r>
      <w:r>
        <w:rPr>
          <w:rFonts w:hint="eastAsia" w:ascii="仿宋_GB2312" w:hAnsi="仿宋" w:eastAsia="仿宋_GB2312" w:cs="仿宋_GB2312"/>
          <w:i w:val="0"/>
          <w:iCs w:val="0"/>
          <w:caps w:val="0"/>
          <w:color w:val="auto"/>
          <w:spacing w:val="0"/>
          <w:sz w:val="32"/>
          <w:szCs w:val="32"/>
          <w:shd w:val="clear" w:fill="FFFFFF"/>
          <w:lang w:val="en-US" w:eastAsia="zh-CN"/>
        </w:rPr>
        <w:t>0</w:t>
      </w:r>
      <w:r>
        <w:rPr>
          <w:rFonts w:hint="default" w:ascii="仿宋_GB2312" w:hAnsi="仿宋" w:eastAsia="仿宋_GB2312" w:cs="仿宋_GB2312"/>
          <w:i w:val="0"/>
          <w:iCs w:val="0"/>
          <w:caps w:val="0"/>
          <w:color w:val="auto"/>
          <w:spacing w:val="0"/>
          <w:sz w:val="32"/>
          <w:szCs w:val="32"/>
          <w:shd w:val="clear" w:fill="FFFFFF"/>
        </w:rPr>
        <w:t>.</w:t>
      </w:r>
      <w:r>
        <w:rPr>
          <w:rFonts w:hint="eastAsia" w:ascii="仿宋_GB2312" w:hAnsi="仿宋" w:eastAsia="仿宋_GB2312" w:cs="仿宋_GB2312"/>
          <w:i w:val="0"/>
          <w:iCs w:val="0"/>
          <w:caps w:val="0"/>
          <w:color w:val="auto"/>
          <w:spacing w:val="0"/>
          <w:sz w:val="32"/>
          <w:szCs w:val="32"/>
          <w:shd w:val="clear" w:fill="FFFFFF"/>
          <w:lang w:val="en-US" w:eastAsia="zh-CN"/>
        </w:rPr>
        <w:t>6</w:t>
      </w:r>
      <w:r>
        <w:rPr>
          <w:rFonts w:hint="default" w:ascii="仿宋_GB2312" w:hAnsi="仿宋" w:eastAsia="仿宋_GB2312" w:cs="仿宋_GB2312"/>
          <w:i w:val="0"/>
          <w:iCs w:val="0"/>
          <w:caps w:val="0"/>
          <w:color w:val="auto"/>
          <w:spacing w:val="0"/>
          <w:sz w:val="32"/>
          <w:szCs w:val="32"/>
          <w:shd w:val="clear" w:fill="FFFFFF"/>
        </w:rPr>
        <w:t>分，被评为</w:t>
      </w:r>
      <w:r>
        <w:rPr>
          <w:rFonts w:hint="eastAsia" w:ascii="仿宋" w:hAnsi="仿宋" w:eastAsia="仿宋" w:cs="仿宋"/>
          <w:i w:val="0"/>
          <w:iCs w:val="0"/>
          <w:caps w:val="0"/>
          <w:color w:val="auto"/>
          <w:spacing w:val="0"/>
          <w:sz w:val="32"/>
          <w:szCs w:val="32"/>
          <w:shd w:val="clear" w:fill="FFFFFF"/>
        </w:rPr>
        <w:t>“</w:t>
      </w:r>
      <w:r>
        <w:rPr>
          <w:rFonts w:hint="default" w:ascii="仿宋_GB2312" w:hAnsi="仿宋" w:eastAsia="仿宋_GB2312" w:cs="仿宋_GB2312"/>
          <w:i w:val="0"/>
          <w:iCs w:val="0"/>
          <w:caps w:val="0"/>
          <w:color w:val="auto"/>
          <w:spacing w:val="0"/>
          <w:sz w:val="32"/>
          <w:szCs w:val="32"/>
          <w:shd w:val="clear" w:fill="FFFFFF"/>
        </w:rPr>
        <w:t>优”等级</w:t>
      </w:r>
      <w:r>
        <w:rPr>
          <w:rFonts w:hint="eastAsia" w:ascii="仿宋" w:hAnsi="仿宋" w:eastAsia="仿宋" w:cs="仿宋"/>
          <w:i w:val="0"/>
          <w:iCs w:val="0"/>
          <w:caps w:val="0"/>
          <w:color w:val="auto"/>
          <w:spacing w:val="0"/>
          <w:sz w:val="32"/>
          <w:szCs w:val="32"/>
          <w:shd w:val="clear" w:fill="FFFFFF"/>
        </w:rPr>
        <w:t> </w:t>
      </w:r>
      <w:r>
        <w:rPr>
          <w:rFonts w:hint="default" w:ascii="仿宋_GB2312" w:hAnsi="仿宋" w:eastAsia="仿宋_GB2312" w:cs="仿宋_GB2312"/>
          <w:i w:val="0"/>
          <w:iCs w:val="0"/>
          <w:caps w:val="0"/>
          <w:color w:val="auto"/>
          <w:spacing w:val="0"/>
          <w:sz w:val="32"/>
          <w:szCs w:val="32"/>
          <w:shd w:val="clear" w:fill="FFFFFF"/>
        </w:rPr>
        <w:t>。（附件</w:t>
      </w:r>
      <w:r>
        <w:rPr>
          <w:rFonts w:hint="eastAsia" w:ascii="仿宋_GB2312" w:hAnsi="仿宋" w:eastAsia="仿宋_GB2312" w:cs="仿宋_GB2312"/>
          <w:i w:val="0"/>
          <w:iCs w:val="0"/>
          <w:caps w:val="0"/>
          <w:color w:val="auto"/>
          <w:spacing w:val="0"/>
          <w:sz w:val="32"/>
          <w:szCs w:val="32"/>
          <w:shd w:val="clear" w:fill="FFFFFF"/>
          <w:lang w:val="en-US" w:eastAsia="zh-CN"/>
        </w:rPr>
        <w:t>1</w:t>
      </w:r>
      <w:r>
        <w:rPr>
          <w:rFonts w:hint="eastAsia" w:ascii="仿宋" w:hAnsi="仿宋" w:eastAsia="仿宋" w:cs="仿宋"/>
          <w:i w:val="0"/>
          <w:iCs w:val="0"/>
          <w:caps w:val="0"/>
          <w:color w:val="auto"/>
          <w:spacing w:val="0"/>
          <w:sz w:val="32"/>
          <w:szCs w:val="32"/>
          <w:shd w:val="clear" w:fill="FFFFFF"/>
        </w:rPr>
        <w:t>）</w:t>
      </w:r>
    </w:p>
    <w:p w14:paraId="6B34DC75">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ascii="黑体" w:hAnsi="黑体" w:eastAsia="黑体" w:cs="黑体"/>
          <w:bCs/>
          <w:color w:val="auto"/>
          <w:sz w:val="32"/>
          <w:szCs w:val="32"/>
        </w:rPr>
      </w:pPr>
      <w:r>
        <w:rPr>
          <w:rFonts w:hint="eastAsia" w:ascii="黑体" w:hAnsi="黑体" w:eastAsia="黑体" w:cs="黑体"/>
          <w:bCs/>
          <w:color w:val="auto"/>
          <w:sz w:val="32"/>
          <w:szCs w:val="32"/>
        </w:rPr>
        <w:t>三、部门整体支出绩效评价分析</w:t>
      </w:r>
    </w:p>
    <w:p w14:paraId="461D48DF">
      <w:pPr>
        <w:keepNext w:val="0"/>
        <w:keepLines w:val="0"/>
        <w:pageBreakBefore w:val="0"/>
        <w:widowControl/>
        <w:kinsoku/>
        <w:wordWrap/>
        <w:overflowPunct/>
        <w:topLinePunct w:val="0"/>
        <w:autoSpaceDE/>
        <w:autoSpaceDN/>
        <w:bidi w:val="0"/>
        <w:adjustRightInd w:val="0"/>
        <w:snapToGrid w:val="0"/>
        <w:spacing w:after="0" w:line="600" w:lineRule="atLeast"/>
        <w:ind w:firstLine="643" w:firstLineChars="200"/>
        <w:textAlignment w:val="auto"/>
        <w:rPr>
          <w:rFonts w:hint="eastAsia" w:ascii="仿宋" w:hAnsi="仿宋" w:eastAsia="仿宋" w:cs="仿宋"/>
          <w:bCs/>
          <w:color w:val="auto"/>
          <w:sz w:val="32"/>
          <w:szCs w:val="32"/>
          <w:lang w:val="en-US" w:eastAsia="zh-CN"/>
        </w:rPr>
      </w:pPr>
      <w:r>
        <w:rPr>
          <w:rFonts w:hint="default" w:ascii="Times New Roman" w:hAnsi="Times New Roman" w:eastAsia="楷体_GB2312" w:cs="Times New Roman"/>
          <w:b/>
          <w:bCs/>
          <w:color w:val="auto"/>
          <w:spacing w:val="0"/>
          <w:sz w:val="32"/>
          <w:szCs w:val="32"/>
          <w:lang w:val="en-US" w:eastAsia="zh-CN"/>
        </w:rPr>
        <w:t>1.固定资产投资平稳</w:t>
      </w:r>
      <w:r>
        <w:rPr>
          <w:rFonts w:hint="default" w:ascii="Times New Roman" w:hAnsi="Times New Roman" w:eastAsia="楷体_GB2312" w:cs="Times New Roman"/>
          <w:b/>
          <w:bCs/>
          <w:color w:val="auto"/>
          <w:spacing w:val="0"/>
          <w:sz w:val="32"/>
          <w:szCs w:val="32"/>
          <w:lang w:eastAsia="zh-CN"/>
        </w:rPr>
        <w:t>增长。</w:t>
      </w:r>
      <w:r>
        <w:rPr>
          <w:rFonts w:hint="eastAsia" w:ascii="仿宋" w:hAnsi="仿宋" w:eastAsia="仿宋" w:cs="仿宋"/>
          <w:bCs/>
          <w:color w:val="auto"/>
          <w:sz w:val="32"/>
          <w:szCs w:val="32"/>
          <w:lang w:val="en-US" w:eastAsia="zh-CN"/>
        </w:rPr>
        <w:t>全县固定资产投资超目标任务14个百分点。</w:t>
      </w:r>
    </w:p>
    <w:p w14:paraId="738E1FC0">
      <w:pPr>
        <w:keepNext w:val="0"/>
        <w:keepLines w:val="0"/>
        <w:pageBreakBefore w:val="0"/>
        <w:widowControl/>
        <w:kinsoku/>
        <w:wordWrap/>
        <w:overflowPunct/>
        <w:topLinePunct w:val="0"/>
        <w:autoSpaceDE/>
        <w:autoSpaceDN/>
        <w:bidi w:val="0"/>
        <w:adjustRightInd w:val="0"/>
        <w:snapToGrid w:val="0"/>
        <w:spacing w:after="0" w:line="600" w:lineRule="atLeast"/>
        <w:ind w:firstLine="643" w:firstLineChars="200"/>
        <w:textAlignment w:val="auto"/>
        <w:rPr>
          <w:rFonts w:hint="default" w:ascii="Times New Roman" w:hAnsi="Times New Roman" w:eastAsia="仿宋" w:cs="Times New Roman"/>
          <w:bCs/>
          <w:color w:val="auto"/>
          <w:sz w:val="32"/>
          <w:szCs w:val="32"/>
          <w:lang w:val="en-US" w:eastAsia="zh-CN"/>
        </w:rPr>
      </w:pPr>
      <w:r>
        <w:rPr>
          <w:rFonts w:hint="default" w:ascii="Times New Roman" w:hAnsi="Times New Roman" w:eastAsia="楷体_GB2312" w:cs="Times New Roman"/>
          <w:b/>
          <w:bCs/>
          <w:color w:val="auto"/>
          <w:spacing w:val="0"/>
          <w:sz w:val="32"/>
          <w:szCs w:val="32"/>
          <w:lang w:val="en-US" w:eastAsia="zh-CN"/>
        </w:rPr>
        <w:t>2.加大争资争项工作力度。</w:t>
      </w:r>
      <w:r>
        <w:rPr>
          <w:rFonts w:hint="eastAsia" w:ascii="Times New Roman" w:hAnsi="Times New Roman" w:eastAsia="楷体_GB2312" w:cs="Times New Roman"/>
          <w:b/>
          <w:bCs/>
          <w:color w:val="auto"/>
          <w:spacing w:val="0"/>
          <w:sz w:val="32"/>
          <w:szCs w:val="32"/>
          <w:lang w:val="en-US" w:eastAsia="zh-CN"/>
        </w:rPr>
        <w:t>一是</w:t>
      </w:r>
      <w:r>
        <w:rPr>
          <w:rFonts w:hint="eastAsia" w:ascii="仿宋" w:hAnsi="仿宋" w:eastAsia="仿宋" w:cs="仿宋"/>
          <w:color w:val="auto"/>
          <w:sz w:val="32"/>
          <w:szCs w:val="32"/>
        </w:rPr>
        <w:t>争取中央预算内资金1270万元；</w:t>
      </w:r>
      <w:r>
        <w:rPr>
          <w:rFonts w:hint="default" w:ascii="Times New Roman" w:hAnsi="Times New Roman" w:eastAsia="仿宋" w:cs="Times New Roman"/>
          <w:bCs/>
          <w:color w:val="auto"/>
          <w:sz w:val="32"/>
          <w:szCs w:val="32"/>
          <w:lang w:val="en-US" w:eastAsia="zh-CN"/>
        </w:rPr>
        <w:t>争取</w:t>
      </w:r>
      <w:r>
        <w:rPr>
          <w:rFonts w:hint="eastAsia" w:ascii="仿宋" w:hAnsi="仿宋" w:eastAsia="仿宋" w:cs="仿宋"/>
          <w:color w:val="auto"/>
          <w:sz w:val="32"/>
          <w:szCs w:val="32"/>
        </w:rPr>
        <w:t>专项债券资金29500万元。</w:t>
      </w:r>
      <w:r>
        <w:rPr>
          <w:rFonts w:hint="default" w:ascii="Times New Roman" w:hAnsi="Times New Roman" w:eastAsia="仿宋" w:cs="Times New Roman"/>
          <w:b/>
          <w:bCs w:val="0"/>
          <w:color w:val="auto"/>
          <w:sz w:val="32"/>
          <w:szCs w:val="32"/>
          <w:lang w:val="en-US" w:eastAsia="zh-CN"/>
        </w:rPr>
        <w:t>二是</w:t>
      </w:r>
      <w:r>
        <w:rPr>
          <w:rFonts w:hint="default" w:ascii="Times New Roman" w:hAnsi="Times New Roman" w:eastAsia="仿宋" w:cs="Times New Roman"/>
          <w:bCs/>
          <w:color w:val="auto"/>
          <w:sz w:val="32"/>
          <w:szCs w:val="32"/>
          <w:lang w:val="en-US" w:eastAsia="zh-CN"/>
        </w:rPr>
        <w:t>加强中央和省预算内投资项目资金监管。</w:t>
      </w:r>
      <w:r>
        <w:rPr>
          <w:rFonts w:hint="default" w:ascii="Times New Roman" w:hAnsi="Times New Roman" w:eastAsia="仿宋" w:cs="Times New Roman"/>
          <w:b/>
          <w:bCs w:val="0"/>
          <w:color w:val="auto"/>
          <w:sz w:val="32"/>
          <w:szCs w:val="32"/>
          <w:lang w:val="en-US" w:eastAsia="zh-CN"/>
        </w:rPr>
        <w:t>三是</w:t>
      </w:r>
      <w:r>
        <w:rPr>
          <w:rFonts w:hint="default" w:ascii="Times New Roman" w:hAnsi="Times New Roman" w:eastAsia="仿宋" w:cs="Times New Roman"/>
          <w:bCs/>
          <w:color w:val="auto"/>
          <w:sz w:val="32"/>
          <w:szCs w:val="32"/>
          <w:lang w:val="en-US" w:eastAsia="zh-CN"/>
        </w:rPr>
        <w:t>加强</w:t>
      </w:r>
      <w:r>
        <w:rPr>
          <w:rFonts w:hint="eastAsia" w:ascii="Times New Roman" w:hAnsi="Times New Roman" w:eastAsia="仿宋" w:cs="Times New Roman"/>
          <w:bCs/>
          <w:color w:val="auto"/>
          <w:sz w:val="32"/>
          <w:szCs w:val="32"/>
          <w:lang w:val="en-US" w:eastAsia="zh-CN"/>
        </w:rPr>
        <w:t>明</w:t>
      </w:r>
      <w:r>
        <w:rPr>
          <w:rFonts w:hint="default" w:ascii="Times New Roman" w:hAnsi="Times New Roman" w:eastAsia="仿宋" w:cs="Times New Roman"/>
          <w:bCs/>
          <w:color w:val="auto"/>
          <w:sz w:val="32"/>
          <w:szCs w:val="32"/>
          <w:lang w:val="en-US" w:eastAsia="zh-CN"/>
        </w:rPr>
        <w:t>年中央预算内投资项目、专项债券项目的谋划和储备。</w:t>
      </w:r>
    </w:p>
    <w:p w14:paraId="712B886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43" w:firstLineChars="200"/>
        <w:jc w:val="both"/>
        <w:textAlignment w:val="auto"/>
        <w:rPr>
          <w:rFonts w:hint="eastAsia" w:ascii="仿宋" w:hAnsi="仿宋" w:eastAsia="仿宋" w:cs="仿宋"/>
          <w:color w:val="auto"/>
          <w:sz w:val="32"/>
          <w:szCs w:val="32"/>
        </w:rPr>
      </w:pPr>
      <w:r>
        <w:rPr>
          <w:rFonts w:hint="eastAsia" w:ascii="Times New Roman" w:hAnsi="Times New Roman" w:eastAsia="楷体_GB2312" w:cs="Times New Roman"/>
          <w:b/>
          <w:bCs/>
          <w:color w:val="auto"/>
          <w:spacing w:val="0"/>
          <w:sz w:val="32"/>
          <w:szCs w:val="32"/>
          <w:lang w:val="en-US" w:eastAsia="zh-CN"/>
        </w:rPr>
        <w:t>3</w:t>
      </w:r>
      <w:r>
        <w:rPr>
          <w:rFonts w:hint="default" w:ascii="Times New Roman" w:hAnsi="Times New Roman" w:eastAsia="楷体_GB2312" w:cs="Times New Roman"/>
          <w:b/>
          <w:bCs/>
          <w:color w:val="auto"/>
          <w:spacing w:val="0"/>
          <w:sz w:val="32"/>
          <w:szCs w:val="32"/>
          <w:lang w:val="en-US" w:eastAsia="zh-CN"/>
        </w:rPr>
        <w:t>.强力推进重大项目建设。</w:t>
      </w:r>
      <w:r>
        <w:rPr>
          <w:rFonts w:hint="eastAsia" w:ascii="仿宋" w:hAnsi="仿宋" w:eastAsia="仿宋" w:cs="仿宋"/>
          <w:color w:val="auto"/>
          <w:sz w:val="32"/>
          <w:szCs w:val="32"/>
        </w:rPr>
        <w:t>截至11月底，项目开工50个，开工率58.8%，完成投资47.9亿元，为年计划的81.7%，其中16个市级重点全部开工，完成投资28.2亿元，为年计划的134.3%，13个市重点产业项目完成投资24.8亿元，为年计划的134.5%，产业项目完成投资占比88%，超目标任务（60%）28个百分点</w:t>
      </w:r>
    </w:p>
    <w:p w14:paraId="3519388B">
      <w:pPr>
        <w:ind w:firstLine="643" w:firstLineChars="200"/>
        <w:jc w:val="both"/>
        <w:rPr>
          <w:rFonts w:hint="eastAsia" w:ascii="仿宋" w:hAnsi="仿宋" w:eastAsia="仿宋" w:cs="仿宋"/>
          <w:color w:val="auto"/>
          <w:sz w:val="32"/>
          <w:szCs w:val="32"/>
          <w:lang w:val="en-US" w:eastAsia="zh-CN" w:bidi="ar-SA"/>
        </w:rPr>
      </w:pPr>
      <w:r>
        <w:rPr>
          <w:rFonts w:hint="eastAsia" w:ascii="Times New Roman" w:hAnsi="Times New Roman" w:eastAsia="楷体_GB2312" w:cs="Times New Roman"/>
          <w:b/>
          <w:bCs/>
          <w:color w:val="auto"/>
          <w:spacing w:val="0"/>
          <w:sz w:val="32"/>
          <w:szCs w:val="32"/>
          <w:lang w:val="en-US" w:eastAsia="zh-CN" w:bidi="ar-SA"/>
        </w:rPr>
        <w:t>4</w:t>
      </w:r>
      <w:r>
        <w:rPr>
          <w:rFonts w:hint="default" w:ascii="Times New Roman" w:hAnsi="Times New Roman" w:eastAsia="楷体_GB2312" w:cs="Times New Roman"/>
          <w:b/>
          <w:bCs/>
          <w:color w:val="auto"/>
          <w:spacing w:val="0"/>
          <w:sz w:val="32"/>
          <w:szCs w:val="32"/>
          <w:lang w:val="en-US" w:eastAsia="zh-CN" w:bidi="ar-SA"/>
        </w:rPr>
        <w:t>.着力优化营商环境。</w:t>
      </w:r>
      <w:r>
        <w:rPr>
          <w:rFonts w:hint="eastAsia" w:ascii="仿宋" w:hAnsi="仿宋" w:eastAsia="仿宋" w:cs="仿宋"/>
          <w:color w:val="auto"/>
          <w:sz w:val="32"/>
          <w:szCs w:val="32"/>
          <w:lang w:val="en-US" w:eastAsia="zh-CN" w:bidi="ar-SA"/>
        </w:rPr>
        <w:t>截至12月，窗口累计办件166件，所有承诺件能按时办结，大部分提前办结，承诺件办结率达100%，未发生一件错办件和信访投诉件。通过宣传信易贷、帮助企业申请贷款等途径为企业解决资金困难问题，全县共3000余家市场主体注册信易贷，平台贷款达到7.4亿元。</w:t>
      </w:r>
    </w:p>
    <w:p w14:paraId="35761018">
      <w:pPr>
        <w:keepNext w:val="0"/>
        <w:keepLines w:val="0"/>
        <w:pageBreakBefore w:val="0"/>
        <w:widowControl/>
        <w:kinsoku/>
        <w:wordWrap/>
        <w:overflowPunct/>
        <w:topLinePunct w:val="0"/>
        <w:autoSpaceDE/>
        <w:autoSpaceDN/>
        <w:bidi w:val="0"/>
        <w:adjustRightInd w:val="0"/>
        <w:snapToGrid w:val="0"/>
        <w:spacing w:after="0" w:line="600" w:lineRule="atLeast"/>
        <w:ind w:firstLine="643" w:firstLineChars="200"/>
        <w:textAlignment w:val="auto"/>
        <w:rPr>
          <w:rFonts w:hint="default" w:ascii="仿宋" w:hAnsi="仿宋" w:eastAsia="仿宋" w:cs="仿宋"/>
          <w:color w:val="auto"/>
          <w:sz w:val="32"/>
          <w:szCs w:val="32"/>
          <w:lang w:val="en-US" w:eastAsia="zh-CN"/>
        </w:rPr>
      </w:pPr>
      <w:r>
        <w:rPr>
          <w:rFonts w:hint="eastAsia" w:ascii="Times New Roman" w:hAnsi="Times New Roman" w:eastAsia="楷体_GB2312" w:cs="Times New Roman"/>
          <w:b/>
          <w:bCs/>
          <w:color w:val="auto"/>
          <w:spacing w:val="0"/>
          <w:sz w:val="32"/>
          <w:szCs w:val="32"/>
          <w:lang w:val="en-US" w:eastAsia="zh-CN" w:bidi="ar-SA"/>
        </w:rPr>
        <w:t>5</w:t>
      </w:r>
      <w:r>
        <w:rPr>
          <w:rFonts w:hint="default" w:ascii="Times New Roman" w:hAnsi="Times New Roman" w:eastAsia="楷体_GB2312" w:cs="Times New Roman"/>
          <w:b/>
          <w:bCs/>
          <w:color w:val="auto"/>
          <w:spacing w:val="0"/>
          <w:sz w:val="32"/>
          <w:szCs w:val="32"/>
          <w:lang w:val="en-US" w:eastAsia="zh-CN" w:bidi="ar-SA"/>
        </w:rPr>
        <w:t>.</w:t>
      </w:r>
      <w:r>
        <w:rPr>
          <w:rFonts w:hint="eastAsia" w:ascii="Times New Roman" w:hAnsi="Times New Roman" w:eastAsia="楷体_GB2312" w:cs="Times New Roman"/>
          <w:b/>
          <w:bCs/>
          <w:color w:val="auto"/>
          <w:spacing w:val="0"/>
          <w:sz w:val="32"/>
          <w:szCs w:val="32"/>
          <w:lang w:val="en-US" w:eastAsia="zh-CN" w:bidi="ar-SA"/>
        </w:rPr>
        <w:t>推进能源工作迈上新台阶</w:t>
      </w:r>
      <w:r>
        <w:rPr>
          <w:rFonts w:hint="default" w:ascii="Times New Roman" w:hAnsi="Times New Roman" w:eastAsia="楷体_GB2312" w:cs="Times New Roman"/>
          <w:b/>
          <w:bCs/>
          <w:color w:val="auto"/>
          <w:spacing w:val="0"/>
          <w:sz w:val="32"/>
          <w:szCs w:val="32"/>
          <w:lang w:val="en-US" w:eastAsia="zh-CN" w:bidi="ar-SA"/>
        </w:rPr>
        <w:t>。</w:t>
      </w:r>
      <w:r>
        <w:rPr>
          <w:rFonts w:hint="eastAsia" w:ascii="仿宋" w:hAnsi="仿宋" w:eastAsia="仿宋" w:cs="仿宋"/>
          <w:color w:val="auto"/>
          <w:sz w:val="32"/>
          <w:szCs w:val="32"/>
          <w:lang w:val="en-US" w:eastAsia="zh-CN"/>
        </w:rPr>
        <w:t>一是加快夯实风力发电项目的前期工作。二是建立中方县新能源开发项目储备库。三是宣传鼓励屋顶光伏的普及使用。</w:t>
      </w:r>
    </w:p>
    <w:p w14:paraId="3E5EAC96">
      <w:pPr>
        <w:ind w:firstLine="643" w:firstLineChars="200"/>
        <w:jc w:val="both"/>
        <w:rPr>
          <w:rFonts w:hint="eastAsia" w:ascii="仿宋" w:hAnsi="仿宋" w:eastAsia="仿宋" w:cs="仿宋"/>
          <w:color w:val="auto"/>
          <w:sz w:val="32"/>
          <w:szCs w:val="32"/>
          <w:lang w:val="en-US" w:eastAsia="zh-CN"/>
        </w:rPr>
      </w:pPr>
      <w:r>
        <w:rPr>
          <w:rFonts w:hint="default" w:ascii="Times New Roman" w:hAnsi="Times New Roman" w:eastAsia="楷体_GB2312" w:cs="Times New Roman"/>
          <w:b/>
          <w:bCs/>
          <w:color w:val="auto"/>
          <w:spacing w:val="0"/>
          <w:sz w:val="32"/>
          <w:szCs w:val="32"/>
          <w:lang w:val="en-US" w:eastAsia="zh-CN" w:bidi="ar-SA"/>
        </w:rPr>
        <w:t>6.抓好价格收费管理。</w:t>
      </w:r>
      <w:r>
        <w:rPr>
          <w:rFonts w:hint="eastAsia" w:ascii="仿宋" w:hAnsi="仿宋" w:eastAsia="仿宋" w:cs="仿宋"/>
          <w:color w:val="auto"/>
          <w:sz w:val="32"/>
          <w:szCs w:val="32"/>
          <w:lang w:val="en-US" w:eastAsia="zh-CN"/>
        </w:rPr>
        <w:t>全年共办理各类案件价格认证18起，价格认定值4.505万元。完成了2010年至2021年期间存量案件的录入工作，共计3100余个。全年共上报价格日报表120余份采集各类数据8000余条。</w:t>
      </w:r>
    </w:p>
    <w:p w14:paraId="1BCD8E95">
      <w:pPr>
        <w:spacing w:line="560" w:lineRule="exact"/>
        <w:ind w:firstLine="630" w:firstLineChars="196"/>
        <w:rPr>
          <w:rFonts w:hint="eastAsia" w:ascii="仿宋" w:hAnsi="仿宋" w:eastAsia="仿宋" w:cs="仿宋"/>
          <w:color w:val="auto"/>
          <w:sz w:val="32"/>
          <w:szCs w:val="32"/>
          <w:lang w:val="en-US" w:eastAsia="zh-CN"/>
        </w:rPr>
      </w:pPr>
      <w:r>
        <w:rPr>
          <w:rFonts w:hint="default" w:ascii="Times New Roman" w:hAnsi="Times New Roman" w:eastAsia="楷体_GB2312" w:cs="Times New Roman"/>
          <w:b/>
          <w:bCs/>
          <w:color w:val="auto"/>
          <w:spacing w:val="0"/>
          <w:sz w:val="32"/>
          <w:szCs w:val="32"/>
          <w:lang w:val="en-US" w:eastAsia="zh-CN" w:bidi="ar-SA"/>
        </w:rPr>
        <w:t>7.</w:t>
      </w:r>
      <w:r>
        <w:rPr>
          <w:rFonts w:hint="eastAsia" w:ascii="Times New Roman" w:hAnsi="Times New Roman" w:eastAsia="楷体_GB2312" w:cs="Times New Roman"/>
          <w:b/>
          <w:bCs/>
          <w:color w:val="auto"/>
          <w:spacing w:val="0"/>
          <w:sz w:val="32"/>
          <w:szCs w:val="32"/>
          <w:lang w:val="en-US" w:eastAsia="zh-CN" w:bidi="ar-SA"/>
        </w:rPr>
        <w:t>狠抓粮食安全管理</w:t>
      </w:r>
      <w:r>
        <w:rPr>
          <w:rFonts w:hint="default" w:ascii="Times New Roman" w:hAnsi="Times New Roman" w:eastAsia="楷体_GB2312" w:cs="Times New Roman"/>
          <w:b/>
          <w:bCs/>
          <w:color w:val="auto"/>
          <w:spacing w:val="0"/>
          <w:sz w:val="32"/>
          <w:szCs w:val="32"/>
          <w:lang w:val="en-US" w:eastAsia="zh-CN" w:bidi="ar-SA"/>
        </w:rPr>
        <w:t>。</w:t>
      </w:r>
      <w:r>
        <w:rPr>
          <w:rFonts w:hint="eastAsia" w:ascii="仿宋" w:hAnsi="仿宋" w:eastAsia="仿宋" w:cs="仿宋"/>
          <w:color w:val="auto"/>
          <w:sz w:val="32"/>
          <w:szCs w:val="32"/>
          <w:lang w:val="en-US" w:eastAsia="zh-CN"/>
        </w:rPr>
        <w:t>一是抓好粮食购销储备。通过省粮食交易批发市场公开拍卖1430吨粮食。二是抓好质量监管。县财政投入10万元粮油质量检测经费，全县完成42个以上粮油样品送检工作。三是抓好应急保供。落实县级储备粮3500吨，应急成品粮180吨，确定了1家粮油应急加工企业、1家配送中心、2家储运企业、17个供应网点，形成全县粮油应急供应网络。四是品牌影响力不断提升。现有16家规模以上粮油企业。五是加强日常监管和开展联合执法。对于饲料企业使用超标稻谷和超期储存粮食作为饲料原料的监管工作，我局采取日常巡查的方式开展经常性执法。2022年共监管政策性粮食转化5万吨，2022年以来全行业未发生粮食质量安全事件和粮食安全生产责任事故，粮食流通秩序稳定。</w:t>
      </w:r>
    </w:p>
    <w:p w14:paraId="67B7E365">
      <w:pPr>
        <w:ind w:firstLine="640" w:firstLineChars="200"/>
        <w:rPr>
          <w:rFonts w:hint="eastAsia" w:ascii="仿宋" w:hAnsi="仿宋" w:eastAsia="仿宋" w:cs="仿宋"/>
          <w:color w:val="auto"/>
          <w:sz w:val="32"/>
          <w:szCs w:val="32"/>
          <w:lang w:val="en-US" w:eastAsia="zh-CN"/>
        </w:rPr>
      </w:pPr>
    </w:p>
    <w:p w14:paraId="611EFA61">
      <w:pPr>
        <w:spacing w:line="560" w:lineRule="exact"/>
        <w:ind w:firstLine="630" w:firstLineChars="196"/>
        <w:rPr>
          <w:rFonts w:hint="eastAsia" w:ascii="仿宋" w:hAnsi="仿宋" w:eastAsia="仿宋" w:cs="仿宋"/>
          <w:color w:val="auto"/>
          <w:sz w:val="32"/>
          <w:szCs w:val="32"/>
          <w:lang w:val="en-US" w:eastAsia="zh-CN"/>
        </w:rPr>
      </w:pPr>
      <w:r>
        <w:rPr>
          <w:rFonts w:hint="eastAsia" w:ascii="Times New Roman" w:hAnsi="Times New Roman" w:eastAsia="楷体_GB2312" w:cs="Times New Roman"/>
          <w:b/>
          <w:bCs/>
          <w:color w:val="auto"/>
          <w:spacing w:val="0"/>
          <w:sz w:val="32"/>
          <w:szCs w:val="32"/>
          <w:lang w:val="en-US" w:eastAsia="zh-CN" w:bidi="ar-SA"/>
        </w:rPr>
        <w:t>8、党建工作责任持续压实。</w:t>
      </w:r>
      <w:r>
        <w:rPr>
          <w:rFonts w:hint="eastAsia" w:ascii="仿宋" w:hAnsi="仿宋" w:eastAsia="仿宋" w:cs="仿宋"/>
          <w:color w:val="auto"/>
          <w:sz w:val="32"/>
          <w:szCs w:val="32"/>
          <w:lang w:val="en-US" w:eastAsia="zh-CN"/>
        </w:rPr>
        <w:t>一是严守政治纪律和政治规矩。二是不折不扣落实上级重大决策部署。有力推动“三高四新”、“四城两区”、“阔步新征程、奋力闯创干、喜迎二十大”、国际陆港建设、“鹤中一体化”等重大决策部署在发改落地生根、开花结果。三是切实落实党组党建主体责任、党组书记第一责任人责任和班子成员、党组织书记“一岗双责”责任。四是突出抓好问题整改。五是坚持真学笃行。全年开展党组理论中心组学习12次、支部上党课8次，开展党建知识竞赛3次，开展党的二十大会议精神宣讲4次，党员人均学习时间都达到38学时以上。六是坚持抓好党建带群团建设。鼓励和支持工会、妇委会等单位群团组织在重大节日积极开展庆祝，并结合学雷锋志愿服务月、四城同创、慈善公益等活动，积极服务社会、服务群众。</w:t>
      </w:r>
    </w:p>
    <w:p w14:paraId="5074E414">
      <w:pPr>
        <w:ind w:firstLine="643" w:firstLineChars="200"/>
        <w:rPr>
          <w:rFonts w:hint="eastAsia" w:ascii="仿宋" w:hAnsi="仿宋" w:eastAsia="仿宋" w:cs="仿宋"/>
          <w:color w:val="auto"/>
          <w:sz w:val="32"/>
          <w:szCs w:val="32"/>
          <w:lang w:val="en-US" w:eastAsia="zh-CN"/>
        </w:rPr>
      </w:pPr>
      <w:r>
        <w:rPr>
          <w:rFonts w:hint="eastAsia" w:ascii="Times New Roman" w:hAnsi="Times New Roman" w:eastAsia="楷体_GB2312" w:cs="Times New Roman"/>
          <w:b/>
          <w:bCs/>
          <w:color w:val="auto"/>
          <w:spacing w:val="0"/>
          <w:sz w:val="32"/>
          <w:szCs w:val="32"/>
          <w:lang w:val="en-US" w:eastAsia="zh-CN" w:bidi="ar-SA"/>
        </w:rPr>
        <w:t>9</w:t>
      </w:r>
      <w:r>
        <w:rPr>
          <w:rFonts w:hint="default" w:ascii="Times New Roman" w:hAnsi="Times New Roman" w:eastAsia="楷体_GB2312" w:cs="Times New Roman"/>
          <w:b/>
          <w:bCs/>
          <w:color w:val="auto"/>
          <w:spacing w:val="0"/>
          <w:sz w:val="32"/>
          <w:szCs w:val="32"/>
          <w:lang w:val="en-US" w:eastAsia="zh-CN" w:bidi="ar-SA"/>
        </w:rPr>
        <w:t>.</w:t>
      </w:r>
      <w:r>
        <w:rPr>
          <w:rFonts w:hint="eastAsia" w:ascii="Times New Roman" w:hAnsi="Times New Roman" w:eastAsia="楷体_GB2312" w:cs="Times New Roman"/>
          <w:b/>
          <w:bCs/>
          <w:color w:val="auto"/>
          <w:spacing w:val="0"/>
          <w:sz w:val="32"/>
          <w:szCs w:val="32"/>
          <w:lang w:val="en-US" w:eastAsia="zh-CN" w:bidi="ar-SA"/>
        </w:rPr>
        <w:t>易地搬迁后续扶持工作深入推进</w:t>
      </w:r>
      <w:r>
        <w:rPr>
          <w:rFonts w:hint="default" w:ascii="Times New Roman" w:hAnsi="Times New Roman" w:eastAsia="楷体_GB2312" w:cs="Times New Roman"/>
          <w:b/>
          <w:bCs/>
          <w:color w:val="auto"/>
          <w:spacing w:val="0"/>
          <w:sz w:val="32"/>
          <w:szCs w:val="32"/>
          <w:lang w:val="en-US" w:eastAsia="zh-CN" w:bidi="ar-SA"/>
        </w:rPr>
        <w:t>。</w:t>
      </w:r>
      <w:r>
        <w:rPr>
          <w:rFonts w:hint="eastAsia" w:ascii="仿宋" w:hAnsi="仿宋" w:eastAsia="仿宋" w:cs="仿宋"/>
          <w:color w:val="auto"/>
          <w:sz w:val="32"/>
          <w:szCs w:val="32"/>
          <w:lang w:val="en-US" w:eastAsia="zh-CN"/>
        </w:rPr>
        <w:t>为做好易地扶贫搬迁后续帮扶，巩固拓展易地扶贫搬迁脱贫攻坚成果同乡村振兴有效衔接，制定了《2022年易地扶贫搬迁后续扶持工作计划》等系统文件。一是就业扶持帮扶到人。二是产业扶持覆盖到户。三是集中安置点乡村治理工作全面展开。</w:t>
      </w:r>
    </w:p>
    <w:p w14:paraId="242B3822">
      <w:pPr>
        <w:ind w:firstLine="630" w:firstLineChars="196"/>
        <w:rPr>
          <w:rFonts w:hint="eastAsia" w:ascii="仿宋" w:hAnsi="仿宋" w:eastAsia="仿宋" w:cs="仿宋"/>
          <w:color w:val="auto"/>
          <w:sz w:val="32"/>
          <w:szCs w:val="32"/>
          <w:lang w:val="en-US" w:eastAsia="zh-CN"/>
        </w:rPr>
      </w:pPr>
      <w:r>
        <w:rPr>
          <w:rFonts w:hint="eastAsia" w:ascii="Times New Roman" w:hAnsi="Times New Roman" w:eastAsia="楷体_GB2312" w:cs="Times New Roman"/>
          <w:b/>
          <w:bCs/>
          <w:color w:val="auto"/>
          <w:spacing w:val="0"/>
          <w:sz w:val="32"/>
          <w:szCs w:val="32"/>
          <w:lang w:val="en-US" w:eastAsia="zh-CN" w:bidi="ar-SA"/>
        </w:rPr>
        <w:t>10</w:t>
      </w:r>
      <w:r>
        <w:rPr>
          <w:rFonts w:hint="default" w:ascii="Times New Roman" w:hAnsi="Times New Roman" w:eastAsia="楷体_GB2312" w:cs="Times New Roman"/>
          <w:b/>
          <w:bCs/>
          <w:color w:val="auto"/>
          <w:spacing w:val="0"/>
          <w:sz w:val="32"/>
          <w:szCs w:val="32"/>
          <w:lang w:val="en-US" w:eastAsia="zh-CN" w:bidi="ar-SA"/>
        </w:rPr>
        <w:t>.</w:t>
      </w:r>
      <w:r>
        <w:rPr>
          <w:rFonts w:hint="eastAsia" w:ascii="Times New Roman" w:hAnsi="Times New Roman" w:eastAsia="楷体_GB2312" w:cs="Times New Roman"/>
          <w:b/>
          <w:bCs/>
          <w:color w:val="auto"/>
          <w:spacing w:val="0"/>
          <w:sz w:val="32"/>
          <w:szCs w:val="32"/>
          <w:lang w:val="en-US" w:eastAsia="zh-CN" w:bidi="ar-SA"/>
        </w:rPr>
        <w:t>能源安全稳定保供。</w:t>
      </w:r>
      <w:r>
        <w:rPr>
          <w:rFonts w:hint="eastAsia" w:ascii="仿宋" w:hAnsi="仿宋" w:eastAsia="仿宋" w:cs="仿宋"/>
          <w:color w:val="auto"/>
          <w:sz w:val="32"/>
          <w:szCs w:val="32"/>
          <w:lang w:val="en-US" w:eastAsia="zh-CN"/>
        </w:rPr>
        <w:t>一是积极开展能源安全领域隐患排查工作。开展了隐患大排查大整治等安全生产系列专项行动，全年能源领域共发现安全隐患2991处，均属于一般性安全隐患，累计完成整改销号2919处，整改率达98%，全年能源领域实现了安全零事故发生。二是紧抓特殊时期能源安全保供工作。在迎峰度夏、迎峰度冬以及迎二十大、国庆节假期</w:t>
      </w:r>
      <w:bookmarkStart w:id="0" w:name="_GoBack"/>
      <w:bookmarkEnd w:id="0"/>
      <w:r>
        <w:rPr>
          <w:rFonts w:hint="eastAsia" w:ascii="仿宋" w:hAnsi="仿宋" w:eastAsia="仿宋" w:cs="仿宋"/>
          <w:color w:val="auto"/>
          <w:sz w:val="32"/>
          <w:szCs w:val="32"/>
          <w:lang w:val="en-US" w:eastAsia="zh-CN"/>
        </w:rPr>
        <w:t>期间，联合县商科工信局、国网中方供电公司提前制定应急保电预案，督促县能源专委会部分成员单位严格落实24小时专人应急值班值守，确保了特殊时期和节假日期间电力稳定保供。</w:t>
      </w:r>
    </w:p>
    <w:p w14:paraId="373CEE96">
      <w:pPr>
        <w:ind w:firstLine="630" w:firstLineChars="196"/>
        <w:jc w:val="both"/>
        <w:rPr>
          <w:rFonts w:hint="eastAsia" w:ascii="仿宋" w:hAnsi="仿宋" w:eastAsia="仿宋" w:cs="仿宋"/>
          <w:color w:val="auto"/>
          <w:sz w:val="32"/>
          <w:szCs w:val="32"/>
          <w:lang w:val="en-US" w:eastAsia="zh-CN"/>
        </w:rPr>
      </w:pPr>
      <w:r>
        <w:rPr>
          <w:rFonts w:hint="eastAsia" w:ascii="Times New Roman" w:hAnsi="Times New Roman" w:eastAsia="楷体_GB2312" w:cs="Times New Roman"/>
          <w:b/>
          <w:bCs/>
          <w:color w:val="auto"/>
          <w:spacing w:val="0"/>
          <w:sz w:val="32"/>
          <w:szCs w:val="32"/>
          <w:lang w:val="en-US" w:eastAsia="zh-CN" w:bidi="ar-SA"/>
        </w:rPr>
        <w:t>11、日常管理常抓不懈。</w:t>
      </w:r>
      <w:r>
        <w:rPr>
          <w:rFonts w:hint="eastAsia" w:ascii="仿宋" w:hAnsi="仿宋" w:eastAsia="仿宋" w:cs="仿宋"/>
          <w:color w:val="auto"/>
          <w:sz w:val="32"/>
          <w:szCs w:val="32"/>
          <w:lang w:val="en-US" w:eastAsia="zh-CN"/>
        </w:rPr>
        <w:t>一是严把办文办会质量。二是及时准确信息公开。2022年，我局依法公示公开政务信息68条，其中动态52条，其他应公开信息16件，收到公开申请3起，及时处理回复2起，申请驳回1条，收到信件1件，回复1件。三是全面加强意识形态阵地建设。在传统媒体、互联新媒体上积极发表宣传报道15篇，今年以来答复县长信箱交办1件、处理网络舆情3起，收到网友建议1件，均已妥善处理，满意度100%。</w:t>
      </w:r>
    </w:p>
    <w:p w14:paraId="2B005740">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四、存在的问题</w:t>
      </w:r>
    </w:p>
    <w:p w14:paraId="6C628B5C">
      <w:pPr>
        <w:ind w:firstLine="630" w:firstLineChars="196"/>
        <w:jc w:val="both"/>
        <w:rPr>
          <w:rFonts w:hint="eastAsia" w:ascii="仿宋" w:hAnsi="仿宋" w:eastAsia="仿宋" w:cs="仿宋"/>
          <w:color w:val="auto"/>
          <w:sz w:val="32"/>
          <w:szCs w:val="32"/>
          <w:lang w:val="en-US" w:eastAsia="zh-CN"/>
        </w:rPr>
      </w:pPr>
      <w:r>
        <w:rPr>
          <w:rFonts w:hint="eastAsia" w:ascii="Times New Roman" w:hAnsi="Times New Roman" w:eastAsia="楷体_GB2312" w:cs="Times New Roman"/>
          <w:b/>
          <w:bCs/>
          <w:color w:val="auto"/>
          <w:spacing w:val="0"/>
          <w:sz w:val="32"/>
          <w:szCs w:val="32"/>
          <w:lang w:val="en-US" w:eastAsia="zh-CN" w:bidi="ar-SA"/>
        </w:rPr>
        <w:t>1、项目入统难。</w:t>
      </w:r>
      <w:r>
        <w:rPr>
          <w:rFonts w:hint="eastAsia" w:ascii="仿宋" w:hAnsi="仿宋" w:eastAsia="仿宋" w:cs="仿宋"/>
          <w:color w:val="auto"/>
          <w:sz w:val="32"/>
          <w:szCs w:val="32"/>
          <w:lang w:val="en-US" w:eastAsia="zh-CN"/>
        </w:rPr>
        <w:t>库内项目少，投资后劲不足。一是由于今年以来国家、省统计部门进一步加大项目入统审查力度，并提高了政府性投资项目入统要求，要求政府性投资项目（含城发集团、交投等平台公司的项目）提供可行性研究报告和省招投标监管网上的项目中标链接等，进一步加大了政府性投资项目入统难度；二是受疫情及复杂环境影响，企业投资信心不足，社会投资项目进展缓慢，项目申报入统成功率偏低；三是部分项目单位入统的积极性不高、责任心不强、办法不多。同时，库内项目少、投资库存严重不足，难以支撑投资高速增长任务。</w:t>
      </w:r>
    </w:p>
    <w:p w14:paraId="0C2F164F">
      <w:pPr>
        <w:ind w:firstLine="630" w:firstLineChars="196"/>
        <w:jc w:val="both"/>
        <w:rPr>
          <w:rFonts w:hint="eastAsia" w:ascii="仿宋" w:hAnsi="仿宋" w:eastAsia="仿宋" w:cs="仿宋"/>
          <w:color w:val="auto"/>
          <w:sz w:val="32"/>
          <w:szCs w:val="32"/>
          <w:lang w:val="en-US" w:eastAsia="zh-CN"/>
        </w:rPr>
      </w:pPr>
      <w:r>
        <w:rPr>
          <w:rFonts w:hint="eastAsia" w:ascii="Times New Roman" w:hAnsi="Times New Roman" w:eastAsia="楷体_GB2312" w:cs="Times New Roman"/>
          <w:b/>
          <w:bCs/>
          <w:color w:val="auto"/>
          <w:spacing w:val="0"/>
          <w:sz w:val="32"/>
          <w:szCs w:val="32"/>
          <w:lang w:val="en-US" w:eastAsia="zh-CN" w:bidi="ar-SA"/>
        </w:rPr>
        <w:t>2、粮安考核有待加强。</w:t>
      </w:r>
      <w:r>
        <w:rPr>
          <w:rFonts w:hint="eastAsia" w:ascii="仿宋" w:hAnsi="仿宋" w:eastAsia="仿宋" w:cs="仿宋"/>
          <w:color w:val="auto"/>
          <w:sz w:val="32"/>
          <w:szCs w:val="32"/>
          <w:lang w:val="en-US" w:eastAsia="zh-CN"/>
        </w:rPr>
        <w:t>各乡镇和各成员单位的粮食安全责任制考核在实际操作层面还存在不完善的工作短板，需要在下一步工作中细化目标任务，分解具体指标，完善考核细则，真正发挥考核指挥棒作用。</w:t>
      </w:r>
    </w:p>
    <w:p w14:paraId="218F4D5D">
      <w:pPr>
        <w:numPr>
          <w:ilvl w:val="0"/>
          <w:numId w:val="0"/>
        </w:numPr>
        <w:snapToGrid w:val="0"/>
        <w:spacing w:line="520" w:lineRule="exact"/>
        <w:ind w:firstLine="643" w:firstLineChars="200"/>
        <w:rPr>
          <w:rFonts w:hint="eastAsia" w:ascii="仿宋" w:hAnsi="仿宋" w:eastAsia="仿宋" w:cs="仿宋"/>
          <w:color w:val="auto"/>
          <w:sz w:val="32"/>
          <w:szCs w:val="32"/>
          <w:lang w:val="en-US" w:eastAsia="zh-CN"/>
        </w:rPr>
      </w:pPr>
      <w:r>
        <w:rPr>
          <w:rFonts w:hint="eastAsia" w:ascii="Times New Roman" w:hAnsi="Times New Roman" w:eastAsia="楷体_GB2312" w:cs="Times New Roman"/>
          <w:b/>
          <w:bCs/>
          <w:color w:val="auto"/>
          <w:spacing w:val="0"/>
          <w:sz w:val="32"/>
          <w:szCs w:val="32"/>
          <w:lang w:val="en-US" w:eastAsia="zh-CN" w:bidi="ar-SA"/>
        </w:rPr>
        <w:t>3、预算管理方面。</w:t>
      </w:r>
      <w:r>
        <w:rPr>
          <w:rFonts w:hint="eastAsia" w:ascii="仿宋" w:hAnsi="仿宋" w:eastAsia="仿宋" w:cs="仿宋"/>
          <w:color w:val="auto"/>
          <w:sz w:val="32"/>
          <w:szCs w:val="32"/>
          <w:lang w:val="en-US" w:eastAsia="zh-CN"/>
        </w:rPr>
        <w:t>制度执行总体较为有效，仍需进一步强化；资金使用管理需进一步加强。国家、省新增项目无文件和县委政府会议纪要等相关资料无法报年初预算,导致预决算数值差异。</w:t>
      </w:r>
    </w:p>
    <w:p w14:paraId="56B2A09F">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五、整改措施或建议</w:t>
      </w:r>
    </w:p>
    <w:p w14:paraId="5710B2CE">
      <w:pPr>
        <w:keepNext w:val="0"/>
        <w:keepLines w:val="0"/>
        <w:pageBreakBefore w:val="0"/>
        <w:widowControl/>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按照财政支出绩效管理的要求，建立科学的财政资金效益考评体系，牢固树立行政成本意识，不断提高财政资金使用管理的水平和效率。</w:t>
      </w:r>
    </w:p>
    <w:p w14:paraId="385F0614">
      <w:pPr>
        <w:keepNext w:val="0"/>
        <w:keepLines w:val="0"/>
        <w:pageBreakBefore w:val="0"/>
        <w:widowControl/>
        <w:kinsoku/>
        <w:wordWrap/>
        <w:overflowPunct/>
        <w:topLinePunct w:val="0"/>
        <w:autoSpaceDE/>
        <w:autoSpaceDN/>
        <w:bidi w:val="0"/>
        <w:spacing w:line="560" w:lineRule="exact"/>
        <w:ind w:firstLine="640" w:firstLineChars="200"/>
        <w:textAlignment w:val="auto"/>
        <w:rPr>
          <w:color w:val="auto"/>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、完善预算审核机制，细化、准确编制预算，合理安排预算。完善预算管理制度，进一步加强内部各</w:t>
      </w:r>
      <w:r>
        <w:rPr>
          <w:rFonts w:hint="eastAsia" w:ascii="仿宋" w:hAnsi="仿宋" w:eastAsia="仿宋" w:cs="仿宋"/>
          <w:color w:val="auto"/>
          <w:sz w:val="32"/>
          <w:szCs w:val="32"/>
          <w:lang w:eastAsia="zh-CN"/>
        </w:rPr>
        <w:t>股</w:t>
      </w:r>
      <w:r>
        <w:rPr>
          <w:rFonts w:hint="eastAsia" w:ascii="仿宋" w:hAnsi="仿宋" w:eastAsia="仿宋" w:cs="仿宋"/>
          <w:color w:val="auto"/>
          <w:sz w:val="32"/>
          <w:szCs w:val="32"/>
        </w:rPr>
        <w:t>室的预算管理意识，严格按照预算编制的相关制度和要求，本着“勤俭节约、保障运转”的原则进行预算的编制；进一步提高预算编制的科学性、合理性、严谨性。</w:t>
      </w:r>
    </w:p>
    <w:p w14:paraId="7B40E881">
      <w:pPr>
        <w:keepNext w:val="0"/>
        <w:keepLines w:val="0"/>
        <w:pageBreakBefore w:val="0"/>
        <w:widowControl/>
        <w:kinsoku/>
        <w:wordWrap/>
        <w:overflowPunct/>
        <w:topLinePunct w:val="0"/>
        <w:autoSpaceDE/>
        <w:autoSpaceDN/>
        <w:bidi w:val="0"/>
        <w:adjustRightInd w:val="0"/>
        <w:snapToGrid w:val="0"/>
        <w:spacing w:after="0" w:line="600" w:lineRule="atLeast"/>
        <w:ind w:firstLine="440" w:firstLineChars="200"/>
        <w:textAlignment w:val="auto"/>
        <w:rPr>
          <w:rFonts w:hint="eastAsia"/>
          <w:color w:val="auto"/>
          <w:lang w:eastAsia="zh-CN"/>
        </w:rPr>
        <w:sectPr>
          <w:footerReference r:id="rId4" w:type="default"/>
          <w:pgSz w:w="11906" w:h="16838"/>
          <w:pgMar w:top="1587" w:right="1587" w:bottom="1587" w:left="1587" w:header="708" w:footer="709" w:gutter="0"/>
          <w:cols w:space="0" w:num="1"/>
          <w:docGrid w:linePitch="360" w:charSpace="0"/>
        </w:sectPr>
      </w:pPr>
    </w:p>
    <w:p w14:paraId="0BFA2F7A">
      <w:pPr>
        <w:spacing w:line="400" w:lineRule="exact"/>
        <w:rPr>
          <w:rFonts w:hint="eastAsia" w:ascii="黑体" w:hAnsi="仿宋_GB2312" w:eastAsia="黑体" w:cs="仿宋_GB2312"/>
          <w:color w:val="auto"/>
          <w:sz w:val="28"/>
          <w:szCs w:val="28"/>
        </w:rPr>
      </w:pPr>
    </w:p>
    <w:p w14:paraId="5A72C9C3">
      <w:pPr>
        <w:spacing w:line="400" w:lineRule="exact"/>
        <w:rPr>
          <w:rFonts w:ascii="黑体" w:hAnsi="仿宋_GB2312" w:eastAsia="黑体" w:cs="仿宋_GB2312"/>
          <w:color w:val="auto"/>
          <w:sz w:val="32"/>
          <w:szCs w:val="32"/>
        </w:rPr>
      </w:pPr>
      <w:r>
        <w:rPr>
          <w:rFonts w:hint="eastAsia" w:ascii="黑体" w:hAnsi="仿宋_GB2312" w:eastAsia="黑体" w:cs="仿宋_GB2312"/>
          <w:color w:val="auto"/>
          <w:sz w:val="28"/>
          <w:szCs w:val="28"/>
        </w:rPr>
        <w:t>附件</w:t>
      </w:r>
      <w:r>
        <w:rPr>
          <w:rFonts w:hint="eastAsia" w:ascii="黑体" w:hAnsi="仿宋_GB2312" w:eastAsia="黑体" w:cs="仿宋_GB2312"/>
          <w:color w:val="auto"/>
          <w:sz w:val="28"/>
          <w:szCs w:val="28"/>
          <w:lang w:val="en-US" w:eastAsia="zh-CN"/>
        </w:rPr>
        <w:t>1</w:t>
      </w:r>
      <w:r>
        <w:rPr>
          <w:rFonts w:hint="eastAsia" w:ascii="黑体" w:hAnsi="仿宋_GB2312" w:eastAsia="黑体" w:cs="仿宋_GB2312"/>
          <w:color w:val="auto"/>
          <w:sz w:val="32"/>
          <w:szCs w:val="32"/>
        </w:rPr>
        <w:t>：</w:t>
      </w:r>
    </w:p>
    <w:p w14:paraId="6D36D90B">
      <w:pPr>
        <w:spacing w:after="0" w:line="700" w:lineRule="atLeast"/>
        <w:jc w:val="center"/>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部门整体支出绩效评价指标体系评分表</w:t>
      </w:r>
    </w:p>
    <w:tbl>
      <w:tblPr>
        <w:tblStyle w:val="9"/>
        <w:tblW w:w="141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3"/>
        <w:gridCol w:w="803"/>
        <w:gridCol w:w="1182"/>
        <w:gridCol w:w="6911"/>
        <w:gridCol w:w="3423"/>
        <w:gridCol w:w="1090"/>
      </w:tblGrid>
      <w:tr w14:paraId="4636F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tblHeader/>
          <w:jc w:val="center"/>
        </w:trPr>
        <w:tc>
          <w:tcPr>
            <w:tcW w:w="733" w:type="dxa"/>
            <w:vMerge w:val="restart"/>
            <w:tcBorders>
              <w:top w:val="single" w:color="000000" w:sz="4" w:space="0"/>
              <w:left w:val="single" w:color="000000" w:sz="4" w:space="0"/>
              <w:bottom w:val="single" w:color="000000" w:sz="4" w:space="0"/>
              <w:right w:val="single" w:color="000000" w:sz="4" w:space="0"/>
            </w:tcBorders>
            <w:vAlign w:val="center"/>
          </w:tcPr>
          <w:p w14:paraId="6EE5A7C7">
            <w:pPr>
              <w:spacing w:after="0" w:line="68" w:lineRule="atLeast"/>
              <w:jc w:val="center"/>
              <w:rPr>
                <w:rFonts w:ascii="宋体" w:hAnsi="宋体" w:eastAsia="宋体" w:cs="宋体"/>
                <w:color w:val="auto"/>
              </w:rPr>
            </w:pPr>
            <w:r>
              <w:rPr>
                <w:rFonts w:hint="eastAsia" w:ascii="宋体" w:hAnsi="宋体" w:eastAsia="宋体" w:cs="宋体"/>
                <w:b/>
                <w:bCs/>
                <w:color w:val="auto"/>
              </w:rPr>
              <w:t>一级指标</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35B29830">
            <w:pPr>
              <w:spacing w:after="0" w:line="68" w:lineRule="atLeast"/>
              <w:jc w:val="center"/>
              <w:rPr>
                <w:rFonts w:ascii="宋体" w:hAnsi="宋体" w:eastAsia="宋体" w:cs="宋体"/>
                <w:color w:val="auto"/>
              </w:rPr>
            </w:pPr>
            <w:r>
              <w:rPr>
                <w:rFonts w:hint="eastAsia" w:ascii="宋体" w:hAnsi="宋体" w:eastAsia="宋体" w:cs="宋体"/>
                <w:b/>
                <w:bCs/>
                <w:color w:val="auto"/>
              </w:rPr>
              <w:t>二级指标</w:t>
            </w:r>
          </w:p>
        </w:tc>
        <w:tc>
          <w:tcPr>
            <w:tcW w:w="8093" w:type="dxa"/>
            <w:gridSpan w:val="2"/>
            <w:tcBorders>
              <w:top w:val="single" w:color="000000" w:sz="4" w:space="0"/>
              <w:left w:val="single" w:color="000000" w:sz="4" w:space="0"/>
              <w:bottom w:val="single" w:color="000000" w:sz="4" w:space="0"/>
              <w:right w:val="single" w:color="auto" w:sz="4" w:space="0"/>
            </w:tcBorders>
            <w:vAlign w:val="center"/>
          </w:tcPr>
          <w:p w14:paraId="279C3121">
            <w:pPr>
              <w:spacing w:after="0" w:line="68" w:lineRule="atLeast"/>
              <w:jc w:val="center"/>
              <w:rPr>
                <w:rFonts w:ascii="宋体" w:hAnsi="宋体" w:eastAsia="宋体" w:cs="宋体"/>
                <w:color w:val="auto"/>
              </w:rPr>
            </w:pPr>
            <w:r>
              <w:rPr>
                <w:rFonts w:hint="eastAsia" w:ascii="宋体" w:hAnsi="宋体" w:eastAsia="宋体" w:cs="宋体"/>
                <w:b/>
                <w:bCs/>
                <w:color w:val="auto"/>
              </w:rPr>
              <w:t>三级指标</w:t>
            </w:r>
          </w:p>
        </w:tc>
        <w:tc>
          <w:tcPr>
            <w:tcW w:w="3423" w:type="dxa"/>
            <w:vMerge w:val="restart"/>
            <w:tcBorders>
              <w:top w:val="single" w:color="000000" w:sz="4" w:space="0"/>
              <w:left w:val="single" w:color="auto" w:sz="4" w:space="0"/>
              <w:bottom w:val="single" w:color="000000" w:sz="4" w:space="0"/>
              <w:right w:val="single" w:color="auto" w:sz="4" w:space="0"/>
            </w:tcBorders>
            <w:vAlign w:val="center"/>
          </w:tcPr>
          <w:p w14:paraId="5FC2BF44">
            <w:pPr>
              <w:spacing w:after="0" w:line="68" w:lineRule="atLeast"/>
              <w:jc w:val="center"/>
              <w:rPr>
                <w:rFonts w:ascii="宋体" w:hAnsi="宋体" w:eastAsia="宋体" w:cs="宋体"/>
                <w:color w:val="auto"/>
              </w:rPr>
            </w:pPr>
            <w:r>
              <w:rPr>
                <w:rFonts w:hint="eastAsia" w:ascii="宋体" w:hAnsi="宋体" w:eastAsia="宋体" w:cs="宋体"/>
                <w:b/>
                <w:bCs/>
                <w:color w:val="auto"/>
              </w:rPr>
              <w:t>评分标准</w:t>
            </w:r>
          </w:p>
        </w:tc>
        <w:tc>
          <w:tcPr>
            <w:tcW w:w="1090" w:type="dxa"/>
            <w:vMerge w:val="restart"/>
            <w:tcBorders>
              <w:top w:val="single" w:color="000000" w:sz="4" w:space="0"/>
              <w:left w:val="single" w:color="auto" w:sz="4" w:space="0"/>
              <w:bottom w:val="single" w:color="000000" w:sz="4" w:space="0"/>
              <w:right w:val="single" w:color="auto" w:sz="4" w:space="0"/>
            </w:tcBorders>
            <w:vAlign w:val="center"/>
          </w:tcPr>
          <w:p w14:paraId="34190FE6">
            <w:pPr>
              <w:spacing w:after="0" w:line="68" w:lineRule="atLeast"/>
              <w:jc w:val="center"/>
              <w:rPr>
                <w:rFonts w:ascii="宋体" w:hAnsi="宋体" w:eastAsia="宋体" w:cs="宋体"/>
                <w:color w:val="auto"/>
              </w:rPr>
            </w:pPr>
            <w:r>
              <w:rPr>
                <w:rFonts w:hint="eastAsia" w:ascii="宋体" w:hAnsi="宋体" w:eastAsia="宋体" w:cs="宋体"/>
                <w:b/>
                <w:bCs/>
                <w:color w:val="auto"/>
              </w:rPr>
              <w:t>得分</w:t>
            </w:r>
          </w:p>
        </w:tc>
      </w:tr>
      <w:tr w14:paraId="3AFC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blHeader/>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42A9B633">
            <w:pPr>
              <w:spacing w:after="0"/>
              <w:rPr>
                <w:rFonts w:ascii="宋体" w:hAnsi="宋体" w:eastAsia="宋体" w:cs="宋体"/>
                <w:color w:val="auto"/>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0A49FE8E">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0414BE94">
            <w:pPr>
              <w:spacing w:after="0" w:line="68" w:lineRule="atLeast"/>
              <w:jc w:val="center"/>
              <w:rPr>
                <w:rFonts w:ascii="宋体" w:hAnsi="宋体" w:eastAsia="宋体" w:cs="宋体"/>
                <w:color w:val="auto"/>
              </w:rPr>
            </w:pPr>
            <w:r>
              <w:rPr>
                <w:rFonts w:hint="eastAsia" w:ascii="宋体" w:hAnsi="宋体" w:eastAsia="宋体" w:cs="宋体"/>
                <w:b/>
                <w:bCs/>
                <w:color w:val="auto"/>
              </w:rPr>
              <w:t>指标名称</w:t>
            </w:r>
          </w:p>
        </w:tc>
        <w:tc>
          <w:tcPr>
            <w:tcW w:w="6911" w:type="dxa"/>
            <w:tcBorders>
              <w:top w:val="single" w:color="000000" w:sz="4" w:space="0"/>
              <w:left w:val="single" w:color="auto" w:sz="4" w:space="0"/>
              <w:bottom w:val="single" w:color="000000" w:sz="4" w:space="0"/>
              <w:right w:val="single" w:color="auto" w:sz="4" w:space="0"/>
            </w:tcBorders>
            <w:vAlign w:val="center"/>
          </w:tcPr>
          <w:p w14:paraId="0E981492">
            <w:pPr>
              <w:spacing w:after="0" w:line="68" w:lineRule="atLeast"/>
              <w:jc w:val="center"/>
              <w:rPr>
                <w:rFonts w:ascii="宋体" w:hAnsi="宋体" w:eastAsia="宋体" w:cs="宋体"/>
                <w:color w:val="auto"/>
              </w:rPr>
            </w:pPr>
            <w:r>
              <w:rPr>
                <w:rFonts w:hint="eastAsia" w:ascii="宋体" w:hAnsi="宋体" w:eastAsia="宋体" w:cs="宋体"/>
                <w:b/>
                <w:bCs/>
                <w:color w:val="auto"/>
              </w:rPr>
              <w:t>指标解释说明</w:t>
            </w:r>
          </w:p>
        </w:tc>
        <w:tc>
          <w:tcPr>
            <w:tcW w:w="3423" w:type="dxa"/>
            <w:vMerge w:val="continue"/>
            <w:tcBorders>
              <w:top w:val="single" w:color="000000" w:sz="4" w:space="0"/>
              <w:left w:val="single" w:color="auto" w:sz="4" w:space="0"/>
              <w:bottom w:val="single" w:color="000000" w:sz="4" w:space="0"/>
              <w:right w:val="single" w:color="auto" w:sz="4" w:space="0"/>
            </w:tcBorders>
            <w:vAlign w:val="center"/>
          </w:tcPr>
          <w:p w14:paraId="40437EA0">
            <w:pPr>
              <w:spacing w:after="0"/>
              <w:rPr>
                <w:rFonts w:ascii="宋体" w:hAnsi="宋体" w:eastAsia="宋体" w:cs="宋体"/>
                <w:color w:val="auto"/>
              </w:rPr>
            </w:pPr>
          </w:p>
        </w:tc>
        <w:tc>
          <w:tcPr>
            <w:tcW w:w="1090" w:type="dxa"/>
            <w:vMerge w:val="continue"/>
            <w:tcBorders>
              <w:top w:val="single" w:color="000000" w:sz="4" w:space="0"/>
              <w:left w:val="single" w:color="auto" w:sz="4" w:space="0"/>
              <w:bottom w:val="single" w:color="000000" w:sz="4" w:space="0"/>
              <w:right w:val="single" w:color="auto" w:sz="4" w:space="0"/>
            </w:tcBorders>
            <w:vAlign w:val="center"/>
          </w:tcPr>
          <w:p w14:paraId="0A1DBD74">
            <w:pPr>
              <w:spacing w:after="0"/>
              <w:jc w:val="center"/>
              <w:rPr>
                <w:rFonts w:ascii="宋体" w:hAnsi="宋体" w:eastAsia="宋体" w:cs="宋体"/>
                <w:color w:val="auto"/>
              </w:rPr>
            </w:pPr>
          </w:p>
        </w:tc>
      </w:tr>
      <w:tr w14:paraId="66AA2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733" w:type="dxa"/>
            <w:vMerge w:val="restart"/>
            <w:tcBorders>
              <w:top w:val="single" w:color="000000" w:sz="4" w:space="0"/>
              <w:left w:val="single" w:color="000000" w:sz="4" w:space="0"/>
              <w:right w:val="single" w:color="000000" w:sz="4" w:space="0"/>
            </w:tcBorders>
          </w:tcPr>
          <w:p w14:paraId="0DB18117">
            <w:pPr>
              <w:spacing w:after="0" w:line="68" w:lineRule="atLeast"/>
              <w:rPr>
                <w:rFonts w:ascii="宋体" w:hAnsi="宋体" w:eastAsia="宋体" w:cs="宋体"/>
                <w:color w:val="auto"/>
              </w:rPr>
            </w:pPr>
          </w:p>
          <w:p w14:paraId="6A07CE44">
            <w:pPr>
              <w:spacing w:after="0" w:line="68" w:lineRule="atLeast"/>
              <w:rPr>
                <w:rFonts w:ascii="宋体" w:hAnsi="宋体" w:eastAsia="宋体" w:cs="宋体"/>
                <w:color w:val="auto"/>
              </w:rPr>
            </w:pPr>
          </w:p>
          <w:p w14:paraId="1A37FB64">
            <w:pPr>
              <w:spacing w:after="0" w:line="68" w:lineRule="atLeast"/>
              <w:rPr>
                <w:rFonts w:ascii="宋体" w:hAnsi="宋体" w:eastAsia="宋体" w:cs="宋体"/>
                <w:color w:val="auto"/>
              </w:rPr>
            </w:pPr>
          </w:p>
          <w:p w14:paraId="3345B4CE">
            <w:pPr>
              <w:spacing w:after="0" w:line="68" w:lineRule="atLeast"/>
              <w:rPr>
                <w:rFonts w:ascii="宋体" w:hAnsi="宋体" w:eastAsia="宋体" w:cs="宋体"/>
                <w:color w:val="auto"/>
              </w:rPr>
            </w:pPr>
          </w:p>
          <w:p w14:paraId="33ADE01A">
            <w:pPr>
              <w:spacing w:after="0" w:line="68" w:lineRule="atLeast"/>
              <w:rPr>
                <w:rFonts w:ascii="宋体" w:hAnsi="宋体" w:eastAsia="宋体" w:cs="宋体"/>
                <w:color w:val="auto"/>
              </w:rPr>
            </w:pPr>
          </w:p>
          <w:p w14:paraId="13023D2B">
            <w:pPr>
              <w:spacing w:after="0" w:line="68" w:lineRule="atLeast"/>
              <w:rPr>
                <w:rFonts w:ascii="宋体" w:hAnsi="宋体" w:eastAsia="宋体" w:cs="宋体"/>
                <w:color w:val="auto"/>
              </w:rPr>
            </w:pPr>
          </w:p>
          <w:p w14:paraId="45397167">
            <w:pPr>
              <w:spacing w:after="0" w:line="68" w:lineRule="atLeast"/>
              <w:rPr>
                <w:rFonts w:ascii="宋体" w:hAnsi="宋体" w:eastAsia="宋体" w:cs="宋体"/>
                <w:color w:val="auto"/>
              </w:rPr>
            </w:pPr>
          </w:p>
          <w:p w14:paraId="356877CC">
            <w:pPr>
              <w:spacing w:after="0" w:line="68" w:lineRule="atLeast"/>
              <w:rPr>
                <w:rFonts w:ascii="宋体" w:hAnsi="宋体" w:eastAsia="宋体" w:cs="宋体"/>
                <w:color w:val="auto"/>
              </w:rPr>
            </w:pPr>
          </w:p>
          <w:p w14:paraId="42FCB759">
            <w:pPr>
              <w:spacing w:after="0" w:line="68" w:lineRule="atLeast"/>
              <w:rPr>
                <w:rFonts w:ascii="宋体" w:hAnsi="宋体" w:eastAsia="宋体" w:cs="宋体"/>
                <w:color w:val="auto"/>
              </w:rPr>
            </w:pPr>
          </w:p>
          <w:p w14:paraId="4ECE3604">
            <w:pPr>
              <w:spacing w:after="0" w:line="68" w:lineRule="atLeast"/>
              <w:rPr>
                <w:rFonts w:ascii="宋体" w:hAnsi="宋体" w:eastAsia="宋体" w:cs="宋体"/>
                <w:color w:val="auto"/>
              </w:rPr>
            </w:pPr>
          </w:p>
          <w:p w14:paraId="6BDB22E8">
            <w:pPr>
              <w:spacing w:after="0" w:line="68" w:lineRule="atLeast"/>
              <w:rPr>
                <w:rFonts w:ascii="宋体" w:hAnsi="宋体" w:eastAsia="宋体" w:cs="宋体"/>
                <w:color w:val="auto"/>
              </w:rPr>
            </w:pPr>
            <w:r>
              <w:rPr>
                <w:rFonts w:hint="eastAsia" w:ascii="宋体" w:hAnsi="宋体" w:eastAsia="宋体" w:cs="宋体"/>
                <w:color w:val="auto"/>
              </w:rPr>
              <w:t>投入（15分）</w:t>
            </w:r>
          </w:p>
          <w:p w14:paraId="158585A9">
            <w:pPr>
              <w:spacing w:after="0" w:line="68" w:lineRule="atLeast"/>
              <w:rPr>
                <w:rFonts w:ascii="宋体" w:hAnsi="宋体" w:eastAsia="宋体" w:cs="宋体"/>
                <w:color w:val="auto"/>
              </w:rPr>
            </w:pPr>
          </w:p>
          <w:p w14:paraId="70F8AECD">
            <w:pPr>
              <w:spacing w:after="0" w:line="68" w:lineRule="atLeast"/>
              <w:rPr>
                <w:rFonts w:ascii="宋体" w:hAnsi="宋体" w:eastAsia="宋体" w:cs="宋体"/>
                <w:color w:val="auto"/>
              </w:rPr>
            </w:pPr>
          </w:p>
          <w:p w14:paraId="1B4A5789">
            <w:pPr>
              <w:spacing w:after="0" w:line="68" w:lineRule="atLeast"/>
              <w:rPr>
                <w:rFonts w:ascii="宋体" w:hAnsi="宋体" w:eastAsia="宋体" w:cs="宋体"/>
                <w:color w:val="auto"/>
              </w:rPr>
            </w:pPr>
          </w:p>
          <w:p w14:paraId="1F7AA607">
            <w:pPr>
              <w:spacing w:after="0" w:line="68" w:lineRule="atLeast"/>
              <w:rPr>
                <w:rFonts w:ascii="宋体" w:hAnsi="宋体" w:eastAsia="宋体" w:cs="宋体"/>
                <w:color w:val="auto"/>
              </w:rPr>
            </w:pPr>
          </w:p>
          <w:p w14:paraId="2C0BA090">
            <w:pPr>
              <w:spacing w:after="0" w:line="68" w:lineRule="atLeast"/>
              <w:rPr>
                <w:rFonts w:ascii="宋体" w:hAnsi="宋体" w:eastAsia="宋体" w:cs="宋体"/>
                <w:color w:val="auto"/>
              </w:rPr>
            </w:pPr>
          </w:p>
          <w:p w14:paraId="35EFF652">
            <w:pPr>
              <w:spacing w:after="0" w:line="68" w:lineRule="atLeast"/>
              <w:rPr>
                <w:rFonts w:ascii="宋体" w:hAnsi="宋体" w:eastAsia="宋体" w:cs="宋体"/>
                <w:color w:val="auto"/>
              </w:rPr>
            </w:pPr>
          </w:p>
          <w:p w14:paraId="3CB48DE8">
            <w:pPr>
              <w:spacing w:after="0" w:line="68" w:lineRule="atLeast"/>
              <w:rPr>
                <w:rFonts w:ascii="宋体" w:hAnsi="宋体" w:eastAsia="宋体" w:cs="宋体"/>
                <w:color w:val="auto"/>
              </w:rPr>
            </w:pPr>
          </w:p>
          <w:p w14:paraId="76D6EFE9">
            <w:pPr>
              <w:spacing w:after="0" w:line="68" w:lineRule="atLeast"/>
              <w:rPr>
                <w:rFonts w:ascii="宋体" w:hAnsi="宋体" w:eastAsia="宋体" w:cs="宋体"/>
                <w:color w:val="auto"/>
              </w:rPr>
            </w:pPr>
          </w:p>
          <w:p w14:paraId="5488E950">
            <w:pPr>
              <w:spacing w:after="0" w:line="68" w:lineRule="atLeast"/>
              <w:rPr>
                <w:rFonts w:ascii="宋体" w:hAnsi="宋体" w:eastAsia="宋体" w:cs="宋体"/>
                <w:color w:val="auto"/>
              </w:rPr>
            </w:pPr>
          </w:p>
          <w:p w14:paraId="3373A073">
            <w:pPr>
              <w:spacing w:after="0" w:line="68" w:lineRule="atLeast"/>
              <w:rPr>
                <w:rFonts w:ascii="宋体" w:hAnsi="宋体" w:eastAsia="宋体" w:cs="宋体"/>
                <w:color w:val="auto"/>
              </w:rPr>
            </w:pPr>
          </w:p>
          <w:p w14:paraId="5A7B9B84">
            <w:pPr>
              <w:spacing w:after="0" w:line="68" w:lineRule="atLeast"/>
              <w:rPr>
                <w:rFonts w:ascii="宋体" w:hAnsi="宋体" w:eastAsia="宋体" w:cs="宋体"/>
                <w:color w:val="auto"/>
              </w:rPr>
            </w:pPr>
          </w:p>
        </w:tc>
        <w:tc>
          <w:tcPr>
            <w:tcW w:w="803" w:type="dxa"/>
            <w:vMerge w:val="restart"/>
            <w:tcBorders>
              <w:top w:val="single" w:color="000000" w:sz="4" w:space="0"/>
              <w:left w:val="single" w:color="000000" w:sz="4" w:space="0"/>
              <w:right w:val="single" w:color="000000" w:sz="4" w:space="0"/>
            </w:tcBorders>
          </w:tcPr>
          <w:p w14:paraId="5DA137C0">
            <w:pPr>
              <w:spacing w:after="0" w:line="240" w:lineRule="exact"/>
              <w:rPr>
                <w:rFonts w:ascii="宋体" w:hAnsi="宋体" w:eastAsia="宋体" w:cs="宋体"/>
                <w:color w:val="auto"/>
              </w:rPr>
            </w:pPr>
          </w:p>
          <w:p w14:paraId="455B9D9A">
            <w:pPr>
              <w:spacing w:after="0" w:line="240" w:lineRule="exact"/>
              <w:rPr>
                <w:rFonts w:ascii="宋体" w:hAnsi="宋体" w:eastAsia="宋体" w:cs="宋体"/>
                <w:color w:val="auto"/>
              </w:rPr>
            </w:pPr>
          </w:p>
          <w:p w14:paraId="01EE6427">
            <w:pPr>
              <w:spacing w:after="0" w:line="240" w:lineRule="exact"/>
              <w:rPr>
                <w:rFonts w:ascii="宋体" w:hAnsi="宋体" w:eastAsia="宋体" w:cs="宋体"/>
                <w:color w:val="auto"/>
              </w:rPr>
            </w:pPr>
          </w:p>
          <w:p w14:paraId="5C4DA443">
            <w:pPr>
              <w:spacing w:after="0" w:line="240" w:lineRule="exact"/>
              <w:rPr>
                <w:rFonts w:ascii="宋体" w:hAnsi="宋体" w:eastAsia="宋体" w:cs="宋体"/>
                <w:color w:val="auto"/>
              </w:rPr>
            </w:pPr>
          </w:p>
          <w:p w14:paraId="59E3C38C">
            <w:pPr>
              <w:spacing w:after="0" w:line="240" w:lineRule="exact"/>
              <w:rPr>
                <w:rFonts w:ascii="宋体" w:hAnsi="宋体" w:eastAsia="宋体" w:cs="宋体"/>
                <w:color w:val="auto"/>
              </w:rPr>
            </w:pPr>
          </w:p>
          <w:p w14:paraId="0905BF13">
            <w:pPr>
              <w:spacing w:after="0" w:line="240" w:lineRule="exact"/>
              <w:rPr>
                <w:rFonts w:ascii="宋体" w:hAnsi="宋体" w:eastAsia="宋体" w:cs="宋体"/>
                <w:color w:val="auto"/>
              </w:rPr>
            </w:pPr>
          </w:p>
          <w:p w14:paraId="2A149A9B">
            <w:pPr>
              <w:spacing w:after="0" w:line="240" w:lineRule="exact"/>
              <w:rPr>
                <w:rFonts w:ascii="宋体" w:hAnsi="宋体" w:eastAsia="宋体" w:cs="宋体"/>
                <w:color w:val="auto"/>
              </w:rPr>
            </w:pPr>
          </w:p>
          <w:p w14:paraId="418E1B30">
            <w:pPr>
              <w:spacing w:after="0" w:line="240" w:lineRule="exact"/>
              <w:rPr>
                <w:rFonts w:ascii="宋体" w:hAnsi="宋体" w:eastAsia="宋体" w:cs="宋体"/>
                <w:color w:val="auto"/>
              </w:rPr>
            </w:pPr>
          </w:p>
          <w:p w14:paraId="048F7194">
            <w:pPr>
              <w:spacing w:after="0" w:line="240" w:lineRule="exact"/>
              <w:rPr>
                <w:rFonts w:ascii="宋体" w:hAnsi="宋体" w:eastAsia="宋体" w:cs="宋体"/>
                <w:color w:val="auto"/>
              </w:rPr>
            </w:pPr>
          </w:p>
          <w:p w14:paraId="51B5A894">
            <w:pPr>
              <w:spacing w:after="0" w:line="240" w:lineRule="exact"/>
              <w:rPr>
                <w:rFonts w:ascii="宋体" w:hAnsi="宋体" w:eastAsia="宋体" w:cs="宋体"/>
                <w:color w:val="auto"/>
              </w:rPr>
            </w:pPr>
          </w:p>
          <w:p w14:paraId="15E23DB9">
            <w:pPr>
              <w:spacing w:after="0" w:line="240" w:lineRule="exact"/>
              <w:rPr>
                <w:rFonts w:ascii="宋体" w:hAnsi="宋体" w:eastAsia="宋体" w:cs="宋体"/>
                <w:color w:val="auto"/>
              </w:rPr>
            </w:pPr>
          </w:p>
          <w:p w14:paraId="5E238ECD">
            <w:pPr>
              <w:spacing w:after="0" w:line="240" w:lineRule="exact"/>
              <w:rPr>
                <w:rFonts w:ascii="宋体" w:hAnsi="宋体" w:eastAsia="宋体" w:cs="宋体"/>
                <w:color w:val="auto"/>
              </w:rPr>
            </w:pPr>
          </w:p>
          <w:p w14:paraId="2DCFE1DE">
            <w:pPr>
              <w:spacing w:after="0" w:line="240" w:lineRule="exact"/>
              <w:rPr>
                <w:rFonts w:ascii="宋体" w:hAnsi="宋体" w:eastAsia="宋体" w:cs="宋体"/>
                <w:color w:val="auto"/>
              </w:rPr>
            </w:pPr>
          </w:p>
          <w:p w14:paraId="2E4D817D">
            <w:pPr>
              <w:spacing w:after="0" w:line="240" w:lineRule="exact"/>
              <w:rPr>
                <w:rFonts w:ascii="宋体" w:hAnsi="宋体" w:eastAsia="宋体" w:cs="宋体"/>
                <w:color w:val="auto"/>
              </w:rPr>
            </w:pPr>
            <w:r>
              <w:rPr>
                <w:rFonts w:hint="eastAsia" w:ascii="宋体" w:hAnsi="宋体" w:eastAsia="宋体" w:cs="宋体"/>
                <w:color w:val="auto"/>
              </w:rPr>
              <w:t>目标设定</w:t>
            </w:r>
          </w:p>
          <w:p w14:paraId="019E2246">
            <w:pPr>
              <w:spacing w:after="0" w:line="68" w:lineRule="atLeast"/>
              <w:rPr>
                <w:rFonts w:ascii="宋体" w:hAnsi="宋体" w:eastAsia="宋体" w:cs="宋体"/>
                <w:color w:val="auto"/>
              </w:rPr>
            </w:pPr>
            <w:r>
              <w:rPr>
                <w:rFonts w:hint="eastAsia" w:ascii="宋体" w:hAnsi="宋体" w:eastAsia="宋体" w:cs="宋体"/>
                <w:color w:val="auto"/>
              </w:rPr>
              <w:t>（5分）</w:t>
            </w:r>
          </w:p>
        </w:tc>
        <w:tc>
          <w:tcPr>
            <w:tcW w:w="1182" w:type="dxa"/>
            <w:tcBorders>
              <w:top w:val="single" w:color="000000" w:sz="4" w:space="0"/>
              <w:left w:val="single" w:color="000000" w:sz="4" w:space="0"/>
              <w:bottom w:val="single" w:color="auto" w:sz="4" w:space="0"/>
              <w:right w:val="single" w:color="auto" w:sz="4" w:space="0"/>
            </w:tcBorders>
            <w:vAlign w:val="center"/>
          </w:tcPr>
          <w:p w14:paraId="4DB46E26">
            <w:pPr>
              <w:spacing w:after="0" w:line="68" w:lineRule="atLeast"/>
              <w:jc w:val="center"/>
              <w:rPr>
                <w:rFonts w:ascii="宋体" w:hAnsi="宋体" w:eastAsia="宋体" w:cs="宋体"/>
                <w:color w:val="auto"/>
              </w:rPr>
            </w:pPr>
            <w:r>
              <w:rPr>
                <w:rFonts w:hint="eastAsia" w:ascii="宋体" w:hAnsi="宋体" w:eastAsia="宋体" w:cs="宋体"/>
                <w:color w:val="auto"/>
              </w:rPr>
              <w:t>职责明确（1分）</w:t>
            </w:r>
          </w:p>
        </w:tc>
        <w:tc>
          <w:tcPr>
            <w:tcW w:w="6911" w:type="dxa"/>
            <w:tcBorders>
              <w:top w:val="single" w:color="000000" w:sz="4" w:space="0"/>
              <w:left w:val="single" w:color="auto" w:sz="4" w:space="0"/>
              <w:bottom w:val="single" w:color="auto" w:sz="4" w:space="0"/>
              <w:right w:val="single" w:color="auto" w:sz="4" w:space="0"/>
            </w:tcBorders>
            <w:vAlign w:val="center"/>
          </w:tcPr>
          <w:p w14:paraId="44EBF67D">
            <w:pPr>
              <w:spacing w:after="0" w:line="68" w:lineRule="atLeast"/>
              <w:jc w:val="center"/>
              <w:rPr>
                <w:rFonts w:ascii="宋体" w:hAnsi="宋体" w:eastAsia="宋体" w:cs="宋体"/>
                <w:color w:val="auto"/>
              </w:rPr>
            </w:pPr>
            <w:r>
              <w:rPr>
                <w:rFonts w:hint="eastAsia" w:ascii="宋体" w:hAnsi="宋体" w:eastAsia="宋体" w:cs="宋体"/>
                <w:color w:val="auto"/>
              </w:rPr>
              <w:t>部门的职责设定是否符合“三定”方案中所赋予的职责和年度承担的重点工作，用以反映和评价部门工作的目的性与计划性。</w:t>
            </w:r>
          </w:p>
        </w:tc>
        <w:tc>
          <w:tcPr>
            <w:tcW w:w="3423" w:type="dxa"/>
            <w:tcBorders>
              <w:top w:val="single" w:color="000000" w:sz="4" w:space="0"/>
              <w:left w:val="single" w:color="auto" w:sz="4" w:space="0"/>
              <w:bottom w:val="single" w:color="auto" w:sz="4" w:space="0"/>
              <w:right w:val="single" w:color="auto" w:sz="4" w:space="0"/>
            </w:tcBorders>
            <w:vAlign w:val="center"/>
          </w:tcPr>
          <w:p w14:paraId="66B0F09F">
            <w:pPr>
              <w:spacing w:after="0" w:line="240" w:lineRule="exact"/>
              <w:jc w:val="center"/>
              <w:rPr>
                <w:rFonts w:ascii="宋体" w:hAnsi="宋体" w:eastAsia="宋体" w:cs="宋体"/>
                <w:color w:val="auto"/>
              </w:rPr>
            </w:pPr>
            <w:r>
              <w:rPr>
                <w:rFonts w:hint="eastAsia" w:ascii="宋体" w:hAnsi="宋体" w:eastAsia="宋体" w:cs="宋体"/>
                <w:color w:val="auto"/>
              </w:rPr>
              <w:t>符合（1分）；</w:t>
            </w:r>
          </w:p>
          <w:p w14:paraId="5EB73C9A">
            <w:pPr>
              <w:spacing w:after="0" w:line="68" w:lineRule="atLeast"/>
              <w:jc w:val="center"/>
              <w:rPr>
                <w:rFonts w:ascii="宋体" w:hAnsi="宋体" w:eastAsia="宋体" w:cs="宋体"/>
                <w:color w:val="auto"/>
              </w:rPr>
            </w:pPr>
            <w:r>
              <w:rPr>
                <w:rFonts w:hint="eastAsia" w:ascii="宋体" w:hAnsi="宋体" w:eastAsia="宋体" w:cs="宋体"/>
                <w:color w:val="auto"/>
              </w:rPr>
              <w:t>不符合（0分）。</w:t>
            </w:r>
          </w:p>
        </w:tc>
        <w:tc>
          <w:tcPr>
            <w:tcW w:w="1090" w:type="dxa"/>
            <w:tcBorders>
              <w:top w:val="single" w:color="000000" w:sz="4" w:space="0"/>
              <w:left w:val="single" w:color="auto" w:sz="4" w:space="0"/>
              <w:bottom w:val="single" w:color="auto" w:sz="4" w:space="0"/>
              <w:right w:val="single" w:color="000000" w:sz="4" w:space="0"/>
            </w:tcBorders>
            <w:vAlign w:val="center"/>
          </w:tcPr>
          <w:p w14:paraId="66ACB6E0">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r>
      <w:tr w14:paraId="2F395D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4" w:hRule="atLeast"/>
          <w:jc w:val="center"/>
        </w:trPr>
        <w:tc>
          <w:tcPr>
            <w:tcW w:w="733" w:type="dxa"/>
            <w:vMerge w:val="continue"/>
            <w:tcBorders>
              <w:left w:val="single" w:color="000000" w:sz="4" w:space="0"/>
              <w:right w:val="single" w:color="000000" w:sz="4" w:space="0"/>
            </w:tcBorders>
            <w:vAlign w:val="center"/>
          </w:tcPr>
          <w:p w14:paraId="1D37666F">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00D8B310">
            <w:pPr>
              <w:spacing w:after="0"/>
              <w:rPr>
                <w:rFonts w:ascii="宋体" w:hAnsi="宋体" w:eastAsia="宋体" w:cs="宋体"/>
                <w:color w:val="auto"/>
              </w:rPr>
            </w:pPr>
          </w:p>
        </w:tc>
        <w:tc>
          <w:tcPr>
            <w:tcW w:w="1182" w:type="dxa"/>
            <w:tcBorders>
              <w:top w:val="single" w:color="000000" w:sz="4" w:space="0"/>
              <w:left w:val="single" w:color="000000" w:sz="4" w:space="0"/>
              <w:bottom w:val="single" w:color="auto" w:sz="4" w:space="0"/>
              <w:right w:val="single" w:color="auto" w:sz="4" w:space="0"/>
            </w:tcBorders>
            <w:vAlign w:val="center"/>
          </w:tcPr>
          <w:p w14:paraId="4B186384">
            <w:pPr>
              <w:spacing w:after="0" w:line="68" w:lineRule="atLeast"/>
              <w:rPr>
                <w:rFonts w:ascii="宋体" w:hAnsi="宋体" w:eastAsia="宋体" w:cs="宋体"/>
                <w:color w:val="auto"/>
              </w:rPr>
            </w:pPr>
            <w:r>
              <w:rPr>
                <w:rFonts w:hint="eastAsia" w:ascii="宋体" w:hAnsi="宋体" w:eastAsia="宋体" w:cs="宋体"/>
                <w:color w:val="auto"/>
              </w:rPr>
              <w:t>活动合规性（1分）</w:t>
            </w:r>
          </w:p>
        </w:tc>
        <w:tc>
          <w:tcPr>
            <w:tcW w:w="6911" w:type="dxa"/>
            <w:tcBorders>
              <w:top w:val="single" w:color="000000" w:sz="4" w:space="0"/>
              <w:left w:val="single" w:color="auto" w:sz="4" w:space="0"/>
              <w:bottom w:val="single" w:color="auto" w:sz="4" w:space="0"/>
              <w:right w:val="single" w:color="auto" w:sz="4" w:space="0"/>
            </w:tcBorders>
            <w:vAlign w:val="center"/>
          </w:tcPr>
          <w:p w14:paraId="1248F52A">
            <w:pPr>
              <w:spacing w:after="0" w:line="240" w:lineRule="exact"/>
              <w:rPr>
                <w:rFonts w:ascii="宋体" w:hAnsi="宋体" w:eastAsia="宋体" w:cs="宋体"/>
                <w:color w:val="auto"/>
              </w:rPr>
            </w:pPr>
            <w:r>
              <w:rPr>
                <w:rFonts w:hint="eastAsia" w:ascii="宋体" w:hAnsi="宋体" w:eastAsia="宋体" w:cs="宋体"/>
                <w:color w:val="auto"/>
              </w:rPr>
              <w:t>部门的活动是否在职责范围之内并符合部门中长期规划，用以反映和评价部门活动目标与部门履职、年度工作任务的相符性情况。</w:t>
            </w:r>
          </w:p>
          <w:p w14:paraId="774004F4">
            <w:pPr>
              <w:spacing w:after="0" w:line="240" w:lineRule="exact"/>
              <w:rPr>
                <w:rFonts w:ascii="宋体" w:hAnsi="宋体" w:eastAsia="宋体" w:cs="宋体"/>
                <w:color w:val="auto"/>
              </w:rPr>
            </w:pPr>
            <w:r>
              <w:rPr>
                <w:rFonts w:hint="eastAsia" w:ascii="宋体" w:hAnsi="宋体" w:eastAsia="宋体" w:cs="宋体"/>
                <w:color w:val="auto"/>
              </w:rPr>
              <w:t>评价要点：</w:t>
            </w:r>
          </w:p>
          <w:p w14:paraId="0D3254F7">
            <w:pPr>
              <w:spacing w:after="0" w:line="240" w:lineRule="exact"/>
              <w:rPr>
                <w:rFonts w:ascii="宋体" w:hAnsi="宋体" w:eastAsia="宋体" w:cs="宋体"/>
                <w:color w:val="auto"/>
              </w:rPr>
            </w:pPr>
            <w:r>
              <w:rPr>
                <w:rFonts w:hint="eastAsia" w:ascii="宋体" w:hAnsi="宋体" w:eastAsia="宋体" w:cs="宋体"/>
                <w:color w:val="auto"/>
              </w:rPr>
              <w:t>1.部门活动的设定在部门所确定的职责范围之内；</w:t>
            </w:r>
          </w:p>
          <w:p w14:paraId="015BC6D3">
            <w:pPr>
              <w:spacing w:after="0" w:line="68" w:lineRule="atLeast"/>
              <w:rPr>
                <w:rFonts w:ascii="宋体" w:hAnsi="宋体" w:eastAsia="宋体" w:cs="宋体"/>
                <w:color w:val="auto"/>
              </w:rPr>
            </w:pPr>
            <w:r>
              <w:rPr>
                <w:rFonts w:hint="eastAsia" w:ascii="宋体" w:hAnsi="宋体" w:eastAsia="宋体" w:cs="宋体"/>
                <w:color w:val="auto"/>
              </w:rPr>
              <w:t>2.部门活动符合市委、市政府的发展规划及本部门的年度工作安排与发展规划。</w:t>
            </w:r>
          </w:p>
        </w:tc>
        <w:tc>
          <w:tcPr>
            <w:tcW w:w="3423" w:type="dxa"/>
            <w:tcBorders>
              <w:top w:val="single" w:color="000000" w:sz="4" w:space="0"/>
              <w:left w:val="single" w:color="auto" w:sz="4" w:space="0"/>
              <w:bottom w:val="single" w:color="auto" w:sz="4" w:space="0"/>
              <w:right w:val="single" w:color="auto" w:sz="4" w:space="0"/>
            </w:tcBorders>
            <w:vAlign w:val="center"/>
          </w:tcPr>
          <w:p w14:paraId="054EECEA">
            <w:pPr>
              <w:spacing w:after="0" w:line="240" w:lineRule="exact"/>
              <w:rPr>
                <w:rFonts w:ascii="宋体" w:hAnsi="宋体" w:eastAsia="宋体" w:cs="宋体"/>
                <w:color w:val="auto"/>
              </w:rPr>
            </w:pPr>
            <w:r>
              <w:rPr>
                <w:rFonts w:hint="eastAsia" w:ascii="宋体" w:hAnsi="宋体" w:eastAsia="宋体" w:cs="宋体"/>
                <w:color w:val="auto"/>
              </w:rPr>
              <w:t>全部符合（1分）；</w:t>
            </w:r>
          </w:p>
          <w:p w14:paraId="2BC0753C">
            <w:pPr>
              <w:spacing w:after="0" w:line="68" w:lineRule="atLeast"/>
              <w:rPr>
                <w:rFonts w:ascii="宋体" w:hAnsi="宋体" w:eastAsia="宋体" w:cs="宋体"/>
                <w:color w:val="auto"/>
              </w:rPr>
            </w:pPr>
            <w:r>
              <w:rPr>
                <w:rFonts w:hint="eastAsia" w:ascii="宋体" w:hAnsi="宋体" w:eastAsia="宋体" w:cs="宋体"/>
                <w:color w:val="auto"/>
              </w:rPr>
              <w:t>其中一项不符合（0分）。</w:t>
            </w:r>
          </w:p>
        </w:tc>
        <w:tc>
          <w:tcPr>
            <w:tcW w:w="1090" w:type="dxa"/>
            <w:tcBorders>
              <w:top w:val="single" w:color="000000" w:sz="4" w:space="0"/>
              <w:left w:val="single" w:color="auto" w:sz="4" w:space="0"/>
              <w:bottom w:val="single" w:color="auto" w:sz="4" w:space="0"/>
              <w:right w:val="single" w:color="000000" w:sz="4" w:space="0"/>
            </w:tcBorders>
            <w:vAlign w:val="center"/>
          </w:tcPr>
          <w:p w14:paraId="5B754455">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r>
      <w:tr w14:paraId="5F9CF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jc w:val="center"/>
        </w:trPr>
        <w:tc>
          <w:tcPr>
            <w:tcW w:w="733" w:type="dxa"/>
            <w:vMerge w:val="continue"/>
            <w:tcBorders>
              <w:left w:val="single" w:color="000000" w:sz="4" w:space="0"/>
              <w:right w:val="single" w:color="000000" w:sz="4" w:space="0"/>
            </w:tcBorders>
            <w:vAlign w:val="center"/>
          </w:tcPr>
          <w:p w14:paraId="3FF7159D">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56E6CC07">
            <w:pPr>
              <w:spacing w:after="0"/>
              <w:rPr>
                <w:rFonts w:ascii="宋体" w:hAnsi="宋体" w:eastAsia="宋体" w:cs="宋体"/>
                <w:color w:val="auto"/>
              </w:rPr>
            </w:pPr>
          </w:p>
        </w:tc>
        <w:tc>
          <w:tcPr>
            <w:tcW w:w="1182" w:type="dxa"/>
            <w:tcBorders>
              <w:top w:val="single" w:color="000000" w:sz="4" w:space="0"/>
              <w:left w:val="single" w:color="000000" w:sz="4" w:space="0"/>
              <w:bottom w:val="single" w:color="auto" w:sz="4" w:space="0"/>
              <w:right w:val="single" w:color="auto" w:sz="4" w:space="0"/>
            </w:tcBorders>
            <w:vAlign w:val="center"/>
          </w:tcPr>
          <w:p w14:paraId="329C3621">
            <w:pPr>
              <w:spacing w:after="0" w:line="68" w:lineRule="atLeast"/>
              <w:rPr>
                <w:rFonts w:ascii="宋体" w:hAnsi="宋体" w:eastAsia="宋体" w:cs="宋体"/>
                <w:color w:val="auto"/>
              </w:rPr>
            </w:pPr>
            <w:r>
              <w:rPr>
                <w:rFonts w:hint="eastAsia" w:ascii="宋体" w:hAnsi="宋体" w:eastAsia="宋体" w:cs="宋体"/>
                <w:color w:val="auto"/>
              </w:rPr>
              <w:t>活动合理性（1分）</w:t>
            </w:r>
          </w:p>
        </w:tc>
        <w:tc>
          <w:tcPr>
            <w:tcW w:w="6911" w:type="dxa"/>
            <w:tcBorders>
              <w:top w:val="single" w:color="000000" w:sz="4" w:space="0"/>
              <w:left w:val="single" w:color="auto" w:sz="4" w:space="0"/>
              <w:bottom w:val="single" w:color="auto" w:sz="4" w:space="0"/>
              <w:right w:val="single" w:color="auto" w:sz="4" w:space="0"/>
            </w:tcBorders>
            <w:vAlign w:val="center"/>
          </w:tcPr>
          <w:p w14:paraId="1307339D">
            <w:pPr>
              <w:spacing w:after="0" w:line="240" w:lineRule="exact"/>
              <w:rPr>
                <w:rFonts w:ascii="宋体" w:hAnsi="宋体" w:eastAsia="宋体" w:cs="宋体"/>
                <w:color w:val="auto"/>
              </w:rPr>
            </w:pPr>
            <w:r>
              <w:rPr>
                <w:rFonts w:hint="eastAsia" w:ascii="宋体" w:hAnsi="宋体" w:eastAsia="宋体" w:cs="宋体"/>
                <w:color w:val="auto"/>
              </w:rPr>
              <w:t>部门所设立的活动是否明确合理、活动的关键性指标设置是否可衡量，用以反映和评价部门活动目标设定的合理性。</w:t>
            </w:r>
          </w:p>
          <w:p w14:paraId="532B396F">
            <w:pPr>
              <w:spacing w:after="0" w:line="240" w:lineRule="exact"/>
              <w:rPr>
                <w:rFonts w:ascii="宋体" w:hAnsi="宋体" w:eastAsia="宋体" w:cs="宋体"/>
                <w:color w:val="auto"/>
              </w:rPr>
            </w:pPr>
            <w:r>
              <w:rPr>
                <w:rFonts w:hint="eastAsia" w:ascii="宋体" w:hAnsi="宋体" w:eastAsia="宋体" w:cs="宋体"/>
                <w:color w:val="auto"/>
              </w:rPr>
              <w:t>评价要点：</w:t>
            </w:r>
          </w:p>
          <w:p w14:paraId="76569282">
            <w:pPr>
              <w:spacing w:after="0" w:line="240" w:lineRule="exact"/>
              <w:rPr>
                <w:rFonts w:ascii="宋体" w:hAnsi="宋体" w:eastAsia="宋体" w:cs="宋体"/>
                <w:color w:val="auto"/>
              </w:rPr>
            </w:pPr>
            <w:r>
              <w:rPr>
                <w:rFonts w:hint="eastAsia" w:ascii="宋体" w:hAnsi="宋体" w:eastAsia="宋体" w:cs="宋体"/>
                <w:color w:val="auto"/>
              </w:rPr>
              <w:t>1.活动目标的设定是可量化的，可通过清晰、可衡量的关键指标值予以体现；</w:t>
            </w:r>
          </w:p>
          <w:p w14:paraId="20A66AE4">
            <w:pPr>
              <w:spacing w:after="0" w:line="68" w:lineRule="atLeast"/>
              <w:rPr>
                <w:rFonts w:ascii="宋体" w:hAnsi="宋体" w:eastAsia="宋体" w:cs="宋体"/>
                <w:color w:val="auto"/>
              </w:rPr>
            </w:pPr>
            <w:r>
              <w:rPr>
                <w:rFonts w:hint="eastAsia" w:ascii="宋体" w:hAnsi="宋体" w:eastAsia="宋体" w:cs="宋体"/>
                <w:color w:val="auto"/>
              </w:rPr>
              <w:t>2.在活动目标设定时，将关键指标明细分解为具体的达成目标与工作任务。</w:t>
            </w:r>
          </w:p>
        </w:tc>
        <w:tc>
          <w:tcPr>
            <w:tcW w:w="3423" w:type="dxa"/>
            <w:tcBorders>
              <w:top w:val="single" w:color="000000" w:sz="4" w:space="0"/>
              <w:left w:val="single" w:color="auto" w:sz="4" w:space="0"/>
              <w:bottom w:val="single" w:color="auto" w:sz="4" w:space="0"/>
              <w:right w:val="single" w:color="auto" w:sz="4" w:space="0"/>
            </w:tcBorders>
            <w:vAlign w:val="center"/>
          </w:tcPr>
          <w:p w14:paraId="53B3A1A9">
            <w:pPr>
              <w:spacing w:after="0" w:line="240" w:lineRule="exact"/>
              <w:rPr>
                <w:rFonts w:ascii="宋体" w:hAnsi="宋体" w:eastAsia="宋体" w:cs="宋体"/>
                <w:color w:val="auto"/>
              </w:rPr>
            </w:pPr>
            <w:r>
              <w:rPr>
                <w:rFonts w:hint="eastAsia" w:ascii="宋体" w:hAnsi="宋体" w:eastAsia="宋体" w:cs="宋体"/>
                <w:color w:val="auto"/>
              </w:rPr>
              <w:t>全部符合（1分）；</w:t>
            </w:r>
          </w:p>
          <w:p w14:paraId="550311C1">
            <w:pPr>
              <w:spacing w:after="0" w:line="68" w:lineRule="atLeast"/>
              <w:rPr>
                <w:rFonts w:ascii="宋体" w:hAnsi="宋体" w:eastAsia="宋体" w:cs="宋体"/>
                <w:color w:val="auto"/>
              </w:rPr>
            </w:pPr>
            <w:r>
              <w:rPr>
                <w:rFonts w:hint="eastAsia" w:ascii="宋体" w:hAnsi="宋体" w:eastAsia="宋体" w:cs="宋体"/>
                <w:color w:val="auto"/>
              </w:rPr>
              <w:t>其中一项不符合（0分）。</w:t>
            </w:r>
          </w:p>
        </w:tc>
        <w:tc>
          <w:tcPr>
            <w:tcW w:w="1090" w:type="dxa"/>
            <w:tcBorders>
              <w:top w:val="single" w:color="000000" w:sz="4" w:space="0"/>
              <w:left w:val="single" w:color="auto" w:sz="4" w:space="0"/>
              <w:bottom w:val="single" w:color="auto" w:sz="4" w:space="0"/>
              <w:right w:val="single" w:color="000000" w:sz="4" w:space="0"/>
            </w:tcBorders>
            <w:vAlign w:val="center"/>
          </w:tcPr>
          <w:p w14:paraId="7C23DC45">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r>
      <w:tr w14:paraId="59F13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4" w:hRule="atLeast"/>
          <w:jc w:val="center"/>
        </w:trPr>
        <w:tc>
          <w:tcPr>
            <w:tcW w:w="733" w:type="dxa"/>
            <w:vMerge w:val="continue"/>
            <w:tcBorders>
              <w:left w:val="single" w:color="000000" w:sz="4" w:space="0"/>
              <w:right w:val="single" w:color="000000" w:sz="4" w:space="0"/>
            </w:tcBorders>
            <w:vAlign w:val="center"/>
          </w:tcPr>
          <w:p w14:paraId="37C099E5">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00C91EDD">
            <w:pPr>
              <w:spacing w:after="0"/>
              <w:rPr>
                <w:rFonts w:ascii="宋体" w:hAnsi="宋体" w:eastAsia="宋体" w:cs="宋体"/>
                <w:color w:val="auto"/>
              </w:rPr>
            </w:pPr>
          </w:p>
        </w:tc>
        <w:tc>
          <w:tcPr>
            <w:tcW w:w="1182" w:type="dxa"/>
            <w:tcBorders>
              <w:top w:val="single" w:color="000000" w:sz="4" w:space="0"/>
              <w:left w:val="single" w:color="000000" w:sz="4" w:space="0"/>
              <w:bottom w:val="single" w:color="auto" w:sz="4" w:space="0"/>
              <w:right w:val="single" w:color="auto" w:sz="4" w:space="0"/>
            </w:tcBorders>
            <w:vAlign w:val="center"/>
          </w:tcPr>
          <w:p w14:paraId="076EB347">
            <w:pPr>
              <w:spacing w:after="0" w:line="68" w:lineRule="atLeast"/>
              <w:rPr>
                <w:rFonts w:ascii="宋体" w:hAnsi="宋体" w:eastAsia="宋体" w:cs="宋体"/>
                <w:color w:val="auto"/>
              </w:rPr>
            </w:pPr>
            <w:r>
              <w:rPr>
                <w:rFonts w:hint="eastAsia" w:ascii="宋体" w:hAnsi="宋体" w:eastAsia="宋体" w:cs="宋体"/>
                <w:color w:val="auto"/>
              </w:rPr>
              <w:t>目标覆盖率（1分）</w:t>
            </w:r>
          </w:p>
        </w:tc>
        <w:tc>
          <w:tcPr>
            <w:tcW w:w="6911" w:type="dxa"/>
            <w:tcBorders>
              <w:top w:val="single" w:color="000000" w:sz="4" w:space="0"/>
              <w:left w:val="single" w:color="auto" w:sz="4" w:space="0"/>
              <w:bottom w:val="single" w:color="auto" w:sz="4" w:space="0"/>
              <w:right w:val="single" w:color="auto" w:sz="4" w:space="0"/>
            </w:tcBorders>
            <w:vAlign w:val="center"/>
          </w:tcPr>
          <w:p w14:paraId="1B62DE66">
            <w:pPr>
              <w:spacing w:after="0" w:line="240" w:lineRule="exact"/>
              <w:rPr>
                <w:rFonts w:ascii="宋体" w:hAnsi="宋体" w:eastAsia="宋体" w:cs="宋体"/>
                <w:color w:val="auto"/>
              </w:rPr>
            </w:pPr>
            <w:r>
              <w:rPr>
                <w:rFonts w:hint="eastAsia" w:ascii="宋体" w:hAnsi="宋体" w:eastAsia="宋体" w:cs="宋体"/>
                <w:color w:val="auto"/>
              </w:rPr>
              <w:t>部门年度申报绩效目标项目资金额与部门项目预算资金总额的比率，用以反映部门落实财政部门绩效目标申报要求的资金覆盖情况。</w:t>
            </w:r>
          </w:p>
          <w:p w14:paraId="378C224B">
            <w:pPr>
              <w:spacing w:after="0" w:line="240" w:lineRule="exact"/>
              <w:rPr>
                <w:rFonts w:ascii="宋体" w:hAnsi="宋体" w:eastAsia="宋体" w:cs="宋体"/>
                <w:color w:val="auto"/>
              </w:rPr>
            </w:pPr>
            <w:r>
              <w:rPr>
                <w:rFonts w:hint="eastAsia" w:ascii="宋体" w:hAnsi="宋体" w:eastAsia="宋体" w:cs="宋体"/>
                <w:color w:val="auto"/>
              </w:rPr>
              <w:t>覆盖率=实际申报绩效目标项目资金总额/部门项目预算资金总额×100%</w:t>
            </w:r>
          </w:p>
        </w:tc>
        <w:tc>
          <w:tcPr>
            <w:tcW w:w="3423" w:type="dxa"/>
            <w:tcBorders>
              <w:top w:val="single" w:color="000000" w:sz="4" w:space="0"/>
              <w:left w:val="single" w:color="auto" w:sz="4" w:space="0"/>
              <w:bottom w:val="single" w:color="auto" w:sz="4" w:space="0"/>
              <w:right w:val="single" w:color="auto" w:sz="4" w:space="0"/>
            </w:tcBorders>
            <w:vAlign w:val="center"/>
          </w:tcPr>
          <w:p w14:paraId="01A30745">
            <w:pPr>
              <w:spacing w:after="0" w:line="240" w:lineRule="exact"/>
              <w:rPr>
                <w:rFonts w:ascii="宋体" w:hAnsi="宋体" w:eastAsia="宋体" w:cs="宋体"/>
                <w:color w:val="auto"/>
              </w:rPr>
            </w:pPr>
            <w:r>
              <w:rPr>
                <w:rFonts w:hint="eastAsia" w:ascii="宋体" w:hAnsi="宋体" w:eastAsia="宋体" w:cs="宋体"/>
                <w:color w:val="auto"/>
              </w:rPr>
              <w:t>达到目标值得1分，未达到目标值采用完成比率法计分：得分=覆盖率/目标值×1，超过目标值不加分。</w:t>
            </w:r>
          </w:p>
        </w:tc>
        <w:tc>
          <w:tcPr>
            <w:tcW w:w="1090" w:type="dxa"/>
            <w:tcBorders>
              <w:top w:val="single" w:color="000000" w:sz="4" w:space="0"/>
              <w:left w:val="single" w:color="auto" w:sz="4" w:space="0"/>
              <w:bottom w:val="single" w:color="auto" w:sz="4" w:space="0"/>
              <w:right w:val="single" w:color="000000" w:sz="4" w:space="0"/>
            </w:tcBorders>
            <w:vAlign w:val="center"/>
          </w:tcPr>
          <w:p w14:paraId="22D349CC">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r>
      <w:tr w14:paraId="2F60A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2" w:hRule="atLeast"/>
          <w:jc w:val="center"/>
        </w:trPr>
        <w:tc>
          <w:tcPr>
            <w:tcW w:w="733" w:type="dxa"/>
            <w:vMerge w:val="continue"/>
            <w:tcBorders>
              <w:left w:val="single" w:color="000000" w:sz="4" w:space="0"/>
              <w:right w:val="single" w:color="000000" w:sz="4" w:space="0"/>
            </w:tcBorders>
            <w:vAlign w:val="center"/>
          </w:tcPr>
          <w:p w14:paraId="4F9B1000">
            <w:pPr>
              <w:spacing w:after="0"/>
              <w:rPr>
                <w:rFonts w:ascii="宋体" w:hAnsi="宋体" w:eastAsia="宋体" w:cs="宋体"/>
                <w:color w:val="auto"/>
              </w:rPr>
            </w:pPr>
          </w:p>
        </w:tc>
        <w:tc>
          <w:tcPr>
            <w:tcW w:w="803" w:type="dxa"/>
            <w:vMerge w:val="continue"/>
            <w:tcBorders>
              <w:left w:val="single" w:color="000000" w:sz="4" w:space="0"/>
              <w:bottom w:val="single" w:color="000000" w:sz="4" w:space="0"/>
              <w:right w:val="single" w:color="000000" w:sz="4" w:space="0"/>
            </w:tcBorders>
            <w:vAlign w:val="center"/>
          </w:tcPr>
          <w:p w14:paraId="6C109AD7">
            <w:pPr>
              <w:spacing w:after="0"/>
              <w:rPr>
                <w:rFonts w:ascii="宋体" w:hAnsi="宋体" w:eastAsia="宋体" w:cs="宋体"/>
                <w:color w:val="auto"/>
              </w:rPr>
            </w:pPr>
          </w:p>
        </w:tc>
        <w:tc>
          <w:tcPr>
            <w:tcW w:w="1182" w:type="dxa"/>
            <w:tcBorders>
              <w:top w:val="single" w:color="000000" w:sz="4" w:space="0"/>
              <w:left w:val="single" w:color="000000" w:sz="4" w:space="0"/>
              <w:bottom w:val="single" w:color="auto" w:sz="4" w:space="0"/>
              <w:right w:val="single" w:color="auto" w:sz="4" w:space="0"/>
            </w:tcBorders>
            <w:vAlign w:val="center"/>
          </w:tcPr>
          <w:p w14:paraId="54B651FE">
            <w:pPr>
              <w:spacing w:after="0" w:line="68" w:lineRule="atLeast"/>
              <w:rPr>
                <w:rFonts w:ascii="宋体" w:hAnsi="宋体" w:eastAsia="宋体" w:cs="宋体"/>
                <w:color w:val="auto"/>
              </w:rPr>
            </w:pPr>
            <w:r>
              <w:rPr>
                <w:rFonts w:hint="eastAsia" w:ascii="宋体" w:hAnsi="宋体" w:eastAsia="宋体" w:cs="宋体"/>
                <w:color w:val="auto"/>
              </w:rPr>
              <w:t>目标管理创新（1分）</w:t>
            </w:r>
          </w:p>
        </w:tc>
        <w:tc>
          <w:tcPr>
            <w:tcW w:w="6911" w:type="dxa"/>
            <w:tcBorders>
              <w:top w:val="single" w:color="000000" w:sz="4" w:space="0"/>
              <w:left w:val="single" w:color="auto" w:sz="4" w:space="0"/>
              <w:bottom w:val="single" w:color="auto" w:sz="4" w:space="0"/>
              <w:right w:val="single" w:color="auto" w:sz="4" w:space="0"/>
            </w:tcBorders>
            <w:vAlign w:val="center"/>
          </w:tcPr>
          <w:p w14:paraId="3E2E5423">
            <w:pPr>
              <w:spacing w:after="0" w:line="240" w:lineRule="exact"/>
              <w:rPr>
                <w:rFonts w:ascii="宋体" w:hAnsi="宋体" w:eastAsia="宋体" w:cs="宋体"/>
                <w:color w:val="auto"/>
              </w:rPr>
            </w:pPr>
            <w:r>
              <w:rPr>
                <w:rFonts w:hint="eastAsia" w:ascii="宋体" w:hAnsi="宋体" w:eastAsia="宋体" w:cs="宋体"/>
                <w:color w:val="auto"/>
              </w:rPr>
              <w:t>部门编报整体绩效目标和申报项目绩效目标的数量超过规定的要求。用以反映和考核部门绩效目标管理创新工作情况。</w:t>
            </w:r>
          </w:p>
          <w:p w14:paraId="3E577B32">
            <w:pPr>
              <w:spacing w:after="0" w:line="240" w:lineRule="exact"/>
              <w:rPr>
                <w:rFonts w:ascii="宋体" w:hAnsi="宋体" w:eastAsia="宋体" w:cs="宋体"/>
                <w:color w:val="auto"/>
              </w:rPr>
            </w:pPr>
            <w:r>
              <w:rPr>
                <w:rFonts w:hint="eastAsia" w:ascii="宋体" w:hAnsi="宋体" w:eastAsia="宋体" w:cs="宋体"/>
                <w:color w:val="auto"/>
              </w:rPr>
              <w:t>项目绩效目标创新=部门绩效目标编报数量-按财政部门要求的绩效目标填报数量</w:t>
            </w:r>
          </w:p>
        </w:tc>
        <w:tc>
          <w:tcPr>
            <w:tcW w:w="3423" w:type="dxa"/>
            <w:tcBorders>
              <w:top w:val="single" w:color="000000" w:sz="4" w:space="0"/>
              <w:left w:val="single" w:color="auto" w:sz="4" w:space="0"/>
              <w:bottom w:val="single" w:color="auto" w:sz="4" w:space="0"/>
              <w:right w:val="single" w:color="auto" w:sz="4" w:space="0"/>
            </w:tcBorders>
            <w:vAlign w:val="center"/>
          </w:tcPr>
          <w:p w14:paraId="06CAB647">
            <w:pPr>
              <w:spacing w:after="0" w:line="240" w:lineRule="exact"/>
              <w:rPr>
                <w:rFonts w:ascii="宋体" w:hAnsi="宋体" w:eastAsia="宋体" w:cs="宋体"/>
                <w:color w:val="auto"/>
              </w:rPr>
            </w:pPr>
            <w:r>
              <w:rPr>
                <w:rFonts w:hint="eastAsia" w:ascii="宋体" w:hAnsi="宋体" w:eastAsia="宋体" w:cs="宋体"/>
                <w:color w:val="auto"/>
              </w:rPr>
              <w:t>每超过1项得0.1分，满分1分。</w:t>
            </w:r>
          </w:p>
        </w:tc>
        <w:tc>
          <w:tcPr>
            <w:tcW w:w="1090" w:type="dxa"/>
            <w:tcBorders>
              <w:top w:val="single" w:color="000000" w:sz="4" w:space="0"/>
              <w:left w:val="single" w:color="auto" w:sz="4" w:space="0"/>
              <w:bottom w:val="single" w:color="auto" w:sz="4" w:space="0"/>
              <w:right w:val="single" w:color="000000" w:sz="4" w:space="0"/>
            </w:tcBorders>
            <w:vAlign w:val="center"/>
          </w:tcPr>
          <w:p w14:paraId="3C6C4E52">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r>
      <w:tr w14:paraId="75987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95" w:hRule="atLeast"/>
          <w:jc w:val="center"/>
        </w:trPr>
        <w:tc>
          <w:tcPr>
            <w:tcW w:w="733" w:type="dxa"/>
            <w:vMerge w:val="continue"/>
            <w:tcBorders>
              <w:left w:val="single" w:color="000000" w:sz="4" w:space="0"/>
              <w:right w:val="single" w:color="000000" w:sz="4" w:space="0"/>
            </w:tcBorders>
            <w:vAlign w:val="center"/>
          </w:tcPr>
          <w:p w14:paraId="6AD4DF82">
            <w:pPr>
              <w:spacing w:after="0"/>
              <w:rPr>
                <w:rFonts w:ascii="宋体" w:hAnsi="宋体" w:eastAsia="宋体" w:cs="宋体"/>
                <w:color w:val="auto"/>
              </w:rPr>
            </w:pPr>
          </w:p>
        </w:tc>
        <w:tc>
          <w:tcPr>
            <w:tcW w:w="803" w:type="dxa"/>
            <w:vMerge w:val="restart"/>
            <w:tcBorders>
              <w:top w:val="single" w:color="000000" w:sz="4" w:space="0"/>
              <w:left w:val="single" w:color="000000" w:sz="4" w:space="0"/>
              <w:right w:val="single" w:color="000000" w:sz="4" w:space="0"/>
            </w:tcBorders>
            <w:vAlign w:val="center"/>
          </w:tcPr>
          <w:p w14:paraId="249BE2D7">
            <w:pPr>
              <w:spacing w:after="0" w:line="68" w:lineRule="atLeast"/>
              <w:rPr>
                <w:rFonts w:ascii="宋体" w:hAnsi="宋体" w:eastAsia="宋体" w:cs="宋体"/>
                <w:color w:val="auto"/>
              </w:rPr>
            </w:pPr>
            <w:r>
              <w:rPr>
                <w:rFonts w:hint="eastAsia" w:ascii="宋体" w:hAnsi="宋体" w:eastAsia="宋体" w:cs="宋体"/>
                <w:color w:val="auto"/>
              </w:rPr>
              <w:t>预算配置(10分)</w:t>
            </w:r>
          </w:p>
        </w:tc>
        <w:tc>
          <w:tcPr>
            <w:tcW w:w="1182" w:type="dxa"/>
            <w:tcBorders>
              <w:top w:val="single" w:color="auto" w:sz="4" w:space="0"/>
              <w:left w:val="single" w:color="000000" w:sz="4" w:space="0"/>
              <w:bottom w:val="single" w:color="000000" w:sz="4" w:space="0"/>
              <w:right w:val="single" w:color="auto" w:sz="4" w:space="0"/>
            </w:tcBorders>
            <w:vAlign w:val="center"/>
          </w:tcPr>
          <w:p w14:paraId="73EBE9A9">
            <w:pPr>
              <w:spacing w:after="0" w:line="68" w:lineRule="atLeast"/>
              <w:rPr>
                <w:rFonts w:ascii="宋体" w:hAnsi="宋体" w:eastAsia="宋体" w:cs="宋体"/>
                <w:color w:val="auto"/>
              </w:rPr>
            </w:pPr>
            <w:r>
              <w:rPr>
                <w:rFonts w:hint="eastAsia" w:ascii="宋体" w:hAnsi="宋体" w:eastAsia="宋体" w:cs="宋体"/>
                <w:color w:val="auto"/>
              </w:rPr>
              <w:t>财政供养人员控制率（3分）</w:t>
            </w:r>
          </w:p>
        </w:tc>
        <w:tc>
          <w:tcPr>
            <w:tcW w:w="6911" w:type="dxa"/>
            <w:tcBorders>
              <w:top w:val="single" w:color="auto" w:sz="4" w:space="0"/>
              <w:left w:val="single" w:color="auto" w:sz="4" w:space="0"/>
              <w:bottom w:val="single" w:color="000000" w:sz="4" w:space="0"/>
              <w:right w:val="single" w:color="auto" w:sz="4" w:space="0"/>
            </w:tcBorders>
            <w:vAlign w:val="center"/>
          </w:tcPr>
          <w:p w14:paraId="2BB601AB">
            <w:pPr>
              <w:spacing w:after="0" w:line="240" w:lineRule="exact"/>
              <w:rPr>
                <w:rFonts w:ascii="宋体" w:hAnsi="宋体" w:eastAsia="宋体" w:cs="宋体"/>
                <w:color w:val="auto"/>
              </w:rPr>
            </w:pPr>
            <w:r>
              <w:rPr>
                <w:rFonts w:hint="eastAsia" w:ascii="宋体" w:hAnsi="宋体" w:eastAsia="宋体" w:cs="宋体"/>
                <w:color w:val="auto"/>
              </w:rPr>
              <w:t>部门本年度实际在职人员数与编制数的比率，用以反映和评价部门对人员成本的控制程度。</w:t>
            </w:r>
          </w:p>
          <w:p w14:paraId="5F940577">
            <w:pPr>
              <w:spacing w:after="0" w:line="240" w:lineRule="exact"/>
              <w:rPr>
                <w:rFonts w:ascii="宋体" w:hAnsi="宋体" w:eastAsia="宋体" w:cs="宋体"/>
                <w:color w:val="auto"/>
              </w:rPr>
            </w:pPr>
            <w:r>
              <w:rPr>
                <w:rFonts w:hint="eastAsia" w:ascii="宋体" w:hAnsi="宋体" w:eastAsia="宋体" w:cs="宋体"/>
                <w:color w:val="auto"/>
              </w:rPr>
              <w:t>在职人员控制率=（在职人员数/编制数）×100%。</w:t>
            </w:r>
          </w:p>
          <w:p w14:paraId="6F2DF880">
            <w:pPr>
              <w:spacing w:after="0" w:line="240" w:lineRule="exact"/>
              <w:rPr>
                <w:rFonts w:ascii="宋体" w:hAnsi="宋体" w:eastAsia="宋体" w:cs="宋体"/>
                <w:color w:val="auto"/>
              </w:rPr>
            </w:pPr>
            <w:r>
              <w:rPr>
                <w:rFonts w:hint="eastAsia" w:ascii="宋体" w:hAnsi="宋体" w:eastAsia="宋体" w:cs="宋体"/>
                <w:color w:val="auto"/>
              </w:rPr>
              <w:t>在职人员数：部门实际在职人数，以财政部确定的部门决算编制口径为准，由编制部门和人劳部门批复同意的临聘人员除外。</w:t>
            </w:r>
          </w:p>
          <w:p w14:paraId="2839C397">
            <w:pPr>
              <w:spacing w:after="0" w:line="68" w:lineRule="atLeast"/>
              <w:rPr>
                <w:rFonts w:ascii="宋体" w:hAnsi="宋体" w:eastAsia="宋体" w:cs="宋体"/>
                <w:color w:val="auto"/>
              </w:rPr>
            </w:pPr>
            <w:r>
              <w:rPr>
                <w:rFonts w:hint="eastAsia" w:ascii="宋体" w:hAnsi="宋体" w:eastAsia="宋体" w:cs="宋体"/>
                <w:color w:val="auto"/>
              </w:rPr>
              <w:t>编制数：机构编制部门核定批复的部门人员编制数。</w:t>
            </w:r>
          </w:p>
        </w:tc>
        <w:tc>
          <w:tcPr>
            <w:tcW w:w="3423" w:type="dxa"/>
            <w:tcBorders>
              <w:top w:val="single" w:color="auto" w:sz="4" w:space="0"/>
              <w:left w:val="single" w:color="auto" w:sz="4" w:space="0"/>
              <w:bottom w:val="single" w:color="000000" w:sz="4" w:space="0"/>
              <w:right w:val="single" w:color="auto" w:sz="4" w:space="0"/>
            </w:tcBorders>
            <w:vAlign w:val="center"/>
          </w:tcPr>
          <w:p w14:paraId="1FAA37D8">
            <w:pPr>
              <w:spacing w:after="0" w:line="68" w:lineRule="atLeast"/>
              <w:rPr>
                <w:rFonts w:ascii="宋体" w:hAnsi="宋体" w:eastAsia="宋体" w:cs="宋体"/>
                <w:color w:val="auto"/>
              </w:rPr>
            </w:pPr>
            <w:r>
              <w:rPr>
                <w:rFonts w:hint="eastAsia" w:ascii="宋体" w:hAnsi="宋体" w:eastAsia="宋体" w:cs="宋体"/>
                <w:color w:val="auto"/>
              </w:rPr>
              <w:t>目标值≤100%；达到目标值得3分，每超出1人扣0.1分，扣完为止。</w:t>
            </w:r>
          </w:p>
        </w:tc>
        <w:tc>
          <w:tcPr>
            <w:tcW w:w="1090" w:type="dxa"/>
            <w:tcBorders>
              <w:top w:val="single" w:color="auto" w:sz="4" w:space="0"/>
              <w:left w:val="single" w:color="auto" w:sz="4" w:space="0"/>
              <w:bottom w:val="single" w:color="000000" w:sz="4" w:space="0"/>
              <w:right w:val="single" w:color="000000" w:sz="4" w:space="0"/>
            </w:tcBorders>
            <w:vAlign w:val="center"/>
          </w:tcPr>
          <w:p w14:paraId="14504F2D">
            <w:pPr>
              <w:spacing w:after="0" w:line="68" w:lineRule="atLeast"/>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1.8</w:t>
            </w:r>
          </w:p>
        </w:tc>
      </w:tr>
      <w:tr w14:paraId="5AC13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5" w:hRule="atLeast"/>
          <w:jc w:val="center"/>
        </w:trPr>
        <w:tc>
          <w:tcPr>
            <w:tcW w:w="733" w:type="dxa"/>
            <w:vMerge w:val="continue"/>
            <w:tcBorders>
              <w:left w:val="single" w:color="000000" w:sz="4" w:space="0"/>
              <w:right w:val="single" w:color="000000" w:sz="4" w:space="0"/>
            </w:tcBorders>
            <w:vAlign w:val="center"/>
          </w:tcPr>
          <w:p w14:paraId="21E013DD">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4FC601F7">
            <w:pPr>
              <w:spacing w:after="0"/>
              <w:rPr>
                <w:rFonts w:ascii="宋体" w:hAnsi="宋体" w:eastAsia="宋体" w:cs="宋体"/>
                <w:color w:val="auto"/>
              </w:rPr>
            </w:pPr>
          </w:p>
        </w:tc>
        <w:tc>
          <w:tcPr>
            <w:tcW w:w="1182" w:type="dxa"/>
            <w:tcBorders>
              <w:top w:val="single" w:color="auto" w:sz="4" w:space="0"/>
              <w:left w:val="single" w:color="000000" w:sz="4" w:space="0"/>
              <w:bottom w:val="single" w:color="000000" w:sz="4" w:space="0"/>
              <w:right w:val="single" w:color="auto" w:sz="4" w:space="0"/>
            </w:tcBorders>
            <w:vAlign w:val="center"/>
          </w:tcPr>
          <w:p w14:paraId="253E71E7">
            <w:pPr>
              <w:spacing w:after="0" w:line="68" w:lineRule="atLeast"/>
              <w:rPr>
                <w:rFonts w:ascii="宋体" w:hAnsi="宋体" w:eastAsia="宋体" w:cs="宋体"/>
                <w:color w:val="auto"/>
              </w:rPr>
            </w:pPr>
            <w:r>
              <w:rPr>
                <w:rFonts w:hint="eastAsia" w:ascii="宋体" w:hAnsi="宋体" w:eastAsia="宋体" w:cs="宋体"/>
                <w:color w:val="auto"/>
              </w:rPr>
              <w:t>“三公经费”变动率（4分）</w:t>
            </w:r>
          </w:p>
        </w:tc>
        <w:tc>
          <w:tcPr>
            <w:tcW w:w="6911" w:type="dxa"/>
            <w:tcBorders>
              <w:top w:val="single" w:color="auto" w:sz="4" w:space="0"/>
              <w:left w:val="single" w:color="auto" w:sz="4" w:space="0"/>
              <w:bottom w:val="single" w:color="000000" w:sz="4" w:space="0"/>
              <w:right w:val="single" w:color="auto" w:sz="4" w:space="0"/>
            </w:tcBorders>
            <w:vAlign w:val="center"/>
          </w:tcPr>
          <w:p w14:paraId="16EAF520">
            <w:pPr>
              <w:spacing w:after="0" w:line="240" w:lineRule="exact"/>
              <w:rPr>
                <w:rFonts w:ascii="宋体" w:hAnsi="宋体" w:eastAsia="宋体" w:cs="宋体"/>
                <w:color w:val="auto"/>
              </w:rPr>
            </w:pPr>
            <w:r>
              <w:rPr>
                <w:rFonts w:hint="eastAsia" w:ascii="宋体" w:hAnsi="宋体" w:eastAsia="宋体" w:cs="宋体"/>
                <w:color w:val="auto"/>
              </w:rPr>
              <w:t>部门本年度“三公经费”预算数与上年度“三公经费”预算数的变动比率，用以反映和考核部门对控制重点行政成本的努力程度。</w:t>
            </w:r>
          </w:p>
          <w:p w14:paraId="317E267E">
            <w:pPr>
              <w:spacing w:after="0" w:line="240" w:lineRule="exact"/>
              <w:rPr>
                <w:rFonts w:ascii="宋体" w:hAnsi="宋体" w:eastAsia="宋体" w:cs="宋体"/>
                <w:color w:val="auto"/>
              </w:rPr>
            </w:pPr>
            <w:r>
              <w:rPr>
                <w:rFonts w:hint="eastAsia" w:ascii="宋体" w:hAnsi="宋体" w:eastAsia="宋体" w:cs="宋体"/>
                <w:color w:val="auto"/>
              </w:rPr>
              <w:t>“三公经费”变动率=〔（本年度“三公经费”总额-上年度“三公经费”总额）/上年度“三公经费”总额〕×100%</w:t>
            </w:r>
          </w:p>
          <w:p w14:paraId="4519A6B1">
            <w:pPr>
              <w:spacing w:after="0" w:line="240" w:lineRule="exact"/>
              <w:rPr>
                <w:rFonts w:ascii="宋体" w:hAnsi="宋体" w:eastAsia="宋体" w:cs="宋体"/>
                <w:color w:val="auto"/>
              </w:rPr>
            </w:pPr>
            <w:r>
              <w:rPr>
                <w:rFonts w:hint="eastAsia" w:ascii="宋体" w:hAnsi="宋体" w:eastAsia="宋体" w:cs="宋体"/>
                <w:color w:val="auto"/>
              </w:rPr>
              <w:t>“三公经费”：年度预算安排的因公出国（境）费、公务车辆购置及运行费和公务招待费。</w:t>
            </w:r>
          </w:p>
        </w:tc>
        <w:tc>
          <w:tcPr>
            <w:tcW w:w="3423" w:type="dxa"/>
            <w:tcBorders>
              <w:top w:val="single" w:color="auto" w:sz="4" w:space="0"/>
              <w:left w:val="single" w:color="auto" w:sz="4" w:space="0"/>
              <w:bottom w:val="single" w:color="000000" w:sz="4" w:space="0"/>
              <w:right w:val="single" w:color="auto" w:sz="4" w:space="0"/>
            </w:tcBorders>
            <w:vAlign w:val="center"/>
          </w:tcPr>
          <w:p w14:paraId="4AB7A458">
            <w:pPr>
              <w:spacing w:after="0" w:line="240" w:lineRule="exact"/>
              <w:rPr>
                <w:rFonts w:ascii="宋体" w:hAnsi="宋体" w:eastAsia="宋体" w:cs="宋体"/>
                <w:color w:val="auto"/>
              </w:rPr>
            </w:pPr>
            <w:r>
              <w:rPr>
                <w:rFonts w:hint="eastAsia" w:ascii="宋体" w:hAnsi="宋体" w:eastAsia="宋体" w:cs="宋体"/>
                <w:color w:val="auto"/>
              </w:rPr>
              <w:t>目标值≤0；达到目标值得4分，未达到目标值的采用比率扣分法：扣分值=“三公经费”变动率×4×10，变动率达10%以上的扣4分。</w:t>
            </w:r>
          </w:p>
        </w:tc>
        <w:tc>
          <w:tcPr>
            <w:tcW w:w="1090" w:type="dxa"/>
            <w:tcBorders>
              <w:top w:val="single" w:color="auto" w:sz="4" w:space="0"/>
              <w:left w:val="single" w:color="auto" w:sz="4" w:space="0"/>
              <w:bottom w:val="single" w:color="000000" w:sz="4" w:space="0"/>
              <w:right w:val="single" w:color="000000" w:sz="4" w:space="0"/>
            </w:tcBorders>
            <w:vAlign w:val="center"/>
          </w:tcPr>
          <w:p w14:paraId="1C14B054">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4</w:t>
            </w:r>
          </w:p>
        </w:tc>
      </w:tr>
      <w:tr w14:paraId="7C2BD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7" w:hRule="atLeast"/>
          <w:jc w:val="center"/>
        </w:trPr>
        <w:tc>
          <w:tcPr>
            <w:tcW w:w="733" w:type="dxa"/>
            <w:vMerge w:val="continue"/>
            <w:tcBorders>
              <w:left w:val="single" w:color="000000" w:sz="4" w:space="0"/>
              <w:bottom w:val="single" w:color="000000" w:sz="4" w:space="0"/>
              <w:right w:val="single" w:color="000000" w:sz="4" w:space="0"/>
            </w:tcBorders>
            <w:vAlign w:val="center"/>
          </w:tcPr>
          <w:p w14:paraId="6CCB8BD0">
            <w:pPr>
              <w:spacing w:after="0"/>
              <w:rPr>
                <w:rFonts w:ascii="宋体" w:hAnsi="宋体" w:eastAsia="宋体" w:cs="宋体"/>
                <w:color w:val="auto"/>
              </w:rPr>
            </w:pPr>
          </w:p>
        </w:tc>
        <w:tc>
          <w:tcPr>
            <w:tcW w:w="803" w:type="dxa"/>
            <w:vMerge w:val="continue"/>
            <w:tcBorders>
              <w:left w:val="single" w:color="000000" w:sz="4" w:space="0"/>
              <w:bottom w:val="single" w:color="000000" w:sz="4" w:space="0"/>
              <w:right w:val="single" w:color="000000" w:sz="4" w:space="0"/>
            </w:tcBorders>
            <w:vAlign w:val="center"/>
          </w:tcPr>
          <w:p w14:paraId="0B963980">
            <w:pPr>
              <w:spacing w:after="0"/>
              <w:rPr>
                <w:rFonts w:ascii="宋体" w:hAnsi="宋体" w:eastAsia="宋体" w:cs="宋体"/>
                <w:color w:val="auto"/>
              </w:rPr>
            </w:pPr>
          </w:p>
        </w:tc>
        <w:tc>
          <w:tcPr>
            <w:tcW w:w="1182" w:type="dxa"/>
            <w:tcBorders>
              <w:top w:val="single" w:color="auto" w:sz="4" w:space="0"/>
              <w:left w:val="single" w:color="000000" w:sz="4" w:space="0"/>
              <w:bottom w:val="single" w:color="000000" w:sz="4" w:space="0"/>
              <w:right w:val="single" w:color="auto" w:sz="4" w:space="0"/>
            </w:tcBorders>
            <w:vAlign w:val="center"/>
          </w:tcPr>
          <w:p w14:paraId="635BFFE1">
            <w:pPr>
              <w:spacing w:after="0" w:line="68" w:lineRule="atLeast"/>
              <w:rPr>
                <w:rFonts w:ascii="宋体" w:hAnsi="宋体" w:eastAsia="宋体" w:cs="宋体"/>
                <w:color w:val="auto"/>
              </w:rPr>
            </w:pPr>
            <w:r>
              <w:rPr>
                <w:rFonts w:hint="eastAsia" w:ascii="宋体" w:hAnsi="宋体" w:eastAsia="宋体" w:cs="宋体"/>
                <w:color w:val="auto"/>
              </w:rPr>
              <w:t>重点支出安排率（3分）</w:t>
            </w:r>
          </w:p>
        </w:tc>
        <w:tc>
          <w:tcPr>
            <w:tcW w:w="6911" w:type="dxa"/>
            <w:tcBorders>
              <w:top w:val="single" w:color="auto" w:sz="4" w:space="0"/>
              <w:left w:val="single" w:color="auto" w:sz="4" w:space="0"/>
              <w:bottom w:val="single" w:color="000000" w:sz="4" w:space="0"/>
              <w:right w:val="single" w:color="auto" w:sz="4" w:space="0"/>
            </w:tcBorders>
            <w:vAlign w:val="center"/>
          </w:tcPr>
          <w:p w14:paraId="6F50EDFC">
            <w:pPr>
              <w:spacing w:after="0" w:line="240" w:lineRule="exact"/>
              <w:rPr>
                <w:rFonts w:ascii="宋体" w:hAnsi="宋体" w:eastAsia="宋体" w:cs="宋体"/>
                <w:color w:val="auto"/>
              </w:rPr>
            </w:pPr>
            <w:r>
              <w:rPr>
                <w:rFonts w:hint="eastAsia" w:ascii="宋体" w:hAnsi="宋体" w:eastAsia="宋体" w:cs="宋体"/>
                <w:color w:val="auto"/>
              </w:rPr>
              <w:t>部门（单位）本年度预算安排的重点项目支出与部门项目总支出的比率，用以反映和考核部门（单位）对履行主要职责或完成重点任务的保障程度。重点支出安排率=（重点项目支出/项目总支出）×100%。</w:t>
            </w:r>
          </w:p>
          <w:p w14:paraId="6559385D">
            <w:pPr>
              <w:spacing w:after="0" w:line="240" w:lineRule="exact"/>
              <w:rPr>
                <w:rFonts w:ascii="宋体" w:hAnsi="宋体" w:eastAsia="宋体" w:cs="宋体"/>
                <w:color w:val="auto"/>
              </w:rPr>
            </w:pPr>
            <w:r>
              <w:rPr>
                <w:rFonts w:hint="eastAsia" w:ascii="宋体" w:hAnsi="宋体" w:eastAsia="宋体" w:cs="宋体"/>
                <w:color w:val="auto"/>
              </w:rPr>
              <w:t>重点项目支出：部门（单位）年度预算安排的，与本部门履职和发展密切相关、具有明显社会和经济影响、党委政府关心或社会比较关注的项目支出总额。具体由被评价部门提出后经对口部门预算管理处审核确定。</w:t>
            </w:r>
          </w:p>
          <w:p w14:paraId="2749BAFE">
            <w:pPr>
              <w:spacing w:after="0" w:line="240" w:lineRule="exact"/>
              <w:rPr>
                <w:rFonts w:ascii="宋体" w:hAnsi="宋体" w:eastAsia="宋体" w:cs="宋体"/>
                <w:color w:val="auto"/>
              </w:rPr>
            </w:pPr>
            <w:r>
              <w:rPr>
                <w:rFonts w:hint="eastAsia" w:ascii="宋体" w:hAnsi="宋体" w:eastAsia="宋体" w:cs="宋体"/>
                <w:color w:val="auto"/>
              </w:rPr>
              <w:t>项目总支出：部门（单位）年度预算安排的项目支出总额。</w:t>
            </w:r>
          </w:p>
        </w:tc>
        <w:tc>
          <w:tcPr>
            <w:tcW w:w="3423" w:type="dxa"/>
            <w:tcBorders>
              <w:top w:val="single" w:color="auto" w:sz="4" w:space="0"/>
              <w:left w:val="single" w:color="auto" w:sz="4" w:space="0"/>
              <w:bottom w:val="single" w:color="000000" w:sz="4" w:space="0"/>
              <w:right w:val="single" w:color="auto" w:sz="4" w:space="0"/>
            </w:tcBorders>
            <w:vAlign w:val="center"/>
          </w:tcPr>
          <w:p w14:paraId="2FD1F085">
            <w:pPr>
              <w:spacing w:after="0" w:line="240" w:lineRule="exact"/>
              <w:rPr>
                <w:rFonts w:ascii="宋体" w:hAnsi="宋体" w:eastAsia="宋体" w:cs="宋体"/>
                <w:color w:val="auto"/>
              </w:rPr>
            </w:pPr>
            <w:r>
              <w:rPr>
                <w:rFonts w:hint="eastAsia" w:ascii="宋体" w:hAnsi="宋体" w:eastAsia="宋体" w:cs="宋体"/>
                <w:color w:val="auto"/>
              </w:rPr>
              <w:t>目标值≥70%；以3分为上限，采用完成比率法计分：得分=重点支出安排率/70%×100%×3，超出目标值不加分。</w:t>
            </w:r>
          </w:p>
        </w:tc>
        <w:tc>
          <w:tcPr>
            <w:tcW w:w="1090" w:type="dxa"/>
            <w:tcBorders>
              <w:top w:val="single" w:color="auto" w:sz="4" w:space="0"/>
              <w:left w:val="single" w:color="auto" w:sz="4" w:space="0"/>
              <w:bottom w:val="single" w:color="000000" w:sz="4" w:space="0"/>
              <w:right w:val="single" w:color="000000" w:sz="4" w:space="0"/>
            </w:tcBorders>
            <w:vAlign w:val="center"/>
          </w:tcPr>
          <w:p w14:paraId="5F754F4F">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4B27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6" w:hRule="atLeast"/>
          <w:jc w:val="center"/>
        </w:trPr>
        <w:tc>
          <w:tcPr>
            <w:tcW w:w="733" w:type="dxa"/>
            <w:vMerge w:val="restart"/>
            <w:tcBorders>
              <w:top w:val="single" w:color="000000" w:sz="4" w:space="0"/>
              <w:left w:val="single" w:color="000000" w:sz="4" w:space="0"/>
              <w:right w:val="single" w:color="000000" w:sz="4" w:space="0"/>
            </w:tcBorders>
            <w:vAlign w:val="center"/>
          </w:tcPr>
          <w:p w14:paraId="00A97596">
            <w:pPr>
              <w:spacing w:after="0" w:line="68" w:lineRule="atLeast"/>
              <w:jc w:val="center"/>
              <w:rPr>
                <w:rFonts w:ascii="宋体" w:hAnsi="宋体" w:eastAsia="宋体" w:cs="宋体"/>
                <w:color w:val="auto"/>
              </w:rPr>
            </w:pPr>
          </w:p>
          <w:p w14:paraId="4A4605AB">
            <w:pPr>
              <w:spacing w:after="0" w:line="68" w:lineRule="atLeast"/>
              <w:jc w:val="center"/>
              <w:rPr>
                <w:rFonts w:ascii="宋体" w:hAnsi="宋体" w:eastAsia="宋体" w:cs="宋体"/>
                <w:color w:val="auto"/>
              </w:rPr>
            </w:pPr>
          </w:p>
          <w:p w14:paraId="35F0D3A5">
            <w:pPr>
              <w:spacing w:after="0" w:line="68" w:lineRule="atLeast"/>
              <w:jc w:val="center"/>
              <w:rPr>
                <w:rFonts w:ascii="宋体" w:hAnsi="宋体" w:eastAsia="宋体" w:cs="宋体"/>
                <w:color w:val="auto"/>
              </w:rPr>
            </w:pPr>
          </w:p>
          <w:p w14:paraId="54F14BC1">
            <w:pPr>
              <w:spacing w:after="0" w:line="68" w:lineRule="atLeast"/>
              <w:jc w:val="center"/>
              <w:rPr>
                <w:rFonts w:ascii="宋体" w:hAnsi="宋体" w:eastAsia="宋体" w:cs="宋体"/>
                <w:color w:val="auto"/>
              </w:rPr>
            </w:pPr>
          </w:p>
          <w:p w14:paraId="09EF1D55">
            <w:pPr>
              <w:spacing w:after="0" w:line="68" w:lineRule="atLeast"/>
              <w:jc w:val="center"/>
              <w:rPr>
                <w:rFonts w:ascii="宋体" w:hAnsi="宋体" w:eastAsia="宋体" w:cs="宋体"/>
                <w:color w:val="auto"/>
              </w:rPr>
            </w:pPr>
          </w:p>
          <w:p w14:paraId="5D645E3D">
            <w:pPr>
              <w:spacing w:after="0" w:line="68" w:lineRule="atLeast"/>
              <w:jc w:val="center"/>
              <w:rPr>
                <w:rFonts w:ascii="宋体" w:hAnsi="宋体" w:eastAsia="宋体" w:cs="宋体"/>
                <w:color w:val="auto"/>
              </w:rPr>
            </w:pPr>
          </w:p>
          <w:p w14:paraId="67A82086">
            <w:pPr>
              <w:spacing w:after="0" w:line="68" w:lineRule="atLeast"/>
              <w:jc w:val="center"/>
              <w:rPr>
                <w:rFonts w:ascii="宋体" w:hAnsi="宋体" w:eastAsia="宋体" w:cs="宋体"/>
                <w:color w:val="auto"/>
              </w:rPr>
            </w:pPr>
          </w:p>
          <w:p w14:paraId="4EED9FF6">
            <w:pPr>
              <w:spacing w:after="0" w:line="68" w:lineRule="atLeast"/>
              <w:jc w:val="center"/>
              <w:rPr>
                <w:rFonts w:ascii="宋体" w:hAnsi="宋体" w:eastAsia="宋体" w:cs="宋体"/>
                <w:color w:val="auto"/>
              </w:rPr>
            </w:pPr>
          </w:p>
          <w:p w14:paraId="5C451784">
            <w:pPr>
              <w:spacing w:after="0" w:line="68" w:lineRule="atLeast"/>
              <w:jc w:val="center"/>
              <w:rPr>
                <w:rFonts w:ascii="宋体" w:hAnsi="宋体" w:eastAsia="宋体" w:cs="宋体"/>
                <w:color w:val="auto"/>
              </w:rPr>
            </w:pPr>
          </w:p>
          <w:p w14:paraId="5F6EAEA9">
            <w:pPr>
              <w:spacing w:after="0" w:line="68" w:lineRule="atLeast"/>
              <w:jc w:val="center"/>
              <w:rPr>
                <w:rFonts w:ascii="宋体" w:hAnsi="宋体" w:eastAsia="宋体" w:cs="宋体"/>
                <w:color w:val="auto"/>
              </w:rPr>
            </w:pPr>
          </w:p>
          <w:p w14:paraId="4CA4A9AD">
            <w:pPr>
              <w:spacing w:after="0" w:line="68" w:lineRule="atLeast"/>
              <w:jc w:val="center"/>
              <w:rPr>
                <w:rFonts w:ascii="宋体" w:hAnsi="宋体" w:eastAsia="宋体" w:cs="宋体"/>
                <w:color w:val="auto"/>
              </w:rPr>
            </w:pPr>
            <w:r>
              <w:rPr>
                <w:rFonts w:hint="eastAsia" w:ascii="宋体" w:hAnsi="宋体" w:eastAsia="宋体" w:cs="宋体"/>
                <w:color w:val="auto"/>
              </w:rPr>
              <w:t>过程(55分)</w:t>
            </w:r>
          </w:p>
          <w:p w14:paraId="2F062F54">
            <w:pPr>
              <w:spacing w:after="0" w:line="68" w:lineRule="atLeast"/>
              <w:jc w:val="center"/>
              <w:rPr>
                <w:rFonts w:ascii="宋体" w:hAnsi="宋体" w:eastAsia="宋体" w:cs="宋体"/>
                <w:color w:val="auto"/>
              </w:rPr>
            </w:pPr>
          </w:p>
          <w:p w14:paraId="60BE51BF">
            <w:pPr>
              <w:spacing w:after="0" w:line="68" w:lineRule="atLeast"/>
              <w:jc w:val="center"/>
              <w:rPr>
                <w:rFonts w:ascii="宋体" w:hAnsi="宋体" w:eastAsia="宋体" w:cs="宋体"/>
                <w:color w:val="auto"/>
              </w:rPr>
            </w:pPr>
          </w:p>
          <w:p w14:paraId="7B02BA98">
            <w:pPr>
              <w:spacing w:after="0" w:line="68" w:lineRule="atLeast"/>
              <w:jc w:val="center"/>
              <w:rPr>
                <w:rFonts w:ascii="宋体" w:hAnsi="宋体" w:eastAsia="宋体" w:cs="宋体"/>
                <w:color w:val="auto"/>
              </w:rPr>
            </w:pPr>
          </w:p>
          <w:p w14:paraId="7B83B8E9">
            <w:pPr>
              <w:spacing w:after="0" w:line="68" w:lineRule="atLeast"/>
              <w:jc w:val="center"/>
              <w:rPr>
                <w:rFonts w:ascii="宋体" w:hAnsi="宋体" w:eastAsia="宋体" w:cs="宋体"/>
                <w:color w:val="auto"/>
              </w:rPr>
            </w:pPr>
          </w:p>
          <w:p w14:paraId="74A49235">
            <w:pPr>
              <w:spacing w:after="0" w:line="68" w:lineRule="atLeast"/>
              <w:jc w:val="center"/>
              <w:rPr>
                <w:rFonts w:ascii="宋体" w:hAnsi="宋体" w:eastAsia="宋体" w:cs="宋体"/>
                <w:color w:val="auto"/>
              </w:rPr>
            </w:pPr>
          </w:p>
          <w:p w14:paraId="2CF0262E">
            <w:pPr>
              <w:spacing w:after="0" w:line="68" w:lineRule="atLeast"/>
              <w:jc w:val="center"/>
              <w:rPr>
                <w:rFonts w:ascii="宋体" w:hAnsi="宋体" w:eastAsia="宋体" w:cs="宋体"/>
                <w:color w:val="auto"/>
              </w:rPr>
            </w:pPr>
          </w:p>
          <w:p w14:paraId="1A0E5DFF">
            <w:pPr>
              <w:spacing w:after="0" w:line="68" w:lineRule="atLeast"/>
              <w:jc w:val="center"/>
              <w:rPr>
                <w:rFonts w:ascii="宋体" w:hAnsi="宋体" w:eastAsia="宋体" w:cs="宋体"/>
                <w:color w:val="auto"/>
              </w:rPr>
            </w:pPr>
          </w:p>
          <w:p w14:paraId="65E923C4">
            <w:pPr>
              <w:spacing w:after="0" w:line="68" w:lineRule="atLeast"/>
              <w:jc w:val="center"/>
              <w:rPr>
                <w:rFonts w:ascii="宋体" w:hAnsi="宋体" w:eastAsia="宋体" w:cs="宋体"/>
                <w:color w:val="auto"/>
              </w:rPr>
            </w:pPr>
          </w:p>
          <w:p w14:paraId="4F3DF8E9">
            <w:pPr>
              <w:spacing w:after="0" w:line="68" w:lineRule="atLeast"/>
              <w:jc w:val="center"/>
              <w:rPr>
                <w:rFonts w:ascii="宋体" w:hAnsi="宋体" w:eastAsia="宋体" w:cs="宋体"/>
                <w:color w:val="auto"/>
              </w:rPr>
            </w:pPr>
          </w:p>
          <w:p w14:paraId="10C1021B">
            <w:pPr>
              <w:spacing w:after="0" w:line="68" w:lineRule="atLeast"/>
              <w:jc w:val="center"/>
              <w:rPr>
                <w:rFonts w:ascii="宋体" w:hAnsi="宋体" w:eastAsia="宋体" w:cs="宋体"/>
                <w:color w:val="auto"/>
              </w:rPr>
            </w:pPr>
          </w:p>
          <w:p w14:paraId="6B1BB554">
            <w:pPr>
              <w:spacing w:after="0" w:line="68" w:lineRule="atLeast"/>
              <w:jc w:val="center"/>
              <w:rPr>
                <w:rFonts w:ascii="宋体" w:hAnsi="宋体" w:eastAsia="宋体" w:cs="宋体"/>
                <w:color w:val="auto"/>
              </w:rPr>
            </w:pPr>
          </w:p>
          <w:p w14:paraId="63DD1827">
            <w:pPr>
              <w:spacing w:after="0" w:line="68" w:lineRule="atLeast"/>
              <w:jc w:val="center"/>
              <w:rPr>
                <w:rFonts w:ascii="宋体" w:hAnsi="宋体" w:eastAsia="宋体" w:cs="宋体"/>
                <w:color w:val="auto"/>
              </w:rPr>
            </w:pPr>
          </w:p>
          <w:p w14:paraId="2E37E0B5">
            <w:pPr>
              <w:spacing w:after="0" w:line="68" w:lineRule="atLeast"/>
              <w:jc w:val="center"/>
              <w:rPr>
                <w:rFonts w:ascii="宋体" w:hAnsi="宋体" w:eastAsia="宋体" w:cs="宋体"/>
                <w:color w:val="auto"/>
              </w:rPr>
            </w:pPr>
          </w:p>
          <w:p w14:paraId="2CBBCF79">
            <w:pPr>
              <w:spacing w:after="0" w:line="68" w:lineRule="atLeast"/>
              <w:jc w:val="center"/>
              <w:rPr>
                <w:rFonts w:ascii="宋体" w:hAnsi="宋体" w:eastAsia="宋体" w:cs="宋体"/>
                <w:color w:val="auto"/>
              </w:rPr>
            </w:pPr>
          </w:p>
          <w:p w14:paraId="50CDF719">
            <w:pPr>
              <w:spacing w:after="0" w:line="68" w:lineRule="atLeast"/>
              <w:jc w:val="center"/>
              <w:rPr>
                <w:rFonts w:ascii="宋体" w:hAnsi="宋体" w:eastAsia="宋体" w:cs="宋体"/>
                <w:color w:val="auto"/>
              </w:rPr>
            </w:pPr>
          </w:p>
          <w:p w14:paraId="294205C9">
            <w:pPr>
              <w:spacing w:after="0" w:line="68" w:lineRule="atLeast"/>
              <w:jc w:val="center"/>
              <w:rPr>
                <w:rFonts w:ascii="宋体" w:hAnsi="宋体" w:eastAsia="宋体" w:cs="宋体"/>
                <w:color w:val="auto"/>
              </w:rPr>
            </w:pPr>
          </w:p>
          <w:p w14:paraId="5D6AAD05">
            <w:pPr>
              <w:spacing w:after="0" w:line="68" w:lineRule="atLeast"/>
              <w:jc w:val="center"/>
              <w:rPr>
                <w:rFonts w:ascii="宋体" w:hAnsi="宋体" w:eastAsia="宋体" w:cs="宋体"/>
                <w:color w:val="auto"/>
              </w:rPr>
            </w:pPr>
          </w:p>
          <w:p w14:paraId="0943C3F6">
            <w:pPr>
              <w:spacing w:after="0" w:line="68" w:lineRule="atLeast"/>
              <w:jc w:val="center"/>
              <w:rPr>
                <w:rFonts w:ascii="宋体" w:hAnsi="宋体" w:eastAsia="宋体" w:cs="宋体"/>
                <w:color w:val="auto"/>
              </w:rPr>
            </w:pPr>
          </w:p>
          <w:p w14:paraId="0FE7412B">
            <w:pPr>
              <w:spacing w:after="0" w:line="68" w:lineRule="atLeast"/>
              <w:jc w:val="center"/>
              <w:rPr>
                <w:rFonts w:ascii="宋体" w:hAnsi="宋体" w:eastAsia="宋体" w:cs="宋体"/>
                <w:color w:val="auto"/>
              </w:rPr>
            </w:pPr>
          </w:p>
          <w:p w14:paraId="0A68D93B">
            <w:pPr>
              <w:spacing w:after="0" w:line="68" w:lineRule="atLeast"/>
              <w:jc w:val="center"/>
              <w:rPr>
                <w:rFonts w:ascii="宋体" w:hAnsi="宋体" w:eastAsia="宋体" w:cs="宋体"/>
                <w:color w:val="auto"/>
              </w:rPr>
            </w:pPr>
            <w:r>
              <w:rPr>
                <w:rFonts w:hint="eastAsia" w:ascii="宋体" w:hAnsi="宋体" w:eastAsia="宋体" w:cs="宋体"/>
                <w:color w:val="auto"/>
              </w:rPr>
              <w:t>过程(55分)</w:t>
            </w:r>
          </w:p>
          <w:p w14:paraId="20CD13AB">
            <w:pPr>
              <w:spacing w:after="0" w:line="68" w:lineRule="atLeast"/>
              <w:jc w:val="center"/>
              <w:rPr>
                <w:rFonts w:ascii="宋体" w:hAnsi="宋体" w:eastAsia="宋体" w:cs="宋体"/>
                <w:color w:val="auto"/>
              </w:rPr>
            </w:pPr>
          </w:p>
          <w:p w14:paraId="1575076D">
            <w:pPr>
              <w:spacing w:after="0" w:line="68" w:lineRule="atLeast"/>
              <w:jc w:val="center"/>
              <w:rPr>
                <w:rFonts w:ascii="宋体" w:hAnsi="宋体" w:eastAsia="宋体" w:cs="宋体"/>
                <w:color w:val="auto"/>
              </w:rPr>
            </w:pPr>
          </w:p>
          <w:p w14:paraId="2AA397DA">
            <w:pPr>
              <w:spacing w:after="0" w:line="68" w:lineRule="atLeast"/>
              <w:jc w:val="center"/>
              <w:rPr>
                <w:rFonts w:ascii="宋体" w:hAnsi="宋体" w:eastAsia="宋体" w:cs="宋体"/>
                <w:color w:val="auto"/>
              </w:rPr>
            </w:pPr>
          </w:p>
          <w:p w14:paraId="61E424F1">
            <w:pPr>
              <w:spacing w:after="0" w:line="68" w:lineRule="atLeast"/>
              <w:jc w:val="center"/>
              <w:rPr>
                <w:rFonts w:ascii="宋体" w:hAnsi="宋体" w:eastAsia="宋体" w:cs="宋体"/>
                <w:color w:val="auto"/>
              </w:rPr>
            </w:pPr>
          </w:p>
          <w:p w14:paraId="4427EFD1">
            <w:pPr>
              <w:spacing w:after="0" w:line="68" w:lineRule="atLeast"/>
              <w:jc w:val="center"/>
              <w:rPr>
                <w:rFonts w:ascii="宋体" w:hAnsi="宋体" w:eastAsia="宋体" w:cs="宋体"/>
                <w:color w:val="auto"/>
              </w:rPr>
            </w:pPr>
          </w:p>
          <w:p w14:paraId="4EE613BD">
            <w:pPr>
              <w:spacing w:after="0" w:line="68" w:lineRule="atLeast"/>
              <w:jc w:val="center"/>
              <w:rPr>
                <w:rFonts w:ascii="宋体" w:hAnsi="宋体" w:eastAsia="宋体" w:cs="宋体"/>
                <w:color w:val="auto"/>
              </w:rPr>
            </w:pPr>
          </w:p>
          <w:p w14:paraId="3267253C">
            <w:pPr>
              <w:spacing w:after="0" w:line="68" w:lineRule="atLeast"/>
              <w:jc w:val="center"/>
              <w:rPr>
                <w:rFonts w:ascii="宋体" w:hAnsi="宋体" w:eastAsia="宋体" w:cs="宋体"/>
                <w:color w:val="auto"/>
              </w:rPr>
            </w:pPr>
          </w:p>
          <w:p w14:paraId="6C7895DE">
            <w:pPr>
              <w:spacing w:after="0" w:line="68" w:lineRule="atLeast"/>
              <w:jc w:val="center"/>
              <w:rPr>
                <w:rFonts w:ascii="宋体" w:hAnsi="宋体" w:eastAsia="宋体" w:cs="宋体"/>
                <w:color w:val="auto"/>
              </w:rPr>
            </w:pPr>
          </w:p>
          <w:p w14:paraId="176FF34A">
            <w:pPr>
              <w:spacing w:after="0" w:line="68" w:lineRule="atLeast"/>
              <w:jc w:val="center"/>
              <w:rPr>
                <w:rFonts w:ascii="宋体" w:hAnsi="宋体" w:eastAsia="宋体" w:cs="宋体"/>
                <w:color w:val="auto"/>
              </w:rPr>
            </w:pPr>
          </w:p>
          <w:p w14:paraId="21475B2C">
            <w:pPr>
              <w:spacing w:after="0" w:line="68" w:lineRule="atLeast"/>
              <w:jc w:val="center"/>
              <w:rPr>
                <w:rFonts w:ascii="宋体" w:hAnsi="宋体" w:eastAsia="宋体" w:cs="宋体"/>
                <w:color w:val="auto"/>
              </w:rPr>
            </w:pPr>
          </w:p>
          <w:p w14:paraId="759B3450">
            <w:pPr>
              <w:spacing w:after="0" w:line="68" w:lineRule="atLeast"/>
              <w:jc w:val="center"/>
              <w:rPr>
                <w:rFonts w:ascii="宋体" w:hAnsi="宋体" w:eastAsia="宋体" w:cs="宋体"/>
                <w:color w:val="auto"/>
              </w:rPr>
            </w:pPr>
          </w:p>
          <w:p w14:paraId="54A118D2">
            <w:pPr>
              <w:spacing w:after="0" w:line="68" w:lineRule="atLeast"/>
              <w:jc w:val="center"/>
              <w:rPr>
                <w:rFonts w:ascii="宋体" w:hAnsi="宋体" w:eastAsia="宋体" w:cs="宋体"/>
                <w:color w:val="auto"/>
              </w:rPr>
            </w:pPr>
          </w:p>
          <w:p w14:paraId="73AC2AA6">
            <w:pPr>
              <w:spacing w:after="0" w:line="68" w:lineRule="atLeast"/>
              <w:jc w:val="center"/>
              <w:rPr>
                <w:rFonts w:ascii="宋体" w:hAnsi="宋体" w:eastAsia="宋体" w:cs="宋体"/>
                <w:color w:val="auto"/>
              </w:rPr>
            </w:pPr>
          </w:p>
          <w:p w14:paraId="05AD5F8F">
            <w:pPr>
              <w:spacing w:after="0" w:line="68" w:lineRule="atLeast"/>
              <w:jc w:val="center"/>
              <w:rPr>
                <w:rFonts w:ascii="宋体" w:hAnsi="宋体" w:eastAsia="宋体" w:cs="宋体"/>
                <w:color w:val="auto"/>
              </w:rPr>
            </w:pPr>
          </w:p>
          <w:p w14:paraId="75CBCCC8">
            <w:pPr>
              <w:spacing w:after="0" w:line="68" w:lineRule="atLeast"/>
              <w:jc w:val="center"/>
              <w:rPr>
                <w:rFonts w:ascii="宋体" w:hAnsi="宋体" w:eastAsia="宋体" w:cs="宋体"/>
                <w:color w:val="auto"/>
              </w:rPr>
            </w:pPr>
          </w:p>
          <w:p w14:paraId="0E38064D">
            <w:pPr>
              <w:spacing w:after="0" w:line="68" w:lineRule="atLeast"/>
              <w:jc w:val="center"/>
              <w:rPr>
                <w:rFonts w:ascii="宋体" w:hAnsi="宋体" w:eastAsia="宋体" w:cs="宋体"/>
                <w:color w:val="auto"/>
              </w:rPr>
            </w:pPr>
          </w:p>
          <w:p w14:paraId="2876633D">
            <w:pPr>
              <w:spacing w:after="0" w:line="68" w:lineRule="atLeast"/>
              <w:jc w:val="center"/>
              <w:rPr>
                <w:rFonts w:ascii="宋体" w:hAnsi="宋体" w:eastAsia="宋体" w:cs="宋体"/>
                <w:color w:val="auto"/>
              </w:rPr>
            </w:pPr>
          </w:p>
          <w:p w14:paraId="0E986FAB">
            <w:pPr>
              <w:spacing w:after="0" w:line="68" w:lineRule="atLeast"/>
              <w:jc w:val="center"/>
              <w:rPr>
                <w:rFonts w:ascii="宋体" w:hAnsi="宋体" w:eastAsia="宋体" w:cs="宋体"/>
                <w:color w:val="auto"/>
              </w:rPr>
            </w:pPr>
          </w:p>
          <w:p w14:paraId="4779447D">
            <w:pPr>
              <w:spacing w:after="0" w:line="68" w:lineRule="atLeast"/>
              <w:jc w:val="center"/>
              <w:rPr>
                <w:rFonts w:ascii="宋体" w:hAnsi="宋体" w:eastAsia="宋体" w:cs="宋体"/>
                <w:color w:val="auto"/>
              </w:rPr>
            </w:pPr>
          </w:p>
          <w:p w14:paraId="5204C657">
            <w:pPr>
              <w:spacing w:after="0" w:line="68" w:lineRule="atLeast"/>
              <w:jc w:val="center"/>
              <w:rPr>
                <w:rFonts w:ascii="宋体" w:hAnsi="宋体" w:eastAsia="宋体" w:cs="宋体"/>
                <w:color w:val="auto"/>
              </w:rPr>
            </w:pPr>
          </w:p>
          <w:p w14:paraId="45900C10">
            <w:pPr>
              <w:spacing w:after="0" w:line="68" w:lineRule="atLeast"/>
              <w:jc w:val="center"/>
              <w:rPr>
                <w:rFonts w:ascii="宋体" w:hAnsi="宋体" w:eastAsia="宋体" w:cs="宋体"/>
                <w:color w:val="auto"/>
              </w:rPr>
            </w:pPr>
          </w:p>
          <w:p w14:paraId="2B7E143A">
            <w:pPr>
              <w:spacing w:after="0" w:line="68" w:lineRule="atLeast"/>
              <w:jc w:val="center"/>
              <w:rPr>
                <w:rFonts w:ascii="宋体" w:hAnsi="宋体" w:eastAsia="宋体" w:cs="宋体"/>
                <w:color w:val="auto"/>
              </w:rPr>
            </w:pPr>
          </w:p>
          <w:p w14:paraId="677CF0F9">
            <w:pPr>
              <w:spacing w:after="0" w:line="68" w:lineRule="atLeast"/>
              <w:jc w:val="center"/>
              <w:rPr>
                <w:rFonts w:ascii="宋体" w:hAnsi="宋体" w:eastAsia="宋体" w:cs="宋体"/>
                <w:color w:val="auto"/>
              </w:rPr>
            </w:pPr>
          </w:p>
          <w:p w14:paraId="740579F9">
            <w:pPr>
              <w:spacing w:after="0" w:line="68" w:lineRule="atLeast"/>
              <w:jc w:val="center"/>
              <w:rPr>
                <w:rFonts w:ascii="宋体" w:hAnsi="宋体" w:eastAsia="宋体" w:cs="宋体"/>
                <w:color w:val="auto"/>
              </w:rPr>
            </w:pPr>
          </w:p>
          <w:p w14:paraId="3868C598">
            <w:pPr>
              <w:spacing w:after="0" w:line="68" w:lineRule="atLeast"/>
              <w:jc w:val="center"/>
              <w:rPr>
                <w:rFonts w:ascii="宋体" w:hAnsi="宋体" w:eastAsia="宋体" w:cs="宋体"/>
                <w:color w:val="auto"/>
              </w:rPr>
            </w:pPr>
          </w:p>
          <w:p w14:paraId="109DEB6B">
            <w:pPr>
              <w:spacing w:after="0" w:line="68" w:lineRule="atLeast"/>
              <w:jc w:val="center"/>
              <w:rPr>
                <w:rFonts w:ascii="宋体" w:hAnsi="宋体" w:eastAsia="宋体" w:cs="宋体"/>
                <w:color w:val="auto"/>
              </w:rPr>
            </w:pPr>
            <w:r>
              <w:rPr>
                <w:rFonts w:hint="eastAsia" w:ascii="宋体" w:hAnsi="宋体" w:eastAsia="宋体" w:cs="宋体"/>
                <w:color w:val="auto"/>
              </w:rPr>
              <w:t>过程(55分)</w:t>
            </w:r>
          </w:p>
          <w:p w14:paraId="20752AF8">
            <w:pPr>
              <w:spacing w:after="0" w:line="68" w:lineRule="atLeast"/>
              <w:jc w:val="center"/>
              <w:rPr>
                <w:rFonts w:ascii="宋体" w:hAnsi="宋体" w:eastAsia="宋体" w:cs="宋体"/>
                <w:color w:val="auto"/>
              </w:rPr>
            </w:pPr>
          </w:p>
          <w:p w14:paraId="35B1CDBC">
            <w:pPr>
              <w:spacing w:after="0" w:line="68" w:lineRule="atLeast"/>
              <w:jc w:val="center"/>
              <w:rPr>
                <w:rFonts w:ascii="宋体" w:hAnsi="宋体" w:eastAsia="宋体" w:cs="宋体"/>
                <w:color w:val="auto"/>
              </w:rPr>
            </w:pPr>
          </w:p>
          <w:p w14:paraId="2419C7F8">
            <w:pPr>
              <w:spacing w:after="0" w:line="68" w:lineRule="atLeast"/>
              <w:jc w:val="center"/>
              <w:rPr>
                <w:rFonts w:ascii="宋体" w:hAnsi="宋体" w:eastAsia="宋体" w:cs="宋体"/>
                <w:color w:val="auto"/>
              </w:rPr>
            </w:pPr>
          </w:p>
          <w:p w14:paraId="5BE9612C">
            <w:pPr>
              <w:spacing w:after="0" w:line="68" w:lineRule="atLeast"/>
              <w:jc w:val="center"/>
              <w:rPr>
                <w:rFonts w:ascii="宋体" w:hAnsi="宋体" w:eastAsia="宋体" w:cs="宋体"/>
                <w:color w:val="auto"/>
              </w:rPr>
            </w:pPr>
          </w:p>
          <w:p w14:paraId="36281A93">
            <w:pPr>
              <w:spacing w:after="0" w:line="68" w:lineRule="atLeast"/>
              <w:jc w:val="center"/>
              <w:rPr>
                <w:rFonts w:ascii="宋体" w:hAnsi="宋体" w:eastAsia="宋体" w:cs="宋体"/>
                <w:color w:val="auto"/>
              </w:rPr>
            </w:pPr>
          </w:p>
          <w:p w14:paraId="3C4794E7">
            <w:pPr>
              <w:spacing w:after="0" w:line="68" w:lineRule="atLeast"/>
              <w:jc w:val="center"/>
              <w:rPr>
                <w:rFonts w:ascii="宋体" w:hAnsi="宋体" w:eastAsia="宋体" w:cs="宋体"/>
                <w:color w:val="auto"/>
              </w:rPr>
            </w:pPr>
          </w:p>
          <w:p w14:paraId="019F0BDA">
            <w:pPr>
              <w:spacing w:after="0" w:line="68" w:lineRule="atLeast"/>
              <w:jc w:val="center"/>
              <w:rPr>
                <w:rFonts w:ascii="宋体" w:hAnsi="宋体" w:eastAsia="宋体" w:cs="宋体"/>
                <w:color w:val="auto"/>
              </w:rPr>
            </w:pPr>
          </w:p>
          <w:p w14:paraId="4DA1BCB9">
            <w:pPr>
              <w:spacing w:after="0" w:line="68" w:lineRule="atLeast"/>
              <w:jc w:val="center"/>
              <w:rPr>
                <w:rFonts w:ascii="宋体" w:hAnsi="宋体" w:eastAsia="宋体" w:cs="宋体"/>
                <w:color w:val="auto"/>
              </w:rPr>
            </w:pPr>
          </w:p>
          <w:p w14:paraId="3AA0B44A">
            <w:pPr>
              <w:spacing w:after="0" w:line="68" w:lineRule="atLeast"/>
              <w:rPr>
                <w:rFonts w:ascii="宋体" w:hAnsi="宋体" w:eastAsia="宋体" w:cs="宋体"/>
                <w:color w:val="auto"/>
              </w:rPr>
            </w:pPr>
          </w:p>
          <w:p w14:paraId="4A653D4A">
            <w:pPr>
              <w:spacing w:after="0" w:line="68" w:lineRule="atLeast"/>
              <w:rPr>
                <w:rFonts w:ascii="宋体" w:hAnsi="宋体" w:eastAsia="宋体" w:cs="宋体"/>
                <w:color w:val="auto"/>
              </w:rPr>
            </w:pPr>
          </w:p>
          <w:p w14:paraId="53120B55">
            <w:pPr>
              <w:spacing w:after="0" w:line="68" w:lineRule="atLeast"/>
              <w:rPr>
                <w:rFonts w:ascii="宋体" w:hAnsi="宋体" w:eastAsia="宋体" w:cs="宋体"/>
                <w:color w:val="auto"/>
              </w:rPr>
            </w:pPr>
          </w:p>
          <w:p w14:paraId="4FEE4303">
            <w:pPr>
              <w:spacing w:after="0" w:line="68" w:lineRule="atLeast"/>
              <w:rPr>
                <w:rFonts w:ascii="宋体" w:hAnsi="宋体" w:eastAsia="宋体" w:cs="宋体"/>
                <w:color w:val="auto"/>
              </w:rPr>
            </w:pPr>
          </w:p>
          <w:p w14:paraId="02032E92">
            <w:pPr>
              <w:spacing w:after="0" w:line="68" w:lineRule="atLeast"/>
              <w:rPr>
                <w:rFonts w:ascii="宋体" w:hAnsi="宋体" w:eastAsia="宋体" w:cs="宋体"/>
                <w:color w:val="auto"/>
              </w:rPr>
            </w:pPr>
          </w:p>
          <w:p w14:paraId="0B031CB9">
            <w:pPr>
              <w:spacing w:after="0" w:line="68" w:lineRule="atLeast"/>
              <w:jc w:val="center"/>
              <w:rPr>
                <w:rFonts w:ascii="宋体" w:hAnsi="宋体" w:eastAsia="宋体" w:cs="宋体"/>
                <w:color w:val="auto"/>
              </w:rPr>
            </w:pPr>
            <w:r>
              <w:rPr>
                <w:rFonts w:hint="eastAsia" w:ascii="宋体" w:hAnsi="宋体" w:eastAsia="宋体" w:cs="宋体"/>
                <w:color w:val="auto"/>
              </w:rPr>
              <w:t>过程(55分)</w:t>
            </w:r>
          </w:p>
          <w:p w14:paraId="3C9B83B9">
            <w:pPr>
              <w:spacing w:after="0" w:line="68" w:lineRule="atLeast"/>
              <w:rPr>
                <w:rFonts w:ascii="宋体" w:hAnsi="宋体" w:eastAsia="宋体" w:cs="宋体"/>
                <w:color w:val="auto"/>
              </w:rPr>
            </w:pP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6A3934F2">
            <w:pPr>
              <w:spacing w:after="0" w:line="68" w:lineRule="atLeast"/>
              <w:rPr>
                <w:rFonts w:ascii="宋体" w:hAnsi="宋体" w:eastAsia="宋体" w:cs="宋体"/>
                <w:color w:val="auto"/>
              </w:rPr>
            </w:pPr>
            <w:r>
              <w:rPr>
                <w:rFonts w:hint="eastAsia" w:ascii="宋体" w:hAnsi="宋体" w:eastAsia="宋体" w:cs="宋体"/>
                <w:color w:val="auto"/>
              </w:rPr>
              <w:t>预算执行(27分)</w:t>
            </w:r>
          </w:p>
        </w:tc>
        <w:tc>
          <w:tcPr>
            <w:tcW w:w="1182" w:type="dxa"/>
            <w:tcBorders>
              <w:top w:val="single" w:color="000000" w:sz="4" w:space="0"/>
              <w:left w:val="single" w:color="000000" w:sz="4" w:space="0"/>
              <w:bottom w:val="single" w:color="000000" w:sz="4" w:space="0"/>
              <w:right w:val="single" w:color="auto" w:sz="4" w:space="0"/>
            </w:tcBorders>
            <w:vAlign w:val="center"/>
          </w:tcPr>
          <w:p w14:paraId="11F0CE97">
            <w:pPr>
              <w:spacing w:after="0" w:line="68" w:lineRule="atLeast"/>
              <w:rPr>
                <w:rFonts w:ascii="宋体" w:hAnsi="宋体" w:eastAsia="宋体" w:cs="宋体"/>
                <w:color w:val="auto"/>
              </w:rPr>
            </w:pPr>
            <w:r>
              <w:rPr>
                <w:rFonts w:hint="eastAsia" w:ascii="宋体" w:hAnsi="宋体" w:eastAsia="宋体" w:cs="宋体"/>
                <w:color w:val="auto"/>
              </w:rPr>
              <w:t>预算完成率（3分）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76A1906E">
            <w:pPr>
              <w:spacing w:after="0" w:line="240" w:lineRule="exact"/>
              <w:rPr>
                <w:rFonts w:ascii="宋体" w:hAnsi="宋体" w:eastAsia="宋体" w:cs="宋体"/>
                <w:color w:val="auto"/>
              </w:rPr>
            </w:pPr>
            <w:r>
              <w:rPr>
                <w:rFonts w:hint="eastAsia" w:ascii="宋体" w:hAnsi="宋体" w:eastAsia="宋体" w:cs="宋体"/>
                <w:color w:val="auto"/>
              </w:rPr>
              <w:t>通过对部门本年度预算完成数与预算数的比较，反映和评价部门预算的完成程度。</w:t>
            </w:r>
          </w:p>
          <w:p w14:paraId="5690D708">
            <w:pPr>
              <w:spacing w:after="0" w:line="68" w:lineRule="atLeast"/>
              <w:rPr>
                <w:rFonts w:ascii="宋体" w:hAnsi="宋体" w:eastAsia="宋体" w:cs="宋体"/>
                <w:color w:val="auto"/>
              </w:rPr>
            </w:pPr>
            <w:r>
              <w:rPr>
                <w:rFonts w:hint="eastAsia" w:ascii="宋体" w:hAnsi="宋体" w:eastAsia="宋体" w:cs="宋体"/>
                <w:color w:val="auto"/>
              </w:rPr>
              <w:t>预算完成率=（预算完成数/预算数）×100%。</w:t>
            </w:r>
          </w:p>
        </w:tc>
        <w:tc>
          <w:tcPr>
            <w:tcW w:w="3423" w:type="dxa"/>
            <w:tcBorders>
              <w:top w:val="single" w:color="000000" w:sz="4" w:space="0"/>
              <w:left w:val="single" w:color="auto" w:sz="4" w:space="0"/>
              <w:bottom w:val="single" w:color="000000" w:sz="4" w:space="0"/>
              <w:right w:val="single" w:color="auto" w:sz="4" w:space="0"/>
            </w:tcBorders>
            <w:vAlign w:val="center"/>
          </w:tcPr>
          <w:p w14:paraId="1E301BB3">
            <w:pPr>
              <w:spacing w:after="0" w:line="68" w:lineRule="atLeast"/>
              <w:rPr>
                <w:rFonts w:ascii="宋体" w:hAnsi="宋体" w:eastAsia="宋体" w:cs="宋体"/>
                <w:color w:val="auto"/>
              </w:rPr>
            </w:pPr>
            <w:r>
              <w:rPr>
                <w:rFonts w:hint="eastAsia" w:ascii="宋体" w:hAnsi="宋体" w:eastAsia="宋体" w:cs="宋体"/>
                <w:color w:val="auto"/>
              </w:rPr>
              <w:t>目标值≥100%；</w:t>
            </w:r>
          </w:p>
          <w:p w14:paraId="30AD6324">
            <w:pPr>
              <w:spacing w:after="0" w:line="68" w:lineRule="atLeast"/>
              <w:rPr>
                <w:rFonts w:ascii="宋体" w:hAnsi="宋体" w:eastAsia="宋体" w:cs="宋体"/>
                <w:color w:val="auto"/>
              </w:rPr>
            </w:pPr>
            <w:r>
              <w:rPr>
                <w:rFonts w:hint="eastAsia" w:ascii="宋体" w:hAnsi="宋体" w:eastAsia="宋体" w:cs="宋体"/>
                <w:color w:val="auto"/>
              </w:rPr>
              <w:t>达到目标值的得3分；</w:t>
            </w:r>
          </w:p>
          <w:p w14:paraId="368B03C1">
            <w:pPr>
              <w:spacing w:after="0" w:line="68" w:lineRule="atLeast"/>
              <w:rPr>
                <w:rFonts w:ascii="宋体" w:hAnsi="宋体" w:eastAsia="宋体" w:cs="宋体"/>
                <w:color w:val="auto"/>
              </w:rPr>
            </w:pPr>
            <w:r>
              <w:rPr>
                <w:rFonts w:hint="eastAsia" w:ascii="宋体" w:hAnsi="宋体" w:eastAsia="宋体" w:cs="宋体"/>
                <w:color w:val="auto"/>
              </w:rPr>
              <w:t>100%＞结果≥90%，得3分；</w:t>
            </w:r>
          </w:p>
          <w:p w14:paraId="0C4C4D30">
            <w:pPr>
              <w:spacing w:after="0" w:line="68" w:lineRule="atLeast"/>
              <w:rPr>
                <w:rFonts w:ascii="宋体" w:hAnsi="宋体" w:eastAsia="宋体" w:cs="宋体"/>
                <w:color w:val="auto"/>
              </w:rPr>
            </w:pPr>
            <w:r>
              <w:rPr>
                <w:rFonts w:hint="eastAsia" w:ascii="宋体" w:hAnsi="宋体" w:eastAsia="宋体" w:cs="宋体"/>
                <w:color w:val="auto"/>
              </w:rPr>
              <w:t>90%＞结果≥80%，得1分；</w:t>
            </w:r>
          </w:p>
          <w:p w14:paraId="2B06F23F">
            <w:pPr>
              <w:spacing w:after="0" w:line="68" w:lineRule="atLeast"/>
              <w:rPr>
                <w:rFonts w:ascii="宋体" w:hAnsi="宋体" w:eastAsia="宋体" w:cs="宋体"/>
                <w:color w:val="auto"/>
              </w:rPr>
            </w:pPr>
            <w:r>
              <w:rPr>
                <w:rFonts w:hint="eastAsia" w:ascii="宋体" w:hAnsi="宋体" w:eastAsia="宋体" w:cs="宋体"/>
                <w:color w:val="auto"/>
              </w:rPr>
              <w:t>结果＜80%得0分。</w:t>
            </w:r>
          </w:p>
        </w:tc>
        <w:tc>
          <w:tcPr>
            <w:tcW w:w="1090" w:type="dxa"/>
            <w:tcBorders>
              <w:top w:val="single" w:color="000000" w:sz="4" w:space="0"/>
              <w:left w:val="single" w:color="auto" w:sz="4" w:space="0"/>
              <w:bottom w:val="single" w:color="000000" w:sz="4" w:space="0"/>
              <w:right w:val="single" w:color="000000" w:sz="4" w:space="0"/>
            </w:tcBorders>
            <w:vAlign w:val="center"/>
          </w:tcPr>
          <w:p w14:paraId="3F26F327">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0B2D8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5" w:hRule="atLeast"/>
          <w:jc w:val="center"/>
        </w:trPr>
        <w:tc>
          <w:tcPr>
            <w:tcW w:w="733" w:type="dxa"/>
            <w:vMerge w:val="continue"/>
            <w:tcBorders>
              <w:left w:val="single" w:color="000000" w:sz="4" w:space="0"/>
              <w:right w:val="single" w:color="000000" w:sz="4" w:space="0"/>
            </w:tcBorders>
            <w:vAlign w:val="center"/>
          </w:tcPr>
          <w:p w14:paraId="4AE4BB36">
            <w:pPr>
              <w:spacing w:after="0"/>
              <w:rPr>
                <w:rFonts w:ascii="宋体" w:hAnsi="宋体" w:eastAsia="宋体" w:cs="宋体"/>
                <w:color w:val="auto"/>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4733A605">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777BFEC4">
            <w:pPr>
              <w:spacing w:after="0" w:line="68" w:lineRule="atLeast"/>
              <w:rPr>
                <w:rFonts w:ascii="宋体" w:hAnsi="宋体" w:eastAsia="宋体" w:cs="宋体"/>
                <w:color w:val="auto"/>
              </w:rPr>
            </w:pPr>
            <w:r>
              <w:rPr>
                <w:rFonts w:hint="eastAsia" w:ascii="宋体" w:hAnsi="宋体" w:eastAsia="宋体" w:cs="宋体"/>
                <w:color w:val="auto"/>
              </w:rPr>
              <w:t>预算调整率（3分）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21918D13">
            <w:pPr>
              <w:spacing w:after="0" w:line="240" w:lineRule="exact"/>
              <w:rPr>
                <w:rFonts w:ascii="宋体" w:hAnsi="宋体" w:eastAsia="宋体" w:cs="宋体"/>
                <w:color w:val="auto"/>
              </w:rPr>
            </w:pPr>
            <w:r>
              <w:rPr>
                <w:rFonts w:hint="eastAsia" w:ascii="宋体" w:hAnsi="宋体" w:eastAsia="宋体" w:cs="宋体"/>
                <w:color w:val="auto"/>
              </w:rPr>
              <w:t>部门本年度预算调整数与预算数的比率，用以反映和评价部门预算的调整程度。</w:t>
            </w:r>
          </w:p>
          <w:p w14:paraId="4E2D6423">
            <w:pPr>
              <w:spacing w:after="0" w:line="68" w:lineRule="atLeast"/>
              <w:rPr>
                <w:rFonts w:ascii="宋体" w:hAnsi="宋体" w:eastAsia="宋体" w:cs="宋体"/>
                <w:color w:val="auto"/>
              </w:rPr>
            </w:pPr>
            <w:r>
              <w:rPr>
                <w:rFonts w:hint="eastAsia" w:ascii="宋体" w:hAnsi="宋体" w:eastAsia="宋体" w:cs="宋体"/>
                <w:color w:val="auto"/>
              </w:rPr>
              <w:t>预算调整率=（预算调整数/预算数）×100%。</w:t>
            </w:r>
          </w:p>
        </w:tc>
        <w:tc>
          <w:tcPr>
            <w:tcW w:w="3423" w:type="dxa"/>
            <w:tcBorders>
              <w:top w:val="single" w:color="000000" w:sz="4" w:space="0"/>
              <w:left w:val="single" w:color="auto" w:sz="4" w:space="0"/>
              <w:bottom w:val="single" w:color="000000" w:sz="4" w:space="0"/>
              <w:right w:val="single" w:color="auto" w:sz="4" w:space="0"/>
            </w:tcBorders>
            <w:vAlign w:val="center"/>
          </w:tcPr>
          <w:p w14:paraId="1C40275E">
            <w:pPr>
              <w:spacing w:after="0" w:line="68" w:lineRule="atLeast"/>
              <w:rPr>
                <w:rFonts w:ascii="宋体" w:hAnsi="宋体" w:eastAsia="宋体" w:cs="宋体"/>
                <w:color w:val="auto"/>
              </w:rPr>
            </w:pPr>
            <w:r>
              <w:rPr>
                <w:rFonts w:hint="eastAsia" w:ascii="宋体" w:hAnsi="宋体" w:eastAsia="宋体" w:cs="宋体"/>
                <w:color w:val="auto"/>
              </w:rPr>
              <w:t>目标值为10%；达到目标值得3分，未达到目标值的每增加0.1个百分点扣0.1分，扣完为止。</w:t>
            </w:r>
          </w:p>
        </w:tc>
        <w:tc>
          <w:tcPr>
            <w:tcW w:w="1090" w:type="dxa"/>
            <w:tcBorders>
              <w:top w:val="single" w:color="000000" w:sz="4" w:space="0"/>
              <w:left w:val="single" w:color="auto" w:sz="4" w:space="0"/>
              <w:bottom w:val="single" w:color="000000" w:sz="4" w:space="0"/>
              <w:right w:val="single" w:color="000000" w:sz="4" w:space="0"/>
            </w:tcBorders>
            <w:vAlign w:val="center"/>
          </w:tcPr>
          <w:p w14:paraId="7E265E5F">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0</w:t>
            </w:r>
          </w:p>
        </w:tc>
      </w:tr>
      <w:tr w14:paraId="14636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0" w:hRule="atLeast"/>
          <w:jc w:val="center"/>
        </w:trPr>
        <w:tc>
          <w:tcPr>
            <w:tcW w:w="733" w:type="dxa"/>
            <w:vMerge w:val="continue"/>
            <w:tcBorders>
              <w:left w:val="single" w:color="000000" w:sz="4" w:space="0"/>
              <w:right w:val="single" w:color="000000" w:sz="4" w:space="0"/>
            </w:tcBorders>
            <w:vAlign w:val="center"/>
          </w:tcPr>
          <w:p w14:paraId="11A7BCA4">
            <w:pPr>
              <w:spacing w:after="0"/>
              <w:rPr>
                <w:rFonts w:ascii="宋体" w:hAnsi="宋体" w:eastAsia="宋体" w:cs="宋体"/>
                <w:color w:val="auto"/>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13FBC77A">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21AEB448">
            <w:pPr>
              <w:spacing w:after="0" w:line="240" w:lineRule="exact"/>
              <w:rPr>
                <w:rFonts w:ascii="宋体" w:hAnsi="宋体" w:eastAsia="宋体" w:cs="宋体"/>
                <w:color w:val="auto"/>
              </w:rPr>
            </w:pPr>
            <w:r>
              <w:rPr>
                <w:rFonts w:hint="eastAsia" w:ascii="宋体" w:hAnsi="宋体" w:eastAsia="宋体" w:cs="宋体"/>
                <w:color w:val="auto"/>
              </w:rPr>
              <w:t>支付进度率（6分）</w:t>
            </w:r>
          </w:p>
        </w:tc>
        <w:tc>
          <w:tcPr>
            <w:tcW w:w="6911" w:type="dxa"/>
            <w:tcBorders>
              <w:top w:val="single" w:color="000000" w:sz="4" w:space="0"/>
              <w:left w:val="single" w:color="auto" w:sz="4" w:space="0"/>
              <w:bottom w:val="single" w:color="000000" w:sz="4" w:space="0"/>
              <w:right w:val="single" w:color="auto" w:sz="4" w:space="0"/>
            </w:tcBorders>
            <w:vAlign w:val="center"/>
          </w:tcPr>
          <w:p w14:paraId="57289161">
            <w:pPr>
              <w:spacing w:after="0" w:line="240" w:lineRule="exact"/>
              <w:rPr>
                <w:rFonts w:ascii="宋体" w:hAnsi="宋体" w:eastAsia="宋体" w:cs="宋体"/>
                <w:color w:val="auto"/>
              </w:rPr>
            </w:pPr>
            <w:r>
              <w:rPr>
                <w:rFonts w:hint="eastAsia" w:ascii="宋体" w:hAnsi="宋体" w:eastAsia="宋体" w:cs="宋体"/>
                <w:color w:val="auto"/>
              </w:rPr>
              <w:t>部门年度支付数与年度预算（调整）数的比率，用以反映和评价部门预算执行的及时和均衡程度。</w:t>
            </w:r>
          </w:p>
          <w:p w14:paraId="5629D6D5">
            <w:pPr>
              <w:spacing w:after="0" w:line="240" w:lineRule="exact"/>
              <w:rPr>
                <w:rFonts w:ascii="宋体" w:hAnsi="宋体" w:eastAsia="宋体" w:cs="宋体"/>
                <w:color w:val="auto"/>
              </w:rPr>
            </w:pPr>
            <w:r>
              <w:rPr>
                <w:rFonts w:hint="eastAsia" w:ascii="宋体" w:hAnsi="宋体" w:eastAsia="宋体" w:cs="宋体"/>
                <w:color w:val="auto"/>
              </w:rPr>
              <w:t>半年支付进度=部门上半年实际支出÷（上年结余结转+本年部门预算安排+上半年执行中追加追减）×100%</w:t>
            </w:r>
          </w:p>
          <w:p w14:paraId="4298A3FA">
            <w:pPr>
              <w:spacing w:after="0" w:line="240" w:lineRule="exact"/>
              <w:rPr>
                <w:rFonts w:ascii="宋体" w:hAnsi="宋体" w:eastAsia="宋体" w:cs="宋体"/>
                <w:color w:val="auto"/>
              </w:rPr>
            </w:pPr>
            <w:r>
              <w:rPr>
                <w:rFonts w:hint="eastAsia" w:ascii="宋体" w:hAnsi="宋体" w:eastAsia="宋体" w:cs="宋体"/>
                <w:color w:val="auto"/>
              </w:rPr>
              <w:t>全年支付进度=部门全年实际支出÷（上年结余结转+本年部门预算安排+全年执行中追加追减）×100%</w:t>
            </w:r>
          </w:p>
        </w:tc>
        <w:tc>
          <w:tcPr>
            <w:tcW w:w="3423" w:type="dxa"/>
            <w:tcBorders>
              <w:top w:val="single" w:color="000000" w:sz="4" w:space="0"/>
              <w:left w:val="single" w:color="auto" w:sz="4" w:space="0"/>
              <w:bottom w:val="single" w:color="000000" w:sz="4" w:space="0"/>
              <w:right w:val="single" w:color="auto" w:sz="4" w:space="0"/>
            </w:tcBorders>
            <w:vAlign w:val="center"/>
          </w:tcPr>
          <w:p w14:paraId="23CBED1D">
            <w:pPr>
              <w:spacing w:after="0" w:line="240" w:lineRule="exact"/>
              <w:rPr>
                <w:rFonts w:ascii="宋体" w:hAnsi="宋体" w:eastAsia="宋体" w:cs="宋体"/>
                <w:color w:val="auto"/>
              </w:rPr>
            </w:pPr>
            <w:r>
              <w:rPr>
                <w:rFonts w:hint="eastAsia" w:ascii="宋体" w:hAnsi="宋体" w:eastAsia="宋体" w:cs="宋体"/>
                <w:color w:val="auto"/>
              </w:rPr>
              <w:t>半年进度：结果≥50%，得2分；50%＞结果≥40%，得1分；结果＜40%，得0分。</w:t>
            </w:r>
          </w:p>
          <w:p w14:paraId="44A9B729">
            <w:pPr>
              <w:spacing w:after="0" w:line="240" w:lineRule="exact"/>
              <w:rPr>
                <w:rFonts w:ascii="宋体" w:hAnsi="宋体" w:eastAsia="宋体" w:cs="宋体"/>
                <w:color w:val="auto"/>
              </w:rPr>
            </w:pPr>
            <w:r>
              <w:rPr>
                <w:rFonts w:hint="eastAsia" w:ascii="宋体" w:hAnsi="宋体" w:eastAsia="宋体" w:cs="宋体"/>
                <w:color w:val="auto"/>
              </w:rPr>
              <w:t>全年进度：结果≥100%，得4分；100%＞结果≥95%，得3分；95%＞结果≥90%，得2分；90%＞结果≥85%，得2分；结果＜85%，得0分。</w:t>
            </w:r>
          </w:p>
        </w:tc>
        <w:tc>
          <w:tcPr>
            <w:tcW w:w="1090" w:type="dxa"/>
            <w:tcBorders>
              <w:top w:val="single" w:color="000000" w:sz="4" w:space="0"/>
              <w:left w:val="single" w:color="auto" w:sz="4" w:space="0"/>
              <w:bottom w:val="single" w:color="000000" w:sz="4" w:space="0"/>
              <w:right w:val="single" w:color="000000" w:sz="4" w:space="0"/>
            </w:tcBorders>
            <w:vAlign w:val="center"/>
          </w:tcPr>
          <w:p w14:paraId="651ABC8C">
            <w:pPr>
              <w:spacing w:after="0" w:line="240" w:lineRule="exac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6</w:t>
            </w:r>
          </w:p>
        </w:tc>
      </w:tr>
      <w:tr w14:paraId="3FCDC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jc w:val="center"/>
        </w:trPr>
        <w:tc>
          <w:tcPr>
            <w:tcW w:w="733" w:type="dxa"/>
            <w:vMerge w:val="continue"/>
            <w:tcBorders>
              <w:left w:val="single" w:color="000000" w:sz="4" w:space="0"/>
              <w:right w:val="single" w:color="000000" w:sz="4" w:space="0"/>
            </w:tcBorders>
            <w:vAlign w:val="center"/>
          </w:tcPr>
          <w:p w14:paraId="14ABA851">
            <w:pPr>
              <w:spacing w:after="0"/>
              <w:rPr>
                <w:rFonts w:ascii="宋体" w:hAnsi="宋体" w:eastAsia="宋体" w:cs="宋体"/>
                <w:color w:val="auto"/>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677DB811">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16E6A115">
            <w:pPr>
              <w:spacing w:after="0" w:line="240" w:lineRule="exact"/>
              <w:rPr>
                <w:rFonts w:ascii="宋体" w:hAnsi="宋体" w:eastAsia="宋体" w:cs="宋体"/>
                <w:color w:val="auto"/>
              </w:rPr>
            </w:pPr>
            <w:r>
              <w:rPr>
                <w:rFonts w:hint="eastAsia" w:ascii="宋体" w:hAnsi="宋体" w:eastAsia="宋体" w:cs="宋体"/>
                <w:color w:val="auto"/>
              </w:rPr>
              <w:t>结转结余率（3分）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2C149C15">
            <w:pPr>
              <w:spacing w:after="0" w:line="240" w:lineRule="exact"/>
              <w:rPr>
                <w:rFonts w:ascii="宋体" w:hAnsi="宋体" w:eastAsia="宋体" w:cs="宋体"/>
                <w:color w:val="auto"/>
              </w:rPr>
            </w:pPr>
            <w:r>
              <w:rPr>
                <w:rFonts w:hint="eastAsia" w:ascii="宋体" w:hAnsi="宋体" w:eastAsia="宋体" w:cs="宋体"/>
                <w:color w:val="auto"/>
              </w:rPr>
              <w:t>通过对部门本年度结转结余总额与支出预算数的比较，反映和评价部门对本年度结转结余资金的实际控制程度。</w:t>
            </w:r>
          </w:p>
          <w:p w14:paraId="15B3CE5D">
            <w:pPr>
              <w:spacing w:after="0" w:line="240" w:lineRule="exact"/>
              <w:rPr>
                <w:rFonts w:ascii="宋体" w:hAnsi="宋体" w:eastAsia="宋体" w:cs="宋体"/>
                <w:color w:val="auto"/>
              </w:rPr>
            </w:pPr>
            <w:r>
              <w:rPr>
                <w:rFonts w:hint="eastAsia" w:ascii="宋体" w:hAnsi="宋体" w:eastAsia="宋体" w:cs="宋体"/>
                <w:color w:val="auto"/>
              </w:rPr>
              <w:t>结转结余率=（结转结余总额/支出预算数）×100%。</w:t>
            </w:r>
          </w:p>
        </w:tc>
        <w:tc>
          <w:tcPr>
            <w:tcW w:w="3423" w:type="dxa"/>
            <w:tcBorders>
              <w:top w:val="single" w:color="000000" w:sz="4" w:space="0"/>
              <w:left w:val="single" w:color="auto" w:sz="4" w:space="0"/>
              <w:bottom w:val="single" w:color="000000" w:sz="4" w:space="0"/>
              <w:right w:val="single" w:color="auto" w:sz="4" w:space="0"/>
            </w:tcBorders>
            <w:vAlign w:val="center"/>
          </w:tcPr>
          <w:p w14:paraId="2C5637EF">
            <w:pPr>
              <w:spacing w:after="0" w:line="240" w:lineRule="exact"/>
              <w:rPr>
                <w:rFonts w:ascii="宋体" w:hAnsi="宋体" w:eastAsia="宋体" w:cs="宋体"/>
                <w:color w:val="auto"/>
              </w:rPr>
            </w:pPr>
            <w:r>
              <w:rPr>
                <w:rFonts w:hint="eastAsia" w:ascii="宋体" w:hAnsi="宋体" w:eastAsia="宋体" w:cs="宋体"/>
                <w:color w:val="auto"/>
              </w:rPr>
              <w:t>目标值为0；达到目标值得3分，未达到目标值的每增加0.1个百分点扣0.1分，扣完为止。</w:t>
            </w:r>
          </w:p>
        </w:tc>
        <w:tc>
          <w:tcPr>
            <w:tcW w:w="1090" w:type="dxa"/>
            <w:tcBorders>
              <w:top w:val="single" w:color="000000" w:sz="4" w:space="0"/>
              <w:left w:val="single" w:color="auto" w:sz="4" w:space="0"/>
              <w:bottom w:val="single" w:color="000000" w:sz="4" w:space="0"/>
              <w:right w:val="single" w:color="000000" w:sz="4" w:space="0"/>
            </w:tcBorders>
            <w:vAlign w:val="center"/>
          </w:tcPr>
          <w:p w14:paraId="0F1398CF">
            <w:pPr>
              <w:spacing w:after="0" w:line="240" w:lineRule="exac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6E0ED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7" w:hRule="atLeast"/>
          <w:jc w:val="center"/>
        </w:trPr>
        <w:tc>
          <w:tcPr>
            <w:tcW w:w="733" w:type="dxa"/>
            <w:vMerge w:val="continue"/>
            <w:tcBorders>
              <w:left w:val="single" w:color="000000" w:sz="4" w:space="0"/>
              <w:right w:val="single" w:color="000000" w:sz="4" w:space="0"/>
            </w:tcBorders>
            <w:vAlign w:val="center"/>
          </w:tcPr>
          <w:p w14:paraId="4687FC4C">
            <w:pPr>
              <w:spacing w:after="0"/>
              <w:rPr>
                <w:rFonts w:ascii="宋体" w:hAnsi="宋体" w:eastAsia="宋体" w:cs="宋体"/>
                <w:color w:val="auto"/>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20D69308">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5226C4FE">
            <w:pPr>
              <w:spacing w:after="0" w:line="240" w:lineRule="exact"/>
              <w:rPr>
                <w:rFonts w:ascii="宋体" w:hAnsi="宋体" w:eastAsia="宋体" w:cs="宋体"/>
                <w:color w:val="auto"/>
              </w:rPr>
            </w:pPr>
            <w:r>
              <w:rPr>
                <w:rFonts w:hint="eastAsia" w:ascii="宋体" w:hAnsi="宋体" w:eastAsia="宋体" w:cs="宋体"/>
                <w:color w:val="auto"/>
              </w:rPr>
              <w:t>结转结余变动率(3分）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0B8E1FFC">
            <w:pPr>
              <w:spacing w:after="0" w:line="240" w:lineRule="exact"/>
              <w:rPr>
                <w:rFonts w:ascii="宋体" w:hAnsi="宋体" w:eastAsia="宋体" w:cs="宋体"/>
                <w:color w:val="auto"/>
              </w:rPr>
            </w:pPr>
            <w:r>
              <w:rPr>
                <w:rFonts w:hint="eastAsia" w:ascii="宋体" w:hAnsi="宋体" w:eastAsia="宋体" w:cs="宋体"/>
                <w:color w:val="auto"/>
              </w:rPr>
              <w:t>部门本年度结转结余资金总额与上年度结转结余资金总额的变动比率，用以反映和考核部门对控制结转结余资金的努力程度。</w:t>
            </w:r>
          </w:p>
          <w:p w14:paraId="5B3ABA65">
            <w:pPr>
              <w:spacing w:after="0" w:line="240" w:lineRule="exact"/>
              <w:rPr>
                <w:rFonts w:ascii="宋体" w:hAnsi="宋体" w:eastAsia="宋体" w:cs="宋体"/>
                <w:color w:val="auto"/>
              </w:rPr>
            </w:pPr>
            <w:r>
              <w:rPr>
                <w:rFonts w:hint="eastAsia" w:ascii="宋体" w:hAnsi="宋体" w:eastAsia="宋体" w:cs="宋体"/>
                <w:color w:val="auto"/>
              </w:rPr>
              <w:t>结转结余变动率=〔（本年度累计结转结余资金总额-上年度累计结转结余资金总额）/上年度累计结转结余资金总额〕×100%。</w:t>
            </w:r>
          </w:p>
        </w:tc>
        <w:tc>
          <w:tcPr>
            <w:tcW w:w="3423" w:type="dxa"/>
            <w:tcBorders>
              <w:top w:val="single" w:color="000000" w:sz="4" w:space="0"/>
              <w:left w:val="single" w:color="auto" w:sz="4" w:space="0"/>
              <w:bottom w:val="single" w:color="000000" w:sz="4" w:space="0"/>
              <w:right w:val="single" w:color="auto" w:sz="4" w:space="0"/>
            </w:tcBorders>
            <w:vAlign w:val="center"/>
          </w:tcPr>
          <w:p w14:paraId="31861CD5">
            <w:pPr>
              <w:spacing w:after="0" w:line="240" w:lineRule="exact"/>
              <w:rPr>
                <w:rFonts w:ascii="宋体" w:hAnsi="宋体" w:eastAsia="宋体" w:cs="宋体"/>
                <w:color w:val="auto"/>
              </w:rPr>
            </w:pPr>
            <w:r>
              <w:rPr>
                <w:rFonts w:hint="eastAsia" w:ascii="宋体" w:hAnsi="宋体" w:eastAsia="宋体" w:cs="宋体"/>
                <w:color w:val="auto"/>
              </w:rPr>
              <w:t>目标值为≤0%；达到目标值得3分，未达到目标值的采用比率扣分法：扣分值=结转结余变动率×2×10，变动率达10%以上的扣2分。</w:t>
            </w:r>
          </w:p>
        </w:tc>
        <w:tc>
          <w:tcPr>
            <w:tcW w:w="1090" w:type="dxa"/>
            <w:tcBorders>
              <w:top w:val="single" w:color="000000" w:sz="4" w:space="0"/>
              <w:left w:val="single" w:color="auto" w:sz="4" w:space="0"/>
              <w:bottom w:val="single" w:color="000000" w:sz="4" w:space="0"/>
              <w:right w:val="single" w:color="000000" w:sz="4" w:space="0"/>
            </w:tcBorders>
            <w:vAlign w:val="center"/>
          </w:tcPr>
          <w:p w14:paraId="062900F2">
            <w:pPr>
              <w:spacing w:after="0" w:line="240" w:lineRule="exac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12D0B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733" w:type="dxa"/>
            <w:vMerge w:val="continue"/>
            <w:tcBorders>
              <w:left w:val="single" w:color="000000" w:sz="4" w:space="0"/>
              <w:right w:val="single" w:color="000000" w:sz="4" w:space="0"/>
            </w:tcBorders>
            <w:vAlign w:val="center"/>
          </w:tcPr>
          <w:p w14:paraId="64CAC728">
            <w:pPr>
              <w:spacing w:after="0"/>
              <w:rPr>
                <w:rFonts w:ascii="宋体" w:hAnsi="宋体" w:eastAsia="宋体" w:cs="宋体"/>
                <w:color w:val="auto"/>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5E225763">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4F5E4759">
            <w:pPr>
              <w:spacing w:after="0" w:line="240" w:lineRule="exact"/>
              <w:rPr>
                <w:rFonts w:ascii="宋体" w:hAnsi="宋体" w:eastAsia="宋体" w:cs="宋体"/>
                <w:color w:val="auto"/>
              </w:rPr>
            </w:pPr>
            <w:r>
              <w:rPr>
                <w:rFonts w:hint="eastAsia" w:ascii="宋体" w:hAnsi="宋体" w:eastAsia="宋体" w:cs="宋体"/>
                <w:color w:val="auto"/>
              </w:rPr>
              <w:t>公用经费控制率（3分）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5A9F2DD5">
            <w:pPr>
              <w:spacing w:after="0" w:line="240" w:lineRule="exact"/>
              <w:rPr>
                <w:rFonts w:ascii="宋体" w:hAnsi="宋体" w:eastAsia="宋体" w:cs="宋体"/>
                <w:color w:val="auto"/>
              </w:rPr>
            </w:pPr>
            <w:r>
              <w:rPr>
                <w:rFonts w:hint="eastAsia" w:ascii="宋体" w:hAnsi="宋体" w:eastAsia="宋体" w:cs="宋体"/>
                <w:color w:val="auto"/>
              </w:rPr>
              <w:t>通过对部门本年度实际支出的公用经费总额与预算安排的公用经费总额的比率，反映和评价部门对机构运转成本的实际控制程度。</w:t>
            </w:r>
          </w:p>
          <w:p w14:paraId="537A2E4D">
            <w:pPr>
              <w:spacing w:after="0" w:line="240" w:lineRule="exact"/>
              <w:rPr>
                <w:rFonts w:ascii="宋体" w:hAnsi="宋体" w:eastAsia="宋体" w:cs="宋体"/>
                <w:color w:val="auto"/>
              </w:rPr>
            </w:pPr>
            <w:r>
              <w:rPr>
                <w:rFonts w:hint="eastAsia" w:ascii="宋体" w:hAnsi="宋体" w:eastAsia="宋体" w:cs="宋体"/>
                <w:color w:val="auto"/>
              </w:rPr>
              <w:t>公用经费控制率=（实际支出公用经费总额/预算安排公用经费总额）×100%。</w:t>
            </w:r>
          </w:p>
        </w:tc>
        <w:tc>
          <w:tcPr>
            <w:tcW w:w="3423" w:type="dxa"/>
            <w:tcBorders>
              <w:top w:val="single" w:color="000000" w:sz="4" w:space="0"/>
              <w:left w:val="single" w:color="auto" w:sz="4" w:space="0"/>
              <w:bottom w:val="single" w:color="000000" w:sz="4" w:space="0"/>
              <w:right w:val="single" w:color="auto" w:sz="4" w:space="0"/>
            </w:tcBorders>
            <w:vAlign w:val="center"/>
          </w:tcPr>
          <w:p w14:paraId="16CBA145">
            <w:pPr>
              <w:spacing w:after="0" w:line="240" w:lineRule="exact"/>
              <w:rPr>
                <w:rFonts w:ascii="宋体" w:hAnsi="宋体" w:eastAsia="宋体" w:cs="宋体"/>
                <w:color w:val="auto"/>
              </w:rPr>
            </w:pPr>
            <w:r>
              <w:rPr>
                <w:rFonts w:hint="eastAsia" w:ascii="宋体" w:hAnsi="宋体" w:eastAsia="宋体" w:cs="宋体"/>
                <w:color w:val="auto"/>
              </w:rPr>
              <w:t>目标值为≤100%；达到目标值得3分，未达到目标值的每增加0.1个百分点扣0.1分，扣完为止。</w:t>
            </w:r>
          </w:p>
        </w:tc>
        <w:tc>
          <w:tcPr>
            <w:tcW w:w="1090" w:type="dxa"/>
            <w:tcBorders>
              <w:top w:val="single" w:color="000000" w:sz="4" w:space="0"/>
              <w:left w:val="single" w:color="auto" w:sz="4" w:space="0"/>
              <w:bottom w:val="single" w:color="000000" w:sz="4" w:space="0"/>
              <w:right w:val="single" w:color="000000" w:sz="4" w:space="0"/>
            </w:tcBorders>
            <w:vAlign w:val="center"/>
          </w:tcPr>
          <w:p w14:paraId="29036230">
            <w:pPr>
              <w:spacing w:after="0" w:line="240" w:lineRule="exac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r>
      <w:tr w14:paraId="75424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3" w:hRule="atLeast"/>
          <w:jc w:val="center"/>
        </w:trPr>
        <w:tc>
          <w:tcPr>
            <w:tcW w:w="733" w:type="dxa"/>
            <w:vMerge w:val="continue"/>
            <w:tcBorders>
              <w:left w:val="single" w:color="000000" w:sz="4" w:space="0"/>
              <w:right w:val="single" w:color="000000" w:sz="4" w:space="0"/>
            </w:tcBorders>
            <w:vAlign w:val="center"/>
          </w:tcPr>
          <w:p w14:paraId="2F02A568">
            <w:pPr>
              <w:spacing w:after="0"/>
              <w:rPr>
                <w:rFonts w:ascii="宋体" w:hAnsi="宋体" w:eastAsia="宋体" w:cs="宋体"/>
                <w:color w:val="auto"/>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39A8F4AC">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22D91EA9">
            <w:pPr>
              <w:spacing w:after="0" w:line="240" w:lineRule="exact"/>
              <w:rPr>
                <w:rFonts w:ascii="宋体" w:hAnsi="宋体" w:eastAsia="宋体" w:cs="宋体"/>
                <w:color w:val="auto"/>
              </w:rPr>
            </w:pPr>
            <w:r>
              <w:rPr>
                <w:rFonts w:hint="eastAsia" w:ascii="宋体" w:hAnsi="宋体" w:eastAsia="宋体" w:cs="宋体"/>
                <w:color w:val="auto"/>
              </w:rPr>
              <w:t>“三公经费”控制率（3分）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067AEC60">
            <w:pPr>
              <w:spacing w:after="0" w:line="240" w:lineRule="exact"/>
              <w:rPr>
                <w:rFonts w:ascii="宋体" w:hAnsi="宋体" w:eastAsia="宋体" w:cs="宋体"/>
                <w:color w:val="auto"/>
              </w:rPr>
            </w:pPr>
            <w:r>
              <w:rPr>
                <w:rFonts w:hint="eastAsia" w:ascii="宋体" w:hAnsi="宋体" w:eastAsia="宋体" w:cs="宋体"/>
                <w:color w:val="auto"/>
              </w:rPr>
              <w:t>部门（单位）本年度“三公经费”实际支出数与预算安排数的比率，用以反映和考核部门（单位）对“三公经费”的实际控制程度。</w:t>
            </w:r>
          </w:p>
          <w:p w14:paraId="56A10740">
            <w:pPr>
              <w:spacing w:after="0" w:line="240" w:lineRule="exact"/>
              <w:rPr>
                <w:rFonts w:ascii="宋体" w:hAnsi="宋体" w:eastAsia="宋体" w:cs="宋体"/>
                <w:color w:val="auto"/>
              </w:rPr>
            </w:pPr>
            <w:r>
              <w:rPr>
                <w:rFonts w:hint="eastAsia" w:ascii="宋体" w:hAnsi="宋体" w:eastAsia="宋体" w:cs="宋体"/>
                <w:color w:val="auto"/>
              </w:rPr>
              <w:t>“三公经费”控制率=（“三公经费”实际支出/“三公经费”预算安排数）×100%</w:t>
            </w:r>
          </w:p>
        </w:tc>
        <w:tc>
          <w:tcPr>
            <w:tcW w:w="3423" w:type="dxa"/>
            <w:tcBorders>
              <w:top w:val="single" w:color="000000" w:sz="4" w:space="0"/>
              <w:left w:val="single" w:color="auto" w:sz="4" w:space="0"/>
              <w:bottom w:val="single" w:color="000000" w:sz="4" w:space="0"/>
              <w:right w:val="single" w:color="auto" w:sz="4" w:space="0"/>
            </w:tcBorders>
            <w:vAlign w:val="center"/>
          </w:tcPr>
          <w:p w14:paraId="0306A2D8">
            <w:pPr>
              <w:spacing w:after="0" w:line="240" w:lineRule="exact"/>
              <w:rPr>
                <w:rFonts w:ascii="宋体" w:hAnsi="宋体" w:eastAsia="宋体" w:cs="宋体"/>
                <w:color w:val="auto"/>
              </w:rPr>
            </w:pPr>
            <w:r>
              <w:rPr>
                <w:rFonts w:hint="eastAsia" w:ascii="宋体" w:hAnsi="宋体" w:eastAsia="宋体" w:cs="宋体"/>
                <w:color w:val="auto"/>
              </w:rPr>
              <w:t>目标值为≤100%；达到目标值得3分，未达到目标值的每增加0.1个百分点扣0.1分，扣完为止。</w:t>
            </w:r>
          </w:p>
        </w:tc>
        <w:tc>
          <w:tcPr>
            <w:tcW w:w="1090" w:type="dxa"/>
            <w:tcBorders>
              <w:top w:val="single" w:color="000000" w:sz="4" w:space="0"/>
              <w:left w:val="single" w:color="auto" w:sz="4" w:space="0"/>
              <w:bottom w:val="single" w:color="000000" w:sz="4" w:space="0"/>
              <w:right w:val="single" w:color="000000" w:sz="4" w:space="0"/>
            </w:tcBorders>
            <w:vAlign w:val="center"/>
          </w:tcPr>
          <w:p w14:paraId="7CE04B2D">
            <w:pPr>
              <w:spacing w:after="0" w:line="240" w:lineRule="exac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79209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1" w:hRule="atLeast"/>
          <w:jc w:val="center"/>
        </w:trPr>
        <w:tc>
          <w:tcPr>
            <w:tcW w:w="733" w:type="dxa"/>
            <w:vMerge w:val="continue"/>
            <w:tcBorders>
              <w:left w:val="single" w:color="000000" w:sz="4" w:space="0"/>
              <w:right w:val="single" w:color="000000" w:sz="4" w:space="0"/>
            </w:tcBorders>
            <w:vAlign w:val="center"/>
          </w:tcPr>
          <w:p w14:paraId="79A48410">
            <w:pPr>
              <w:spacing w:after="0"/>
              <w:rPr>
                <w:rFonts w:ascii="宋体" w:hAnsi="宋体" w:eastAsia="宋体" w:cs="宋体"/>
                <w:color w:val="auto"/>
              </w:rPr>
            </w:pPr>
          </w:p>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48829F43">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00D7CB2E">
            <w:pPr>
              <w:spacing w:after="0" w:line="240" w:lineRule="exact"/>
              <w:rPr>
                <w:rFonts w:ascii="宋体" w:hAnsi="宋体" w:eastAsia="宋体" w:cs="宋体"/>
                <w:color w:val="auto"/>
              </w:rPr>
            </w:pPr>
            <w:r>
              <w:rPr>
                <w:rFonts w:hint="eastAsia" w:ascii="宋体" w:hAnsi="宋体" w:eastAsia="宋体" w:cs="宋体"/>
                <w:color w:val="auto"/>
              </w:rPr>
              <w:t>政府采购执行率（3分）</w:t>
            </w:r>
          </w:p>
        </w:tc>
        <w:tc>
          <w:tcPr>
            <w:tcW w:w="6911" w:type="dxa"/>
            <w:tcBorders>
              <w:top w:val="single" w:color="000000" w:sz="4" w:space="0"/>
              <w:left w:val="single" w:color="auto" w:sz="4" w:space="0"/>
              <w:bottom w:val="single" w:color="000000" w:sz="4" w:space="0"/>
              <w:right w:val="single" w:color="auto" w:sz="4" w:space="0"/>
            </w:tcBorders>
            <w:vAlign w:val="center"/>
          </w:tcPr>
          <w:p w14:paraId="32F1B742">
            <w:pPr>
              <w:spacing w:after="0" w:line="240" w:lineRule="exact"/>
              <w:rPr>
                <w:rFonts w:ascii="宋体" w:hAnsi="宋体" w:eastAsia="宋体" w:cs="宋体"/>
                <w:color w:val="auto"/>
              </w:rPr>
            </w:pPr>
            <w:r>
              <w:rPr>
                <w:rFonts w:hint="eastAsia" w:ascii="宋体" w:hAnsi="宋体" w:eastAsia="宋体" w:cs="宋体"/>
                <w:color w:val="auto"/>
              </w:rPr>
              <w:t>通过对部门本年度实际政府采购预算项目个数与政府采购预算项目个数的比较，反映和评价部门政府采购预算执行情况。</w:t>
            </w:r>
          </w:p>
          <w:p w14:paraId="2759826A">
            <w:pPr>
              <w:spacing w:after="0" w:line="240" w:lineRule="exact"/>
              <w:rPr>
                <w:rFonts w:ascii="宋体" w:hAnsi="宋体" w:eastAsia="宋体" w:cs="宋体"/>
                <w:color w:val="auto"/>
              </w:rPr>
            </w:pPr>
            <w:r>
              <w:rPr>
                <w:rFonts w:hint="eastAsia" w:ascii="宋体" w:hAnsi="宋体" w:eastAsia="宋体" w:cs="宋体"/>
                <w:color w:val="auto"/>
              </w:rPr>
              <w:t>政府采购执行率=（实际政府采购预算项目个数/政府采购预算项目个数）×100%。</w:t>
            </w:r>
          </w:p>
          <w:p w14:paraId="429D32D6">
            <w:pPr>
              <w:spacing w:after="0" w:line="240" w:lineRule="exact"/>
              <w:rPr>
                <w:rFonts w:ascii="宋体" w:hAnsi="宋体" w:eastAsia="宋体" w:cs="宋体"/>
                <w:color w:val="auto"/>
              </w:rPr>
            </w:pPr>
            <w:r>
              <w:rPr>
                <w:rFonts w:hint="eastAsia" w:ascii="宋体" w:hAnsi="宋体" w:eastAsia="宋体" w:cs="宋体"/>
                <w:color w:val="auto"/>
              </w:rPr>
              <w:t>政府采购项目中非预算内安排的项目除外。</w:t>
            </w:r>
          </w:p>
        </w:tc>
        <w:tc>
          <w:tcPr>
            <w:tcW w:w="3423" w:type="dxa"/>
            <w:tcBorders>
              <w:top w:val="single" w:color="000000" w:sz="4" w:space="0"/>
              <w:left w:val="single" w:color="auto" w:sz="4" w:space="0"/>
              <w:bottom w:val="single" w:color="000000" w:sz="4" w:space="0"/>
              <w:right w:val="single" w:color="auto" w:sz="4" w:space="0"/>
            </w:tcBorders>
            <w:vAlign w:val="center"/>
          </w:tcPr>
          <w:p w14:paraId="7DDDB4CB">
            <w:pPr>
              <w:spacing w:after="0" w:line="240" w:lineRule="exact"/>
              <w:rPr>
                <w:rFonts w:ascii="宋体" w:hAnsi="宋体" w:eastAsia="宋体" w:cs="宋体"/>
                <w:color w:val="auto"/>
              </w:rPr>
            </w:pPr>
            <w:r>
              <w:rPr>
                <w:rFonts w:hint="eastAsia" w:ascii="宋体" w:hAnsi="宋体" w:eastAsia="宋体" w:cs="宋体"/>
                <w:color w:val="auto"/>
              </w:rPr>
              <w:t>目标值为100%；以3分为上限，采用完成比率法计分：得分=政府采购执行率×3。</w:t>
            </w:r>
          </w:p>
        </w:tc>
        <w:tc>
          <w:tcPr>
            <w:tcW w:w="1090" w:type="dxa"/>
            <w:tcBorders>
              <w:top w:val="single" w:color="000000" w:sz="4" w:space="0"/>
              <w:left w:val="single" w:color="auto" w:sz="4" w:space="0"/>
              <w:bottom w:val="single" w:color="000000" w:sz="4" w:space="0"/>
              <w:right w:val="single" w:color="000000" w:sz="4" w:space="0"/>
            </w:tcBorders>
            <w:vAlign w:val="center"/>
          </w:tcPr>
          <w:p w14:paraId="7A5E41D8">
            <w:pPr>
              <w:spacing w:after="0" w:line="240" w:lineRule="exac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10C83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4" w:hRule="atLeast"/>
          <w:jc w:val="center"/>
        </w:trPr>
        <w:tc>
          <w:tcPr>
            <w:tcW w:w="733" w:type="dxa"/>
            <w:vMerge w:val="continue"/>
            <w:tcBorders>
              <w:left w:val="single" w:color="000000" w:sz="4" w:space="0"/>
              <w:right w:val="single" w:color="000000" w:sz="4" w:space="0"/>
            </w:tcBorders>
            <w:vAlign w:val="center"/>
          </w:tcPr>
          <w:p w14:paraId="17A58D29">
            <w:pPr>
              <w:spacing w:after="0"/>
              <w:rPr>
                <w:rFonts w:ascii="宋体" w:hAnsi="宋体" w:eastAsia="宋体" w:cs="宋体"/>
                <w:color w:val="auto"/>
              </w:rPr>
            </w:pPr>
          </w:p>
        </w:tc>
        <w:tc>
          <w:tcPr>
            <w:tcW w:w="803" w:type="dxa"/>
            <w:vMerge w:val="restart"/>
            <w:tcBorders>
              <w:top w:val="single" w:color="000000" w:sz="4" w:space="0"/>
              <w:left w:val="single" w:color="000000" w:sz="4" w:space="0"/>
              <w:right w:val="single" w:color="000000" w:sz="4" w:space="0"/>
            </w:tcBorders>
            <w:vAlign w:val="center"/>
          </w:tcPr>
          <w:p w14:paraId="54D9C5BF">
            <w:pPr>
              <w:spacing w:after="0" w:line="240" w:lineRule="exact"/>
              <w:jc w:val="center"/>
              <w:rPr>
                <w:rFonts w:ascii="宋体" w:hAnsi="宋体" w:eastAsia="宋体" w:cs="宋体"/>
                <w:color w:val="auto"/>
              </w:rPr>
            </w:pPr>
            <w:r>
              <w:rPr>
                <w:rFonts w:hint="eastAsia" w:ascii="宋体" w:hAnsi="宋体" w:eastAsia="宋体" w:cs="宋体"/>
                <w:color w:val="auto"/>
              </w:rPr>
              <w:t>预算管理</w:t>
            </w:r>
          </w:p>
          <w:p w14:paraId="1B6C0DCF">
            <w:pPr>
              <w:spacing w:after="0" w:line="68" w:lineRule="atLeast"/>
              <w:jc w:val="center"/>
              <w:rPr>
                <w:rFonts w:ascii="宋体" w:hAnsi="宋体" w:eastAsia="宋体" w:cs="宋体"/>
                <w:color w:val="auto"/>
              </w:rPr>
            </w:pPr>
            <w:r>
              <w:rPr>
                <w:rFonts w:hint="eastAsia" w:ascii="宋体" w:hAnsi="宋体" w:eastAsia="宋体" w:cs="宋体"/>
                <w:color w:val="auto"/>
              </w:rPr>
              <w:t>（18分）</w:t>
            </w:r>
          </w:p>
        </w:tc>
        <w:tc>
          <w:tcPr>
            <w:tcW w:w="1182" w:type="dxa"/>
            <w:tcBorders>
              <w:top w:val="single" w:color="000000" w:sz="4" w:space="0"/>
              <w:left w:val="single" w:color="000000" w:sz="4" w:space="0"/>
              <w:bottom w:val="single" w:color="000000" w:sz="4" w:space="0"/>
              <w:right w:val="single" w:color="auto" w:sz="4" w:space="0"/>
            </w:tcBorders>
            <w:vAlign w:val="center"/>
          </w:tcPr>
          <w:p w14:paraId="147465D9">
            <w:pPr>
              <w:spacing w:after="0" w:line="240" w:lineRule="exact"/>
              <w:rPr>
                <w:rFonts w:ascii="宋体" w:hAnsi="宋体" w:eastAsia="宋体" w:cs="宋体"/>
                <w:color w:val="auto"/>
              </w:rPr>
            </w:pPr>
            <w:r>
              <w:rPr>
                <w:rFonts w:hint="eastAsia" w:ascii="宋体" w:hAnsi="宋体" w:eastAsia="宋体" w:cs="宋体"/>
                <w:color w:val="auto"/>
              </w:rPr>
              <w:t>管理制度健全性</w:t>
            </w:r>
          </w:p>
          <w:p w14:paraId="09F0CCEA">
            <w:pPr>
              <w:spacing w:after="0" w:line="240" w:lineRule="exact"/>
              <w:rPr>
                <w:rFonts w:ascii="宋体" w:hAnsi="宋体" w:eastAsia="宋体" w:cs="宋体"/>
                <w:color w:val="auto"/>
              </w:rPr>
            </w:pPr>
            <w:r>
              <w:rPr>
                <w:rFonts w:hint="eastAsia" w:ascii="宋体" w:hAnsi="宋体" w:eastAsia="宋体" w:cs="宋体"/>
                <w:color w:val="auto"/>
              </w:rPr>
              <w:t>（2分）</w:t>
            </w:r>
          </w:p>
        </w:tc>
        <w:tc>
          <w:tcPr>
            <w:tcW w:w="6911" w:type="dxa"/>
            <w:tcBorders>
              <w:top w:val="single" w:color="000000" w:sz="4" w:space="0"/>
              <w:left w:val="single" w:color="auto" w:sz="4" w:space="0"/>
              <w:bottom w:val="single" w:color="000000" w:sz="4" w:space="0"/>
              <w:right w:val="single" w:color="auto" w:sz="4" w:space="0"/>
            </w:tcBorders>
            <w:vAlign w:val="center"/>
          </w:tcPr>
          <w:p w14:paraId="1C4B1C15">
            <w:pPr>
              <w:spacing w:after="0" w:line="240" w:lineRule="exact"/>
              <w:rPr>
                <w:rFonts w:ascii="宋体" w:hAnsi="宋体" w:eastAsia="宋体" w:cs="宋体"/>
                <w:color w:val="auto"/>
              </w:rPr>
            </w:pPr>
            <w:r>
              <w:rPr>
                <w:rFonts w:hint="eastAsia" w:ascii="宋体" w:hAnsi="宋体" w:eastAsia="宋体" w:cs="宋体"/>
                <w:color w:val="auto"/>
              </w:rPr>
              <w:t>部门为加强预算管理，规范财务行为而制定的管理制度是否健全完整，用以反映和考核部门预算管理制度对完成主要职责或促进事业发展的保障情况。</w:t>
            </w:r>
          </w:p>
          <w:p w14:paraId="7B2FD137">
            <w:pPr>
              <w:spacing w:after="0" w:line="240" w:lineRule="exact"/>
              <w:rPr>
                <w:rFonts w:ascii="宋体" w:hAnsi="宋体" w:eastAsia="宋体" w:cs="宋体"/>
                <w:color w:val="auto"/>
              </w:rPr>
            </w:pPr>
            <w:r>
              <w:rPr>
                <w:rFonts w:hint="eastAsia" w:ascii="宋体" w:hAnsi="宋体" w:eastAsia="宋体" w:cs="宋体"/>
                <w:color w:val="auto"/>
              </w:rPr>
              <w:t>评价要点：</w:t>
            </w:r>
          </w:p>
          <w:p w14:paraId="1998CDB6">
            <w:pPr>
              <w:spacing w:after="0" w:line="240" w:lineRule="exact"/>
              <w:rPr>
                <w:rFonts w:ascii="宋体" w:hAnsi="宋体" w:eastAsia="宋体" w:cs="宋体"/>
                <w:color w:val="auto"/>
              </w:rPr>
            </w:pPr>
            <w:r>
              <w:rPr>
                <w:rFonts w:hint="eastAsia" w:ascii="宋体" w:hAnsi="宋体" w:eastAsia="宋体" w:cs="宋体"/>
                <w:color w:val="auto"/>
              </w:rPr>
              <w:t>1．是否已制定或具有预算资金管理办法、内部财务管理制度、会计核算制度等管理制度；</w:t>
            </w:r>
          </w:p>
          <w:p w14:paraId="32459593">
            <w:pPr>
              <w:spacing w:after="0" w:line="240" w:lineRule="exact"/>
              <w:rPr>
                <w:rFonts w:ascii="宋体" w:hAnsi="宋体" w:eastAsia="宋体" w:cs="宋体"/>
                <w:color w:val="auto"/>
              </w:rPr>
            </w:pPr>
            <w:r>
              <w:rPr>
                <w:rFonts w:hint="eastAsia" w:ascii="宋体" w:hAnsi="宋体" w:eastAsia="宋体" w:cs="宋体"/>
                <w:color w:val="auto"/>
              </w:rPr>
              <w:t>2.相关管理制度是否合法、合规、完整；</w:t>
            </w:r>
          </w:p>
          <w:p w14:paraId="5285C424">
            <w:pPr>
              <w:spacing w:after="0" w:line="240" w:lineRule="exact"/>
              <w:rPr>
                <w:rFonts w:ascii="宋体" w:hAnsi="宋体" w:eastAsia="宋体" w:cs="宋体"/>
                <w:color w:val="auto"/>
              </w:rPr>
            </w:pPr>
            <w:r>
              <w:rPr>
                <w:rFonts w:hint="eastAsia" w:ascii="宋体" w:hAnsi="宋体" w:eastAsia="宋体" w:cs="宋体"/>
                <w:color w:val="auto"/>
              </w:rPr>
              <w:t>3.相关管理制度是否得到有效执行。</w:t>
            </w:r>
          </w:p>
        </w:tc>
        <w:tc>
          <w:tcPr>
            <w:tcW w:w="3423" w:type="dxa"/>
            <w:tcBorders>
              <w:top w:val="single" w:color="000000" w:sz="4" w:space="0"/>
              <w:left w:val="single" w:color="auto" w:sz="4" w:space="0"/>
              <w:bottom w:val="single" w:color="000000" w:sz="4" w:space="0"/>
              <w:right w:val="single" w:color="auto" w:sz="4" w:space="0"/>
            </w:tcBorders>
            <w:vAlign w:val="center"/>
          </w:tcPr>
          <w:p w14:paraId="0DA633C6">
            <w:pPr>
              <w:spacing w:after="0" w:line="240" w:lineRule="exact"/>
              <w:rPr>
                <w:rFonts w:ascii="宋体" w:hAnsi="宋体" w:eastAsia="宋体" w:cs="宋体"/>
                <w:color w:val="auto"/>
              </w:rPr>
            </w:pPr>
            <w:r>
              <w:rPr>
                <w:rFonts w:hint="eastAsia" w:ascii="宋体" w:hAnsi="宋体" w:eastAsia="宋体" w:cs="宋体"/>
                <w:color w:val="auto"/>
              </w:rPr>
              <w:t>全部符合（2分）；</w:t>
            </w:r>
          </w:p>
          <w:p w14:paraId="30523AD3">
            <w:pPr>
              <w:spacing w:after="0" w:line="240" w:lineRule="exact"/>
              <w:rPr>
                <w:rFonts w:ascii="宋体" w:hAnsi="宋体" w:eastAsia="宋体" w:cs="宋体"/>
                <w:color w:val="auto"/>
              </w:rPr>
            </w:pPr>
            <w:r>
              <w:rPr>
                <w:rFonts w:hint="eastAsia" w:ascii="宋体" w:hAnsi="宋体" w:eastAsia="宋体" w:cs="宋体"/>
                <w:color w:val="auto"/>
              </w:rPr>
              <w:t>符合其中两项（1分）</w:t>
            </w:r>
          </w:p>
          <w:p w14:paraId="4D9AB7E4">
            <w:pPr>
              <w:spacing w:after="0" w:line="240" w:lineRule="exact"/>
              <w:rPr>
                <w:rFonts w:ascii="宋体" w:hAnsi="宋体" w:eastAsia="宋体" w:cs="宋体"/>
                <w:color w:val="auto"/>
              </w:rPr>
            </w:pPr>
            <w:r>
              <w:rPr>
                <w:rFonts w:hint="eastAsia" w:ascii="宋体" w:hAnsi="宋体" w:eastAsia="宋体" w:cs="宋体"/>
                <w:color w:val="auto"/>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78F95B2B">
            <w:pPr>
              <w:spacing w:after="0" w:line="240" w:lineRule="exact"/>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1.8</w:t>
            </w:r>
          </w:p>
        </w:tc>
      </w:tr>
      <w:tr w14:paraId="29BA0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5" w:hRule="atLeast"/>
          <w:jc w:val="center"/>
        </w:trPr>
        <w:tc>
          <w:tcPr>
            <w:tcW w:w="733" w:type="dxa"/>
            <w:vMerge w:val="continue"/>
            <w:tcBorders>
              <w:left w:val="single" w:color="000000" w:sz="4" w:space="0"/>
              <w:right w:val="single" w:color="000000" w:sz="4" w:space="0"/>
            </w:tcBorders>
            <w:vAlign w:val="center"/>
          </w:tcPr>
          <w:p w14:paraId="318C320A">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28746CAD">
            <w:pPr>
              <w:spacing w:after="0" w:line="68" w:lineRule="atLeast"/>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2C60F96B">
            <w:pPr>
              <w:spacing w:after="0" w:line="68" w:lineRule="atLeast"/>
              <w:rPr>
                <w:rFonts w:ascii="宋体" w:hAnsi="宋体" w:eastAsia="宋体" w:cs="宋体"/>
                <w:color w:val="auto"/>
              </w:rPr>
            </w:pPr>
            <w:r>
              <w:rPr>
                <w:rFonts w:hint="eastAsia" w:ascii="宋体" w:hAnsi="宋体" w:eastAsia="宋体" w:cs="宋体"/>
                <w:color w:val="auto"/>
              </w:rPr>
              <w:t>资金使用合规性</w:t>
            </w:r>
          </w:p>
          <w:p w14:paraId="472EA633">
            <w:pPr>
              <w:spacing w:after="0" w:line="68" w:lineRule="atLeast"/>
              <w:rPr>
                <w:rFonts w:ascii="宋体" w:hAnsi="宋体" w:eastAsia="宋体" w:cs="宋体"/>
                <w:color w:val="auto"/>
              </w:rPr>
            </w:pPr>
            <w:r>
              <w:rPr>
                <w:rFonts w:hint="eastAsia" w:ascii="宋体" w:hAnsi="宋体" w:eastAsia="宋体" w:cs="宋体"/>
                <w:color w:val="auto"/>
              </w:rPr>
              <w:t>（9分）</w:t>
            </w:r>
          </w:p>
        </w:tc>
        <w:tc>
          <w:tcPr>
            <w:tcW w:w="6911" w:type="dxa"/>
            <w:tcBorders>
              <w:top w:val="single" w:color="000000" w:sz="4" w:space="0"/>
              <w:left w:val="single" w:color="auto" w:sz="4" w:space="0"/>
              <w:bottom w:val="single" w:color="000000" w:sz="4" w:space="0"/>
              <w:right w:val="single" w:color="auto" w:sz="4" w:space="0"/>
            </w:tcBorders>
            <w:vAlign w:val="center"/>
          </w:tcPr>
          <w:p w14:paraId="29E663F8">
            <w:pPr>
              <w:spacing w:after="0" w:line="240" w:lineRule="exact"/>
              <w:rPr>
                <w:rFonts w:ascii="宋体" w:hAnsi="宋体" w:eastAsia="宋体" w:cs="宋体"/>
                <w:color w:val="auto"/>
              </w:rPr>
            </w:pPr>
            <w:r>
              <w:rPr>
                <w:rFonts w:hint="eastAsia" w:ascii="宋体" w:hAnsi="宋体" w:eastAsia="宋体" w:cs="宋体"/>
                <w:color w:val="auto"/>
              </w:rPr>
              <w:t>部门使用预算资金是否符合相关的预算财务管理制度的规定，反映和评价部门预算资金的规范运行情况。</w:t>
            </w:r>
          </w:p>
          <w:p w14:paraId="6BF672BB">
            <w:pPr>
              <w:spacing w:after="0" w:line="240" w:lineRule="exact"/>
              <w:rPr>
                <w:rFonts w:ascii="宋体" w:hAnsi="宋体" w:eastAsia="宋体" w:cs="宋体"/>
                <w:color w:val="auto"/>
              </w:rPr>
            </w:pPr>
            <w:r>
              <w:rPr>
                <w:rFonts w:hint="eastAsia" w:ascii="宋体" w:hAnsi="宋体" w:eastAsia="宋体" w:cs="宋体"/>
                <w:color w:val="auto"/>
              </w:rPr>
              <w:t>评价要点：</w:t>
            </w:r>
          </w:p>
          <w:p w14:paraId="66FD35A4">
            <w:pPr>
              <w:spacing w:after="0" w:line="240" w:lineRule="exact"/>
              <w:rPr>
                <w:rFonts w:ascii="宋体" w:hAnsi="宋体" w:eastAsia="宋体" w:cs="宋体"/>
                <w:color w:val="auto"/>
              </w:rPr>
            </w:pPr>
            <w:r>
              <w:rPr>
                <w:rFonts w:hint="eastAsia" w:ascii="宋体" w:hAnsi="宋体" w:eastAsia="宋体" w:cs="宋体"/>
                <w:color w:val="auto"/>
              </w:rPr>
              <w:t>1.符合国家财经法规和财务管理制度规定以及有关部门资金管理办法的规定；</w:t>
            </w:r>
          </w:p>
          <w:p w14:paraId="41F04EC3">
            <w:pPr>
              <w:spacing w:after="0" w:line="240" w:lineRule="exact"/>
              <w:rPr>
                <w:rFonts w:ascii="宋体" w:hAnsi="宋体" w:eastAsia="宋体" w:cs="宋体"/>
                <w:color w:val="auto"/>
              </w:rPr>
            </w:pPr>
            <w:r>
              <w:rPr>
                <w:rFonts w:hint="eastAsia" w:ascii="宋体" w:hAnsi="宋体" w:eastAsia="宋体" w:cs="宋体"/>
                <w:color w:val="auto"/>
              </w:rPr>
              <w:t>2.资金的拨付有完整的审批过程和手续；</w:t>
            </w:r>
          </w:p>
          <w:p w14:paraId="6B5CABAD">
            <w:pPr>
              <w:spacing w:after="0" w:line="240" w:lineRule="exact"/>
              <w:rPr>
                <w:rFonts w:ascii="宋体" w:hAnsi="宋体" w:eastAsia="宋体" w:cs="宋体"/>
                <w:color w:val="auto"/>
              </w:rPr>
            </w:pPr>
            <w:r>
              <w:rPr>
                <w:rFonts w:hint="eastAsia" w:ascii="宋体" w:hAnsi="宋体" w:eastAsia="宋体" w:cs="宋体"/>
                <w:color w:val="auto"/>
              </w:rPr>
              <w:t>3.项目的重大开支经过评估论证；</w:t>
            </w:r>
          </w:p>
          <w:p w14:paraId="1005D38A">
            <w:pPr>
              <w:spacing w:after="0" w:line="240" w:lineRule="exact"/>
              <w:rPr>
                <w:rFonts w:ascii="宋体" w:hAnsi="宋体" w:eastAsia="宋体" w:cs="宋体"/>
                <w:color w:val="auto"/>
              </w:rPr>
            </w:pPr>
            <w:r>
              <w:rPr>
                <w:rFonts w:hint="eastAsia" w:ascii="宋体" w:hAnsi="宋体" w:eastAsia="宋体" w:cs="宋体"/>
                <w:color w:val="auto"/>
              </w:rPr>
              <w:t>4.符合部门预算批复的用途；</w:t>
            </w:r>
          </w:p>
          <w:p w14:paraId="2C2FDEF4">
            <w:pPr>
              <w:spacing w:after="0" w:line="240" w:lineRule="exact"/>
              <w:rPr>
                <w:rFonts w:ascii="宋体" w:hAnsi="宋体" w:eastAsia="宋体" w:cs="宋体"/>
                <w:color w:val="auto"/>
              </w:rPr>
            </w:pPr>
            <w:r>
              <w:rPr>
                <w:rFonts w:hint="eastAsia" w:ascii="宋体" w:hAnsi="宋体" w:eastAsia="宋体" w:cs="宋体"/>
                <w:color w:val="auto"/>
              </w:rPr>
              <w:t>5.不存在截留情况；6.不存在挤占情况；</w:t>
            </w:r>
          </w:p>
          <w:p w14:paraId="56CC9B59">
            <w:pPr>
              <w:spacing w:after="0" w:line="240" w:lineRule="exact"/>
              <w:rPr>
                <w:rFonts w:ascii="宋体" w:hAnsi="宋体" w:eastAsia="宋体" w:cs="宋体"/>
                <w:color w:val="auto"/>
              </w:rPr>
            </w:pPr>
            <w:r>
              <w:rPr>
                <w:rFonts w:hint="eastAsia" w:ascii="宋体" w:hAnsi="宋体" w:eastAsia="宋体" w:cs="宋体"/>
                <w:color w:val="auto"/>
              </w:rPr>
              <w:t>7.不存在挪用情况；8.不存在虚列支出情况。</w:t>
            </w:r>
          </w:p>
        </w:tc>
        <w:tc>
          <w:tcPr>
            <w:tcW w:w="3423" w:type="dxa"/>
            <w:tcBorders>
              <w:top w:val="single" w:color="000000" w:sz="4" w:space="0"/>
              <w:left w:val="single" w:color="auto" w:sz="4" w:space="0"/>
              <w:bottom w:val="single" w:color="000000" w:sz="4" w:space="0"/>
              <w:right w:val="single" w:color="auto" w:sz="4" w:space="0"/>
            </w:tcBorders>
            <w:vAlign w:val="center"/>
          </w:tcPr>
          <w:p w14:paraId="78D1BA0E">
            <w:pPr>
              <w:spacing w:after="0" w:line="240" w:lineRule="exact"/>
              <w:rPr>
                <w:rFonts w:ascii="宋体" w:hAnsi="宋体" w:eastAsia="宋体" w:cs="宋体"/>
                <w:color w:val="auto"/>
              </w:rPr>
            </w:pPr>
            <w:r>
              <w:rPr>
                <w:rFonts w:hint="eastAsia" w:ascii="宋体" w:hAnsi="宋体" w:eastAsia="宋体" w:cs="宋体"/>
                <w:color w:val="auto"/>
              </w:rPr>
              <w:t>全部符合（9分）；</w:t>
            </w:r>
          </w:p>
          <w:p w14:paraId="663030C3">
            <w:pPr>
              <w:spacing w:after="0" w:line="240" w:lineRule="exact"/>
              <w:rPr>
                <w:rFonts w:ascii="宋体" w:hAnsi="宋体" w:eastAsia="宋体" w:cs="宋体"/>
                <w:color w:val="auto"/>
              </w:rPr>
            </w:pPr>
            <w:r>
              <w:rPr>
                <w:rFonts w:hint="eastAsia" w:ascii="宋体" w:hAnsi="宋体" w:eastAsia="宋体" w:cs="宋体"/>
                <w:color w:val="auto"/>
              </w:rPr>
              <w:t>符合其中七项（8分）；</w:t>
            </w:r>
          </w:p>
          <w:p w14:paraId="013DC549">
            <w:pPr>
              <w:spacing w:after="0" w:line="240" w:lineRule="exact"/>
              <w:rPr>
                <w:rFonts w:ascii="宋体" w:hAnsi="宋体" w:eastAsia="宋体" w:cs="宋体"/>
                <w:color w:val="auto"/>
              </w:rPr>
            </w:pPr>
            <w:r>
              <w:rPr>
                <w:rFonts w:hint="eastAsia" w:ascii="宋体" w:hAnsi="宋体" w:eastAsia="宋体" w:cs="宋体"/>
                <w:color w:val="auto"/>
              </w:rPr>
              <w:t>符合其中六项（5分）；</w:t>
            </w:r>
          </w:p>
          <w:p w14:paraId="54E00F48">
            <w:pPr>
              <w:spacing w:after="0" w:line="240" w:lineRule="exact"/>
              <w:rPr>
                <w:rFonts w:ascii="宋体" w:hAnsi="宋体" w:eastAsia="宋体" w:cs="宋体"/>
                <w:color w:val="auto"/>
              </w:rPr>
            </w:pPr>
            <w:r>
              <w:rPr>
                <w:rFonts w:hint="eastAsia" w:ascii="宋体" w:hAnsi="宋体" w:eastAsia="宋体" w:cs="宋体"/>
                <w:color w:val="auto"/>
              </w:rPr>
              <w:t>符合其中五项（3分）；</w:t>
            </w:r>
          </w:p>
          <w:p w14:paraId="4D58F2EC">
            <w:pPr>
              <w:spacing w:after="0" w:line="68" w:lineRule="atLeast"/>
              <w:rPr>
                <w:rFonts w:ascii="宋体" w:hAnsi="宋体" w:eastAsia="宋体" w:cs="宋体"/>
                <w:color w:val="auto"/>
              </w:rPr>
            </w:pPr>
            <w:r>
              <w:rPr>
                <w:rFonts w:hint="eastAsia" w:ascii="宋体" w:hAnsi="宋体" w:eastAsia="宋体" w:cs="宋体"/>
                <w:color w:val="auto"/>
              </w:rPr>
              <w:t>符合其中四项及以下（0分）。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32342D2F">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9</w:t>
            </w:r>
          </w:p>
        </w:tc>
      </w:tr>
      <w:tr w14:paraId="6CA2D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3" w:hRule="atLeast"/>
          <w:jc w:val="center"/>
        </w:trPr>
        <w:tc>
          <w:tcPr>
            <w:tcW w:w="733" w:type="dxa"/>
            <w:vMerge w:val="continue"/>
            <w:tcBorders>
              <w:left w:val="single" w:color="000000" w:sz="4" w:space="0"/>
              <w:right w:val="single" w:color="000000" w:sz="4" w:space="0"/>
            </w:tcBorders>
            <w:vAlign w:val="center"/>
          </w:tcPr>
          <w:p w14:paraId="1D9F9A49">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002DDA7D">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57D12A04">
            <w:pPr>
              <w:spacing w:after="0" w:line="68" w:lineRule="atLeast"/>
              <w:rPr>
                <w:rFonts w:ascii="宋体" w:hAnsi="宋体" w:eastAsia="宋体" w:cs="宋体"/>
                <w:color w:val="auto"/>
              </w:rPr>
            </w:pPr>
            <w:r>
              <w:rPr>
                <w:rFonts w:hint="eastAsia" w:ascii="宋体" w:hAnsi="宋体" w:eastAsia="宋体" w:cs="宋体"/>
                <w:color w:val="auto"/>
              </w:rPr>
              <w:t>预决算信息公开性（3分）</w:t>
            </w:r>
          </w:p>
        </w:tc>
        <w:tc>
          <w:tcPr>
            <w:tcW w:w="6911" w:type="dxa"/>
            <w:tcBorders>
              <w:top w:val="single" w:color="000000" w:sz="4" w:space="0"/>
              <w:left w:val="single" w:color="auto" w:sz="4" w:space="0"/>
              <w:bottom w:val="single" w:color="000000" w:sz="4" w:space="0"/>
              <w:right w:val="single" w:color="auto" w:sz="4" w:space="0"/>
            </w:tcBorders>
            <w:vAlign w:val="center"/>
          </w:tcPr>
          <w:p w14:paraId="4B6823FF">
            <w:pPr>
              <w:spacing w:after="0" w:line="240" w:lineRule="exact"/>
              <w:rPr>
                <w:rFonts w:ascii="宋体" w:hAnsi="宋体" w:eastAsia="宋体" w:cs="宋体"/>
                <w:color w:val="auto"/>
              </w:rPr>
            </w:pPr>
            <w:r>
              <w:rPr>
                <w:rFonts w:hint="eastAsia" w:ascii="宋体" w:hAnsi="宋体" w:eastAsia="宋体" w:cs="宋体"/>
                <w:color w:val="auto"/>
              </w:rPr>
              <w:t>部门是否按照政府信息公开有关规定公开相关预决算信息，用以反映和评价部门预决算管理的公开透明情况。</w:t>
            </w:r>
          </w:p>
          <w:p w14:paraId="7025BCA2">
            <w:pPr>
              <w:spacing w:after="0" w:line="240" w:lineRule="exact"/>
              <w:rPr>
                <w:rFonts w:ascii="宋体" w:hAnsi="宋体" w:eastAsia="宋体" w:cs="宋体"/>
                <w:color w:val="auto"/>
              </w:rPr>
            </w:pPr>
            <w:r>
              <w:rPr>
                <w:rFonts w:hint="eastAsia" w:ascii="宋体" w:hAnsi="宋体" w:eastAsia="宋体" w:cs="宋体"/>
                <w:color w:val="auto"/>
              </w:rPr>
              <w:t>预决算信息是指与部门预算、执行、决算、监督、绩效等管理相关的信息。</w:t>
            </w:r>
          </w:p>
          <w:p w14:paraId="67E24FFB">
            <w:pPr>
              <w:spacing w:after="0" w:line="240" w:lineRule="exact"/>
              <w:rPr>
                <w:rFonts w:ascii="宋体" w:hAnsi="宋体" w:eastAsia="宋体" w:cs="宋体"/>
                <w:color w:val="auto"/>
              </w:rPr>
            </w:pPr>
            <w:r>
              <w:rPr>
                <w:rFonts w:hint="eastAsia" w:ascii="宋体" w:hAnsi="宋体" w:eastAsia="宋体" w:cs="宋体"/>
                <w:color w:val="auto"/>
              </w:rPr>
              <w:t>评价要点：</w:t>
            </w:r>
          </w:p>
          <w:p w14:paraId="3C1CBED7">
            <w:pPr>
              <w:spacing w:after="0" w:line="240" w:lineRule="exact"/>
              <w:rPr>
                <w:rFonts w:ascii="宋体" w:hAnsi="宋体" w:eastAsia="宋体" w:cs="宋体"/>
                <w:color w:val="auto"/>
              </w:rPr>
            </w:pPr>
            <w:r>
              <w:rPr>
                <w:rFonts w:hint="eastAsia" w:ascii="宋体" w:hAnsi="宋体" w:eastAsia="宋体" w:cs="宋体"/>
                <w:color w:val="auto"/>
              </w:rPr>
              <w:t>1.公开预决算信息；</w:t>
            </w:r>
          </w:p>
          <w:p w14:paraId="718C972E">
            <w:pPr>
              <w:spacing w:after="0" w:line="240" w:lineRule="exact"/>
              <w:rPr>
                <w:rFonts w:ascii="宋体" w:hAnsi="宋体" w:eastAsia="宋体" w:cs="宋体"/>
                <w:color w:val="auto"/>
              </w:rPr>
            </w:pPr>
            <w:r>
              <w:rPr>
                <w:rFonts w:hint="eastAsia" w:ascii="宋体" w:hAnsi="宋体" w:eastAsia="宋体" w:cs="宋体"/>
                <w:color w:val="auto"/>
              </w:rPr>
              <w:t>2.按规定内容公开预决算信息；</w:t>
            </w:r>
          </w:p>
          <w:p w14:paraId="7D5561BF">
            <w:pPr>
              <w:spacing w:after="0" w:line="68" w:lineRule="atLeast"/>
              <w:rPr>
                <w:rFonts w:ascii="宋体" w:hAnsi="宋体" w:eastAsia="宋体" w:cs="宋体"/>
                <w:color w:val="auto"/>
              </w:rPr>
            </w:pPr>
            <w:r>
              <w:rPr>
                <w:rFonts w:hint="eastAsia" w:ascii="宋体" w:hAnsi="宋体" w:eastAsia="宋体" w:cs="宋体"/>
                <w:color w:val="auto"/>
              </w:rPr>
              <w:t>3.按规定时限公开预决算信息。</w:t>
            </w:r>
          </w:p>
        </w:tc>
        <w:tc>
          <w:tcPr>
            <w:tcW w:w="3423" w:type="dxa"/>
            <w:tcBorders>
              <w:top w:val="single" w:color="000000" w:sz="4" w:space="0"/>
              <w:left w:val="single" w:color="auto" w:sz="4" w:space="0"/>
              <w:bottom w:val="single" w:color="000000" w:sz="4" w:space="0"/>
              <w:right w:val="single" w:color="auto" w:sz="4" w:space="0"/>
            </w:tcBorders>
            <w:vAlign w:val="center"/>
          </w:tcPr>
          <w:p w14:paraId="3DDF961F">
            <w:pPr>
              <w:spacing w:after="0" w:line="240" w:lineRule="exact"/>
              <w:rPr>
                <w:rFonts w:ascii="宋体" w:hAnsi="宋体" w:eastAsia="宋体" w:cs="宋体"/>
                <w:color w:val="auto"/>
              </w:rPr>
            </w:pPr>
            <w:r>
              <w:rPr>
                <w:rFonts w:hint="eastAsia" w:ascii="宋体" w:hAnsi="宋体" w:eastAsia="宋体" w:cs="宋体"/>
                <w:color w:val="auto"/>
              </w:rPr>
              <w:t>全部符合（3分）；</w:t>
            </w:r>
          </w:p>
          <w:p w14:paraId="19478A92">
            <w:pPr>
              <w:spacing w:after="0" w:line="240" w:lineRule="exact"/>
              <w:rPr>
                <w:rFonts w:ascii="宋体" w:hAnsi="宋体" w:eastAsia="宋体" w:cs="宋体"/>
                <w:color w:val="auto"/>
              </w:rPr>
            </w:pPr>
            <w:r>
              <w:rPr>
                <w:rFonts w:hint="eastAsia" w:ascii="宋体" w:hAnsi="宋体" w:eastAsia="宋体" w:cs="宋体"/>
                <w:color w:val="auto"/>
              </w:rPr>
              <w:t>符合其中两项（2分）</w:t>
            </w:r>
          </w:p>
          <w:p w14:paraId="312FDE57">
            <w:pPr>
              <w:spacing w:after="0" w:line="68" w:lineRule="atLeast"/>
              <w:rPr>
                <w:rFonts w:ascii="宋体" w:hAnsi="宋体" w:eastAsia="宋体" w:cs="宋体"/>
                <w:color w:val="auto"/>
              </w:rPr>
            </w:pPr>
            <w:r>
              <w:rPr>
                <w:rFonts w:hint="eastAsia" w:ascii="宋体" w:hAnsi="宋体" w:eastAsia="宋体" w:cs="宋体"/>
                <w:color w:val="auto"/>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4EBC2FEF">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52199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4" w:hRule="atLeast"/>
          <w:jc w:val="center"/>
        </w:trPr>
        <w:tc>
          <w:tcPr>
            <w:tcW w:w="733" w:type="dxa"/>
            <w:vMerge w:val="continue"/>
            <w:tcBorders>
              <w:left w:val="single" w:color="000000" w:sz="4" w:space="0"/>
              <w:right w:val="single" w:color="000000" w:sz="4" w:space="0"/>
            </w:tcBorders>
            <w:vAlign w:val="center"/>
          </w:tcPr>
          <w:p w14:paraId="02909ADF">
            <w:pPr>
              <w:spacing w:after="0"/>
              <w:rPr>
                <w:rFonts w:ascii="宋体" w:hAnsi="宋体" w:eastAsia="宋体" w:cs="宋体"/>
                <w:color w:val="auto"/>
              </w:rPr>
            </w:pPr>
          </w:p>
        </w:tc>
        <w:tc>
          <w:tcPr>
            <w:tcW w:w="803" w:type="dxa"/>
            <w:vMerge w:val="continue"/>
            <w:tcBorders>
              <w:left w:val="single" w:color="000000" w:sz="4" w:space="0"/>
              <w:bottom w:val="single" w:color="000000" w:sz="4" w:space="0"/>
              <w:right w:val="single" w:color="000000" w:sz="4" w:space="0"/>
            </w:tcBorders>
            <w:vAlign w:val="center"/>
          </w:tcPr>
          <w:p w14:paraId="71206473">
            <w:pPr>
              <w:spacing w:after="0"/>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31A5E01F">
            <w:pPr>
              <w:spacing w:after="0" w:line="68" w:lineRule="atLeast"/>
              <w:rPr>
                <w:rFonts w:ascii="宋体" w:hAnsi="宋体" w:eastAsia="宋体" w:cs="宋体"/>
                <w:color w:val="auto"/>
              </w:rPr>
            </w:pPr>
            <w:r>
              <w:rPr>
                <w:rFonts w:hint="eastAsia" w:ascii="宋体" w:hAnsi="宋体" w:eastAsia="宋体" w:cs="宋体"/>
                <w:color w:val="auto"/>
              </w:rPr>
              <w:t>基础信息完善性</w:t>
            </w:r>
          </w:p>
          <w:p w14:paraId="049D50CC">
            <w:pPr>
              <w:spacing w:after="0" w:line="68" w:lineRule="atLeast"/>
              <w:rPr>
                <w:rFonts w:ascii="宋体" w:hAnsi="宋体" w:eastAsia="宋体" w:cs="宋体"/>
                <w:color w:val="auto"/>
              </w:rPr>
            </w:pPr>
            <w:r>
              <w:rPr>
                <w:rFonts w:hint="eastAsia" w:ascii="宋体" w:hAnsi="宋体" w:eastAsia="宋体" w:cs="宋体"/>
                <w:color w:val="auto"/>
              </w:rPr>
              <w:t>（4分）</w:t>
            </w:r>
          </w:p>
        </w:tc>
        <w:tc>
          <w:tcPr>
            <w:tcW w:w="6911" w:type="dxa"/>
            <w:tcBorders>
              <w:top w:val="single" w:color="000000" w:sz="4" w:space="0"/>
              <w:left w:val="single" w:color="auto" w:sz="4" w:space="0"/>
              <w:bottom w:val="single" w:color="000000" w:sz="4" w:space="0"/>
              <w:right w:val="single" w:color="auto" w:sz="4" w:space="0"/>
            </w:tcBorders>
            <w:vAlign w:val="center"/>
          </w:tcPr>
          <w:p w14:paraId="7731DFDC">
            <w:pPr>
              <w:spacing w:after="0" w:line="240" w:lineRule="exact"/>
              <w:rPr>
                <w:rFonts w:ascii="宋体" w:hAnsi="宋体" w:eastAsia="宋体" w:cs="宋体"/>
                <w:color w:val="auto"/>
              </w:rPr>
            </w:pPr>
            <w:r>
              <w:rPr>
                <w:rFonts w:hint="eastAsia" w:ascii="宋体" w:hAnsi="宋体" w:eastAsia="宋体" w:cs="宋体"/>
                <w:color w:val="auto"/>
              </w:rPr>
              <w:t>部门基础信息是否完善，用以反映和评价基础信息对预算管理工作的支撑情况。</w:t>
            </w:r>
          </w:p>
          <w:p w14:paraId="6F60D095">
            <w:pPr>
              <w:spacing w:after="0" w:line="240" w:lineRule="exact"/>
              <w:rPr>
                <w:rFonts w:ascii="宋体" w:hAnsi="宋体" w:eastAsia="宋体" w:cs="宋体"/>
                <w:color w:val="auto"/>
              </w:rPr>
            </w:pPr>
            <w:r>
              <w:rPr>
                <w:rFonts w:hint="eastAsia" w:ascii="宋体" w:hAnsi="宋体" w:eastAsia="宋体" w:cs="宋体"/>
                <w:color w:val="auto"/>
              </w:rPr>
              <w:t>评价要点：</w:t>
            </w:r>
          </w:p>
          <w:p w14:paraId="3984CE88">
            <w:pPr>
              <w:spacing w:after="0" w:line="240" w:lineRule="exact"/>
              <w:rPr>
                <w:rFonts w:ascii="宋体" w:hAnsi="宋体" w:eastAsia="宋体" w:cs="宋体"/>
                <w:color w:val="auto"/>
              </w:rPr>
            </w:pPr>
            <w:r>
              <w:rPr>
                <w:rFonts w:hint="eastAsia" w:ascii="宋体" w:hAnsi="宋体" w:eastAsia="宋体" w:cs="宋体"/>
                <w:color w:val="auto"/>
              </w:rPr>
              <w:t>1.基本财务管理制度健全；</w:t>
            </w:r>
          </w:p>
          <w:p w14:paraId="6F7AAE2C">
            <w:pPr>
              <w:spacing w:after="0" w:line="240" w:lineRule="exact"/>
              <w:rPr>
                <w:rFonts w:ascii="宋体" w:hAnsi="宋体" w:eastAsia="宋体" w:cs="宋体"/>
                <w:color w:val="auto"/>
              </w:rPr>
            </w:pPr>
            <w:r>
              <w:rPr>
                <w:rFonts w:hint="eastAsia" w:ascii="宋体" w:hAnsi="宋体" w:eastAsia="宋体" w:cs="宋体"/>
                <w:color w:val="auto"/>
              </w:rPr>
              <w:t>2.基础数据信息和会计信息资料真实；</w:t>
            </w:r>
          </w:p>
          <w:p w14:paraId="55B7E604">
            <w:pPr>
              <w:spacing w:after="0" w:line="240" w:lineRule="exact"/>
              <w:rPr>
                <w:rFonts w:ascii="宋体" w:hAnsi="宋体" w:eastAsia="宋体" w:cs="宋体"/>
                <w:color w:val="auto"/>
              </w:rPr>
            </w:pPr>
            <w:r>
              <w:rPr>
                <w:rFonts w:hint="eastAsia" w:ascii="宋体" w:hAnsi="宋体" w:eastAsia="宋体" w:cs="宋体"/>
                <w:color w:val="auto"/>
              </w:rPr>
              <w:t>3.基础数据信息和会计信息资料完整；</w:t>
            </w:r>
          </w:p>
          <w:p w14:paraId="5C09A9EB">
            <w:pPr>
              <w:spacing w:after="0" w:line="68" w:lineRule="atLeast"/>
              <w:rPr>
                <w:rFonts w:ascii="宋体" w:hAnsi="宋体" w:eastAsia="宋体" w:cs="宋体"/>
                <w:color w:val="auto"/>
              </w:rPr>
            </w:pPr>
            <w:r>
              <w:rPr>
                <w:rFonts w:hint="eastAsia" w:ascii="宋体" w:hAnsi="宋体" w:eastAsia="宋体" w:cs="宋体"/>
                <w:color w:val="auto"/>
              </w:rPr>
              <w:t>4.基础数据信息和会计信息资料准确。</w:t>
            </w:r>
          </w:p>
        </w:tc>
        <w:tc>
          <w:tcPr>
            <w:tcW w:w="3423" w:type="dxa"/>
            <w:tcBorders>
              <w:top w:val="single" w:color="000000" w:sz="4" w:space="0"/>
              <w:left w:val="single" w:color="auto" w:sz="4" w:space="0"/>
              <w:bottom w:val="single" w:color="000000" w:sz="4" w:space="0"/>
              <w:right w:val="single" w:color="auto" w:sz="4" w:space="0"/>
            </w:tcBorders>
            <w:vAlign w:val="center"/>
          </w:tcPr>
          <w:p w14:paraId="5E1A7354">
            <w:pPr>
              <w:spacing w:after="0" w:line="240" w:lineRule="exact"/>
              <w:rPr>
                <w:rFonts w:ascii="宋体" w:hAnsi="宋体" w:eastAsia="宋体" w:cs="宋体"/>
                <w:color w:val="auto"/>
              </w:rPr>
            </w:pPr>
            <w:r>
              <w:rPr>
                <w:rFonts w:hint="eastAsia" w:ascii="宋体" w:hAnsi="宋体" w:eastAsia="宋体" w:cs="宋体"/>
                <w:color w:val="auto"/>
              </w:rPr>
              <w:t>符合全部四项（4分）；</w:t>
            </w:r>
          </w:p>
          <w:p w14:paraId="19E772C5">
            <w:pPr>
              <w:spacing w:after="0" w:line="240" w:lineRule="exact"/>
              <w:rPr>
                <w:rFonts w:ascii="宋体" w:hAnsi="宋体" w:eastAsia="宋体" w:cs="宋体"/>
                <w:color w:val="auto"/>
              </w:rPr>
            </w:pPr>
            <w:r>
              <w:rPr>
                <w:rFonts w:hint="eastAsia" w:ascii="宋体" w:hAnsi="宋体" w:eastAsia="宋体" w:cs="宋体"/>
                <w:color w:val="auto"/>
              </w:rPr>
              <w:t>符合其中三项（2分）；</w:t>
            </w:r>
          </w:p>
          <w:p w14:paraId="0CD3F5BD">
            <w:pPr>
              <w:spacing w:after="0" w:line="240" w:lineRule="exact"/>
              <w:rPr>
                <w:rFonts w:ascii="宋体" w:hAnsi="宋体" w:eastAsia="宋体" w:cs="宋体"/>
                <w:color w:val="auto"/>
              </w:rPr>
            </w:pPr>
            <w:r>
              <w:rPr>
                <w:rFonts w:hint="eastAsia" w:ascii="宋体" w:hAnsi="宋体" w:eastAsia="宋体" w:cs="宋体"/>
                <w:color w:val="auto"/>
              </w:rPr>
              <w:t>符合其中两项（1分）；</w:t>
            </w:r>
          </w:p>
          <w:p w14:paraId="3F27B985">
            <w:pPr>
              <w:spacing w:after="0" w:line="68" w:lineRule="atLeast"/>
              <w:rPr>
                <w:rFonts w:ascii="宋体" w:hAnsi="宋体" w:eastAsia="宋体" w:cs="宋体"/>
                <w:color w:val="auto"/>
              </w:rPr>
            </w:pPr>
            <w:r>
              <w:rPr>
                <w:rFonts w:hint="eastAsia" w:ascii="宋体" w:hAnsi="宋体" w:eastAsia="宋体" w:cs="宋体"/>
                <w:color w:val="auto"/>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0F899787">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4</w:t>
            </w:r>
          </w:p>
        </w:tc>
      </w:tr>
      <w:tr w14:paraId="2FAC8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5" w:hRule="atLeast"/>
          <w:jc w:val="center"/>
        </w:trPr>
        <w:tc>
          <w:tcPr>
            <w:tcW w:w="733" w:type="dxa"/>
            <w:vMerge w:val="continue"/>
            <w:tcBorders>
              <w:left w:val="single" w:color="000000" w:sz="4" w:space="0"/>
              <w:right w:val="single" w:color="000000" w:sz="4" w:space="0"/>
            </w:tcBorders>
            <w:vAlign w:val="center"/>
          </w:tcPr>
          <w:p w14:paraId="0CC8F0CD">
            <w:pPr>
              <w:spacing w:after="0"/>
              <w:rPr>
                <w:rFonts w:ascii="宋体" w:hAnsi="宋体" w:eastAsia="宋体" w:cs="宋体"/>
                <w:color w:val="auto"/>
              </w:rPr>
            </w:pPr>
          </w:p>
        </w:tc>
        <w:tc>
          <w:tcPr>
            <w:tcW w:w="803" w:type="dxa"/>
            <w:vMerge w:val="restart"/>
            <w:tcBorders>
              <w:left w:val="single" w:color="000000" w:sz="4" w:space="0"/>
              <w:right w:val="single" w:color="000000" w:sz="4" w:space="0"/>
            </w:tcBorders>
            <w:vAlign w:val="center"/>
          </w:tcPr>
          <w:p w14:paraId="294C5FCC">
            <w:pPr>
              <w:spacing w:after="0" w:line="68" w:lineRule="atLeast"/>
              <w:rPr>
                <w:rFonts w:ascii="宋体" w:hAnsi="宋体" w:eastAsia="宋体" w:cs="宋体"/>
                <w:color w:val="auto"/>
              </w:rPr>
            </w:pPr>
            <w:r>
              <w:rPr>
                <w:rFonts w:hint="eastAsia" w:ascii="宋体" w:hAnsi="宋体" w:eastAsia="宋体" w:cs="宋体"/>
                <w:color w:val="auto"/>
              </w:rPr>
              <w:t>资产管理（8分）</w:t>
            </w:r>
          </w:p>
        </w:tc>
        <w:tc>
          <w:tcPr>
            <w:tcW w:w="1182" w:type="dxa"/>
            <w:tcBorders>
              <w:top w:val="single" w:color="000000" w:sz="4" w:space="0"/>
              <w:left w:val="single" w:color="000000" w:sz="4" w:space="0"/>
              <w:bottom w:val="single" w:color="000000" w:sz="4" w:space="0"/>
              <w:right w:val="single" w:color="auto" w:sz="4" w:space="0"/>
            </w:tcBorders>
            <w:vAlign w:val="center"/>
          </w:tcPr>
          <w:p w14:paraId="4CD872B0">
            <w:pPr>
              <w:spacing w:after="0" w:line="68" w:lineRule="atLeast"/>
              <w:rPr>
                <w:rFonts w:ascii="宋体" w:hAnsi="宋体" w:eastAsia="宋体" w:cs="宋体"/>
                <w:color w:val="auto"/>
              </w:rPr>
            </w:pPr>
            <w:r>
              <w:rPr>
                <w:rFonts w:hint="eastAsia" w:ascii="宋体" w:hAnsi="宋体" w:eastAsia="宋体" w:cs="宋体"/>
                <w:color w:val="auto"/>
              </w:rPr>
              <w:t>管理制度健全性</w:t>
            </w:r>
          </w:p>
          <w:p w14:paraId="036DB460">
            <w:pPr>
              <w:spacing w:after="0" w:line="68" w:lineRule="atLeast"/>
              <w:rPr>
                <w:rFonts w:ascii="宋体" w:hAnsi="宋体" w:eastAsia="宋体" w:cs="宋体"/>
                <w:color w:val="auto"/>
              </w:rPr>
            </w:pPr>
            <w:r>
              <w:rPr>
                <w:rFonts w:hint="eastAsia" w:ascii="宋体" w:hAnsi="宋体" w:eastAsia="宋体" w:cs="宋体"/>
                <w:color w:val="auto"/>
              </w:rPr>
              <w:t>（2分）</w:t>
            </w:r>
          </w:p>
        </w:tc>
        <w:tc>
          <w:tcPr>
            <w:tcW w:w="6911" w:type="dxa"/>
            <w:tcBorders>
              <w:top w:val="single" w:color="000000" w:sz="4" w:space="0"/>
              <w:left w:val="single" w:color="auto" w:sz="4" w:space="0"/>
              <w:bottom w:val="single" w:color="000000" w:sz="4" w:space="0"/>
              <w:right w:val="single" w:color="auto" w:sz="4" w:space="0"/>
            </w:tcBorders>
            <w:vAlign w:val="center"/>
          </w:tcPr>
          <w:p w14:paraId="3D873D5F">
            <w:pPr>
              <w:spacing w:after="0" w:line="240" w:lineRule="exact"/>
              <w:rPr>
                <w:rFonts w:ascii="宋体" w:hAnsi="宋体" w:eastAsia="宋体" w:cs="宋体"/>
                <w:color w:val="auto"/>
              </w:rPr>
            </w:pPr>
            <w:r>
              <w:rPr>
                <w:rFonts w:hint="eastAsia" w:ascii="宋体" w:hAnsi="宋体" w:eastAsia="宋体" w:cs="宋体"/>
                <w:color w:val="auto"/>
              </w:rPr>
              <w:t>部门为加强资产管理、规范资产管理行为而制定的管理制度是否健全完整，用以反映和考核部门资产管理制度对完成主要职责或促进社会发展的保障情况。</w:t>
            </w:r>
          </w:p>
          <w:p w14:paraId="46300208">
            <w:pPr>
              <w:spacing w:after="0" w:line="240" w:lineRule="exact"/>
              <w:rPr>
                <w:rFonts w:ascii="宋体" w:hAnsi="宋体" w:eastAsia="宋体" w:cs="宋体"/>
                <w:color w:val="auto"/>
              </w:rPr>
            </w:pPr>
            <w:r>
              <w:rPr>
                <w:rFonts w:hint="eastAsia" w:ascii="宋体" w:hAnsi="宋体" w:eastAsia="宋体" w:cs="宋体"/>
                <w:color w:val="auto"/>
              </w:rPr>
              <w:t>评价要点：</w:t>
            </w:r>
          </w:p>
          <w:p w14:paraId="4868F076">
            <w:pPr>
              <w:spacing w:after="0" w:line="240" w:lineRule="exact"/>
              <w:rPr>
                <w:rFonts w:ascii="宋体" w:hAnsi="宋体" w:eastAsia="宋体" w:cs="宋体"/>
                <w:color w:val="auto"/>
              </w:rPr>
            </w:pPr>
            <w:r>
              <w:rPr>
                <w:rFonts w:hint="eastAsia" w:ascii="宋体" w:hAnsi="宋体" w:eastAsia="宋体" w:cs="宋体"/>
                <w:color w:val="auto"/>
              </w:rPr>
              <w:t>1.是否已制定或具有资产管理制度；</w:t>
            </w:r>
          </w:p>
          <w:p w14:paraId="26941F44">
            <w:pPr>
              <w:spacing w:after="0" w:line="240" w:lineRule="exact"/>
              <w:rPr>
                <w:rFonts w:ascii="宋体" w:hAnsi="宋体" w:eastAsia="宋体" w:cs="宋体"/>
                <w:color w:val="auto"/>
              </w:rPr>
            </w:pPr>
            <w:r>
              <w:rPr>
                <w:rFonts w:hint="eastAsia" w:ascii="宋体" w:hAnsi="宋体" w:eastAsia="宋体" w:cs="宋体"/>
                <w:color w:val="auto"/>
              </w:rPr>
              <w:t>2.相关资金管理制度是否合法、合规、完整；</w:t>
            </w:r>
          </w:p>
          <w:p w14:paraId="11BF0658">
            <w:pPr>
              <w:spacing w:after="0" w:line="240" w:lineRule="exact"/>
              <w:rPr>
                <w:rFonts w:ascii="宋体" w:hAnsi="宋体" w:eastAsia="宋体" w:cs="宋体"/>
                <w:color w:val="auto"/>
              </w:rPr>
            </w:pPr>
            <w:r>
              <w:rPr>
                <w:rFonts w:hint="eastAsia" w:ascii="宋体" w:hAnsi="宋体" w:eastAsia="宋体" w:cs="宋体"/>
                <w:color w:val="auto"/>
              </w:rPr>
              <w:t>3.相关资产管理制度是否得到有效执行。</w:t>
            </w:r>
          </w:p>
        </w:tc>
        <w:tc>
          <w:tcPr>
            <w:tcW w:w="3423" w:type="dxa"/>
            <w:tcBorders>
              <w:top w:val="single" w:color="000000" w:sz="4" w:space="0"/>
              <w:left w:val="single" w:color="auto" w:sz="4" w:space="0"/>
              <w:bottom w:val="single" w:color="000000" w:sz="4" w:space="0"/>
              <w:right w:val="single" w:color="auto" w:sz="4" w:space="0"/>
            </w:tcBorders>
            <w:vAlign w:val="center"/>
          </w:tcPr>
          <w:p w14:paraId="55A07E1E">
            <w:pPr>
              <w:spacing w:after="0" w:line="240" w:lineRule="exact"/>
              <w:rPr>
                <w:rFonts w:ascii="宋体" w:hAnsi="宋体" w:eastAsia="宋体" w:cs="宋体"/>
                <w:color w:val="auto"/>
              </w:rPr>
            </w:pPr>
            <w:r>
              <w:rPr>
                <w:rFonts w:hint="eastAsia" w:ascii="宋体" w:hAnsi="宋体" w:eastAsia="宋体" w:cs="宋体"/>
                <w:color w:val="auto"/>
              </w:rPr>
              <w:t>全部符合（2分）；</w:t>
            </w:r>
          </w:p>
          <w:p w14:paraId="2A22E5AF">
            <w:pPr>
              <w:spacing w:after="0" w:line="240" w:lineRule="exact"/>
              <w:rPr>
                <w:rFonts w:ascii="宋体" w:hAnsi="宋体" w:eastAsia="宋体" w:cs="宋体"/>
                <w:color w:val="auto"/>
              </w:rPr>
            </w:pPr>
            <w:r>
              <w:rPr>
                <w:rFonts w:hint="eastAsia" w:ascii="宋体" w:hAnsi="宋体" w:eastAsia="宋体" w:cs="宋体"/>
                <w:color w:val="auto"/>
              </w:rPr>
              <w:t>符合其中两项（1分）</w:t>
            </w:r>
          </w:p>
          <w:p w14:paraId="1D2DBECA">
            <w:pPr>
              <w:spacing w:after="0" w:line="240" w:lineRule="exact"/>
              <w:rPr>
                <w:rFonts w:ascii="宋体" w:hAnsi="宋体" w:eastAsia="宋体" w:cs="宋体"/>
                <w:color w:val="auto"/>
              </w:rPr>
            </w:pPr>
            <w:r>
              <w:rPr>
                <w:rFonts w:hint="eastAsia" w:ascii="宋体" w:hAnsi="宋体" w:eastAsia="宋体" w:cs="宋体"/>
                <w:color w:val="auto"/>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1DD4AE17">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r>
      <w:tr w14:paraId="13A18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6" w:hRule="atLeast"/>
          <w:jc w:val="center"/>
        </w:trPr>
        <w:tc>
          <w:tcPr>
            <w:tcW w:w="733" w:type="dxa"/>
            <w:vMerge w:val="continue"/>
            <w:tcBorders>
              <w:left w:val="single" w:color="000000" w:sz="4" w:space="0"/>
              <w:right w:val="single" w:color="000000" w:sz="4" w:space="0"/>
            </w:tcBorders>
            <w:vAlign w:val="center"/>
          </w:tcPr>
          <w:p w14:paraId="17E5273E">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255CB6DD">
            <w:pPr>
              <w:spacing w:after="0" w:line="68" w:lineRule="atLeast"/>
              <w:rPr>
                <w:rFonts w:ascii="宋体" w:hAnsi="宋体" w:eastAsia="宋体" w:cs="宋体"/>
                <w:color w:val="auto"/>
              </w:rPr>
            </w:pPr>
          </w:p>
        </w:tc>
        <w:tc>
          <w:tcPr>
            <w:tcW w:w="1182" w:type="dxa"/>
            <w:tcBorders>
              <w:top w:val="single" w:color="auto" w:sz="4" w:space="0"/>
              <w:left w:val="single" w:color="000000" w:sz="4" w:space="0"/>
              <w:bottom w:val="single" w:color="000000" w:sz="4" w:space="0"/>
              <w:right w:val="single" w:color="auto" w:sz="4" w:space="0"/>
            </w:tcBorders>
            <w:vAlign w:val="center"/>
          </w:tcPr>
          <w:p w14:paraId="14A4A8A3">
            <w:pPr>
              <w:spacing w:after="0" w:line="68" w:lineRule="atLeast"/>
              <w:rPr>
                <w:rFonts w:ascii="宋体" w:hAnsi="宋体" w:eastAsia="宋体" w:cs="宋体"/>
                <w:color w:val="auto"/>
              </w:rPr>
            </w:pPr>
            <w:r>
              <w:rPr>
                <w:rFonts w:hint="eastAsia" w:ascii="宋体" w:hAnsi="宋体" w:eastAsia="宋体" w:cs="宋体"/>
                <w:color w:val="auto"/>
              </w:rPr>
              <w:t>资产管理完全性</w:t>
            </w:r>
          </w:p>
          <w:p w14:paraId="4BC102E1">
            <w:pPr>
              <w:spacing w:after="0" w:line="68" w:lineRule="atLeast"/>
              <w:rPr>
                <w:rFonts w:ascii="宋体" w:hAnsi="宋体" w:eastAsia="宋体" w:cs="宋体"/>
                <w:color w:val="auto"/>
              </w:rPr>
            </w:pPr>
            <w:r>
              <w:rPr>
                <w:rFonts w:hint="eastAsia" w:ascii="宋体" w:hAnsi="宋体" w:eastAsia="宋体" w:cs="宋体"/>
                <w:color w:val="auto"/>
              </w:rPr>
              <w:t>（3分）</w:t>
            </w:r>
          </w:p>
        </w:tc>
        <w:tc>
          <w:tcPr>
            <w:tcW w:w="6911" w:type="dxa"/>
            <w:tcBorders>
              <w:top w:val="single" w:color="auto" w:sz="4" w:space="0"/>
              <w:left w:val="single" w:color="auto" w:sz="4" w:space="0"/>
              <w:bottom w:val="single" w:color="000000" w:sz="4" w:space="0"/>
              <w:right w:val="single" w:color="auto" w:sz="4" w:space="0"/>
            </w:tcBorders>
            <w:vAlign w:val="center"/>
          </w:tcPr>
          <w:p w14:paraId="2374DB2A">
            <w:pPr>
              <w:spacing w:after="0" w:line="240" w:lineRule="exact"/>
              <w:rPr>
                <w:rFonts w:ascii="宋体" w:hAnsi="宋体" w:eastAsia="宋体" w:cs="宋体"/>
                <w:color w:val="auto"/>
              </w:rPr>
            </w:pPr>
            <w:r>
              <w:rPr>
                <w:rFonts w:hint="eastAsia" w:ascii="宋体" w:hAnsi="宋体" w:eastAsia="宋体" w:cs="宋体"/>
                <w:color w:val="auto"/>
              </w:rPr>
              <w:t>部门的资产是否保存完整、使用合规、收入及时足额上缴，用以反映和评价部门资产运行情况。</w:t>
            </w:r>
          </w:p>
          <w:p w14:paraId="194CA905">
            <w:pPr>
              <w:spacing w:after="0" w:line="240" w:lineRule="exact"/>
              <w:rPr>
                <w:rFonts w:ascii="宋体" w:hAnsi="宋体" w:eastAsia="宋体" w:cs="宋体"/>
                <w:color w:val="auto"/>
              </w:rPr>
            </w:pPr>
            <w:r>
              <w:rPr>
                <w:rFonts w:hint="eastAsia" w:ascii="宋体" w:hAnsi="宋体" w:eastAsia="宋体" w:cs="宋体"/>
                <w:color w:val="auto"/>
              </w:rPr>
              <w:t>评价要点：</w:t>
            </w:r>
          </w:p>
          <w:p w14:paraId="3D7EFB3A">
            <w:pPr>
              <w:spacing w:after="0" w:line="240" w:lineRule="exact"/>
              <w:rPr>
                <w:rFonts w:ascii="宋体" w:hAnsi="宋体" w:eastAsia="宋体" w:cs="宋体"/>
                <w:color w:val="auto"/>
              </w:rPr>
            </w:pPr>
            <w:r>
              <w:rPr>
                <w:rFonts w:hint="eastAsia" w:ascii="宋体" w:hAnsi="宋体" w:eastAsia="宋体" w:cs="宋体"/>
                <w:color w:val="auto"/>
              </w:rPr>
              <w:t>1.资产保存完整；</w:t>
            </w:r>
          </w:p>
          <w:p w14:paraId="3C5333CC">
            <w:pPr>
              <w:spacing w:after="0" w:line="240" w:lineRule="exact"/>
              <w:rPr>
                <w:rFonts w:ascii="宋体" w:hAnsi="宋体" w:eastAsia="宋体" w:cs="宋体"/>
                <w:color w:val="auto"/>
              </w:rPr>
            </w:pPr>
            <w:r>
              <w:rPr>
                <w:rFonts w:hint="eastAsia" w:ascii="宋体" w:hAnsi="宋体" w:eastAsia="宋体" w:cs="宋体"/>
                <w:color w:val="auto"/>
              </w:rPr>
              <w:t>2.资产账务管理是否合规，</w:t>
            </w:r>
            <w:r>
              <w:rPr>
                <w:rFonts w:hint="eastAsia" w:ascii="宋体" w:hAnsi="宋体" w:eastAsia="宋体" w:cs="宋体"/>
                <w:color w:val="auto"/>
                <w:lang w:val="en-US" w:eastAsia="zh-CN"/>
              </w:rPr>
              <w:t>账</w:t>
            </w:r>
            <w:r>
              <w:rPr>
                <w:rFonts w:hint="eastAsia" w:ascii="宋体" w:hAnsi="宋体" w:eastAsia="宋体" w:cs="宋体"/>
                <w:color w:val="auto"/>
              </w:rPr>
              <w:t>实相符；</w:t>
            </w:r>
          </w:p>
          <w:p w14:paraId="15ABF64A">
            <w:pPr>
              <w:spacing w:after="0" w:line="68" w:lineRule="atLeast"/>
              <w:rPr>
                <w:rFonts w:ascii="宋体" w:hAnsi="宋体" w:eastAsia="宋体" w:cs="宋体"/>
                <w:color w:val="auto"/>
              </w:rPr>
            </w:pPr>
            <w:r>
              <w:rPr>
                <w:rFonts w:hint="eastAsia" w:ascii="宋体" w:hAnsi="宋体" w:eastAsia="宋体" w:cs="宋体"/>
                <w:color w:val="auto"/>
              </w:rPr>
              <w:t>3.资产有偿使用及处置收入及时足额上缴。</w:t>
            </w:r>
          </w:p>
        </w:tc>
        <w:tc>
          <w:tcPr>
            <w:tcW w:w="3423" w:type="dxa"/>
            <w:tcBorders>
              <w:top w:val="single" w:color="auto" w:sz="4" w:space="0"/>
              <w:left w:val="single" w:color="auto" w:sz="4" w:space="0"/>
              <w:bottom w:val="single" w:color="000000" w:sz="4" w:space="0"/>
              <w:right w:val="single" w:color="auto" w:sz="4" w:space="0"/>
            </w:tcBorders>
            <w:vAlign w:val="center"/>
          </w:tcPr>
          <w:p w14:paraId="5B9FDDF4">
            <w:pPr>
              <w:spacing w:after="0" w:line="240" w:lineRule="exact"/>
              <w:rPr>
                <w:rFonts w:ascii="宋体" w:hAnsi="宋体" w:eastAsia="宋体" w:cs="宋体"/>
                <w:color w:val="auto"/>
              </w:rPr>
            </w:pPr>
            <w:r>
              <w:rPr>
                <w:rFonts w:hint="eastAsia" w:ascii="宋体" w:hAnsi="宋体" w:eastAsia="宋体" w:cs="宋体"/>
                <w:color w:val="auto"/>
              </w:rPr>
              <w:t>符合全部三项（3分）；</w:t>
            </w:r>
          </w:p>
          <w:p w14:paraId="462F9F10">
            <w:pPr>
              <w:spacing w:after="0" w:line="240" w:lineRule="exact"/>
              <w:rPr>
                <w:rFonts w:ascii="宋体" w:hAnsi="宋体" w:eastAsia="宋体" w:cs="宋体"/>
                <w:color w:val="auto"/>
              </w:rPr>
            </w:pPr>
            <w:r>
              <w:rPr>
                <w:rFonts w:hint="eastAsia" w:ascii="宋体" w:hAnsi="宋体" w:eastAsia="宋体" w:cs="宋体"/>
                <w:color w:val="auto"/>
              </w:rPr>
              <w:t>符合其中两项（2分）；</w:t>
            </w:r>
          </w:p>
          <w:p w14:paraId="6C3397F9">
            <w:pPr>
              <w:spacing w:after="0" w:line="240" w:lineRule="exact"/>
              <w:rPr>
                <w:rFonts w:ascii="宋体" w:hAnsi="宋体" w:eastAsia="宋体" w:cs="宋体"/>
                <w:color w:val="auto"/>
              </w:rPr>
            </w:pPr>
            <w:r>
              <w:rPr>
                <w:rFonts w:hint="eastAsia" w:ascii="宋体" w:hAnsi="宋体" w:eastAsia="宋体" w:cs="宋体"/>
                <w:color w:val="auto"/>
              </w:rPr>
              <w:t>符合其中一项（1分）；</w:t>
            </w:r>
          </w:p>
          <w:p w14:paraId="4169F912">
            <w:pPr>
              <w:spacing w:after="0" w:line="68" w:lineRule="atLeast"/>
              <w:rPr>
                <w:rFonts w:ascii="宋体" w:hAnsi="宋体" w:eastAsia="宋体" w:cs="宋体"/>
                <w:color w:val="auto"/>
              </w:rPr>
            </w:pPr>
            <w:r>
              <w:rPr>
                <w:rFonts w:hint="eastAsia" w:ascii="宋体" w:hAnsi="宋体" w:eastAsia="宋体" w:cs="宋体"/>
                <w:color w:val="auto"/>
              </w:rPr>
              <w:t>符合零项（0分）。</w:t>
            </w:r>
          </w:p>
        </w:tc>
        <w:tc>
          <w:tcPr>
            <w:tcW w:w="1090" w:type="dxa"/>
            <w:tcBorders>
              <w:top w:val="single" w:color="auto" w:sz="4" w:space="0"/>
              <w:left w:val="single" w:color="auto" w:sz="4" w:space="0"/>
              <w:bottom w:val="single" w:color="000000" w:sz="4" w:space="0"/>
              <w:right w:val="single" w:color="000000" w:sz="4" w:space="0"/>
            </w:tcBorders>
            <w:vAlign w:val="center"/>
          </w:tcPr>
          <w:p w14:paraId="65D3E16A">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7E114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9" w:hRule="atLeast"/>
          <w:jc w:val="center"/>
        </w:trPr>
        <w:tc>
          <w:tcPr>
            <w:tcW w:w="733" w:type="dxa"/>
            <w:vMerge w:val="continue"/>
            <w:tcBorders>
              <w:left w:val="single" w:color="000000" w:sz="4" w:space="0"/>
              <w:right w:val="single" w:color="000000" w:sz="4" w:space="0"/>
            </w:tcBorders>
            <w:vAlign w:val="center"/>
          </w:tcPr>
          <w:p w14:paraId="51B3CEAB">
            <w:pPr>
              <w:spacing w:after="0"/>
              <w:rPr>
                <w:rFonts w:ascii="宋体" w:hAnsi="宋体" w:eastAsia="宋体" w:cs="宋体"/>
                <w:color w:val="auto"/>
              </w:rPr>
            </w:pPr>
          </w:p>
        </w:tc>
        <w:tc>
          <w:tcPr>
            <w:tcW w:w="803" w:type="dxa"/>
            <w:vMerge w:val="continue"/>
            <w:tcBorders>
              <w:left w:val="single" w:color="000000" w:sz="4" w:space="0"/>
              <w:bottom w:val="single" w:color="000000" w:sz="4" w:space="0"/>
              <w:right w:val="single" w:color="000000" w:sz="4" w:space="0"/>
            </w:tcBorders>
            <w:vAlign w:val="center"/>
          </w:tcPr>
          <w:p w14:paraId="4257EB9E">
            <w:pPr>
              <w:spacing w:after="0"/>
              <w:rPr>
                <w:rFonts w:ascii="宋体" w:hAnsi="宋体" w:eastAsia="宋体" w:cs="宋体"/>
                <w:color w:val="auto"/>
              </w:rPr>
            </w:pPr>
          </w:p>
        </w:tc>
        <w:tc>
          <w:tcPr>
            <w:tcW w:w="1182" w:type="dxa"/>
            <w:tcBorders>
              <w:top w:val="single" w:color="auto" w:sz="4" w:space="0"/>
              <w:left w:val="single" w:color="000000" w:sz="4" w:space="0"/>
              <w:bottom w:val="single" w:color="000000" w:sz="4" w:space="0"/>
              <w:right w:val="single" w:color="auto" w:sz="4" w:space="0"/>
            </w:tcBorders>
            <w:vAlign w:val="center"/>
          </w:tcPr>
          <w:p w14:paraId="6BA35FF3">
            <w:pPr>
              <w:spacing w:after="0" w:line="68" w:lineRule="atLeast"/>
              <w:rPr>
                <w:rFonts w:ascii="宋体" w:hAnsi="宋体" w:eastAsia="宋体" w:cs="宋体"/>
                <w:color w:val="auto"/>
              </w:rPr>
            </w:pPr>
            <w:r>
              <w:rPr>
                <w:rFonts w:hint="eastAsia" w:ascii="宋体" w:hAnsi="宋体" w:eastAsia="宋体" w:cs="宋体"/>
                <w:color w:val="auto"/>
              </w:rPr>
              <w:t>固定资产利用率</w:t>
            </w:r>
          </w:p>
          <w:p w14:paraId="3EA6473E">
            <w:pPr>
              <w:spacing w:after="0" w:line="68" w:lineRule="atLeast"/>
              <w:rPr>
                <w:rFonts w:ascii="宋体" w:hAnsi="宋体" w:eastAsia="宋体" w:cs="宋体"/>
                <w:color w:val="auto"/>
              </w:rPr>
            </w:pPr>
            <w:r>
              <w:rPr>
                <w:rFonts w:hint="eastAsia" w:ascii="宋体" w:hAnsi="宋体" w:eastAsia="宋体" w:cs="宋体"/>
                <w:color w:val="auto"/>
              </w:rPr>
              <w:t>（3分）</w:t>
            </w:r>
          </w:p>
        </w:tc>
        <w:tc>
          <w:tcPr>
            <w:tcW w:w="6911" w:type="dxa"/>
            <w:tcBorders>
              <w:top w:val="single" w:color="auto" w:sz="4" w:space="0"/>
              <w:left w:val="single" w:color="auto" w:sz="4" w:space="0"/>
              <w:bottom w:val="single" w:color="000000" w:sz="4" w:space="0"/>
              <w:right w:val="single" w:color="auto" w:sz="4" w:space="0"/>
            </w:tcBorders>
            <w:vAlign w:val="center"/>
          </w:tcPr>
          <w:p w14:paraId="483E1B66">
            <w:pPr>
              <w:spacing w:after="0" w:line="240" w:lineRule="exact"/>
              <w:rPr>
                <w:rFonts w:ascii="宋体" w:hAnsi="宋体" w:eastAsia="宋体" w:cs="宋体"/>
                <w:color w:val="auto"/>
              </w:rPr>
            </w:pPr>
            <w:r>
              <w:rPr>
                <w:rFonts w:hint="eastAsia" w:ascii="宋体" w:hAnsi="宋体" w:eastAsia="宋体" w:cs="宋体"/>
                <w:color w:val="auto"/>
              </w:rPr>
              <w:t>部门实际在用固定资产总额与所有固定资产总额的比率，用以反映和评价部门固定资产使用效率。</w:t>
            </w:r>
          </w:p>
          <w:p w14:paraId="0D180BFB">
            <w:pPr>
              <w:spacing w:after="0" w:line="68" w:lineRule="atLeast"/>
              <w:rPr>
                <w:rFonts w:ascii="宋体" w:hAnsi="宋体" w:eastAsia="宋体" w:cs="宋体"/>
                <w:color w:val="auto"/>
              </w:rPr>
            </w:pPr>
            <w:r>
              <w:rPr>
                <w:rFonts w:hint="eastAsia" w:ascii="宋体" w:hAnsi="宋体" w:eastAsia="宋体" w:cs="宋体"/>
                <w:color w:val="auto"/>
              </w:rPr>
              <w:t>固定资产利用率=（实际在用固定资产总额/所有固定资产总额）×100%。</w:t>
            </w:r>
          </w:p>
        </w:tc>
        <w:tc>
          <w:tcPr>
            <w:tcW w:w="3423" w:type="dxa"/>
            <w:tcBorders>
              <w:top w:val="single" w:color="auto" w:sz="4" w:space="0"/>
              <w:left w:val="single" w:color="auto" w:sz="4" w:space="0"/>
              <w:bottom w:val="single" w:color="000000" w:sz="4" w:space="0"/>
              <w:right w:val="single" w:color="auto" w:sz="4" w:space="0"/>
            </w:tcBorders>
            <w:vAlign w:val="center"/>
          </w:tcPr>
          <w:p w14:paraId="58615EDE">
            <w:pPr>
              <w:spacing w:after="0" w:line="68" w:lineRule="atLeast"/>
              <w:rPr>
                <w:rFonts w:ascii="宋体" w:hAnsi="宋体" w:eastAsia="宋体" w:cs="宋体"/>
                <w:color w:val="auto"/>
              </w:rPr>
            </w:pPr>
            <w:r>
              <w:rPr>
                <w:rFonts w:hint="eastAsia" w:ascii="宋体" w:hAnsi="宋体" w:eastAsia="宋体" w:cs="宋体"/>
                <w:color w:val="auto"/>
              </w:rPr>
              <w:t>目标值为80%；以3分为上限，采用完成比率法计分：得分=固定资产利用率/80%×100%×3，超出目标值不加分。</w:t>
            </w:r>
          </w:p>
        </w:tc>
        <w:tc>
          <w:tcPr>
            <w:tcW w:w="1090" w:type="dxa"/>
            <w:tcBorders>
              <w:top w:val="single" w:color="auto" w:sz="4" w:space="0"/>
              <w:left w:val="single" w:color="auto" w:sz="4" w:space="0"/>
              <w:bottom w:val="single" w:color="000000" w:sz="4" w:space="0"/>
              <w:right w:val="single" w:color="000000" w:sz="4" w:space="0"/>
            </w:tcBorders>
            <w:vAlign w:val="center"/>
          </w:tcPr>
          <w:p w14:paraId="040C70C2">
            <w:pPr>
              <w:spacing w:after="0" w:line="68" w:lineRule="atLeast"/>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2.5</w:t>
            </w:r>
          </w:p>
        </w:tc>
      </w:tr>
      <w:tr w14:paraId="605BC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6" w:hRule="atLeast"/>
          <w:jc w:val="center"/>
        </w:trPr>
        <w:tc>
          <w:tcPr>
            <w:tcW w:w="733" w:type="dxa"/>
            <w:vMerge w:val="continue"/>
            <w:tcBorders>
              <w:left w:val="single" w:color="000000" w:sz="4" w:space="0"/>
              <w:bottom w:val="single" w:color="000000" w:sz="4" w:space="0"/>
              <w:right w:val="single" w:color="000000" w:sz="4" w:space="0"/>
            </w:tcBorders>
            <w:vAlign w:val="center"/>
          </w:tcPr>
          <w:p w14:paraId="41141771">
            <w:pPr>
              <w:spacing w:after="0"/>
              <w:rPr>
                <w:rFonts w:ascii="宋体" w:hAnsi="宋体" w:eastAsia="宋体" w:cs="宋体"/>
                <w:color w:val="auto"/>
              </w:rPr>
            </w:pPr>
          </w:p>
        </w:tc>
        <w:tc>
          <w:tcPr>
            <w:tcW w:w="803" w:type="dxa"/>
            <w:tcBorders>
              <w:left w:val="single" w:color="000000" w:sz="4" w:space="0"/>
              <w:bottom w:val="single" w:color="000000" w:sz="4" w:space="0"/>
              <w:right w:val="single" w:color="000000" w:sz="4" w:space="0"/>
            </w:tcBorders>
            <w:vAlign w:val="center"/>
          </w:tcPr>
          <w:p w14:paraId="4F3BB2F5">
            <w:pPr>
              <w:spacing w:after="0"/>
              <w:rPr>
                <w:rFonts w:ascii="宋体" w:hAnsi="宋体" w:eastAsia="宋体" w:cs="宋体"/>
                <w:color w:val="auto"/>
              </w:rPr>
            </w:pPr>
            <w:r>
              <w:rPr>
                <w:rFonts w:hint="eastAsia" w:ascii="宋体" w:hAnsi="宋体" w:eastAsia="宋体" w:cs="宋体"/>
                <w:color w:val="auto"/>
              </w:rPr>
              <w:t>预算绩效监控管理（2分）</w:t>
            </w:r>
          </w:p>
        </w:tc>
        <w:tc>
          <w:tcPr>
            <w:tcW w:w="1182" w:type="dxa"/>
            <w:tcBorders>
              <w:top w:val="single" w:color="auto" w:sz="4" w:space="0"/>
              <w:left w:val="single" w:color="000000" w:sz="4" w:space="0"/>
              <w:bottom w:val="single" w:color="000000" w:sz="4" w:space="0"/>
              <w:right w:val="single" w:color="auto" w:sz="4" w:space="0"/>
            </w:tcBorders>
            <w:vAlign w:val="center"/>
          </w:tcPr>
          <w:p w14:paraId="42B3E1B5">
            <w:pPr>
              <w:spacing w:after="0" w:line="68" w:lineRule="atLeast"/>
              <w:rPr>
                <w:rFonts w:ascii="宋体" w:hAnsi="宋体" w:eastAsia="宋体" w:cs="宋体"/>
                <w:color w:val="auto"/>
              </w:rPr>
            </w:pPr>
            <w:r>
              <w:rPr>
                <w:rFonts w:hint="eastAsia" w:ascii="宋体" w:hAnsi="宋体" w:eastAsia="宋体" w:cs="宋体"/>
                <w:color w:val="auto"/>
              </w:rPr>
              <w:t>监控率（2分）</w:t>
            </w:r>
          </w:p>
        </w:tc>
        <w:tc>
          <w:tcPr>
            <w:tcW w:w="6911" w:type="dxa"/>
            <w:tcBorders>
              <w:top w:val="single" w:color="auto" w:sz="4" w:space="0"/>
              <w:left w:val="single" w:color="auto" w:sz="4" w:space="0"/>
              <w:bottom w:val="single" w:color="000000" w:sz="4" w:space="0"/>
              <w:right w:val="single" w:color="auto" w:sz="4" w:space="0"/>
            </w:tcBorders>
            <w:vAlign w:val="center"/>
          </w:tcPr>
          <w:p w14:paraId="4D778EED">
            <w:pPr>
              <w:spacing w:after="0" w:line="240" w:lineRule="exact"/>
              <w:rPr>
                <w:rFonts w:ascii="宋体" w:hAnsi="宋体" w:eastAsia="宋体" w:cs="宋体"/>
                <w:color w:val="auto"/>
              </w:rPr>
            </w:pPr>
            <w:r>
              <w:rPr>
                <w:rFonts w:hint="eastAsia" w:ascii="宋体" w:hAnsi="宋体" w:eastAsia="宋体" w:cs="宋体"/>
                <w:color w:val="auto"/>
              </w:rPr>
              <w:t>部门（单位）纳入绩效监控的项目数量占实际申报绩效目标项目数量的比重，用以反映和考核部门（单位）在项目运行中实施绩效管理的水平和程度。</w:t>
            </w:r>
          </w:p>
          <w:p w14:paraId="3094A93E">
            <w:pPr>
              <w:spacing w:after="0" w:line="240" w:lineRule="exact"/>
              <w:rPr>
                <w:rFonts w:ascii="宋体" w:hAnsi="宋体" w:eastAsia="宋体" w:cs="宋体"/>
                <w:color w:val="auto"/>
              </w:rPr>
            </w:pPr>
            <w:r>
              <w:rPr>
                <w:rFonts w:hint="eastAsia" w:ascii="宋体" w:hAnsi="宋体" w:eastAsia="宋体" w:cs="宋体"/>
                <w:color w:val="auto"/>
              </w:rPr>
              <w:t>监控率=实施绩效监控项目数/实际申报绩效目标项目数×100%</w:t>
            </w:r>
          </w:p>
        </w:tc>
        <w:tc>
          <w:tcPr>
            <w:tcW w:w="3423" w:type="dxa"/>
            <w:tcBorders>
              <w:top w:val="single" w:color="auto" w:sz="4" w:space="0"/>
              <w:left w:val="single" w:color="auto" w:sz="4" w:space="0"/>
              <w:bottom w:val="single" w:color="000000" w:sz="4" w:space="0"/>
              <w:right w:val="single" w:color="auto" w:sz="4" w:space="0"/>
            </w:tcBorders>
            <w:vAlign w:val="center"/>
          </w:tcPr>
          <w:p w14:paraId="0396C6FF">
            <w:pPr>
              <w:spacing w:after="0" w:line="68" w:lineRule="atLeast"/>
              <w:rPr>
                <w:rFonts w:ascii="宋体" w:hAnsi="宋体" w:eastAsia="宋体" w:cs="宋体"/>
                <w:color w:val="auto"/>
              </w:rPr>
            </w:pPr>
            <w:r>
              <w:rPr>
                <w:rFonts w:hint="eastAsia" w:ascii="宋体" w:hAnsi="宋体" w:eastAsia="宋体" w:cs="宋体"/>
                <w:color w:val="auto"/>
              </w:rPr>
              <w:t>目标值为90%；以2分为上限，采用完成比率法计分：得分=监控率×2，超出目标值不加分。</w:t>
            </w:r>
          </w:p>
        </w:tc>
        <w:tc>
          <w:tcPr>
            <w:tcW w:w="1090" w:type="dxa"/>
            <w:tcBorders>
              <w:top w:val="single" w:color="auto" w:sz="4" w:space="0"/>
              <w:left w:val="single" w:color="auto" w:sz="4" w:space="0"/>
              <w:bottom w:val="single" w:color="000000" w:sz="4" w:space="0"/>
              <w:right w:val="single" w:color="000000" w:sz="4" w:space="0"/>
            </w:tcBorders>
            <w:vAlign w:val="center"/>
          </w:tcPr>
          <w:p w14:paraId="3F76ED02">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r>
      <w:tr w14:paraId="64E9F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jc w:val="center"/>
        </w:trPr>
        <w:tc>
          <w:tcPr>
            <w:tcW w:w="733" w:type="dxa"/>
            <w:vMerge w:val="restart"/>
            <w:tcBorders>
              <w:top w:val="single" w:color="000000" w:sz="4" w:space="0"/>
              <w:left w:val="single" w:color="000000" w:sz="4" w:space="0"/>
              <w:right w:val="single" w:color="000000" w:sz="4" w:space="0"/>
            </w:tcBorders>
            <w:vAlign w:val="center"/>
          </w:tcPr>
          <w:p w14:paraId="79BA2087">
            <w:pPr>
              <w:spacing w:after="0" w:line="68" w:lineRule="atLeast"/>
              <w:rPr>
                <w:rFonts w:ascii="宋体" w:hAnsi="宋体" w:eastAsia="宋体" w:cs="宋体"/>
                <w:color w:val="auto"/>
              </w:rPr>
            </w:pPr>
          </w:p>
          <w:p w14:paraId="6444B07A">
            <w:pPr>
              <w:spacing w:after="0" w:line="68" w:lineRule="atLeast"/>
              <w:rPr>
                <w:rFonts w:ascii="宋体" w:hAnsi="宋体" w:eastAsia="宋体" w:cs="宋体"/>
                <w:color w:val="auto"/>
              </w:rPr>
            </w:pPr>
            <w:r>
              <w:rPr>
                <w:rFonts w:hint="eastAsia" w:ascii="宋体" w:hAnsi="宋体" w:eastAsia="宋体" w:cs="宋体"/>
                <w:color w:val="auto"/>
              </w:rPr>
              <w:t>产出(15分)</w:t>
            </w:r>
          </w:p>
          <w:p w14:paraId="7E25DE96">
            <w:pPr>
              <w:spacing w:after="0" w:line="68" w:lineRule="atLeast"/>
              <w:rPr>
                <w:rFonts w:ascii="宋体" w:hAnsi="宋体" w:eastAsia="宋体" w:cs="宋体"/>
                <w:color w:val="auto"/>
              </w:rPr>
            </w:pPr>
          </w:p>
          <w:p w14:paraId="5FB7EEC7">
            <w:pPr>
              <w:spacing w:after="0" w:line="68" w:lineRule="atLeast"/>
              <w:rPr>
                <w:rFonts w:ascii="宋体" w:hAnsi="宋体" w:eastAsia="宋体" w:cs="宋体"/>
                <w:color w:val="auto"/>
              </w:rPr>
            </w:pPr>
          </w:p>
          <w:p w14:paraId="3BE1A969">
            <w:pPr>
              <w:spacing w:after="0" w:line="68" w:lineRule="atLeast"/>
              <w:rPr>
                <w:rFonts w:ascii="宋体" w:hAnsi="宋体" w:eastAsia="宋体" w:cs="宋体"/>
                <w:color w:val="auto"/>
              </w:rPr>
            </w:pPr>
          </w:p>
          <w:p w14:paraId="17C57282">
            <w:pPr>
              <w:spacing w:after="0" w:line="68" w:lineRule="atLeast"/>
              <w:rPr>
                <w:rFonts w:ascii="宋体" w:hAnsi="宋体" w:eastAsia="宋体" w:cs="宋体"/>
                <w:color w:val="auto"/>
              </w:rPr>
            </w:pPr>
          </w:p>
          <w:p w14:paraId="18D6BE52">
            <w:pPr>
              <w:spacing w:after="0" w:line="68" w:lineRule="atLeast"/>
              <w:rPr>
                <w:rFonts w:ascii="宋体" w:hAnsi="宋体" w:eastAsia="宋体" w:cs="宋体"/>
                <w:color w:val="auto"/>
              </w:rPr>
            </w:pPr>
          </w:p>
          <w:p w14:paraId="4558158D">
            <w:pPr>
              <w:spacing w:after="0" w:line="68" w:lineRule="atLeast"/>
              <w:rPr>
                <w:rFonts w:ascii="宋体" w:hAnsi="宋体" w:eastAsia="宋体" w:cs="宋体"/>
                <w:color w:val="auto"/>
              </w:rPr>
            </w:pPr>
          </w:p>
          <w:p w14:paraId="0D75DFE9">
            <w:pPr>
              <w:spacing w:after="0" w:line="68" w:lineRule="atLeast"/>
              <w:rPr>
                <w:rFonts w:ascii="宋体" w:hAnsi="宋体" w:eastAsia="宋体" w:cs="宋体"/>
                <w:color w:val="auto"/>
              </w:rPr>
            </w:pPr>
          </w:p>
          <w:p w14:paraId="6855F693">
            <w:pPr>
              <w:spacing w:after="0" w:line="68" w:lineRule="atLeast"/>
              <w:rPr>
                <w:rFonts w:ascii="宋体" w:hAnsi="宋体" w:eastAsia="宋体" w:cs="宋体"/>
                <w:color w:val="auto"/>
              </w:rPr>
            </w:pPr>
          </w:p>
          <w:p w14:paraId="451143E0">
            <w:pPr>
              <w:spacing w:after="0" w:line="68" w:lineRule="atLeast"/>
              <w:rPr>
                <w:rFonts w:ascii="宋体" w:hAnsi="宋体" w:eastAsia="宋体" w:cs="宋体"/>
                <w:color w:val="auto"/>
              </w:rPr>
            </w:pPr>
          </w:p>
          <w:p w14:paraId="706CAC5F">
            <w:pPr>
              <w:spacing w:after="0" w:line="68" w:lineRule="atLeast"/>
              <w:rPr>
                <w:rFonts w:ascii="宋体" w:hAnsi="宋体" w:eastAsia="宋体" w:cs="宋体"/>
                <w:color w:val="auto"/>
              </w:rPr>
            </w:pPr>
          </w:p>
          <w:p w14:paraId="340FF484">
            <w:pPr>
              <w:spacing w:after="0" w:line="68" w:lineRule="atLeast"/>
              <w:rPr>
                <w:rFonts w:ascii="宋体" w:hAnsi="宋体" w:eastAsia="宋体" w:cs="宋体"/>
                <w:color w:val="auto"/>
              </w:rPr>
            </w:pPr>
          </w:p>
          <w:p w14:paraId="240A75A4">
            <w:pPr>
              <w:spacing w:after="0" w:line="68" w:lineRule="atLeast"/>
              <w:rPr>
                <w:rFonts w:ascii="宋体" w:hAnsi="宋体" w:eastAsia="宋体" w:cs="宋体"/>
                <w:color w:val="auto"/>
              </w:rPr>
            </w:pPr>
          </w:p>
          <w:p w14:paraId="7F292287">
            <w:pPr>
              <w:spacing w:after="0" w:line="68" w:lineRule="atLeast"/>
              <w:rPr>
                <w:rFonts w:ascii="宋体" w:hAnsi="宋体" w:eastAsia="宋体" w:cs="宋体"/>
                <w:color w:val="auto"/>
              </w:rPr>
            </w:pPr>
          </w:p>
          <w:p w14:paraId="532B9079">
            <w:pPr>
              <w:spacing w:after="0" w:line="68" w:lineRule="atLeast"/>
              <w:rPr>
                <w:rFonts w:ascii="宋体" w:hAnsi="宋体" w:eastAsia="宋体" w:cs="宋体"/>
                <w:color w:val="auto"/>
              </w:rPr>
            </w:pPr>
            <w:r>
              <w:rPr>
                <w:rFonts w:hint="eastAsia" w:ascii="宋体" w:hAnsi="宋体" w:eastAsia="宋体" w:cs="宋体"/>
                <w:color w:val="auto"/>
              </w:rPr>
              <w:t>产出(15分)</w:t>
            </w:r>
          </w:p>
        </w:tc>
        <w:tc>
          <w:tcPr>
            <w:tcW w:w="803" w:type="dxa"/>
            <w:vMerge w:val="restart"/>
            <w:tcBorders>
              <w:top w:val="single" w:color="000000" w:sz="4" w:space="0"/>
              <w:left w:val="single" w:color="000000" w:sz="4" w:space="0"/>
              <w:right w:val="single" w:color="000000" w:sz="4" w:space="0"/>
            </w:tcBorders>
            <w:vAlign w:val="center"/>
          </w:tcPr>
          <w:p w14:paraId="35DD8F05">
            <w:pPr>
              <w:spacing w:after="0" w:line="68" w:lineRule="atLeast"/>
              <w:rPr>
                <w:rFonts w:ascii="宋体" w:hAnsi="宋体" w:eastAsia="宋体" w:cs="宋体"/>
                <w:color w:val="auto"/>
              </w:rPr>
            </w:pPr>
            <w:r>
              <w:rPr>
                <w:rFonts w:hint="eastAsia" w:ascii="宋体" w:hAnsi="宋体" w:eastAsia="宋体" w:cs="宋体"/>
                <w:color w:val="auto"/>
              </w:rPr>
              <w:t>职责履行（15分）</w:t>
            </w:r>
          </w:p>
        </w:tc>
        <w:tc>
          <w:tcPr>
            <w:tcW w:w="1182" w:type="dxa"/>
            <w:tcBorders>
              <w:top w:val="single" w:color="000000" w:sz="4" w:space="0"/>
              <w:left w:val="single" w:color="000000" w:sz="4" w:space="0"/>
              <w:bottom w:val="single" w:color="auto" w:sz="4" w:space="0"/>
              <w:right w:val="single" w:color="auto" w:sz="4" w:space="0"/>
            </w:tcBorders>
            <w:vAlign w:val="center"/>
          </w:tcPr>
          <w:p w14:paraId="5DF9948D">
            <w:pPr>
              <w:spacing w:after="0" w:line="68" w:lineRule="atLeast"/>
              <w:rPr>
                <w:rFonts w:ascii="宋体" w:hAnsi="宋体" w:eastAsia="宋体" w:cs="宋体"/>
                <w:color w:val="auto"/>
              </w:rPr>
            </w:pPr>
            <w:r>
              <w:rPr>
                <w:rFonts w:hint="eastAsia" w:ascii="宋体" w:hAnsi="宋体" w:eastAsia="宋体" w:cs="宋体"/>
                <w:color w:val="auto"/>
              </w:rPr>
              <w:t>项目实际完成率（4分）</w:t>
            </w:r>
          </w:p>
        </w:tc>
        <w:tc>
          <w:tcPr>
            <w:tcW w:w="6911" w:type="dxa"/>
            <w:tcBorders>
              <w:top w:val="single" w:color="000000" w:sz="4" w:space="0"/>
              <w:left w:val="single" w:color="auto" w:sz="4" w:space="0"/>
              <w:bottom w:val="single" w:color="auto" w:sz="4" w:space="0"/>
              <w:right w:val="single" w:color="auto" w:sz="4" w:space="0"/>
            </w:tcBorders>
            <w:vAlign w:val="center"/>
          </w:tcPr>
          <w:p w14:paraId="1AA074AA">
            <w:pPr>
              <w:spacing w:after="0" w:line="240" w:lineRule="exact"/>
              <w:rPr>
                <w:rFonts w:ascii="宋体" w:hAnsi="宋体" w:eastAsia="宋体" w:cs="宋体"/>
                <w:color w:val="auto"/>
              </w:rPr>
            </w:pPr>
            <w:r>
              <w:rPr>
                <w:rFonts w:hint="eastAsia" w:ascii="宋体" w:hAnsi="宋体" w:eastAsia="宋体" w:cs="宋体"/>
                <w:color w:val="auto"/>
              </w:rPr>
              <w:t>部门履行职责而实际完成的项目数与计划完成的项目数的比率，用以反映和评价部门履职任务目标的实现程度。</w:t>
            </w:r>
          </w:p>
          <w:p w14:paraId="6A04920E">
            <w:pPr>
              <w:spacing w:after="0" w:line="68" w:lineRule="atLeast"/>
              <w:rPr>
                <w:rFonts w:ascii="宋体" w:hAnsi="宋体" w:eastAsia="宋体" w:cs="宋体"/>
                <w:color w:val="auto"/>
              </w:rPr>
            </w:pPr>
            <w:r>
              <w:rPr>
                <w:rFonts w:hint="eastAsia" w:ascii="宋体" w:hAnsi="宋体" w:eastAsia="宋体" w:cs="宋体"/>
                <w:color w:val="auto"/>
              </w:rPr>
              <w:t>项目实际完成率=（实际完成项目数/计划完成项目数）×100%。</w:t>
            </w:r>
          </w:p>
        </w:tc>
        <w:tc>
          <w:tcPr>
            <w:tcW w:w="3423" w:type="dxa"/>
            <w:tcBorders>
              <w:top w:val="single" w:color="000000" w:sz="4" w:space="0"/>
              <w:left w:val="single" w:color="auto" w:sz="4" w:space="0"/>
              <w:bottom w:val="single" w:color="auto" w:sz="4" w:space="0"/>
              <w:right w:val="single" w:color="auto" w:sz="4" w:space="0"/>
            </w:tcBorders>
            <w:vAlign w:val="center"/>
          </w:tcPr>
          <w:p w14:paraId="0916F87B">
            <w:pPr>
              <w:spacing w:after="0" w:line="68" w:lineRule="atLeast"/>
              <w:rPr>
                <w:rFonts w:ascii="宋体" w:hAnsi="宋体" w:eastAsia="宋体" w:cs="宋体"/>
                <w:color w:val="auto"/>
              </w:rPr>
            </w:pPr>
            <w:r>
              <w:rPr>
                <w:rFonts w:hint="eastAsia" w:ascii="宋体" w:hAnsi="宋体" w:eastAsia="宋体" w:cs="宋体"/>
                <w:color w:val="auto"/>
              </w:rPr>
              <w:t>目标值为100%；</w:t>
            </w:r>
          </w:p>
          <w:p w14:paraId="034F1ADE">
            <w:pPr>
              <w:spacing w:after="0" w:line="68" w:lineRule="atLeast"/>
              <w:rPr>
                <w:rFonts w:ascii="宋体" w:hAnsi="宋体" w:eastAsia="宋体" w:cs="宋体"/>
                <w:color w:val="auto"/>
              </w:rPr>
            </w:pPr>
            <w:r>
              <w:rPr>
                <w:rFonts w:hint="eastAsia" w:ascii="宋体" w:hAnsi="宋体" w:eastAsia="宋体" w:cs="宋体"/>
                <w:color w:val="auto"/>
              </w:rPr>
              <w:t>达到目标值得4分；</w:t>
            </w:r>
          </w:p>
          <w:p w14:paraId="1EC673E0">
            <w:pPr>
              <w:spacing w:after="0" w:line="68" w:lineRule="atLeast"/>
              <w:rPr>
                <w:rFonts w:ascii="宋体" w:hAnsi="宋体" w:eastAsia="宋体" w:cs="宋体"/>
                <w:color w:val="auto"/>
              </w:rPr>
            </w:pPr>
            <w:r>
              <w:rPr>
                <w:rFonts w:hint="eastAsia" w:ascii="宋体" w:hAnsi="宋体" w:eastAsia="宋体" w:cs="宋体"/>
                <w:color w:val="auto"/>
              </w:rPr>
              <w:t>100%＞结果≥95%，得3分；</w:t>
            </w:r>
          </w:p>
          <w:p w14:paraId="05A9E5FE">
            <w:pPr>
              <w:spacing w:after="0" w:line="68" w:lineRule="atLeast"/>
              <w:rPr>
                <w:rFonts w:ascii="宋体" w:hAnsi="宋体" w:eastAsia="宋体" w:cs="宋体"/>
                <w:color w:val="auto"/>
              </w:rPr>
            </w:pPr>
            <w:r>
              <w:rPr>
                <w:rFonts w:hint="eastAsia" w:ascii="宋体" w:hAnsi="宋体" w:eastAsia="宋体" w:cs="宋体"/>
                <w:color w:val="auto"/>
              </w:rPr>
              <w:t>95%＞结果≥90%，得2分；</w:t>
            </w:r>
          </w:p>
          <w:p w14:paraId="2B099068">
            <w:pPr>
              <w:spacing w:after="0" w:line="68" w:lineRule="atLeast"/>
              <w:rPr>
                <w:rFonts w:ascii="宋体" w:hAnsi="宋体" w:eastAsia="宋体" w:cs="宋体"/>
                <w:color w:val="auto"/>
              </w:rPr>
            </w:pPr>
            <w:r>
              <w:rPr>
                <w:rFonts w:hint="eastAsia" w:ascii="宋体" w:hAnsi="宋体" w:eastAsia="宋体" w:cs="宋体"/>
                <w:color w:val="auto"/>
              </w:rPr>
              <w:t>90%＞结果≥85%，得1分；</w:t>
            </w:r>
          </w:p>
          <w:p w14:paraId="4E2C085F">
            <w:pPr>
              <w:spacing w:after="0" w:line="68" w:lineRule="atLeast"/>
              <w:rPr>
                <w:rFonts w:ascii="宋体" w:hAnsi="宋体" w:eastAsia="宋体" w:cs="宋体"/>
                <w:color w:val="auto"/>
              </w:rPr>
            </w:pPr>
            <w:r>
              <w:rPr>
                <w:rFonts w:hint="eastAsia" w:ascii="宋体" w:hAnsi="宋体" w:eastAsia="宋体" w:cs="宋体"/>
                <w:color w:val="auto"/>
              </w:rPr>
              <w:t>结果＜85%得0分。</w:t>
            </w:r>
          </w:p>
        </w:tc>
        <w:tc>
          <w:tcPr>
            <w:tcW w:w="1090" w:type="dxa"/>
            <w:tcBorders>
              <w:top w:val="single" w:color="000000" w:sz="4" w:space="0"/>
              <w:left w:val="single" w:color="auto" w:sz="4" w:space="0"/>
              <w:bottom w:val="single" w:color="auto" w:sz="4" w:space="0"/>
              <w:right w:val="single" w:color="000000" w:sz="4" w:space="0"/>
            </w:tcBorders>
            <w:vAlign w:val="center"/>
          </w:tcPr>
          <w:p w14:paraId="57A28F6D">
            <w:pPr>
              <w:spacing w:after="0" w:line="68" w:lineRule="atLeast"/>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3.5</w:t>
            </w:r>
          </w:p>
        </w:tc>
      </w:tr>
      <w:tr w14:paraId="710FA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9" w:hRule="atLeast"/>
          <w:jc w:val="center"/>
        </w:trPr>
        <w:tc>
          <w:tcPr>
            <w:tcW w:w="733" w:type="dxa"/>
            <w:vMerge w:val="continue"/>
            <w:tcBorders>
              <w:left w:val="single" w:color="000000" w:sz="4" w:space="0"/>
              <w:right w:val="single" w:color="000000" w:sz="4" w:space="0"/>
            </w:tcBorders>
            <w:vAlign w:val="center"/>
          </w:tcPr>
          <w:p w14:paraId="53A22AF5">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6E1C1428">
            <w:pPr>
              <w:spacing w:after="0"/>
              <w:rPr>
                <w:rFonts w:ascii="宋体" w:hAnsi="宋体" w:eastAsia="宋体" w:cs="宋体"/>
                <w:color w:val="auto"/>
              </w:rPr>
            </w:pPr>
          </w:p>
        </w:tc>
        <w:tc>
          <w:tcPr>
            <w:tcW w:w="1182" w:type="dxa"/>
            <w:tcBorders>
              <w:top w:val="single" w:color="000000" w:sz="4" w:space="0"/>
              <w:left w:val="single" w:color="000000" w:sz="4" w:space="0"/>
              <w:bottom w:val="single" w:color="auto" w:sz="4" w:space="0"/>
              <w:right w:val="single" w:color="auto" w:sz="4" w:space="0"/>
            </w:tcBorders>
            <w:vAlign w:val="center"/>
          </w:tcPr>
          <w:p w14:paraId="36100F2A">
            <w:pPr>
              <w:spacing w:after="0" w:line="68" w:lineRule="atLeast"/>
              <w:rPr>
                <w:rFonts w:ascii="宋体" w:hAnsi="宋体" w:eastAsia="宋体" w:cs="宋体"/>
                <w:color w:val="auto"/>
              </w:rPr>
            </w:pPr>
            <w:r>
              <w:rPr>
                <w:rFonts w:hint="eastAsia" w:ascii="宋体" w:hAnsi="宋体" w:eastAsia="宋体" w:cs="宋体"/>
                <w:color w:val="auto"/>
              </w:rPr>
              <w:t>项目质量达标率（4分）</w:t>
            </w:r>
          </w:p>
        </w:tc>
        <w:tc>
          <w:tcPr>
            <w:tcW w:w="6911" w:type="dxa"/>
            <w:tcBorders>
              <w:top w:val="single" w:color="000000" w:sz="4" w:space="0"/>
              <w:left w:val="single" w:color="auto" w:sz="4" w:space="0"/>
              <w:bottom w:val="single" w:color="auto" w:sz="4" w:space="0"/>
              <w:right w:val="single" w:color="auto" w:sz="4" w:space="0"/>
            </w:tcBorders>
            <w:vAlign w:val="center"/>
          </w:tcPr>
          <w:p w14:paraId="096C400A">
            <w:pPr>
              <w:spacing w:after="0" w:line="240" w:lineRule="exact"/>
              <w:rPr>
                <w:rFonts w:ascii="宋体" w:hAnsi="宋体" w:eastAsia="宋体" w:cs="宋体"/>
                <w:color w:val="auto"/>
              </w:rPr>
            </w:pPr>
            <w:r>
              <w:rPr>
                <w:rFonts w:hint="eastAsia" w:ascii="宋体" w:hAnsi="宋体" w:eastAsia="宋体" w:cs="宋体"/>
                <w:color w:val="auto"/>
              </w:rPr>
              <w:t>部门已完成项目中质量达标项目个数占已完成项目个数的比率,用以反映和评价部门履职质量目标的实现程度。</w:t>
            </w:r>
          </w:p>
          <w:p w14:paraId="03D5BC01">
            <w:pPr>
              <w:spacing w:after="0" w:line="240" w:lineRule="exact"/>
              <w:rPr>
                <w:rFonts w:ascii="宋体" w:hAnsi="宋体" w:eastAsia="宋体" w:cs="宋体"/>
                <w:color w:val="auto"/>
              </w:rPr>
            </w:pPr>
            <w:r>
              <w:rPr>
                <w:rFonts w:hint="eastAsia" w:ascii="宋体" w:hAnsi="宋体" w:eastAsia="宋体" w:cs="宋体"/>
                <w:color w:val="auto"/>
              </w:rPr>
              <w:t>项目质量达标率=（已完成项目中质量达标项目个数/已完成项目个数）×100%。</w:t>
            </w:r>
          </w:p>
          <w:p w14:paraId="07304EA2">
            <w:pPr>
              <w:spacing w:after="0" w:line="68" w:lineRule="atLeast"/>
              <w:rPr>
                <w:rFonts w:ascii="宋体" w:hAnsi="宋体" w:eastAsia="宋体" w:cs="宋体"/>
                <w:color w:val="auto"/>
              </w:rPr>
            </w:pPr>
            <w:r>
              <w:rPr>
                <w:rFonts w:hint="eastAsia" w:ascii="宋体" w:hAnsi="宋体" w:eastAsia="宋体" w:cs="宋体"/>
                <w:color w:val="auto"/>
              </w:rPr>
              <w:t>项目质量达标是指项目决算验收合格。</w:t>
            </w:r>
          </w:p>
        </w:tc>
        <w:tc>
          <w:tcPr>
            <w:tcW w:w="3423" w:type="dxa"/>
            <w:tcBorders>
              <w:top w:val="single" w:color="000000" w:sz="4" w:space="0"/>
              <w:left w:val="single" w:color="auto" w:sz="4" w:space="0"/>
              <w:bottom w:val="single" w:color="auto" w:sz="4" w:space="0"/>
              <w:right w:val="single" w:color="auto" w:sz="4" w:space="0"/>
            </w:tcBorders>
            <w:vAlign w:val="center"/>
          </w:tcPr>
          <w:p w14:paraId="0AE8F670">
            <w:pPr>
              <w:spacing w:after="0" w:line="68" w:lineRule="atLeast"/>
              <w:rPr>
                <w:rFonts w:ascii="宋体" w:hAnsi="宋体" w:eastAsia="宋体" w:cs="宋体"/>
                <w:color w:val="auto"/>
              </w:rPr>
            </w:pPr>
            <w:r>
              <w:rPr>
                <w:rFonts w:hint="eastAsia" w:ascii="宋体" w:hAnsi="宋体" w:eastAsia="宋体" w:cs="宋体"/>
                <w:color w:val="auto"/>
              </w:rPr>
              <w:t>目标值100%；以4分为上限，采用完成比率法计分：得分=项目质量达标率×4，≤95%的扣4分。</w:t>
            </w:r>
          </w:p>
        </w:tc>
        <w:tc>
          <w:tcPr>
            <w:tcW w:w="1090" w:type="dxa"/>
            <w:tcBorders>
              <w:top w:val="single" w:color="000000" w:sz="4" w:space="0"/>
              <w:left w:val="single" w:color="auto" w:sz="4" w:space="0"/>
              <w:bottom w:val="single" w:color="auto" w:sz="4" w:space="0"/>
              <w:right w:val="single" w:color="000000" w:sz="4" w:space="0"/>
            </w:tcBorders>
            <w:vAlign w:val="center"/>
          </w:tcPr>
          <w:p w14:paraId="55CE4C51">
            <w:pPr>
              <w:spacing w:after="0" w:line="68" w:lineRule="atLeast"/>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3.5</w:t>
            </w:r>
          </w:p>
        </w:tc>
      </w:tr>
      <w:tr w14:paraId="299A0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1" w:hRule="atLeast"/>
          <w:jc w:val="center"/>
        </w:trPr>
        <w:tc>
          <w:tcPr>
            <w:tcW w:w="733" w:type="dxa"/>
            <w:vMerge w:val="continue"/>
            <w:tcBorders>
              <w:left w:val="single" w:color="000000" w:sz="4" w:space="0"/>
              <w:right w:val="single" w:color="000000" w:sz="4" w:space="0"/>
            </w:tcBorders>
            <w:vAlign w:val="center"/>
          </w:tcPr>
          <w:p w14:paraId="32C00531">
            <w:pPr>
              <w:spacing w:after="0"/>
              <w:rPr>
                <w:rFonts w:ascii="宋体" w:hAnsi="宋体" w:eastAsia="宋体" w:cs="宋体"/>
                <w:color w:val="auto"/>
              </w:rPr>
            </w:pPr>
          </w:p>
        </w:tc>
        <w:tc>
          <w:tcPr>
            <w:tcW w:w="803" w:type="dxa"/>
            <w:vMerge w:val="continue"/>
            <w:tcBorders>
              <w:left w:val="single" w:color="000000" w:sz="4" w:space="0"/>
              <w:right w:val="single" w:color="000000" w:sz="4" w:space="0"/>
            </w:tcBorders>
            <w:vAlign w:val="center"/>
          </w:tcPr>
          <w:p w14:paraId="32F3ACE6">
            <w:pPr>
              <w:spacing w:after="0"/>
              <w:rPr>
                <w:rFonts w:ascii="宋体" w:hAnsi="宋体" w:eastAsia="宋体" w:cs="宋体"/>
                <w:color w:val="auto"/>
              </w:rPr>
            </w:pPr>
          </w:p>
        </w:tc>
        <w:tc>
          <w:tcPr>
            <w:tcW w:w="1182" w:type="dxa"/>
            <w:tcBorders>
              <w:top w:val="single" w:color="000000" w:sz="4" w:space="0"/>
              <w:left w:val="single" w:color="000000" w:sz="4" w:space="0"/>
              <w:bottom w:val="single" w:color="auto" w:sz="4" w:space="0"/>
              <w:right w:val="single" w:color="auto" w:sz="4" w:space="0"/>
            </w:tcBorders>
            <w:vAlign w:val="center"/>
          </w:tcPr>
          <w:p w14:paraId="3AAA499E">
            <w:pPr>
              <w:spacing w:after="0" w:line="68" w:lineRule="atLeast"/>
              <w:rPr>
                <w:rFonts w:ascii="宋体" w:hAnsi="宋体" w:eastAsia="宋体" w:cs="宋体"/>
                <w:color w:val="auto"/>
              </w:rPr>
            </w:pPr>
            <w:r>
              <w:rPr>
                <w:rFonts w:hint="eastAsia" w:ascii="宋体" w:hAnsi="宋体" w:eastAsia="宋体" w:cs="宋体"/>
                <w:color w:val="auto"/>
              </w:rPr>
              <w:t>重点工作办结率（4分）</w:t>
            </w:r>
          </w:p>
        </w:tc>
        <w:tc>
          <w:tcPr>
            <w:tcW w:w="6911" w:type="dxa"/>
            <w:tcBorders>
              <w:top w:val="single" w:color="000000" w:sz="4" w:space="0"/>
              <w:left w:val="single" w:color="auto" w:sz="4" w:space="0"/>
              <w:bottom w:val="single" w:color="auto" w:sz="4" w:space="0"/>
              <w:right w:val="single" w:color="auto" w:sz="4" w:space="0"/>
            </w:tcBorders>
            <w:vAlign w:val="center"/>
          </w:tcPr>
          <w:p w14:paraId="4C7C2E5D">
            <w:pPr>
              <w:spacing w:after="0" w:line="68" w:lineRule="atLeast"/>
              <w:rPr>
                <w:rFonts w:ascii="宋体" w:hAnsi="宋体" w:eastAsia="宋体" w:cs="宋体"/>
                <w:color w:val="auto"/>
              </w:rPr>
            </w:pPr>
            <w:r>
              <w:rPr>
                <w:rFonts w:hint="eastAsia" w:ascii="宋体" w:hAnsi="宋体" w:eastAsia="宋体" w:cs="宋体"/>
                <w:color w:val="auto"/>
              </w:rPr>
              <w:t>部门年度重点工作实际完成数与交办或下达数的比率，用以反映部门对重点工作的办理落实程度。</w:t>
            </w:r>
          </w:p>
          <w:p w14:paraId="716A3229">
            <w:pPr>
              <w:spacing w:after="0" w:line="68" w:lineRule="atLeast"/>
              <w:rPr>
                <w:rFonts w:ascii="宋体" w:hAnsi="宋体" w:eastAsia="宋体" w:cs="宋体"/>
                <w:color w:val="auto"/>
              </w:rPr>
            </w:pPr>
            <w:r>
              <w:rPr>
                <w:rFonts w:hint="eastAsia" w:ascii="宋体" w:hAnsi="宋体" w:eastAsia="宋体" w:cs="宋体"/>
                <w:color w:val="auto"/>
              </w:rPr>
              <w:t>重点工作办结率=（重点工作实际完成数/交办或下达数）×100%。</w:t>
            </w:r>
          </w:p>
          <w:p w14:paraId="1C14617A">
            <w:pPr>
              <w:spacing w:after="0" w:line="68" w:lineRule="atLeast"/>
              <w:rPr>
                <w:rFonts w:ascii="宋体" w:hAnsi="宋体" w:eastAsia="宋体" w:cs="宋体"/>
                <w:color w:val="auto"/>
              </w:rPr>
            </w:pPr>
            <w:r>
              <w:rPr>
                <w:rFonts w:hint="eastAsia" w:ascii="宋体" w:hAnsi="宋体" w:eastAsia="宋体" w:cs="宋体"/>
                <w:color w:val="auto"/>
              </w:rPr>
              <w:t>重点工作是指党委、政府、人大、相关部门交办或下达的工作任务。</w:t>
            </w:r>
          </w:p>
        </w:tc>
        <w:tc>
          <w:tcPr>
            <w:tcW w:w="3423" w:type="dxa"/>
            <w:tcBorders>
              <w:top w:val="single" w:color="000000" w:sz="4" w:space="0"/>
              <w:left w:val="single" w:color="auto" w:sz="4" w:space="0"/>
              <w:bottom w:val="single" w:color="auto" w:sz="4" w:space="0"/>
              <w:right w:val="single" w:color="auto" w:sz="4" w:space="0"/>
            </w:tcBorders>
            <w:vAlign w:val="center"/>
          </w:tcPr>
          <w:p w14:paraId="58EDFC98">
            <w:pPr>
              <w:spacing w:after="0" w:line="68" w:lineRule="atLeast"/>
              <w:rPr>
                <w:rFonts w:ascii="宋体" w:hAnsi="宋体" w:eastAsia="宋体" w:cs="宋体"/>
                <w:color w:val="auto"/>
              </w:rPr>
            </w:pPr>
            <w:r>
              <w:rPr>
                <w:rFonts w:hint="eastAsia" w:ascii="宋体" w:hAnsi="宋体" w:eastAsia="宋体" w:cs="宋体"/>
                <w:color w:val="auto"/>
              </w:rPr>
              <w:t>目标值100%；以4分为上限，采用完成比率法计分：得分=重点工作办结率×4，≤90%的扣4分。</w:t>
            </w:r>
          </w:p>
        </w:tc>
        <w:tc>
          <w:tcPr>
            <w:tcW w:w="1090" w:type="dxa"/>
            <w:tcBorders>
              <w:top w:val="single" w:color="000000" w:sz="4" w:space="0"/>
              <w:left w:val="single" w:color="auto" w:sz="4" w:space="0"/>
              <w:bottom w:val="single" w:color="auto" w:sz="4" w:space="0"/>
              <w:right w:val="single" w:color="000000" w:sz="4" w:space="0"/>
            </w:tcBorders>
            <w:vAlign w:val="center"/>
          </w:tcPr>
          <w:p w14:paraId="66DAB9C5">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4</w:t>
            </w:r>
          </w:p>
        </w:tc>
      </w:tr>
      <w:tr w14:paraId="26110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9" w:hRule="atLeast"/>
          <w:jc w:val="center"/>
        </w:trPr>
        <w:tc>
          <w:tcPr>
            <w:tcW w:w="733" w:type="dxa"/>
            <w:vMerge w:val="continue"/>
            <w:tcBorders>
              <w:left w:val="single" w:color="000000" w:sz="4" w:space="0"/>
              <w:bottom w:val="single" w:color="000000" w:sz="4" w:space="0"/>
              <w:right w:val="single" w:color="000000" w:sz="4" w:space="0"/>
            </w:tcBorders>
            <w:vAlign w:val="center"/>
          </w:tcPr>
          <w:p w14:paraId="396DEC8D">
            <w:pPr>
              <w:spacing w:after="0"/>
              <w:rPr>
                <w:rFonts w:ascii="宋体" w:hAnsi="宋体" w:eastAsia="宋体" w:cs="宋体"/>
                <w:color w:val="auto"/>
              </w:rPr>
            </w:pPr>
          </w:p>
        </w:tc>
        <w:tc>
          <w:tcPr>
            <w:tcW w:w="803" w:type="dxa"/>
            <w:vMerge w:val="continue"/>
            <w:tcBorders>
              <w:left w:val="single" w:color="000000" w:sz="4" w:space="0"/>
              <w:bottom w:val="single" w:color="000000" w:sz="4" w:space="0"/>
              <w:right w:val="single" w:color="000000" w:sz="4" w:space="0"/>
            </w:tcBorders>
            <w:vAlign w:val="center"/>
          </w:tcPr>
          <w:p w14:paraId="034EE160">
            <w:pPr>
              <w:spacing w:after="0"/>
              <w:rPr>
                <w:rFonts w:ascii="宋体" w:hAnsi="宋体" w:eastAsia="宋体" w:cs="宋体"/>
                <w:color w:val="auto"/>
              </w:rPr>
            </w:pPr>
          </w:p>
        </w:tc>
        <w:tc>
          <w:tcPr>
            <w:tcW w:w="1182" w:type="dxa"/>
            <w:tcBorders>
              <w:top w:val="single" w:color="000000" w:sz="4" w:space="0"/>
              <w:left w:val="single" w:color="000000" w:sz="4" w:space="0"/>
              <w:bottom w:val="single" w:color="auto" w:sz="4" w:space="0"/>
              <w:right w:val="single" w:color="auto" w:sz="4" w:space="0"/>
            </w:tcBorders>
            <w:vAlign w:val="center"/>
          </w:tcPr>
          <w:p w14:paraId="16071EA8">
            <w:pPr>
              <w:spacing w:after="0" w:line="68" w:lineRule="atLeast"/>
              <w:rPr>
                <w:rFonts w:ascii="宋体" w:hAnsi="宋体" w:eastAsia="宋体" w:cs="宋体"/>
                <w:color w:val="auto"/>
              </w:rPr>
            </w:pPr>
            <w:r>
              <w:rPr>
                <w:rFonts w:hint="eastAsia" w:ascii="宋体" w:hAnsi="宋体" w:eastAsia="宋体" w:cs="宋体"/>
                <w:color w:val="auto"/>
              </w:rPr>
              <w:t>部门绩效自评项目占比率（3分）</w:t>
            </w:r>
          </w:p>
        </w:tc>
        <w:tc>
          <w:tcPr>
            <w:tcW w:w="6911" w:type="dxa"/>
            <w:tcBorders>
              <w:top w:val="single" w:color="000000" w:sz="4" w:space="0"/>
              <w:left w:val="single" w:color="auto" w:sz="4" w:space="0"/>
              <w:bottom w:val="single" w:color="auto" w:sz="4" w:space="0"/>
              <w:right w:val="single" w:color="auto" w:sz="4" w:space="0"/>
            </w:tcBorders>
            <w:vAlign w:val="center"/>
          </w:tcPr>
          <w:p w14:paraId="68484067">
            <w:pPr>
              <w:spacing w:after="0" w:line="240" w:lineRule="exact"/>
              <w:rPr>
                <w:rFonts w:ascii="宋体" w:hAnsi="宋体" w:eastAsia="宋体" w:cs="宋体"/>
                <w:color w:val="auto"/>
              </w:rPr>
            </w:pPr>
            <w:r>
              <w:rPr>
                <w:rFonts w:hint="eastAsia" w:ascii="宋体" w:hAnsi="宋体" w:eastAsia="宋体" w:cs="宋体"/>
                <w:color w:val="auto"/>
              </w:rPr>
              <w:t>部门自评项目在所有项目中所占的份额，反映和评价部门对项目自评的重视程度。</w:t>
            </w:r>
          </w:p>
          <w:p w14:paraId="15A10BB3">
            <w:pPr>
              <w:spacing w:after="0" w:line="240" w:lineRule="exact"/>
              <w:rPr>
                <w:rFonts w:ascii="宋体" w:hAnsi="宋体" w:eastAsia="宋体" w:cs="宋体"/>
                <w:color w:val="auto"/>
              </w:rPr>
            </w:pPr>
            <w:r>
              <w:rPr>
                <w:rFonts w:hint="eastAsia" w:ascii="宋体" w:hAnsi="宋体" w:eastAsia="宋体" w:cs="宋体"/>
                <w:color w:val="auto"/>
              </w:rPr>
              <w:t>占比率=(自评项目资金量/项目支出资金量)×100%。</w:t>
            </w:r>
          </w:p>
          <w:p w14:paraId="582FA500">
            <w:pPr>
              <w:spacing w:after="0" w:line="68" w:lineRule="atLeast"/>
              <w:rPr>
                <w:rFonts w:ascii="宋体" w:hAnsi="宋体" w:eastAsia="宋体" w:cs="宋体"/>
                <w:color w:val="auto"/>
              </w:rPr>
            </w:pPr>
            <w:r>
              <w:rPr>
                <w:rFonts w:hint="eastAsia" w:ascii="宋体" w:hAnsi="宋体" w:eastAsia="宋体" w:cs="宋体"/>
                <w:color w:val="auto"/>
              </w:rPr>
              <w:t>部门支出项目绩效自评范围：本年度列入本级财政预算安排的项目。</w:t>
            </w:r>
          </w:p>
        </w:tc>
        <w:tc>
          <w:tcPr>
            <w:tcW w:w="3423" w:type="dxa"/>
            <w:tcBorders>
              <w:top w:val="single" w:color="000000" w:sz="4" w:space="0"/>
              <w:left w:val="single" w:color="auto" w:sz="4" w:space="0"/>
              <w:bottom w:val="single" w:color="auto" w:sz="4" w:space="0"/>
              <w:right w:val="single" w:color="auto" w:sz="4" w:space="0"/>
            </w:tcBorders>
            <w:vAlign w:val="center"/>
          </w:tcPr>
          <w:p w14:paraId="213598E3">
            <w:pPr>
              <w:spacing w:after="0" w:line="68" w:lineRule="atLeast"/>
              <w:rPr>
                <w:rFonts w:ascii="宋体" w:hAnsi="宋体" w:eastAsia="宋体" w:cs="宋体"/>
                <w:color w:val="auto"/>
              </w:rPr>
            </w:pPr>
            <w:r>
              <w:rPr>
                <w:rFonts w:hint="eastAsia" w:ascii="宋体" w:hAnsi="宋体" w:eastAsia="宋体" w:cs="宋体"/>
                <w:color w:val="auto"/>
              </w:rPr>
              <w:t>达到目标值得3分，未达到目标值采用完成比率法计分：得分=占比率/目标值×3，超过目标值不加分。</w:t>
            </w:r>
          </w:p>
        </w:tc>
        <w:tc>
          <w:tcPr>
            <w:tcW w:w="1090" w:type="dxa"/>
            <w:tcBorders>
              <w:top w:val="single" w:color="000000" w:sz="4" w:space="0"/>
              <w:left w:val="single" w:color="auto" w:sz="4" w:space="0"/>
              <w:bottom w:val="single" w:color="auto" w:sz="4" w:space="0"/>
              <w:right w:val="single" w:color="000000" w:sz="4" w:space="0"/>
            </w:tcBorders>
            <w:vAlign w:val="center"/>
          </w:tcPr>
          <w:p w14:paraId="5BE1ABE9">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r>
      <w:tr w14:paraId="135BE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8" w:hRule="atLeast"/>
          <w:jc w:val="center"/>
        </w:trPr>
        <w:tc>
          <w:tcPr>
            <w:tcW w:w="733" w:type="dxa"/>
            <w:vMerge w:val="restart"/>
            <w:tcBorders>
              <w:top w:val="single" w:color="000000" w:sz="4" w:space="0"/>
              <w:left w:val="single" w:color="000000" w:sz="4" w:space="0"/>
              <w:right w:val="single" w:color="000000" w:sz="4" w:space="0"/>
            </w:tcBorders>
            <w:vAlign w:val="center"/>
          </w:tcPr>
          <w:p w14:paraId="687E1F61">
            <w:pPr>
              <w:spacing w:after="0" w:line="68" w:lineRule="atLeast"/>
              <w:rPr>
                <w:rFonts w:ascii="宋体" w:hAnsi="宋体" w:eastAsia="宋体" w:cs="宋体"/>
                <w:color w:val="auto"/>
              </w:rPr>
            </w:pPr>
          </w:p>
          <w:p w14:paraId="154DFAD2">
            <w:pPr>
              <w:spacing w:after="0" w:line="68" w:lineRule="atLeast"/>
              <w:rPr>
                <w:rFonts w:ascii="宋体" w:hAnsi="宋体" w:eastAsia="宋体" w:cs="宋体"/>
                <w:color w:val="auto"/>
              </w:rPr>
            </w:pPr>
          </w:p>
          <w:p w14:paraId="712AE695">
            <w:pPr>
              <w:spacing w:after="0" w:line="68" w:lineRule="atLeast"/>
              <w:rPr>
                <w:rFonts w:ascii="宋体" w:hAnsi="宋体" w:eastAsia="宋体" w:cs="宋体"/>
                <w:color w:val="auto"/>
              </w:rPr>
            </w:pPr>
          </w:p>
          <w:p w14:paraId="2B90FD2B">
            <w:pPr>
              <w:spacing w:after="0" w:line="68" w:lineRule="atLeast"/>
              <w:rPr>
                <w:rFonts w:ascii="宋体" w:hAnsi="宋体" w:eastAsia="宋体" w:cs="宋体"/>
                <w:color w:val="auto"/>
              </w:rPr>
            </w:pPr>
          </w:p>
          <w:p w14:paraId="4B8EDDA4">
            <w:pPr>
              <w:spacing w:after="0" w:line="68" w:lineRule="atLeast"/>
              <w:rPr>
                <w:rFonts w:ascii="宋体" w:hAnsi="宋体" w:eastAsia="宋体" w:cs="宋体"/>
                <w:color w:val="auto"/>
              </w:rPr>
            </w:pPr>
          </w:p>
          <w:p w14:paraId="28727549">
            <w:pPr>
              <w:spacing w:after="0" w:line="68" w:lineRule="atLeast"/>
              <w:rPr>
                <w:rFonts w:ascii="宋体" w:hAnsi="宋体" w:eastAsia="宋体" w:cs="宋体"/>
                <w:color w:val="auto"/>
              </w:rPr>
            </w:pPr>
          </w:p>
          <w:p w14:paraId="38FD347D">
            <w:pPr>
              <w:spacing w:after="0" w:line="68" w:lineRule="atLeast"/>
              <w:rPr>
                <w:rFonts w:ascii="宋体" w:hAnsi="宋体" w:eastAsia="宋体" w:cs="宋体"/>
                <w:color w:val="auto"/>
              </w:rPr>
            </w:pPr>
          </w:p>
          <w:p w14:paraId="00AAD660">
            <w:pPr>
              <w:spacing w:after="0" w:line="68" w:lineRule="atLeast"/>
              <w:rPr>
                <w:rFonts w:ascii="宋体" w:hAnsi="宋体" w:eastAsia="宋体" w:cs="宋体"/>
                <w:color w:val="auto"/>
              </w:rPr>
            </w:pPr>
            <w:r>
              <w:rPr>
                <w:rFonts w:hint="eastAsia" w:ascii="宋体" w:hAnsi="宋体" w:eastAsia="宋体" w:cs="宋体"/>
                <w:color w:val="auto"/>
              </w:rPr>
              <w:t>效果（15）</w:t>
            </w:r>
          </w:p>
          <w:p w14:paraId="7F7255F3">
            <w:pPr>
              <w:spacing w:after="0" w:line="68" w:lineRule="atLeast"/>
              <w:rPr>
                <w:rFonts w:ascii="宋体" w:hAnsi="宋体" w:eastAsia="宋体" w:cs="宋体"/>
                <w:color w:val="auto"/>
              </w:rPr>
            </w:pPr>
          </w:p>
          <w:p w14:paraId="78574777">
            <w:pPr>
              <w:spacing w:after="0" w:line="68" w:lineRule="atLeast"/>
              <w:rPr>
                <w:rFonts w:ascii="宋体" w:hAnsi="宋体" w:eastAsia="宋体" w:cs="宋体"/>
                <w:color w:val="auto"/>
              </w:rPr>
            </w:pPr>
          </w:p>
          <w:p w14:paraId="2268FC32">
            <w:pPr>
              <w:spacing w:after="0" w:line="68" w:lineRule="atLeast"/>
              <w:rPr>
                <w:rFonts w:ascii="宋体" w:hAnsi="宋体" w:eastAsia="宋体" w:cs="宋体"/>
                <w:color w:val="auto"/>
              </w:rPr>
            </w:pPr>
          </w:p>
          <w:p w14:paraId="3C567111">
            <w:pPr>
              <w:spacing w:after="0" w:line="68" w:lineRule="atLeast"/>
              <w:rPr>
                <w:rFonts w:ascii="宋体" w:hAnsi="宋体" w:eastAsia="宋体" w:cs="宋体"/>
                <w:color w:val="auto"/>
              </w:rPr>
            </w:pPr>
          </w:p>
          <w:p w14:paraId="79E7CF06">
            <w:pPr>
              <w:spacing w:after="0" w:line="68" w:lineRule="atLeast"/>
              <w:rPr>
                <w:rFonts w:ascii="宋体" w:hAnsi="宋体" w:eastAsia="宋体" w:cs="宋体"/>
                <w:color w:val="auto"/>
              </w:rPr>
            </w:pPr>
          </w:p>
          <w:p w14:paraId="1E10C418">
            <w:pPr>
              <w:spacing w:after="0" w:line="68" w:lineRule="atLeast"/>
              <w:rPr>
                <w:rFonts w:ascii="宋体" w:hAnsi="宋体" w:eastAsia="宋体" w:cs="宋体"/>
                <w:color w:val="auto"/>
              </w:rPr>
            </w:pPr>
          </w:p>
          <w:p w14:paraId="0990F492">
            <w:pPr>
              <w:spacing w:after="0" w:line="68" w:lineRule="atLeast"/>
              <w:rPr>
                <w:rFonts w:ascii="宋体" w:hAnsi="宋体" w:eastAsia="宋体" w:cs="宋体"/>
                <w:color w:val="auto"/>
              </w:rPr>
            </w:pPr>
          </w:p>
          <w:p w14:paraId="4DD09C9A">
            <w:pPr>
              <w:spacing w:after="0" w:line="68" w:lineRule="atLeast"/>
              <w:rPr>
                <w:rFonts w:ascii="宋体" w:hAnsi="宋体" w:eastAsia="宋体" w:cs="宋体"/>
                <w:color w:val="auto"/>
              </w:rPr>
            </w:pPr>
          </w:p>
          <w:p w14:paraId="76AAB5BA">
            <w:pPr>
              <w:spacing w:after="0" w:line="68" w:lineRule="atLeast"/>
              <w:rPr>
                <w:rFonts w:ascii="宋体" w:hAnsi="宋体" w:eastAsia="宋体" w:cs="宋体"/>
                <w:color w:val="auto"/>
              </w:rPr>
            </w:pPr>
          </w:p>
          <w:p w14:paraId="37B44855">
            <w:pPr>
              <w:spacing w:after="0" w:line="68" w:lineRule="atLeast"/>
              <w:rPr>
                <w:rFonts w:ascii="宋体" w:hAnsi="宋体" w:eastAsia="宋体" w:cs="宋体"/>
                <w:color w:val="auto"/>
              </w:rPr>
            </w:pPr>
          </w:p>
          <w:p w14:paraId="2A0F9DF8">
            <w:pPr>
              <w:spacing w:after="0" w:line="68" w:lineRule="atLeast"/>
              <w:rPr>
                <w:rFonts w:ascii="宋体" w:hAnsi="宋体" w:eastAsia="宋体" w:cs="宋体"/>
                <w:color w:val="auto"/>
              </w:rPr>
            </w:pPr>
          </w:p>
          <w:p w14:paraId="62ECF35F">
            <w:pPr>
              <w:spacing w:after="0" w:line="68" w:lineRule="atLeast"/>
              <w:rPr>
                <w:rFonts w:ascii="宋体" w:hAnsi="宋体" w:eastAsia="宋体" w:cs="宋体"/>
                <w:color w:val="auto"/>
              </w:rPr>
            </w:pPr>
          </w:p>
          <w:p w14:paraId="2C3EC76B">
            <w:pPr>
              <w:spacing w:after="0" w:line="68" w:lineRule="atLeast"/>
              <w:rPr>
                <w:rFonts w:ascii="宋体" w:hAnsi="宋体" w:eastAsia="宋体" w:cs="宋体"/>
                <w:color w:val="auto"/>
              </w:rPr>
            </w:pPr>
          </w:p>
          <w:p w14:paraId="3D2CDB08">
            <w:pPr>
              <w:spacing w:after="0" w:line="68" w:lineRule="atLeast"/>
              <w:rPr>
                <w:rFonts w:ascii="宋体" w:hAnsi="宋体" w:eastAsia="宋体" w:cs="宋体"/>
                <w:color w:val="auto"/>
              </w:rPr>
            </w:pPr>
          </w:p>
          <w:p w14:paraId="4D3B597D">
            <w:pPr>
              <w:spacing w:after="0" w:line="68" w:lineRule="atLeast"/>
              <w:rPr>
                <w:rFonts w:ascii="宋体" w:hAnsi="宋体" w:eastAsia="宋体" w:cs="宋体"/>
                <w:color w:val="auto"/>
              </w:rPr>
            </w:pPr>
          </w:p>
          <w:p w14:paraId="19C204C1">
            <w:pPr>
              <w:spacing w:after="0" w:line="68" w:lineRule="atLeast"/>
              <w:rPr>
                <w:rFonts w:ascii="宋体" w:hAnsi="宋体" w:eastAsia="宋体" w:cs="宋体"/>
                <w:color w:val="auto"/>
              </w:rPr>
            </w:pPr>
          </w:p>
          <w:p w14:paraId="04857DAB">
            <w:pPr>
              <w:spacing w:after="0" w:line="68" w:lineRule="atLeast"/>
              <w:rPr>
                <w:rFonts w:ascii="宋体" w:hAnsi="宋体" w:eastAsia="宋体" w:cs="宋体"/>
                <w:color w:val="auto"/>
              </w:rPr>
            </w:pPr>
            <w:r>
              <w:rPr>
                <w:rFonts w:hint="eastAsia" w:ascii="宋体" w:hAnsi="宋体" w:eastAsia="宋体" w:cs="宋体"/>
                <w:color w:val="auto"/>
              </w:rPr>
              <w:t>效果（15）</w:t>
            </w:r>
          </w:p>
          <w:p w14:paraId="0CFEE8AC">
            <w:pPr>
              <w:spacing w:after="0" w:line="68" w:lineRule="atLeast"/>
              <w:rPr>
                <w:rFonts w:ascii="宋体" w:hAnsi="宋体" w:eastAsia="宋体" w:cs="宋体"/>
                <w:color w:val="auto"/>
              </w:rPr>
            </w:pPr>
          </w:p>
        </w:tc>
        <w:tc>
          <w:tcPr>
            <w:tcW w:w="803" w:type="dxa"/>
            <w:tcBorders>
              <w:top w:val="single" w:color="auto" w:sz="4" w:space="0"/>
              <w:left w:val="single" w:color="000000" w:sz="4" w:space="0"/>
              <w:bottom w:val="single" w:color="auto" w:sz="4" w:space="0"/>
              <w:right w:val="single" w:color="000000" w:sz="4" w:space="0"/>
            </w:tcBorders>
            <w:vAlign w:val="center"/>
          </w:tcPr>
          <w:p w14:paraId="319DDD7F">
            <w:pPr>
              <w:spacing w:after="0" w:line="68" w:lineRule="atLeast"/>
              <w:rPr>
                <w:rFonts w:ascii="宋体" w:hAnsi="宋体" w:eastAsia="宋体" w:cs="宋体"/>
                <w:color w:val="auto"/>
              </w:rPr>
            </w:pPr>
            <w:r>
              <w:rPr>
                <w:rFonts w:hint="eastAsia" w:ascii="宋体" w:hAnsi="宋体" w:eastAsia="宋体" w:cs="宋体"/>
                <w:color w:val="auto"/>
              </w:rPr>
              <w:t>监督发现问题</w:t>
            </w:r>
          </w:p>
          <w:p w14:paraId="3484827C">
            <w:pPr>
              <w:spacing w:after="0" w:line="68" w:lineRule="atLeast"/>
              <w:rPr>
                <w:rFonts w:ascii="宋体" w:hAnsi="宋体" w:eastAsia="宋体" w:cs="宋体"/>
                <w:color w:val="auto"/>
              </w:rPr>
            </w:pPr>
            <w:r>
              <w:rPr>
                <w:rFonts w:hint="eastAsia" w:ascii="宋体" w:hAnsi="宋体" w:eastAsia="宋体" w:cs="宋体"/>
                <w:color w:val="auto"/>
              </w:rPr>
              <w:t>（2分）</w:t>
            </w:r>
          </w:p>
        </w:tc>
        <w:tc>
          <w:tcPr>
            <w:tcW w:w="1182" w:type="dxa"/>
            <w:tcBorders>
              <w:top w:val="single" w:color="000000" w:sz="4" w:space="0"/>
              <w:left w:val="single" w:color="000000" w:sz="4" w:space="0"/>
              <w:bottom w:val="single" w:color="000000" w:sz="4" w:space="0"/>
              <w:right w:val="single" w:color="auto" w:sz="4" w:space="0"/>
            </w:tcBorders>
            <w:vAlign w:val="center"/>
          </w:tcPr>
          <w:p w14:paraId="68DFF74B">
            <w:pPr>
              <w:spacing w:after="0" w:line="68" w:lineRule="atLeast"/>
              <w:rPr>
                <w:rFonts w:ascii="宋体" w:hAnsi="宋体" w:eastAsia="宋体" w:cs="宋体"/>
                <w:color w:val="auto"/>
              </w:rPr>
            </w:pPr>
            <w:r>
              <w:rPr>
                <w:rFonts w:hint="eastAsia" w:ascii="宋体" w:hAnsi="宋体" w:eastAsia="宋体" w:cs="宋体"/>
                <w:color w:val="auto"/>
              </w:rPr>
              <w:t>违规率（2分）</w:t>
            </w:r>
          </w:p>
        </w:tc>
        <w:tc>
          <w:tcPr>
            <w:tcW w:w="6911" w:type="dxa"/>
            <w:tcBorders>
              <w:top w:val="single" w:color="000000" w:sz="4" w:space="0"/>
              <w:left w:val="single" w:color="auto" w:sz="4" w:space="0"/>
              <w:bottom w:val="single" w:color="000000" w:sz="4" w:space="0"/>
              <w:right w:val="single" w:color="auto" w:sz="4" w:space="0"/>
            </w:tcBorders>
            <w:vAlign w:val="center"/>
          </w:tcPr>
          <w:p w14:paraId="6B1660AC">
            <w:pPr>
              <w:spacing w:after="0" w:line="68" w:lineRule="atLeast"/>
              <w:rPr>
                <w:rFonts w:ascii="宋体" w:hAnsi="宋体" w:eastAsia="宋体" w:cs="宋体"/>
                <w:color w:val="auto"/>
              </w:rPr>
            </w:pPr>
            <w:r>
              <w:rPr>
                <w:rFonts w:hint="eastAsia" w:ascii="宋体" w:hAnsi="宋体" w:eastAsia="宋体" w:cs="宋体"/>
                <w:color w:val="auto"/>
              </w:rPr>
              <w:t>部门存在违规问题的资金数量占部门预算支出资金总额的比重，用以反映和考核部门预算资金管理使用的合法、合规情况。</w:t>
            </w:r>
          </w:p>
          <w:p w14:paraId="496293B5">
            <w:pPr>
              <w:spacing w:after="0" w:line="68" w:lineRule="atLeast"/>
              <w:rPr>
                <w:rFonts w:ascii="宋体" w:hAnsi="宋体" w:eastAsia="宋体" w:cs="宋体"/>
                <w:color w:val="auto"/>
              </w:rPr>
            </w:pPr>
            <w:r>
              <w:rPr>
                <w:rFonts w:hint="eastAsia" w:ascii="宋体" w:hAnsi="宋体" w:eastAsia="宋体" w:cs="宋体"/>
                <w:color w:val="auto"/>
              </w:rPr>
              <w:t>违规率=存在违规问题的资金额/部门预算支出资金总额×100%</w:t>
            </w:r>
          </w:p>
        </w:tc>
        <w:tc>
          <w:tcPr>
            <w:tcW w:w="3423" w:type="dxa"/>
            <w:tcBorders>
              <w:top w:val="single" w:color="000000" w:sz="4" w:space="0"/>
              <w:left w:val="single" w:color="auto" w:sz="4" w:space="0"/>
              <w:bottom w:val="single" w:color="000000" w:sz="4" w:space="0"/>
              <w:right w:val="single" w:color="auto" w:sz="4" w:space="0"/>
            </w:tcBorders>
            <w:vAlign w:val="center"/>
          </w:tcPr>
          <w:p w14:paraId="58E048D9">
            <w:pPr>
              <w:spacing w:after="0" w:line="240" w:lineRule="exact"/>
              <w:rPr>
                <w:rFonts w:ascii="宋体" w:hAnsi="宋体" w:eastAsia="宋体" w:cs="宋体"/>
                <w:color w:val="auto"/>
              </w:rPr>
            </w:pPr>
            <w:r>
              <w:rPr>
                <w:rFonts w:hint="eastAsia" w:ascii="宋体" w:hAnsi="宋体" w:eastAsia="宋体" w:cs="宋体"/>
                <w:color w:val="auto"/>
              </w:rPr>
              <w:t>目标值0，达到目标值得2分，未达到目标值的每增加0.1个百分点扣0.1分</w:t>
            </w:r>
          </w:p>
        </w:tc>
        <w:tc>
          <w:tcPr>
            <w:tcW w:w="1090" w:type="dxa"/>
            <w:tcBorders>
              <w:top w:val="single" w:color="000000" w:sz="4" w:space="0"/>
              <w:left w:val="single" w:color="auto" w:sz="4" w:space="0"/>
              <w:bottom w:val="single" w:color="000000" w:sz="4" w:space="0"/>
              <w:right w:val="single" w:color="000000" w:sz="4" w:space="0"/>
            </w:tcBorders>
            <w:vAlign w:val="center"/>
          </w:tcPr>
          <w:p w14:paraId="100E39E2">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r>
      <w:tr w14:paraId="15C9E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15" w:hRule="atLeast"/>
          <w:jc w:val="center"/>
        </w:trPr>
        <w:tc>
          <w:tcPr>
            <w:tcW w:w="733" w:type="dxa"/>
            <w:vMerge w:val="continue"/>
            <w:tcBorders>
              <w:left w:val="single" w:color="000000" w:sz="4" w:space="0"/>
              <w:right w:val="single" w:color="000000" w:sz="4" w:space="0"/>
            </w:tcBorders>
            <w:vAlign w:val="center"/>
          </w:tcPr>
          <w:p w14:paraId="27584311">
            <w:pPr>
              <w:spacing w:after="0" w:line="68" w:lineRule="atLeast"/>
              <w:rPr>
                <w:rFonts w:ascii="宋体" w:hAnsi="宋体" w:eastAsia="宋体" w:cs="宋体"/>
                <w:color w:val="auto"/>
              </w:rPr>
            </w:pPr>
          </w:p>
        </w:tc>
        <w:tc>
          <w:tcPr>
            <w:tcW w:w="803" w:type="dxa"/>
            <w:tcBorders>
              <w:top w:val="single" w:color="auto" w:sz="4" w:space="0"/>
              <w:left w:val="single" w:color="000000" w:sz="4" w:space="0"/>
              <w:bottom w:val="single" w:color="auto" w:sz="4" w:space="0"/>
              <w:right w:val="single" w:color="000000" w:sz="4" w:space="0"/>
            </w:tcBorders>
            <w:vAlign w:val="center"/>
          </w:tcPr>
          <w:p w14:paraId="4489D0BE">
            <w:pPr>
              <w:spacing w:after="0" w:line="68" w:lineRule="atLeast"/>
              <w:rPr>
                <w:rFonts w:ascii="宋体" w:hAnsi="宋体" w:eastAsia="宋体" w:cs="宋体"/>
                <w:color w:val="auto"/>
              </w:rPr>
            </w:pPr>
            <w:r>
              <w:rPr>
                <w:rFonts w:hint="eastAsia" w:ascii="宋体" w:hAnsi="宋体" w:eastAsia="宋体" w:cs="宋体"/>
                <w:color w:val="auto"/>
              </w:rPr>
              <w:t>工作成效（5）</w:t>
            </w:r>
          </w:p>
        </w:tc>
        <w:tc>
          <w:tcPr>
            <w:tcW w:w="1182" w:type="dxa"/>
            <w:tcBorders>
              <w:top w:val="single" w:color="000000" w:sz="4" w:space="0"/>
              <w:left w:val="single" w:color="000000" w:sz="4" w:space="0"/>
              <w:bottom w:val="single" w:color="000000" w:sz="4" w:space="0"/>
              <w:right w:val="single" w:color="auto" w:sz="4" w:space="0"/>
            </w:tcBorders>
            <w:vAlign w:val="center"/>
          </w:tcPr>
          <w:p w14:paraId="3AC52A69">
            <w:pPr>
              <w:spacing w:after="0" w:line="68" w:lineRule="atLeast"/>
              <w:rPr>
                <w:rFonts w:ascii="宋体" w:hAnsi="宋体" w:eastAsia="宋体" w:cs="宋体"/>
                <w:color w:val="auto"/>
              </w:rPr>
            </w:pPr>
            <w:r>
              <w:rPr>
                <w:rFonts w:hint="eastAsia" w:ascii="宋体" w:hAnsi="宋体" w:eastAsia="宋体" w:cs="宋体"/>
                <w:bCs/>
                <w:color w:val="auto"/>
              </w:rPr>
              <w:t>部门预算绩效管理考核评价（5）</w:t>
            </w:r>
          </w:p>
        </w:tc>
        <w:tc>
          <w:tcPr>
            <w:tcW w:w="6911" w:type="dxa"/>
            <w:tcBorders>
              <w:top w:val="single" w:color="000000" w:sz="4" w:space="0"/>
              <w:left w:val="single" w:color="auto" w:sz="4" w:space="0"/>
              <w:bottom w:val="single" w:color="000000" w:sz="4" w:space="0"/>
              <w:right w:val="single" w:color="auto" w:sz="4" w:space="0"/>
            </w:tcBorders>
            <w:vAlign w:val="center"/>
          </w:tcPr>
          <w:p w14:paraId="6285E06E">
            <w:pPr>
              <w:spacing w:after="0" w:line="240" w:lineRule="exact"/>
              <w:rPr>
                <w:rFonts w:ascii="宋体" w:hAnsi="宋体" w:eastAsia="宋体" w:cs="宋体"/>
                <w:color w:val="auto"/>
              </w:rPr>
            </w:pPr>
            <w:r>
              <w:rPr>
                <w:rFonts w:hint="eastAsia" w:ascii="宋体" w:hAnsi="宋体" w:eastAsia="宋体" w:cs="宋体"/>
                <w:color w:val="auto"/>
              </w:rPr>
              <w:t>财政部门对部门开展预算绩效管理工作的评价结果，用以反映部门对预算绩效管理工作的重视程度和取得的成效。</w:t>
            </w:r>
          </w:p>
          <w:p w14:paraId="6D7CF4D7">
            <w:pPr>
              <w:spacing w:after="0" w:line="240" w:lineRule="exact"/>
              <w:rPr>
                <w:rFonts w:ascii="宋体" w:hAnsi="宋体" w:eastAsia="宋体" w:cs="宋体"/>
                <w:color w:val="auto"/>
              </w:rPr>
            </w:pPr>
            <w:r>
              <w:rPr>
                <w:rFonts w:hint="eastAsia" w:ascii="宋体" w:hAnsi="宋体" w:eastAsia="宋体" w:cs="宋体"/>
                <w:color w:val="auto"/>
              </w:rPr>
              <w:t>1.财政部门对部门绩效管理工作开展情况进行核查评价，包括绩效目标管理、绩效执行监控、绩效自评和评价结果应用等情况，按百分制。</w:t>
            </w:r>
          </w:p>
          <w:p w14:paraId="6BAF18F2">
            <w:pPr>
              <w:spacing w:after="0" w:line="68" w:lineRule="atLeast"/>
              <w:rPr>
                <w:rFonts w:ascii="宋体" w:hAnsi="宋体" w:eastAsia="宋体" w:cs="宋体"/>
                <w:color w:val="auto"/>
              </w:rPr>
            </w:pPr>
            <w:r>
              <w:rPr>
                <w:rFonts w:hint="eastAsia" w:ascii="宋体" w:hAnsi="宋体" w:eastAsia="宋体" w:cs="宋体"/>
                <w:color w:val="auto"/>
              </w:rPr>
              <w:t>2.以部门为单位进行综合计算，得出各部门绩效管理工作评价结果。</w:t>
            </w:r>
          </w:p>
        </w:tc>
        <w:tc>
          <w:tcPr>
            <w:tcW w:w="3423" w:type="dxa"/>
            <w:tcBorders>
              <w:top w:val="single" w:color="000000" w:sz="4" w:space="0"/>
              <w:left w:val="single" w:color="auto" w:sz="4" w:space="0"/>
              <w:bottom w:val="single" w:color="000000" w:sz="4" w:space="0"/>
              <w:right w:val="single" w:color="auto" w:sz="4" w:space="0"/>
            </w:tcBorders>
            <w:vAlign w:val="center"/>
          </w:tcPr>
          <w:p w14:paraId="05DE6BAA">
            <w:pPr>
              <w:spacing w:after="0" w:line="240" w:lineRule="exact"/>
              <w:rPr>
                <w:rFonts w:ascii="宋体" w:hAnsi="宋体" w:eastAsia="宋体" w:cs="宋体"/>
                <w:color w:val="auto"/>
              </w:rPr>
            </w:pPr>
            <w:r>
              <w:rPr>
                <w:rFonts w:hint="eastAsia" w:ascii="宋体" w:hAnsi="宋体" w:eastAsia="宋体" w:cs="宋体"/>
                <w:color w:val="auto"/>
              </w:rPr>
              <w:t>综合得分=（部门绩效管理工作评价结果/100）*5分</w:t>
            </w:r>
          </w:p>
          <w:p w14:paraId="4C034A9E">
            <w:pPr>
              <w:spacing w:after="0" w:line="68" w:lineRule="atLeast"/>
              <w:rPr>
                <w:rFonts w:ascii="宋体" w:hAnsi="宋体" w:eastAsia="宋体" w:cs="宋体"/>
                <w:color w:val="auto"/>
              </w:rPr>
            </w:pPr>
            <w:r>
              <w:rPr>
                <w:rFonts w:hint="eastAsia" w:ascii="宋体" w:hAnsi="宋体" w:eastAsia="宋体" w:cs="宋体"/>
                <w:color w:val="auto"/>
              </w:rPr>
              <w:t> </w:t>
            </w:r>
          </w:p>
        </w:tc>
        <w:tc>
          <w:tcPr>
            <w:tcW w:w="1090" w:type="dxa"/>
            <w:tcBorders>
              <w:top w:val="single" w:color="000000" w:sz="4" w:space="0"/>
              <w:left w:val="single" w:color="auto" w:sz="4" w:space="0"/>
              <w:bottom w:val="single" w:color="000000" w:sz="4" w:space="0"/>
              <w:right w:val="single" w:color="000000" w:sz="4" w:space="0"/>
            </w:tcBorders>
            <w:vAlign w:val="center"/>
          </w:tcPr>
          <w:p w14:paraId="34590DB3">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4</w:t>
            </w:r>
          </w:p>
        </w:tc>
      </w:tr>
      <w:tr w14:paraId="2EF60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7" w:hRule="atLeast"/>
          <w:jc w:val="center"/>
        </w:trPr>
        <w:tc>
          <w:tcPr>
            <w:tcW w:w="733" w:type="dxa"/>
            <w:vMerge w:val="continue"/>
            <w:tcBorders>
              <w:left w:val="single" w:color="000000" w:sz="4" w:space="0"/>
              <w:right w:val="single" w:color="000000" w:sz="4" w:space="0"/>
            </w:tcBorders>
            <w:vAlign w:val="center"/>
          </w:tcPr>
          <w:p w14:paraId="0D93572B">
            <w:pPr>
              <w:spacing w:after="0"/>
              <w:rPr>
                <w:rFonts w:ascii="宋体" w:hAnsi="宋体" w:eastAsia="宋体" w:cs="宋体"/>
                <w:color w:val="auto"/>
              </w:rPr>
            </w:pPr>
          </w:p>
        </w:tc>
        <w:tc>
          <w:tcPr>
            <w:tcW w:w="803" w:type="dxa"/>
            <w:tcBorders>
              <w:top w:val="single" w:color="auto" w:sz="4" w:space="0"/>
              <w:left w:val="single" w:color="000000" w:sz="4" w:space="0"/>
              <w:bottom w:val="single" w:color="auto" w:sz="4" w:space="0"/>
              <w:right w:val="single" w:color="000000" w:sz="4" w:space="0"/>
            </w:tcBorders>
            <w:vAlign w:val="center"/>
          </w:tcPr>
          <w:p w14:paraId="275C9270">
            <w:pPr>
              <w:spacing w:after="0" w:line="68" w:lineRule="atLeast"/>
              <w:rPr>
                <w:rFonts w:ascii="宋体" w:hAnsi="宋体" w:eastAsia="宋体" w:cs="宋体"/>
                <w:color w:val="auto"/>
              </w:rPr>
            </w:pPr>
            <w:r>
              <w:rPr>
                <w:rFonts w:hint="eastAsia" w:ascii="宋体" w:hAnsi="宋体" w:eastAsia="宋体" w:cs="宋体"/>
                <w:color w:val="auto"/>
              </w:rPr>
              <w:t>评价结果应用</w:t>
            </w:r>
          </w:p>
          <w:p w14:paraId="2D8B53F0">
            <w:pPr>
              <w:spacing w:after="0" w:line="68" w:lineRule="atLeast"/>
              <w:rPr>
                <w:rFonts w:ascii="宋体" w:hAnsi="宋体" w:eastAsia="宋体" w:cs="宋体"/>
                <w:color w:val="auto"/>
              </w:rPr>
            </w:pPr>
            <w:r>
              <w:rPr>
                <w:rFonts w:hint="eastAsia" w:ascii="宋体" w:hAnsi="宋体" w:eastAsia="宋体" w:cs="宋体"/>
                <w:color w:val="auto"/>
              </w:rPr>
              <w:t>（2分）</w:t>
            </w:r>
          </w:p>
        </w:tc>
        <w:tc>
          <w:tcPr>
            <w:tcW w:w="1182" w:type="dxa"/>
            <w:tcBorders>
              <w:top w:val="single" w:color="000000" w:sz="4" w:space="0"/>
              <w:left w:val="single" w:color="000000" w:sz="4" w:space="0"/>
              <w:bottom w:val="single" w:color="000000" w:sz="4" w:space="0"/>
              <w:right w:val="single" w:color="auto" w:sz="4" w:space="0"/>
            </w:tcBorders>
            <w:vAlign w:val="center"/>
          </w:tcPr>
          <w:p w14:paraId="383FC0BA">
            <w:pPr>
              <w:spacing w:after="0" w:line="68" w:lineRule="atLeast"/>
              <w:rPr>
                <w:rFonts w:ascii="宋体" w:hAnsi="宋体" w:eastAsia="宋体" w:cs="宋体"/>
                <w:color w:val="auto"/>
              </w:rPr>
            </w:pPr>
            <w:r>
              <w:rPr>
                <w:rFonts w:hint="eastAsia" w:ascii="宋体" w:hAnsi="宋体" w:eastAsia="宋体" w:cs="宋体"/>
                <w:color w:val="auto"/>
              </w:rPr>
              <w:t>应用率（2分）</w:t>
            </w:r>
          </w:p>
        </w:tc>
        <w:tc>
          <w:tcPr>
            <w:tcW w:w="6911" w:type="dxa"/>
            <w:tcBorders>
              <w:top w:val="single" w:color="000000" w:sz="4" w:space="0"/>
              <w:left w:val="single" w:color="auto" w:sz="4" w:space="0"/>
              <w:bottom w:val="single" w:color="000000" w:sz="4" w:space="0"/>
              <w:right w:val="single" w:color="auto" w:sz="4" w:space="0"/>
            </w:tcBorders>
            <w:vAlign w:val="center"/>
          </w:tcPr>
          <w:p w14:paraId="35A6F8D0">
            <w:pPr>
              <w:spacing w:after="0" w:line="68" w:lineRule="atLeast"/>
              <w:rPr>
                <w:rFonts w:ascii="宋体" w:hAnsi="宋体" w:eastAsia="宋体" w:cs="宋体"/>
                <w:color w:val="auto"/>
              </w:rPr>
            </w:pPr>
            <w:r>
              <w:rPr>
                <w:rFonts w:hint="eastAsia" w:ascii="宋体" w:hAnsi="宋体" w:eastAsia="宋体" w:cs="宋体"/>
                <w:color w:val="auto"/>
              </w:rPr>
              <w:t>部门应用绩效评价结果的项目数占绩效评价项目数的比重，用以反映和考核部门绩效评价结果的利用水平和程度。</w:t>
            </w:r>
          </w:p>
          <w:p w14:paraId="67E236F1">
            <w:pPr>
              <w:spacing w:after="0" w:line="68" w:lineRule="atLeast"/>
              <w:rPr>
                <w:rFonts w:ascii="宋体" w:hAnsi="宋体" w:eastAsia="宋体" w:cs="宋体"/>
                <w:color w:val="auto"/>
              </w:rPr>
            </w:pPr>
            <w:r>
              <w:rPr>
                <w:rFonts w:hint="eastAsia" w:ascii="宋体" w:hAnsi="宋体" w:eastAsia="宋体" w:cs="宋体"/>
                <w:color w:val="auto"/>
              </w:rPr>
              <w:t>应用率=应用绩效评价结果的项目数量/部门实施绩效评价项目数量×100%。</w:t>
            </w:r>
          </w:p>
          <w:p w14:paraId="301C4D40">
            <w:pPr>
              <w:spacing w:after="0" w:line="68" w:lineRule="atLeast"/>
              <w:rPr>
                <w:rFonts w:ascii="宋体" w:hAnsi="宋体" w:eastAsia="宋体" w:cs="宋体"/>
                <w:color w:val="auto"/>
              </w:rPr>
            </w:pPr>
            <w:r>
              <w:rPr>
                <w:rFonts w:hint="eastAsia" w:ascii="宋体" w:hAnsi="宋体" w:eastAsia="宋体" w:cs="宋体"/>
                <w:color w:val="auto"/>
              </w:rPr>
              <w:t>应用绩效评价结果包括向财政部门报告绩效评价结果、向被评价单位反馈绩效评价结果、内部公开绩效评价结果和落实整改措施等方面，其中，落实整改措施包括调整预算结构、改革预算管理、整改发现问题、健全制度措施和实施绩效问责。</w:t>
            </w:r>
          </w:p>
        </w:tc>
        <w:tc>
          <w:tcPr>
            <w:tcW w:w="3423" w:type="dxa"/>
            <w:tcBorders>
              <w:top w:val="single" w:color="000000" w:sz="4" w:space="0"/>
              <w:left w:val="single" w:color="auto" w:sz="4" w:space="0"/>
              <w:bottom w:val="single" w:color="000000" w:sz="4" w:space="0"/>
              <w:right w:val="single" w:color="auto" w:sz="4" w:space="0"/>
            </w:tcBorders>
            <w:vAlign w:val="center"/>
          </w:tcPr>
          <w:p w14:paraId="5460BB20">
            <w:pPr>
              <w:spacing w:after="0" w:line="240" w:lineRule="exact"/>
              <w:rPr>
                <w:rFonts w:ascii="宋体" w:hAnsi="宋体" w:eastAsia="宋体" w:cs="宋体"/>
                <w:color w:val="auto"/>
              </w:rPr>
            </w:pPr>
            <w:r>
              <w:rPr>
                <w:rFonts w:hint="eastAsia" w:ascii="宋体" w:hAnsi="宋体" w:eastAsia="宋体" w:cs="宋体"/>
                <w:color w:val="auto"/>
              </w:rPr>
              <w:t>目标值为100%；以2分为上限，采用完成比率法计分：得分=应用率×2，超出目标值不加分。</w:t>
            </w:r>
          </w:p>
        </w:tc>
        <w:tc>
          <w:tcPr>
            <w:tcW w:w="1090" w:type="dxa"/>
            <w:tcBorders>
              <w:top w:val="single" w:color="000000" w:sz="4" w:space="0"/>
              <w:left w:val="single" w:color="auto" w:sz="4" w:space="0"/>
              <w:bottom w:val="single" w:color="000000" w:sz="4" w:space="0"/>
              <w:right w:val="single" w:color="000000" w:sz="4" w:space="0"/>
            </w:tcBorders>
            <w:vAlign w:val="center"/>
          </w:tcPr>
          <w:p w14:paraId="6E643854">
            <w:pPr>
              <w:spacing w:after="0" w:line="68" w:lineRule="atLeast"/>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1.5</w:t>
            </w:r>
          </w:p>
        </w:tc>
      </w:tr>
      <w:tr w14:paraId="25216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9" w:hRule="atLeast"/>
          <w:jc w:val="center"/>
        </w:trPr>
        <w:tc>
          <w:tcPr>
            <w:tcW w:w="733" w:type="dxa"/>
            <w:vMerge w:val="continue"/>
            <w:tcBorders>
              <w:left w:val="single" w:color="000000" w:sz="4" w:space="0"/>
              <w:right w:val="single" w:color="000000" w:sz="4" w:space="0"/>
            </w:tcBorders>
            <w:vAlign w:val="center"/>
          </w:tcPr>
          <w:p w14:paraId="6CAB98D5">
            <w:pPr>
              <w:spacing w:after="0"/>
              <w:rPr>
                <w:rFonts w:ascii="宋体" w:hAnsi="宋体" w:eastAsia="宋体" w:cs="宋体"/>
                <w:color w:val="auto"/>
              </w:rPr>
            </w:pPr>
          </w:p>
        </w:tc>
        <w:tc>
          <w:tcPr>
            <w:tcW w:w="803" w:type="dxa"/>
            <w:tcBorders>
              <w:top w:val="single" w:color="auto" w:sz="4" w:space="0"/>
              <w:left w:val="single" w:color="000000" w:sz="4" w:space="0"/>
              <w:bottom w:val="single" w:color="auto" w:sz="4" w:space="0"/>
              <w:right w:val="single" w:color="000000" w:sz="4" w:space="0"/>
            </w:tcBorders>
            <w:vAlign w:val="center"/>
          </w:tcPr>
          <w:p w14:paraId="6F3B1B6A">
            <w:pPr>
              <w:spacing w:after="0" w:line="68" w:lineRule="atLeast"/>
              <w:rPr>
                <w:rFonts w:ascii="宋体" w:hAnsi="宋体" w:eastAsia="宋体" w:cs="宋体"/>
                <w:color w:val="auto"/>
              </w:rPr>
            </w:pPr>
            <w:r>
              <w:rPr>
                <w:rFonts w:hint="eastAsia" w:ascii="宋体" w:hAnsi="宋体" w:eastAsia="宋体" w:cs="宋体"/>
                <w:color w:val="auto"/>
              </w:rPr>
              <w:t>结果应用创新（1分）</w:t>
            </w:r>
          </w:p>
        </w:tc>
        <w:tc>
          <w:tcPr>
            <w:tcW w:w="1182" w:type="dxa"/>
            <w:tcBorders>
              <w:top w:val="single" w:color="000000" w:sz="4" w:space="0"/>
              <w:left w:val="single" w:color="000000" w:sz="4" w:space="0"/>
              <w:bottom w:val="single" w:color="000000" w:sz="4" w:space="0"/>
              <w:right w:val="single" w:color="auto" w:sz="4" w:space="0"/>
            </w:tcBorders>
            <w:vAlign w:val="center"/>
          </w:tcPr>
          <w:p w14:paraId="32EA96F3">
            <w:pPr>
              <w:spacing w:after="0" w:line="68" w:lineRule="atLeast"/>
              <w:rPr>
                <w:rFonts w:ascii="宋体" w:hAnsi="宋体" w:eastAsia="宋体" w:cs="宋体"/>
                <w:color w:val="auto"/>
              </w:rPr>
            </w:pPr>
            <w:r>
              <w:rPr>
                <w:rFonts w:hint="eastAsia" w:ascii="宋体" w:hAnsi="宋体" w:eastAsia="宋体" w:cs="宋体"/>
                <w:color w:val="auto"/>
              </w:rPr>
              <w:t>结果应用创新（1分）</w:t>
            </w:r>
          </w:p>
        </w:tc>
        <w:tc>
          <w:tcPr>
            <w:tcW w:w="6911" w:type="dxa"/>
            <w:tcBorders>
              <w:top w:val="single" w:color="000000" w:sz="4" w:space="0"/>
              <w:left w:val="single" w:color="auto" w:sz="4" w:space="0"/>
              <w:bottom w:val="single" w:color="000000" w:sz="4" w:space="0"/>
              <w:right w:val="single" w:color="auto" w:sz="4" w:space="0"/>
            </w:tcBorders>
            <w:vAlign w:val="center"/>
          </w:tcPr>
          <w:p w14:paraId="13521633">
            <w:pPr>
              <w:spacing w:after="0" w:line="68" w:lineRule="atLeast"/>
              <w:rPr>
                <w:rFonts w:ascii="宋体" w:hAnsi="宋体" w:eastAsia="宋体" w:cs="宋体"/>
                <w:color w:val="auto"/>
              </w:rPr>
            </w:pPr>
            <w:r>
              <w:rPr>
                <w:rFonts w:hint="eastAsia" w:ascii="宋体" w:hAnsi="宋体" w:eastAsia="宋体" w:cs="宋体"/>
                <w:color w:val="auto"/>
              </w:rPr>
              <w:t>部门将绩效结果主动对外公开、预算绩效管理工作开展情况向同级政府、人大等部门报告，用以反映和考核部门在结果应用方面的创新情况。</w:t>
            </w:r>
          </w:p>
          <w:p w14:paraId="0394A501">
            <w:pPr>
              <w:spacing w:after="0" w:line="68" w:lineRule="atLeast"/>
              <w:rPr>
                <w:rFonts w:ascii="宋体" w:hAnsi="宋体" w:eastAsia="宋体" w:cs="宋体"/>
                <w:color w:val="auto"/>
              </w:rPr>
            </w:pPr>
            <w:r>
              <w:rPr>
                <w:rFonts w:hint="eastAsia" w:ascii="宋体" w:hAnsi="宋体" w:eastAsia="宋体" w:cs="宋体"/>
                <w:color w:val="auto"/>
              </w:rPr>
              <w:t>评价要点：</w:t>
            </w:r>
          </w:p>
          <w:p w14:paraId="10599596">
            <w:pPr>
              <w:spacing w:after="0" w:line="68" w:lineRule="atLeast"/>
              <w:rPr>
                <w:rFonts w:ascii="宋体" w:hAnsi="宋体" w:eastAsia="宋体" w:cs="宋体"/>
                <w:color w:val="auto"/>
              </w:rPr>
            </w:pPr>
            <w:r>
              <w:rPr>
                <w:rFonts w:hint="eastAsia" w:ascii="宋体" w:hAnsi="宋体" w:eastAsia="宋体" w:cs="宋体"/>
                <w:color w:val="auto"/>
              </w:rPr>
              <w:t>1.部门是否按要求对社会公开绩效评价结果。</w:t>
            </w:r>
          </w:p>
          <w:p w14:paraId="54D860CD">
            <w:pPr>
              <w:spacing w:after="0" w:line="68" w:lineRule="atLeast"/>
              <w:rPr>
                <w:rFonts w:ascii="宋体" w:hAnsi="宋体" w:eastAsia="宋体" w:cs="宋体"/>
                <w:color w:val="auto"/>
              </w:rPr>
            </w:pPr>
            <w:r>
              <w:rPr>
                <w:rFonts w:hint="eastAsia" w:ascii="宋体" w:hAnsi="宋体" w:eastAsia="宋体" w:cs="宋体"/>
                <w:color w:val="auto"/>
              </w:rPr>
              <w:t>2.部门是否将预算绩效管理工作开展情况向同级政府、人大等部门报告。</w:t>
            </w:r>
          </w:p>
        </w:tc>
        <w:tc>
          <w:tcPr>
            <w:tcW w:w="3423" w:type="dxa"/>
            <w:tcBorders>
              <w:top w:val="single" w:color="000000" w:sz="4" w:space="0"/>
              <w:left w:val="single" w:color="auto" w:sz="4" w:space="0"/>
              <w:bottom w:val="single" w:color="000000" w:sz="4" w:space="0"/>
              <w:right w:val="single" w:color="auto" w:sz="4" w:space="0"/>
            </w:tcBorders>
            <w:vAlign w:val="center"/>
          </w:tcPr>
          <w:p w14:paraId="2FF47BA2">
            <w:pPr>
              <w:spacing w:after="0" w:line="240" w:lineRule="exact"/>
              <w:rPr>
                <w:rFonts w:ascii="宋体" w:hAnsi="宋体" w:eastAsia="宋体" w:cs="宋体"/>
                <w:color w:val="auto"/>
              </w:rPr>
            </w:pPr>
            <w:r>
              <w:rPr>
                <w:rFonts w:hint="eastAsia" w:ascii="宋体" w:hAnsi="宋体" w:eastAsia="宋体" w:cs="宋体"/>
                <w:color w:val="auto"/>
              </w:rPr>
              <w:t>全部符合（1分）；</w:t>
            </w:r>
          </w:p>
          <w:p w14:paraId="2C2CB6A9">
            <w:pPr>
              <w:spacing w:after="0" w:line="240" w:lineRule="exact"/>
              <w:rPr>
                <w:rFonts w:ascii="宋体" w:hAnsi="宋体" w:eastAsia="宋体" w:cs="宋体"/>
                <w:color w:val="auto"/>
              </w:rPr>
            </w:pPr>
            <w:r>
              <w:rPr>
                <w:rFonts w:hint="eastAsia" w:ascii="宋体" w:hAnsi="宋体" w:eastAsia="宋体" w:cs="宋体"/>
                <w:color w:val="auto"/>
              </w:rPr>
              <w:t>符合其中两项（0.5分）</w:t>
            </w:r>
          </w:p>
          <w:p w14:paraId="44035203">
            <w:pPr>
              <w:spacing w:after="0" w:line="240" w:lineRule="exact"/>
              <w:rPr>
                <w:rFonts w:ascii="宋体" w:hAnsi="宋体" w:eastAsia="宋体" w:cs="宋体"/>
                <w:color w:val="auto"/>
              </w:rPr>
            </w:pPr>
            <w:r>
              <w:rPr>
                <w:rFonts w:hint="eastAsia" w:ascii="宋体" w:hAnsi="宋体" w:eastAsia="宋体" w:cs="宋体"/>
                <w:color w:val="auto"/>
              </w:rPr>
              <w:t>符合其中一项及以下（0分）。</w:t>
            </w:r>
          </w:p>
        </w:tc>
        <w:tc>
          <w:tcPr>
            <w:tcW w:w="1090" w:type="dxa"/>
            <w:tcBorders>
              <w:top w:val="single" w:color="000000" w:sz="4" w:space="0"/>
              <w:left w:val="single" w:color="auto" w:sz="4" w:space="0"/>
              <w:bottom w:val="single" w:color="000000" w:sz="4" w:space="0"/>
              <w:right w:val="single" w:color="000000" w:sz="4" w:space="0"/>
            </w:tcBorders>
            <w:vAlign w:val="center"/>
          </w:tcPr>
          <w:p w14:paraId="5C85F6E5">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r>
      <w:tr w14:paraId="6A3B9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8" w:hRule="atLeast"/>
          <w:jc w:val="center"/>
        </w:trPr>
        <w:tc>
          <w:tcPr>
            <w:tcW w:w="733" w:type="dxa"/>
            <w:vMerge w:val="continue"/>
            <w:tcBorders>
              <w:left w:val="single" w:color="000000" w:sz="4" w:space="0"/>
              <w:right w:val="single" w:color="000000" w:sz="4" w:space="0"/>
            </w:tcBorders>
            <w:vAlign w:val="center"/>
          </w:tcPr>
          <w:p w14:paraId="0404166E">
            <w:pPr>
              <w:spacing w:after="0"/>
              <w:rPr>
                <w:rFonts w:ascii="宋体" w:hAnsi="宋体" w:eastAsia="宋体" w:cs="宋体"/>
                <w:color w:val="auto"/>
              </w:rPr>
            </w:pPr>
          </w:p>
        </w:tc>
        <w:tc>
          <w:tcPr>
            <w:tcW w:w="803" w:type="dxa"/>
            <w:tcBorders>
              <w:top w:val="single" w:color="auto" w:sz="4" w:space="0"/>
              <w:left w:val="single" w:color="000000" w:sz="4" w:space="0"/>
              <w:bottom w:val="single" w:color="auto" w:sz="4" w:space="0"/>
              <w:right w:val="single" w:color="000000" w:sz="4" w:space="0"/>
            </w:tcBorders>
            <w:vAlign w:val="center"/>
          </w:tcPr>
          <w:p w14:paraId="1275426F">
            <w:pPr>
              <w:spacing w:after="0" w:line="68" w:lineRule="atLeast"/>
              <w:rPr>
                <w:rFonts w:ascii="宋体" w:hAnsi="宋体" w:eastAsia="宋体" w:cs="宋体"/>
                <w:color w:val="auto"/>
              </w:rPr>
            </w:pPr>
            <w:r>
              <w:rPr>
                <w:rFonts w:hint="eastAsia" w:ascii="宋体" w:hAnsi="宋体" w:eastAsia="宋体" w:cs="宋体"/>
                <w:color w:val="auto"/>
              </w:rPr>
              <w:t>社会效益（5分）</w:t>
            </w:r>
          </w:p>
        </w:tc>
        <w:tc>
          <w:tcPr>
            <w:tcW w:w="1182" w:type="dxa"/>
            <w:tcBorders>
              <w:top w:val="single" w:color="000000" w:sz="4" w:space="0"/>
              <w:left w:val="single" w:color="000000" w:sz="4" w:space="0"/>
              <w:bottom w:val="single" w:color="000000" w:sz="4" w:space="0"/>
              <w:right w:val="single" w:color="auto" w:sz="4" w:space="0"/>
            </w:tcBorders>
            <w:vAlign w:val="center"/>
          </w:tcPr>
          <w:p w14:paraId="5D0C3520">
            <w:pPr>
              <w:spacing w:after="0" w:line="68" w:lineRule="atLeast"/>
              <w:rPr>
                <w:rFonts w:ascii="宋体" w:hAnsi="宋体" w:eastAsia="宋体" w:cs="宋体"/>
                <w:color w:val="auto"/>
              </w:rPr>
            </w:pPr>
            <w:r>
              <w:rPr>
                <w:rFonts w:hint="eastAsia" w:ascii="宋体" w:hAnsi="宋体" w:eastAsia="宋体" w:cs="宋体"/>
                <w:color w:val="auto"/>
              </w:rPr>
              <w:t>社会公众满意度（5分）</w:t>
            </w:r>
          </w:p>
        </w:tc>
        <w:tc>
          <w:tcPr>
            <w:tcW w:w="6911" w:type="dxa"/>
            <w:tcBorders>
              <w:top w:val="single" w:color="000000" w:sz="4" w:space="0"/>
              <w:left w:val="single" w:color="auto" w:sz="4" w:space="0"/>
              <w:bottom w:val="single" w:color="000000" w:sz="4" w:space="0"/>
              <w:right w:val="single" w:color="auto" w:sz="4" w:space="0"/>
            </w:tcBorders>
            <w:vAlign w:val="center"/>
          </w:tcPr>
          <w:p w14:paraId="4BC0CC63">
            <w:pPr>
              <w:spacing w:after="0" w:line="68" w:lineRule="atLeast"/>
              <w:rPr>
                <w:rFonts w:ascii="宋体" w:hAnsi="宋体" w:eastAsia="宋体" w:cs="宋体"/>
                <w:color w:val="auto"/>
              </w:rPr>
            </w:pPr>
            <w:r>
              <w:rPr>
                <w:rFonts w:hint="eastAsia" w:ascii="宋体" w:hAnsi="宋体" w:eastAsia="宋体" w:cs="宋体"/>
                <w:color w:val="auto"/>
              </w:rPr>
              <w:t>通过问卷调查了解社会公众对部门履职效果、解决民众关心的热点问题、厉行节约等方面的满意程度，反映和评价部门支出所带来的社会效益。</w:t>
            </w:r>
          </w:p>
        </w:tc>
        <w:tc>
          <w:tcPr>
            <w:tcW w:w="3423" w:type="dxa"/>
            <w:tcBorders>
              <w:top w:val="single" w:color="000000" w:sz="4" w:space="0"/>
              <w:left w:val="single" w:color="auto" w:sz="4" w:space="0"/>
              <w:bottom w:val="single" w:color="000000" w:sz="4" w:space="0"/>
              <w:right w:val="single" w:color="auto" w:sz="4" w:space="0"/>
            </w:tcBorders>
            <w:vAlign w:val="center"/>
          </w:tcPr>
          <w:p w14:paraId="050ED9C8">
            <w:pPr>
              <w:spacing w:after="0" w:line="240" w:lineRule="exact"/>
              <w:rPr>
                <w:rFonts w:ascii="宋体" w:hAnsi="宋体" w:eastAsia="宋体" w:cs="宋体"/>
                <w:color w:val="auto"/>
              </w:rPr>
            </w:pPr>
            <w:r>
              <w:rPr>
                <w:rFonts w:hint="eastAsia" w:ascii="宋体" w:hAnsi="宋体" w:eastAsia="宋体" w:cs="宋体"/>
                <w:color w:val="auto"/>
              </w:rPr>
              <w:t>按照满意度调查的优秀、良好、合格、不合格给予该项指标打分：</w:t>
            </w:r>
          </w:p>
          <w:p w14:paraId="4AA52D0C">
            <w:pPr>
              <w:spacing w:after="0" w:line="68" w:lineRule="atLeast"/>
              <w:rPr>
                <w:rFonts w:ascii="宋体" w:hAnsi="宋体" w:eastAsia="宋体" w:cs="宋体"/>
                <w:color w:val="auto"/>
              </w:rPr>
            </w:pPr>
            <w:r>
              <w:rPr>
                <w:rFonts w:hint="eastAsia" w:ascii="宋体" w:hAnsi="宋体" w:eastAsia="宋体" w:cs="宋体"/>
                <w:color w:val="auto"/>
              </w:rPr>
              <w:t>优秀（5分）；良好（3分）；合格（1分）；不合格（0分）。</w:t>
            </w:r>
          </w:p>
        </w:tc>
        <w:tc>
          <w:tcPr>
            <w:tcW w:w="1090" w:type="dxa"/>
            <w:tcBorders>
              <w:top w:val="single" w:color="000000" w:sz="4" w:space="0"/>
              <w:left w:val="single" w:color="auto" w:sz="4" w:space="0"/>
              <w:bottom w:val="single" w:color="000000" w:sz="4" w:space="0"/>
              <w:right w:val="single" w:color="000000" w:sz="4" w:space="0"/>
            </w:tcBorders>
            <w:vAlign w:val="center"/>
          </w:tcPr>
          <w:p w14:paraId="1F715F21">
            <w:pPr>
              <w:spacing w:after="0" w:line="68" w:lineRule="atLeast"/>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5</w:t>
            </w:r>
          </w:p>
        </w:tc>
      </w:tr>
      <w:tr w14:paraId="69656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733" w:type="dxa"/>
            <w:tcBorders>
              <w:left w:val="single" w:color="000000" w:sz="4" w:space="0"/>
              <w:right w:val="single" w:color="000000" w:sz="4" w:space="0"/>
            </w:tcBorders>
            <w:vAlign w:val="center"/>
          </w:tcPr>
          <w:p w14:paraId="773CD3E1">
            <w:pPr>
              <w:spacing w:after="0"/>
              <w:rPr>
                <w:rFonts w:ascii="宋体" w:hAnsi="宋体" w:eastAsia="宋体" w:cs="宋体"/>
                <w:color w:val="auto"/>
              </w:rPr>
            </w:pPr>
            <w:r>
              <w:rPr>
                <w:rFonts w:hint="eastAsia" w:ascii="宋体" w:hAnsi="宋体" w:eastAsia="宋体" w:cs="宋体"/>
                <w:color w:val="auto"/>
              </w:rPr>
              <w:t>小计</w:t>
            </w:r>
          </w:p>
        </w:tc>
        <w:tc>
          <w:tcPr>
            <w:tcW w:w="803" w:type="dxa"/>
            <w:tcBorders>
              <w:top w:val="single" w:color="auto" w:sz="4" w:space="0"/>
              <w:left w:val="single" w:color="000000" w:sz="4" w:space="0"/>
              <w:bottom w:val="single" w:color="auto" w:sz="4" w:space="0"/>
              <w:right w:val="single" w:color="000000" w:sz="4" w:space="0"/>
            </w:tcBorders>
            <w:vAlign w:val="center"/>
          </w:tcPr>
          <w:p w14:paraId="7995C43D">
            <w:pPr>
              <w:spacing w:after="0" w:line="68" w:lineRule="atLeast"/>
              <w:rPr>
                <w:rFonts w:ascii="宋体" w:hAnsi="宋体" w:eastAsia="宋体" w:cs="宋体"/>
                <w:color w:val="auto"/>
              </w:rPr>
            </w:pPr>
            <w:r>
              <w:rPr>
                <w:rFonts w:hint="eastAsia" w:ascii="宋体" w:hAnsi="宋体" w:eastAsia="宋体" w:cs="宋体"/>
                <w:color w:val="auto"/>
              </w:rPr>
              <w:t>100</w:t>
            </w:r>
          </w:p>
        </w:tc>
        <w:tc>
          <w:tcPr>
            <w:tcW w:w="1182" w:type="dxa"/>
            <w:tcBorders>
              <w:top w:val="single" w:color="000000" w:sz="4" w:space="0"/>
              <w:left w:val="single" w:color="000000" w:sz="4" w:space="0"/>
              <w:bottom w:val="single" w:color="000000" w:sz="4" w:space="0"/>
              <w:right w:val="single" w:color="auto" w:sz="4" w:space="0"/>
            </w:tcBorders>
            <w:vAlign w:val="center"/>
          </w:tcPr>
          <w:p w14:paraId="0A172C33">
            <w:pPr>
              <w:spacing w:after="0" w:line="68" w:lineRule="atLeast"/>
              <w:rPr>
                <w:rFonts w:ascii="宋体" w:hAnsi="宋体" w:eastAsia="宋体" w:cs="宋体"/>
                <w:color w:val="auto"/>
              </w:rPr>
            </w:pPr>
          </w:p>
        </w:tc>
        <w:tc>
          <w:tcPr>
            <w:tcW w:w="6911" w:type="dxa"/>
            <w:tcBorders>
              <w:top w:val="single" w:color="000000" w:sz="4" w:space="0"/>
              <w:left w:val="single" w:color="auto" w:sz="4" w:space="0"/>
              <w:bottom w:val="single" w:color="000000" w:sz="4" w:space="0"/>
              <w:right w:val="single" w:color="auto" w:sz="4" w:space="0"/>
            </w:tcBorders>
            <w:vAlign w:val="center"/>
          </w:tcPr>
          <w:p w14:paraId="47056992">
            <w:pPr>
              <w:spacing w:after="0" w:line="68" w:lineRule="atLeast"/>
              <w:rPr>
                <w:rFonts w:ascii="宋体" w:hAnsi="宋体" w:eastAsia="宋体" w:cs="宋体"/>
                <w:color w:val="auto"/>
              </w:rPr>
            </w:pPr>
          </w:p>
        </w:tc>
        <w:tc>
          <w:tcPr>
            <w:tcW w:w="3423" w:type="dxa"/>
            <w:tcBorders>
              <w:top w:val="single" w:color="000000" w:sz="4" w:space="0"/>
              <w:left w:val="single" w:color="auto" w:sz="4" w:space="0"/>
              <w:bottom w:val="single" w:color="000000" w:sz="4" w:space="0"/>
              <w:right w:val="single" w:color="auto" w:sz="4" w:space="0"/>
            </w:tcBorders>
            <w:vAlign w:val="center"/>
          </w:tcPr>
          <w:p w14:paraId="58B68ADF">
            <w:pPr>
              <w:spacing w:after="0" w:line="68" w:lineRule="atLeast"/>
              <w:rPr>
                <w:rFonts w:ascii="宋体" w:hAnsi="宋体" w:eastAsia="宋体" w:cs="宋体"/>
                <w:color w:val="auto"/>
              </w:rPr>
            </w:pPr>
          </w:p>
        </w:tc>
        <w:tc>
          <w:tcPr>
            <w:tcW w:w="1090" w:type="dxa"/>
            <w:tcBorders>
              <w:top w:val="single" w:color="000000" w:sz="4" w:space="0"/>
              <w:left w:val="single" w:color="auto" w:sz="4" w:space="0"/>
              <w:bottom w:val="single" w:color="000000" w:sz="4" w:space="0"/>
              <w:right w:val="single" w:color="000000" w:sz="4" w:space="0"/>
            </w:tcBorders>
            <w:vAlign w:val="center"/>
          </w:tcPr>
          <w:p w14:paraId="5FB8AD16">
            <w:pPr>
              <w:spacing w:after="0" w:line="68" w:lineRule="atLeast"/>
              <w:jc w:val="center"/>
              <w:rPr>
                <w:rFonts w:ascii="宋体" w:hAnsi="宋体" w:eastAsia="宋体" w:cs="宋体"/>
                <w:color w:val="auto"/>
              </w:rPr>
            </w:pPr>
          </w:p>
        </w:tc>
      </w:tr>
      <w:tr w14:paraId="3C021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jc w:val="center"/>
        </w:trPr>
        <w:tc>
          <w:tcPr>
            <w:tcW w:w="733" w:type="dxa"/>
            <w:tcBorders>
              <w:left w:val="single" w:color="000000" w:sz="4" w:space="0"/>
              <w:bottom w:val="single" w:color="000000" w:sz="4" w:space="0"/>
              <w:right w:val="single" w:color="000000" w:sz="4" w:space="0"/>
            </w:tcBorders>
            <w:vAlign w:val="center"/>
          </w:tcPr>
          <w:p w14:paraId="3B54475B">
            <w:pPr>
              <w:spacing w:after="0"/>
              <w:rPr>
                <w:rFonts w:ascii="宋体" w:hAnsi="宋体" w:eastAsia="宋体" w:cs="宋体"/>
                <w:color w:val="auto"/>
              </w:rPr>
            </w:pPr>
            <w:r>
              <w:rPr>
                <w:rFonts w:hint="eastAsia" w:ascii="宋体" w:hAnsi="宋体" w:eastAsia="宋体" w:cs="宋体"/>
                <w:color w:val="auto"/>
              </w:rPr>
              <w:t>评价结果</w:t>
            </w:r>
          </w:p>
        </w:tc>
        <w:tc>
          <w:tcPr>
            <w:tcW w:w="803" w:type="dxa"/>
            <w:tcBorders>
              <w:top w:val="single" w:color="auto" w:sz="4" w:space="0"/>
              <w:left w:val="single" w:color="000000" w:sz="4" w:space="0"/>
              <w:bottom w:val="single" w:color="auto" w:sz="4" w:space="0"/>
              <w:right w:val="single" w:color="000000" w:sz="4" w:space="0"/>
            </w:tcBorders>
            <w:vAlign w:val="center"/>
          </w:tcPr>
          <w:p w14:paraId="32539025">
            <w:pPr>
              <w:spacing w:after="0" w:line="68" w:lineRule="atLeast"/>
              <w:rPr>
                <w:rFonts w:ascii="宋体" w:hAnsi="宋体" w:eastAsia="宋体" w:cs="宋体"/>
                <w:color w:val="auto"/>
              </w:rPr>
            </w:pPr>
          </w:p>
        </w:tc>
        <w:tc>
          <w:tcPr>
            <w:tcW w:w="1182" w:type="dxa"/>
            <w:tcBorders>
              <w:top w:val="single" w:color="000000" w:sz="4" w:space="0"/>
              <w:left w:val="single" w:color="000000" w:sz="4" w:space="0"/>
              <w:bottom w:val="single" w:color="000000" w:sz="4" w:space="0"/>
              <w:right w:val="single" w:color="auto" w:sz="4" w:space="0"/>
            </w:tcBorders>
            <w:vAlign w:val="center"/>
          </w:tcPr>
          <w:p w14:paraId="38DA9679">
            <w:pPr>
              <w:spacing w:after="0" w:line="68" w:lineRule="atLeast"/>
              <w:rPr>
                <w:rFonts w:ascii="宋体" w:hAnsi="宋体" w:eastAsia="宋体" w:cs="宋体"/>
                <w:color w:val="auto"/>
              </w:rPr>
            </w:pPr>
          </w:p>
        </w:tc>
        <w:tc>
          <w:tcPr>
            <w:tcW w:w="10334" w:type="dxa"/>
            <w:gridSpan w:val="2"/>
            <w:tcBorders>
              <w:top w:val="single" w:color="000000" w:sz="4" w:space="0"/>
              <w:left w:val="single" w:color="auto" w:sz="4" w:space="0"/>
              <w:bottom w:val="single" w:color="000000" w:sz="4" w:space="0"/>
              <w:right w:val="single" w:color="auto" w:sz="4" w:space="0"/>
            </w:tcBorders>
            <w:vAlign w:val="center"/>
          </w:tcPr>
          <w:p w14:paraId="1763E5A8">
            <w:pPr>
              <w:spacing w:after="0" w:line="68" w:lineRule="atLeast"/>
              <w:rPr>
                <w:rFonts w:ascii="宋体" w:hAnsi="宋体" w:eastAsia="宋体" w:cs="宋体"/>
                <w:color w:val="auto"/>
              </w:rPr>
            </w:pPr>
            <w:r>
              <w:rPr>
                <w:rFonts w:hint="eastAsia" w:ascii="宋体" w:hAnsi="宋体" w:eastAsia="宋体" w:cs="宋体"/>
                <w:color w:val="auto"/>
              </w:rPr>
              <w:t xml:space="preserve">□优秀  90分≤得分≤100分； </w:t>
            </w:r>
            <w:r>
              <w:rPr>
                <w:rFonts w:hint="eastAsia" w:ascii="宋体" w:hAnsi="宋体" w:eastAsia="宋体" w:cs="宋体"/>
                <w:color w:val="auto"/>
              </w:rPr>
              <w:sym w:font="Wingdings 2" w:char="0052"/>
            </w:r>
            <w:r>
              <w:rPr>
                <w:rFonts w:hint="eastAsia" w:ascii="宋体" w:hAnsi="宋体" w:eastAsia="宋体" w:cs="宋体"/>
                <w:color w:val="auto"/>
              </w:rPr>
              <w:t>良好  80分≤得分≤89分；</w:t>
            </w:r>
          </w:p>
          <w:p w14:paraId="55172750">
            <w:pPr>
              <w:spacing w:after="0" w:line="68" w:lineRule="atLeast"/>
              <w:rPr>
                <w:rFonts w:ascii="宋体" w:hAnsi="宋体" w:eastAsia="宋体" w:cs="宋体"/>
                <w:color w:val="auto"/>
              </w:rPr>
            </w:pPr>
            <w:r>
              <w:rPr>
                <w:rFonts w:hint="eastAsia" w:ascii="宋体" w:hAnsi="宋体" w:eastAsia="宋体" w:cs="宋体"/>
                <w:color w:val="auto"/>
              </w:rPr>
              <w:t xml:space="preserve">  □中  60分≤得分≤79分；  □较差  0≤得分≤59分</w:t>
            </w:r>
          </w:p>
        </w:tc>
        <w:tc>
          <w:tcPr>
            <w:tcW w:w="1090" w:type="dxa"/>
            <w:tcBorders>
              <w:top w:val="single" w:color="000000" w:sz="4" w:space="0"/>
              <w:left w:val="single" w:color="auto" w:sz="4" w:space="0"/>
              <w:bottom w:val="single" w:color="000000" w:sz="4" w:space="0"/>
              <w:right w:val="single" w:color="000000" w:sz="4" w:space="0"/>
            </w:tcBorders>
            <w:vAlign w:val="center"/>
          </w:tcPr>
          <w:p w14:paraId="3F9D1D4B">
            <w:pPr>
              <w:spacing w:after="0" w:line="68" w:lineRule="atLeast"/>
              <w:rPr>
                <w:rFonts w:hint="default" w:ascii="宋体" w:hAnsi="宋体" w:eastAsia="宋体" w:cs="宋体"/>
                <w:color w:val="auto"/>
                <w:lang w:val="en-US" w:eastAsia="zh-CN"/>
              </w:rPr>
            </w:pPr>
            <w:r>
              <w:rPr>
                <w:rFonts w:hint="eastAsia" w:ascii="宋体" w:hAnsi="宋体" w:eastAsia="宋体" w:cs="宋体"/>
                <w:color w:val="auto"/>
                <w:lang w:val="en-US" w:eastAsia="zh-CN"/>
              </w:rPr>
              <w:t>90.6</w:t>
            </w:r>
          </w:p>
        </w:tc>
      </w:tr>
    </w:tbl>
    <w:p w14:paraId="7652E021">
      <w:pPr>
        <w:spacing w:line="432" w:lineRule="auto"/>
        <w:rPr>
          <w:color w:val="auto"/>
        </w:rPr>
      </w:pPr>
    </w:p>
    <w:sectPr>
      <w:pgSz w:w="16838" w:h="11906" w:orient="landscape"/>
      <w:pgMar w:top="1587" w:right="1587" w:bottom="1587" w:left="1587" w:header="708" w:footer="709"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EB60E2E-50FF-4C12-AB58-D11AAA544E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D6473D3-6E3D-417F-AB08-E2CBFCA1F1E0}"/>
  </w:font>
  <w:font w:name="Tahoma">
    <w:panose1 w:val="020B0604030504040204"/>
    <w:charset w:val="00"/>
    <w:family w:val="swiss"/>
    <w:pitch w:val="default"/>
    <w:sig w:usb0="E1002EFF" w:usb1="C000605B" w:usb2="00000029" w:usb3="00000000" w:csb0="200101FF" w:csb1="20280000"/>
    <w:embedRegular r:id="rId3" w:fontKey="{4E2D50DC-EB28-4E92-AF81-BF8968DD0D4F}"/>
  </w:font>
  <w:font w:name="微软雅黑">
    <w:panose1 w:val="020B0503020204020204"/>
    <w:charset w:val="86"/>
    <w:family w:val="swiss"/>
    <w:pitch w:val="default"/>
    <w:sig w:usb0="80000287" w:usb1="2ACF3C50" w:usb2="00000016" w:usb3="00000000" w:csb0="0004001F" w:csb1="00000000"/>
    <w:embedRegular r:id="rId4" w:fontKey="{2B3BE5BD-F5CC-4E3A-8861-F0809EE89B14}"/>
  </w:font>
  <w:font w:name="仿宋_GB2312">
    <w:panose1 w:val="02010609030101010101"/>
    <w:charset w:val="86"/>
    <w:family w:val="modern"/>
    <w:pitch w:val="default"/>
    <w:sig w:usb0="00000001" w:usb1="080E0000" w:usb2="00000000" w:usb3="00000000" w:csb0="00040000" w:csb1="00000000"/>
    <w:embedRegular r:id="rId5" w:fontKey="{F4BBEBB3-7EF6-4B56-9BBF-F39EEA9B5803}"/>
  </w:font>
  <w:font w:name="方正小标宋_GBK">
    <w:panose1 w:val="02000000000000000000"/>
    <w:charset w:val="86"/>
    <w:family w:val="auto"/>
    <w:pitch w:val="default"/>
    <w:sig w:usb0="00000001" w:usb1="080E0000" w:usb2="00000000" w:usb3="00000000" w:csb0="00040000" w:csb1="00000000"/>
    <w:embedRegular r:id="rId6" w:fontKey="{81C16248-6B5E-4BAD-A1FC-A7B228AFFA97}"/>
  </w:font>
  <w:font w:name="楷体">
    <w:panose1 w:val="02010609060101010101"/>
    <w:charset w:val="86"/>
    <w:family w:val="auto"/>
    <w:pitch w:val="default"/>
    <w:sig w:usb0="800002BF" w:usb1="38CF7CFA" w:usb2="00000016" w:usb3="00000000" w:csb0="00040001" w:csb1="00000000"/>
    <w:embedRegular r:id="rId7" w:fontKey="{B7D7E4A3-9265-458C-85D8-FB090DE56E8F}"/>
  </w:font>
  <w:font w:name="仿宋">
    <w:panose1 w:val="02010609060101010101"/>
    <w:charset w:val="86"/>
    <w:family w:val="auto"/>
    <w:pitch w:val="default"/>
    <w:sig w:usb0="800002BF" w:usb1="38CF7CFA" w:usb2="00000016" w:usb3="00000000" w:csb0="00040001" w:csb1="00000000"/>
    <w:embedRegular r:id="rId8" w:fontKey="{B7CF8B3D-B0F6-4F0C-87D6-E7444BFD3EAC}"/>
  </w:font>
  <w:font w:name="楷体_GB2312">
    <w:panose1 w:val="02010609030101010101"/>
    <w:charset w:val="86"/>
    <w:family w:val="auto"/>
    <w:pitch w:val="default"/>
    <w:sig w:usb0="00000001" w:usb1="080E0000" w:usb2="00000000" w:usb3="00000000" w:csb0="00040000" w:csb1="00000000"/>
    <w:embedRegular r:id="rId9" w:fontKey="{2362D244-5748-4C65-BF4D-690EF70462E6}"/>
  </w:font>
  <w:font w:name="方正小标宋简体">
    <w:panose1 w:val="02010600010101010101"/>
    <w:charset w:val="86"/>
    <w:family w:val="script"/>
    <w:pitch w:val="default"/>
    <w:sig w:usb0="00000001" w:usb1="080E0000" w:usb2="00000000" w:usb3="00000000" w:csb0="00040000" w:csb1="00000000"/>
    <w:embedRegular r:id="rId10" w:fontKey="{54D41320-7AA3-4AF6-9062-854B0D68BA90}"/>
  </w:font>
  <w:font w:name="Wingdings 2">
    <w:altName w:val="Wingdings"/>
    <w:panose1 w:val="05020102010507070707"/>
    <w:charset w:val="02"/>
    <w:family w:val="roman"/>
    <w:pitch w:val="default"/>
    <w:sig w:usb0="00000000" w:usb1="00000000" w:usb2="00000000" w:usb3="00000000" w:csb0="80000000" w:csb1="00000000"/>
    <w:embedRegular r:id="rId11" w:fontKey="{E78F4CCB-2D08-410F-B560-B5399818D545}"/>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B773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5CD9AF">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fill on="f" focussize="0,0"/>
              <v:stroke on="f"/>
              <v:imagedata o:title=""/>
              <o:lock v:ext="edit" aspectratio="f"/>
              <v:textbox inset="0mm,0mm,0mm,0mm" style="mso-fit-shape-to-text:t;">
                <w:txbxContent>
                  <w:p w14:paraId="1D5CD9AF">
                    <w:pPr>
                      <w:pStyle w:val="5"/>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EC6BFC"/>
    <w:multiLevelType w:val="singleLevel"/>
    <w:tmpl w:val="31EC6BF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kNTMyN2M3YzE0ZjFiMmYyM2E3YTk1OThhMzU0MTAifQ=="/>
  </w:docVars>
  <w:rsids>
    <w:rsidRoot w:val="00D31D50"/>
    <w:rsid w:val="000B540C"/>
    <w:rsid w:val="00135CB9"/>
    <w:rsid w:val="001F1A2E"/>
    <w:rsid w:val="00323B43"/>
    <w:rsid w:val="0036742F"/>
    <w:rsid w:val="0038315F"/>
    <w:rsid w:val="003D37D8"/>
    <w:rsid w:val="00415CE5"/>
    <w:rsid w:val="00426133"/>
    <w:rsid w:val="004358AB"/>
    <w:rsid w:val="004C6566"/>
    <w:rsid w:val="00542C4C"/>
    <w:rsid w:val="006B50E7"/>
    <w:rsid w:val="00782012"/>
    <w:rsid w:val="00807C6D"/>
    <w:rsid w:val="008B7726"/>
    <w:rsid w:val="00A90A9C"/>
    <w:rsid w:val="00AA2BB6"/>
    <w:rsid w:val="00AF7382"/>
    <w:rsid w:val="00C04908"/>
    <w:rsid w:val="00CF5F8D"/>
    <w:rsid w:val="00D31D50"/>
    <w:rsid w:val="00EA7D7A"/>
    <w:rsid w:val="00EB4495"/>
    <w:rsid w:val="00FA17E4"/>
    <w:rsid w:val="010D6B75"/>
    <w:rsid w:val="01972837"/>
    <w:rsid w:val="024E1304"/>
    <w:rsid w:val="033A1D2B"/>
    <w:rsid w:val="03550139"/>
    <w:rsid w:val="048749FC"/>
    <w:rsid w:val="08802804"/>
    <w:rsid w:val="0913574E"/>
    <w:rsid w:val="09AB4E68"/>
    <w:rsid w:val="09E813E1"/>
    <w:rsid w:val="0A9528B5"/>
    <w:rsid w:val="0B157A7E"/>
    <w:rsid w:val="12855F2D"/>
    <w:rsid w:val="14BC27E2"/>
    <w:rsid w:val="151D6F20"/>
    <w:rsid w:val="17254510"/>
    <w:rsid w:val="18786A20"/>
    <w:rsid w:val="18FD0309"/>
    <w:rsid w:val="1C4F7811"/>
    <w:rsid w:val="1D45518B"/>
    <w:rsid w:val="1E926D9A"/>
    <w:rsid w:val="1EDB4A9C"/>
    <w:rsid w:val="1FF57DF9"/>
    <w:rsid w:val="228E5CFD"/>
    <w:rsid w:val="22EC1A1D"/>
    <w:rsid w:val="2389015E"/>
    <w:rsid w:val="24694AC3"/>
    <w:rsid w:val="26C23E22"/>
    <w:rsid w:val="27657312"/>
    <w:rsid w:val="27AF54E0"/>
    <w:rsid w:val="283F0101"/>
    <w:rsid w:val="28C03774"/>
    <w:rsid w:val="29932CBF"/>
    <w:rsid w:val="29C5203A"/>
    <w:rsid w:val="2AE0037C"/>
    <w:rsid w:val="2F1A6C8E"/>
    <w:rsid w:val="2FB93755"/>
    <w:rsid w:val="32461FE7"/>
    <w:rsid w:val="3316259B"/>
    <w:rsid w:val="350D6A45"/>
    <w:rsid w:val="372D2BD7"/>
    <w:rsid w:val="37990961"/>
    <w:rsid w:val="38BB122D"/>
    <w:rsid w:val="3A9F783C"/>
    <w:rsid w:val="3B5D2589"/>
    <w:rsid w:val="3CE35653"/>
    <w:rsid w:val="3F2533F6"/>
    <w:rsid w:val="3FFC25C9"/>
    <w:rsid w:val="40522E0A"/>
    <w:rsid w:val="417D7802"/>
    <w:rsid w:val="42BB7663"/>
    <w:rsid w:val="43B802BF"/>
    <w:rsid w:val="482E79F6"/>
    <w:rsid w:val="48F5740D"/>
    <w:rsid w:val="4B3043BA"/>
    <w:rsid w:val="4B9B4EED"/>
    <w:rsid w:val="4E6075C9"/>
    <w:rsid w:val="4E6B1A2A"/>
    <w:rsid w:val="4F6E1334"/>
    <w:rsid w:val="515F3563"/>
    <w:rsid w:val="526B70BF"/>
    <w:rsid w:val="52F06DF3"/>
    <w:rsid w:val="57D9099D"/>
    <w:rsid w:val="58AE663A"/>
    <w:rsid w:val="58E97641"/>
    <w:rsid w:val="59716245"/>
    <w:rsid w:val="59F17E30"/>
    <w:rsid w:val="5AFD3965"/>
    <w:rsid w:val="5C8408E6"/>
    <w:rsid w:val="5DE42C92"/>
    <w:rsid w:val="5ED74E21"/>
    <w:rsid w:val="5FEA0199"/>
    <w:rsid w:val="624A0FF3"/>
    <w:rsid w:val="6A7D23E5"/>
    <w:rsid w:val="6BA204F9"/>
    <w:rsid w:val="6BEC7865"/>
    <w:rsid w:val="6C184383"/>
    <w:rsid w:val="6C4434BE"/>
    <w:rsid w:val="6CE434D7"/>
    <w:rsid w:val="6D050946"/>
    <w:rsid w:val="6D1920F6"/>
    <w:rsid w:val="6D2A0A99"/>
    <w:rsid w:val="6D8678C0"/>
    <w:rsid w:val="70AC6CA6"/>
    <w:rsid w:val="724B076D"/>
    <w:rsid w:val="768B79D3"/>
    <w:rsid w:val="768F0540"/>
    <w:rsid w:val="79A429DF"/>
    <w:rsid w:val="7A772B99"/>
    <w:rsid w:val="7C8C7339"/>
    <w:rsid w:val="7ECE3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3">
    <w:name w:val="index 5"/>
    <w:basedOn w:val="1"/>
    <w:next w:val="1"/>
    <w:unhideWhenUsed/>
    <w:qFormat/>
    <w:uiPriority w:val="99"/>
    <w:pPr>
      <w:ind w:left="800" w:leftChars="800"/>
    </w:pPr>
  </w:style>
  <w:style w:type="paragraph" w:styleId="4">
    <w:name w:val="Body Text Indent"/>
    <w:basedOn w:val="1"/>
    <w:unhideWhenUsed/>
    <w:qFormat/>
    <w:uiPriority w:val="99"/>
    <w:pPr>
      <w:spacing w:after="120"/>
      <w:ind w:left="420" w:leftChars="200"/>
    </w:pPr>
  </w:style>
  <w:style w:type="paragraph" w:styleId="5">
    <w:name w:val="footer"/>
    <w:basedOn w:val="1"/>
    <w:next w:val="3"/>
    <w:link w:val="14"/>
    <w:semiHidden/>
    <w:unhideWhenUsed/>
    <w:qFormat/>
    <w:uiPriority w:val="99"/>
    <w:pPr>
      <w:tabs>
        <w:tab w:val="center" w:pos="4153"/>
        <w:tab w:val="right" w:pos="8306"/>
      </w:tabs>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8">
    <w:name w:val="Body Text First Indent 2"/>
    <w:basedOn w:val="4"/>
    <w:qFormat/>
    <w:uiPriority w:val="99"/>
    <w:pPr>
      <w:spacing w:after="0"/>
      <w:ind w:left="0" w:leftChars="0" w:firstLine="420" w:firstLineChars="200"/>
    </w:pPr>
    <w:rPr>
      <w:rFonts w:eastAsia="仿宋_GB2312"/>
      <w:sz w:val="36"/>
    </w:rPr>
  </w:style>
  <w:style w:type="character" w:styleId="11">
    <w:name w:val="page number"/>
    <w:basedOn w:val="10"/>
    <w:qFormat/>
    <w:uiPriority w:val="0"/>
  </w:style>
  <w:style w:type="character" w:styleId="12">
    <w:name w:val="Hyperlink"/>
    <w:basedOn w:val="10"/>
    <w:semiHidden/>
    <w:unhideWhenUsed/>
    <w:qFormat/>
    <w:uiPriority w:val="99"/>
    <w:rPr>
      <w:color w:val="333333"/>
      <w:u w:val="none"/>
    </w:rPr>
  </w:style>
  <w:style w:type="character" w:customStyle="1" w:styleId="13">
    <w:name w:val="页眉 Char"/>
    <w:basedOn w:val="10"/>
    <w:link w:val="6"/>
    <w:semiHidden/>
    <w:qFormat/>
    <w:uiPriority w:val="99"/>
    <w:rPr>
      <w:rFonts w:ascii="Tahoma" w:hAnsi="Tahoma"/>
      <w:sz w:val="18"/>
      <w:szCs w:val="18"/>
    </w:rPr>
  </w:style>
  <w:style w:type="character" w:customStyle="1" w:styleId="14">
    <w:name w:val="页脚 Char"/>
    <w:basedOn w:val="10"/>
    <w:link w:val="5"/>
    <w:semiHidden/>
    <w:qFormat/>
    <w:uiPriority w:val="99"/>
    <w:rPr>
      <w:rFonts w:ascii="Tahoma" w:hAnsi="Tahoma"/>
      <w:sz w:val="18"/>
      <w:szCs w:val="18"/>
    </w:rPr>
  </w:style>
  <w:style w:type="paragraph" w:styleId="15">
    <w:name w:val="List Paragraph"/>
    <w:basedOn w:val="1"/>
    <w:qFormat/>
    <w:uiPriority w:val="99"/>
    <w:pPr>
      <w:ind w:firstLine="420" w:firstLineChars="200"/>
    </w:pPr>
    <w:rPr>
      <w:rFonts w:cs="Times New Roman"/>
    </w:rPr>
  </w:style>
  <w:style w:type="character" w:customStyle="1" w:styleId="16">
    <w:name w:val="vad-item"/>
    <w:basedOn w:val="10"/>
    <w:qFormat/>
    <w:uiPriority w:val="0"/>
  </w:style>
  <w:style w:type="character" w:customStyle="1" w:styleId="17">
    <w:name w:val="15"/>
    <w:basedOn w:val="10"/>
    <w:qFormat/>
    <w:uiPriority w:val="0"/>
    <w:rPr>
      <w:rFonts w:hint="default" w:ascii="Times New Roman" w:hAnsi="Times New Roman" w:eastAsia="宋体" w:cs="宋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10712</Words>
  <Characters>11412</Characters>
  <Lines>66</Lines>
  <Paragraphs>18</Paragraphs>
  <TotalTime>76</TotalTime>
  <ScaleCrop>false</ScaleCrop>
  <LinksUpToDate>false</LinksUpToDate>
  <CharactersWithSpaces>11426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祁某人</cp:lastModifiedBy>
  <cp:lastPrinted>2023-10-12T03:34:00Z</cp:lastPrinted>
  <dcterms:modified xsi:type="dcterms:W3CDTF">2026-07-06T04:03:35Z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E59B35BBD415498CA3D2B21ABE4C368C_13</vt:lpwstr>
  </property>
  <property fmtid="{D5CDD505-2E9C-101B-9397-08002B2CF9AE}" pid="4" name="KSOTemplateDocerSaveRecord">
    <vt:lpwstr>eyJoZGlkIjoiYTYzOWYxNjMwNGEyNjY3YjI4MWZmNzQ2NGM0NjRhY2QiLCJ1c2VySWQiOiI0MDg5NDE3MTYifQ==</vt:lpwstr>
  </property>
</Properties>
</file>