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6B5ED">
      <w:pPr>
        <w:spacing w:line="400" w:lineRule="exact"/>
        <w:rPr>
          <w:rFonts w:hint="eastAsia" w:ascii="Times New Roman" w:hAnsi="Times New Roman" w:eastAsia="仿宋_GB2312" w:cs="Times New Roman"/>
          <w:bCs/>
          <w:color w:val="auto"/>
          <w:sz w:val="32"/>
          <w:szCs w:val="32"/>
          <w:lang w:val="en-US" w:eastAsia="zh-CN"/>
        </w:rPr>
      </w:pPr>
      <w:bookmarkStart w:id="0" w:name="_GoBack"/>
      <w:bookmarkEnd w:id="0"/>
      <w:r>
        <w:rPr>
          <w:rFonts w:ascii="仿宋_GB2312" w:hAnsi="仿宋_GB2312" w:eastAsia="仿宋_GB2312" w:cs="Times New Roman"/>
          <w:bCs/>
          <w:color w:val="auto"/>
          <w:sz w:val="32"/>
          <w:szCs w:val="32"/>
        </w:rPr>
        <w:t>附件</w:t>
      </w:r>
      <w:r>
        <w:rPr>
          <w:rFonts w:hint="eastAsia" w:ascii="Times New Roman" w:hAnsi="Times New Roman" w:eastAsia="仿宋_GB2312" w:cs="Times New Roman"/>
          <w:bCs/>
          <w:color w:val="auto"/>
          <w:sz w:val="32"/>
          <w:szCs w:val="32"/>
          <w:lang w:val="en-US" w:eastAsia="zh-CN"/>
        </w:rPr>
        <w:t>1</w:t>
      </w:r>
    </w:p>
    <w:tbl>
      <w:tblPr>
        <w:tblStyle w:val="13"/>
        <w:tblW w:w="9080" w:type="dxa"/>
        <w:jc w:val="center"/>
        <w:tblLayout w:type="fixed"/>
        <w:tblCellMar>
          <w:top w:w="0" w:type="dxa"/>
          <w:left w:w="108" w:type="dxa"/>
          <w:bottom w:w="0" w:type="dxa"/>
          <w:right w:w="108" w:type="dxa"/>
        </w:tblCellMar>
      </w:tblPr>
      <w:tblGrid>
        <w:gridCol w:w="588"/>
        <w:gridCol w:w="980"/>
        <w:gridCol w:w="1112"/>
        <w:gridCol w:w="730"/>
        <w:gridCol w:w="1134"/>
        <w:gridCol w:w="284"/>
        <w:gridCol w:w="850"/>
        <w:gridCol w:w="851"/>
        <w:gridCol w:w="283"/>
        <w:gridCol w:w="284"/>
        <w:gridCol w:w="425"/>
        <w:gridCol w:w="142"/>
        <w:gridCol w:w="709"/>
        <w:gridCol w:w="708"/>
      </w:tblGrid>
      <w:tr w14:paraId="356E2FF7">
        <w:tblPrEx>
          <w:tblCellMar>
            <w:top w:w="0" w:type="dxa"/>
            <w:left w:w="108" w:type="dxa"/>
            <w:bottom w:w="0" w:type="dxa"/>
            <w:right w:w="108" w:type="dxa"/>
          </w:tblCellMar>
        </w:tblPrEx>
        <w:trPr>
          <w:trHeight w:val="349" w:hRule="atLeast"/>
          <w:jc w:val="center"/>
        </w:trPr>
        <w:tc>
          <w:tcPr>
            <w:tcW w:w="9080" w:type="dxa"/>
            <w:gridSpan w:val="14"/>
            <w:tcBorders>
              <w:top w:val="nil"/>
              <w:left w:val="nil"/>
              <w:bottom w:val="nil"/>
              <w:right w:val="nil"/>
            </w:tcBorders>
            <w:vAlign w:val="center"/>
          </w:tcPr>
          <w:p w14:paraId="06461BE5">
            <w:pPr>
              <w:widowControl/>
              <w:spacing w:line="320" w:lineRule="exact"/>
              <w:jc w:val="center"/>
              <w:rPr>
                <w:rFonts w:ascii="Times New Roman" w:hAnsi="Times New Roman" w:cs="Times New Roman"/>
                <w:b/>
                <w:bCs/>
                <w:color w:val="auto"/>
                <w:kern w:val="0"/>
                <w:sz w:val="32"/>
                <w:szCs w:val="32"/>
              </w:rPr>
            </w:pPr>
            <w:r>
              <w:rPr>
                <w:rFonts w:ascii="Times New Roman" w:hAnsi="Times New Roman" w:cs="Times New Roman"/>
                <w:b/>
                <w:bCs/>
                <w:color w:val="auto"/>
                <w:kern w:val="0"/>
                <w:sz w:val="32"/>
                <w:szCs w:val="32"/>
              </w:rPr>
              <w:t>项目支出绩效自评表</w:t>
            </w:r>
          </w:p>
        </w:tc>
      </w:tr>
      <w:tr w14:paraId="71450DAA">
        <w:tblPrEx>
          <w:tblCellMar>
            <w:top w:w="0" w:type="dxa"/>
            <w:left w:w="108" w:type="dxa"/>
            <w:bottom w:w="0" w:type="dxa"/>
            <w:right w:w="108" w:type="dxa"/>
          </w:tblCellMar>
        </w:tblPrEx>
        <w:trPr>
          <w:trHeight w:val="201" w:hRule="atLeast"/>
          <w:jc w:val="center"/>
        </w:trPr>
        <w:tc>
          <w:tcPr>
            <w:tcW w:w="9080" w:type="dxa"/>
            <w:gridSpan w:val="14"/>
            <w:tcBorders>
              <w:top w:val="nil"/>
              <w:left w:val="nil"/>
              <w:bottom w:val="nil"/>
              <w:right w:val="nil"/>
            </w:tcBorders>
          </w:tcPr>
          <w:p w14:paraId="61918E1C">
            <w:pPr>
              <w:widowControl/>
              <w:jc w:val="center"/>
              <w:rPr>
                <w:rFonts w:ascii="Times New Roman" w:hAnsi="Times New Roman" w:cs="Times New Roman"/>
                <w:color w:val="auto"/>
                <w:kern w:val="0"/>
                <w:sz w:val="22"/>
                <w:szCs w:val="22"/>
              </w:rPr>
            </w:pPr>
            <w:r>
              <w:rPr>
                <w:rFonts w:ascii="Times New Roman" w:hAnsi="Times New Roman" w:cs="Times New Roman"/>
                <w:color w:val="auto"/>
                <w:kern w:val="0"/>
                <w:sz w:val="22"/>
                <w:szCs w:val="22"/>
              </w:rPr>
              <w:t>（</w:t>
            </w:r>
            <w:r>
              <w:rPr>
                <w:rFonts w:hint="eastAsia" w:ascii="Times New Roman" w:hAnsi="Times New Roman" w:cs="Times New Roman"/>
                <w:color w:val="auto"/>
                <w:kern w:val="0"/>
                <w:sz w:val="22"/>
                <w:szCs w:val="22"/>
              </w:rPr>
              <w:t>202</w:t>
            </w:r>
            <w:r>
              <w:rPr>
                <w:rFonts w:hint="eastAsia" w:ascii="Times New Roman" w:hAnsi="Times New Roman" w:cs="Times New Roman"/>
                <w:color w:val="auto"/>
                <w:kern w:val="0"/>
                <w:sz w:val="22"/>
                <w:szCs w:val="22"/>
                <w:lang w:val="en-US" w:eastAsia="zh-CN"/>
              </w:rPr>
              <w:t>2</w:t>
            </w:r>
            <w:r>
              <w:rPr>
                <w:rFonts w:ascii="Times New Roman" w:hAnsi="Times New Roman" w:cs="Times New Roman"/>
                <w:color w:val="auto"/>
                <w:kern w:val="0"/>
                <w:sz w:val="22"/>
                <w:szCs w:val="22"/>
              </w:rPr>
              <w:t>年度）</w:t>
            </w:r>
          </w:p>
        </w:tc>
      </w:tr>
      <w:tr w14:paraId="5C4D974D">
        <w:tblPrEx>
          <w:tblCellMar>
            <w:top w:w="0" w:type="dxa"/>
            <w:left w:w="108" w:type="dxa"/>
            <w:bottom w:w="0" w:type="dxa"/>
            <w:right w:w="108" w:type="dxa"/>
          </w:tblCellMar>
        </w:tblPrEx>
        <w:trPr>
          <w:trHeight w:val="455" w:hRule="atLeas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14:paraId="2FEEB72B">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14:paraId="120899CC">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政府投资项目前期经费</w:t>
            </w:r>
          </w:p>
        </w:tc>
      </w:tr>
      <w:tr w14:paraId="138EDCC6">
        <w:tblPrEx>
          <w:tblCellMar>
            <w:top w:w="0" w:type="dxa"/>
            <w:left w:w="108" w:type="dxa"/>
            <w:bottom w:w="0" w:type="dxa"/>
            <w:right w:w="108" w:type="dxa"/>
          </w:tblCellMar>
        </w:tblPrEx>
        <w:trPr>
          <w:trHeight w:val="675" w:hRule="atLeas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14:paraId="7C701F3E">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主管部门</w:t>
            </w:r>
          </w:p>
        </w:tc>
        <w:tc>
          <w:tcPr>
            <w:tcW w:w="4110" w:type="dxa"/>
            <w:gridSpan w:val="5"/>
            <w:tcBorders>
              <w:top w:val="single" w:color="auto" w:sz="4" w:space="0"/>
              <w:left w:val="nil"/>
              <w:bottom w:val="single" w:color="auto" w:sz="4" w:space="0"/>
              <w:right w:val="single" w:color="auto" w:sz="4" w:space="0"/>
            </w:tcBorders>
            <w:vAlign w:val="center"/>
          </w:tcPr>
          <w:p w14:paraId="0ABF1500">
            <w:pPr>
              <w:widowControl/>
              <w:spacing w:line="240" w:lineRule="exact"/>
              <w:jc w:val="center"/>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中方县发展和改革局</w:t>
            </w:r>
          </w:p>
        </w:tc>
        <w:tc>
          <w:tcPr>
            <w:tcW w:w="1134" w:type="dxa"/>
            <w:gridSpan w:val="2"/>
            <w:tcBorders>
              <w:top w:val="nil"/>
              <w:left w:val="nil"/>
              <w:bottom w:val="single" w:color="auto" w:sz="4" w:space="0"/>
              <w:right w:val="single" w:color="auto" w:sz="4" w:space="0"/>
            </w:tcBorders>
            <w:vAlign w:val="center"/>
          </w:tcPr>
          <w:p w14:paraId="027AE1B9">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14:paraId="1C580E18">
            <w:pPr>
              <w:widowControl/>
              <w:spacing w:line="240" w:lineRule="exact"/>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相关项目建设单位</w:t>
            </w:r>
          </w:p>
        </w:tc>
      </w:tr>
      <w:tr w14:paraId="5911D41A">
        <w:tblPrEx>
          <w:tblCellMar>
            <w:top w:w="0" w:type="dxa"/>
            <w:left w:w="108" w:type="dxa"/>
            <w:bottom w:w="0" w:type="dxa"/>
            <w:right w:w="108" w:type="dxa"/>
          </w:tblCellMar>
        </w:tblPrEx>
        <w:trPr>
          <w:trHeight w:val="436" w:hRule="atLeast"/>
          <w:jc w:val="center"/>
        </w:trPr>
        <w:tc>
          <w:tcPr>
            <w:tcW w:w="1568" w:type="dxa"/>
            <w:gridSpan w:val="2"/>
            <w:vMerge w:val="restart"/>
            <w:tcBorders>
              <w:top w:val="nil"/>
              <w:left w:val="single" w:color="auto" w:sz="4" w:space="0"/>
              <w:bottom w:val="single" w:color="auto" w:sz="4" w:space="0"/>
              <w:right w:val="single" w:color="auto" w:sz="4" w:space="0"/>
            </w:tcBorders>
            <w:vAlign w:val="center"/>
          </w:tcPr>
          <w:p w14:paraId="12E1366F">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项目资金</w:t>
            </w:r>
            <w:r>
              <w:rPr>
                <w:rFonts w:ascii="Times New Roman" w:hAnsi="Times New Roman" w:cs="Times New Roman"/>
                <w:color w:val="auto"/>
                <w:kern w:val="0"/>
                <w:sz w:val="18"/>
                <w:szCs w:val="18"/>
              </w:rPr>
              <w:br w:type="textWrapping"/>
            </w:r>
            <w:r>
              <w:rPr>
                <w:rFonts w:ascii="Times New Roman" w:hAnsi="Times New Roman" w:cs="Times New Roman"/>
                <w:color w:val="auto"/>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14:paraId="6756A556">
            <w:pPr>
              <w:widowControl/>
              <w:spacing w:line="240" w:lineRule="exact"/>
              <w:jc w:val="center"/>
              <w:rPr>
                <w:rFonts w:ascii="Times New Roman" w:hAnsi="Times New Roman" w:cs="Times New Roman"/>
                <w:color w:val="auto"/>
                <w:kern w:val="0"/>
                <w:sz w:val="18"/>
                <w:szCs w:val="18"/>
              </w:rPr>
            </w:pPr>
          </w:p>
        </w:tc>
        <w:tc>
          <w:tcPr>
            <w:tcW w:w="1134" w:type="dxa"/>
            <w:tcBorders>
              <w:top w:val="nil"/>
              <w:left w:val="nil"/>
              <w:bottom w:val="single" w:color="auto" w:sz="4" w:space="0"/>
              <w:right w:val="single" w:color="auto" w:sz="4" w:space="0"/>
            </w:tcBorders>
            <w:vAlign w:val="center"/>
          </w:tcPr>
          <w:p w14:paraId="39720AF3">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年初预算数</w:t>
            </w:r>
          </w:p>
        </w:tc>
        <w:tc>
          <w:tcPr>
            <w:tcW w:w="1134" w:type="dxa"/>
            <w:gridSpan w:val="2"/>
            <w:tcBorders>
              <w:top w:val="nil"/>
              <w:left w:val="nil"/>
              <w:bottom w:val="single" w:color="auto" w:sz="4" w:space="0"/>
              <w:right w:val="single" w:color="auto" w:sz="4" w:space="0"/>
            </w:tcBorders>
            <w:vAlign w:val="center"/>
          </w:tcPr>
          <w:p w14:paraId="5776DE49">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全年预算数</w:t>
            </w:r>
            <w:r>
              <w:rPr>
                <w:rFonts w:ascii="Times New Roman" w:hAnsi="Times New Roman" w:cs="Times New Roman"/>
                <w:color w:val="auto"/>
                <w:kern w:val="0"/>
                <w:sz w:val="20"/>
                <w:szCs w:val="20"/>
              </w:rPr>
              <w:t>（A</w:t>
            </w:r>
            <w:r>
              <w:rPr>
                <w:rFonts w:ascii="宋体" w:hAnsi="宋体" w:cs="Times New Roman"/>
                <w:color w:val="auto"/>
                <w:kern w:val="0"/>
                <w:sz w:val="20"/>
                <w:szCs w:val="20"/>
              </w:rPr>
              <w:t>）</w:t>
            </w:r>
          </w:p>
        </w:tc>
        <w:tc>
          <w:tcPr>
            <w:tcW w:w="1134" w:type="dxa"/>
            <w:gridSpan w:val="2"/>
            <w:tcBorders>
              <w:top w:val="nil"/>
              <w:left w:val="nil"/>
              <w:bottom w:val="single" w:color="auto" w:sz="4" w:space="0"/>
              <w:right w:val="single" w:color="auto" w:sz="4" w:space="0"/>
            </w:tcBorders>
            <w:vAlign w:val="center"/>
          </w:tcPr>
          <w:p w14:paraId="4565F2AB">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全年执行数</w:t>
            </w:r>
            <w:r>
              <w:rPr>
                <w:rFonts w:ascii="Times New Roman" w:hAnsi="Times New Roman" w:cs="Times New Roman"/>
                <w:color w:val="auto"/>
                <w:kern w:val="0"/>
                <w:sz w:val="20"/>
                <w:szCs w:val="20"/>
              </w:rPr>
              <w:t>（B</w:t>
            </w:r>
            <w:r>
              <w:rPr>
                <w:rFonts w:ascii="宋体" w:hAnsi="宋体" w:cs="Times New Roman"/>
                <w:color w:val="auto"/>
                <w:kern w:val="0"/>
                <w:sz w:val="20"/>
                <w:szCs w:val="20"/>
              </w:rPr>
              <w:t>）</w:t>
            </w:r>
          </w:p>
        </w:tc>
        <w:tc>
          <w:tcPr>
            <w:tcW w:w="709" w:type="dxa"/>
            <w:gridSpan w:val="2"/>
            <w:tcBorders>
              <w:top w:val="nil"/>
              <w:left w:val="nil"/>
              <w:bottom w:val="single" w:color="auto" w:sz="4" w:space="0"/>
              <w:right w:val="single" w:color="auto" w:sz="4" w:space="0"/>
            </w:tcBorders>
            <w:vAlign w:val="center"/>
          </w:tcPr>
          <w:p w14:paraId="1FCAAFAD">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14:paraId="5E2A44FE">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执行率</w:t>
            </w:r>
            <w:r>
              <w:rPr>
                <w:rFonts w:ascii="Times New Roman" w:hAnsi="Times New Roman" w:cs="Times New Roman"/>
                <w:color w:val="auto"/>
                <w:kern w:val="0"/>
                <w:sz w:val="20"/>
                <w:szCs w:val="20"/>
              </w:rPr>
              <w:t>（B/A)</w:t>
            </w:r>
          </w:p>
        </w:tc>
        <w:tc>
          <w:tcPr>
            <w:tcW w:w="708" w:type="dxa"/>
            <w:tcBorders>
              <w:top w:val="nil"/>
              <w:left w:val="nil"/>
              <w:bottom w:val="single" w:color="auto" w:sz="4" w:space="0"/>
              <w:right w:val="single" w:color="auto" w:sz="4" w:space="0"/>
            </w:tcBorders>
            <w:vAlign w:val="center"/>
          </w:tcPr>
          <w:p w14:paraId="458DB323">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得分</w:t>
            </w:r>
          </w:p>
        </w:tc>
      </w:tr>
      <w:tr w14:paraId="2E1AB693">
        <w:tblPrEx>
          <w:tblCellMar>
            <w:top w:w="0" w:type="dxa"/>
            <w:left w:w="108" w:type="dxa"/>
            <w:bottom w:w="0" w:type="dxa"/>
            <w:right w:w="108" w:type="dxa"/>
          </w:tblCellMar>
        </w:tblPrEx>
        <w:trPr>
          <w:trHeight w:val="405" w:hRule="atLeast"/>
          <w:jc w:val="center"/>
        </w:trPr>
        <w:tc>
          <w:tcPr>
            <w:tcW w:w="1568" w:type="dxa"/>
            <w:gridSpan w:val="2"/>
            <w:vMerge w:val="continue"/>
            <w:tcBorders>
              <w:top w:val="nil"/>
              <w:left w:val="single" w:color="auto" w:sz="4" w:space="0"/>
              <w:bottom w:val="single" w:color="auto" w:sz="4" w:space="0"/>
              <w:right w:val="single" w:color="auto" w:sz="4" w:space="0"/>
            </w:tcBorders>
            <w:vAlign w:val="center"/>
          </w:tcPr>
          <w:p w14:paraId="70C808F3">
            <w:pPr>
              <w:widowControl/>
              <w:jc w:val="left"/>
              <w:rPr>
                <w:rFonts w:ascii="Times New Roman" w:hAnsi="Times New Roman" w:cs="Times New Roman"/>
                <w:color w:val="auto"/>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6AACB92A">
            <w:pPr>
              <w:widowControl/>
              <w:spacing w:line="240" w:lineRule="exact"/>
              <w:rPr>
                <w:rFonts w:ascii="Times New Roman" w:hAnsi="Times New Roman" w:cs="Times New Roman"/>
                <w:color w:val="auto"/>
                <w:kern w:val="0"/>
                <w:sz w:val="18"/>
                <w:szCs w:val="18"/>
              </w:rPr>
            </w:pPr>
            <w:r>
              <w:rPr>
                <w:rFonts w:ascii="Times New Roman" w:hAnsi="Times New Roman" w:cs="Times New Roman"/>
                <w:color w:val="auto"/>
                <w:kern w:val="0"/>
                <w:sz w:val="18"/>
                <w:szCs w:val="18"/>
              </w:rPr>
              <w:t>年度资金总额</w:t>
            </w:r>
          </w:p>
        </w:tc>
        <w:tc>
          <w:tcPr>
            <w:tcW w:w="1134" w:type="dxa"/>
            <w:tcBorders>
              <w:top w:val="nil"/>
              <w:left w:val="nil"/>
              <w:bottom w:val="single" w:color="auto" w:sz="4" w:space="0"/>
              <w:right w:val="single" w:color="auto" w:sz="4" w:space="0"/>
            </w:tcBorders>
            <w:vAlign w:val="center"/>
          </w:tcPr>
          <w:p w14:paraId="09B95212">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38.78</w:t>
            </w:r>
          </w:p>
        </w:tc>
        <w:tc>
          <w:tcPr>
            <w:tcW w:w="1134" w:type="dxa"/>
            <w:gridSpan w:val="2"/>
            <w:tcBorders>
              <w:top w:val="nil"/>
              <w:left w:val="nil"/>
              <w:bottom w:val="single" w:color="auto" w:sz="4" w:space="0"/>
              <w:right w:val="single" w:color="auto" w:sz="4" w:space="0"/>
            </w:tcBorders>
            <w:vAlign w:val="center"/>
          </w:tcPr>
          <w:p w14:paraId="12CF41FF">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38.78</w:t>
            </w:r>
          </w:p>
        </w:tc>
        <w:tc>
          <w:tcPr>
            <w:tcW w:w="1134" w:type="dxa"/>
            <w:gridSpan w:val="2"/>
            <w:tcBorders>
              <w:top w:val="nil"/>
              <w:left w:val="nil"/>
              <w:bottom w:val="single" w:color="auto" w:sz="4" w:space="0"/>
              <w:right w:val="single" w:color="auto" w:sz="4" w:space="0"/>
            </w:tcBorders>
            <w:vAlign w:val="center"/>
          </w:tcPr>
          <w:p w14:paraId="5D5C1DDC">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38.78</w:t>
            </w:r>
          </w:p>
        </w:tc>
        <w:tc>
          <w:tcPr>
            <w:tcW w:w="709" w:type="dxa"/>
            <w:gridSpan w:val="2"/>
            <w:tcBorders>
              <w:top w:val="nil"/>
              <w:left w:val="nil"/>
              <w:bottom w:val="single" w:color="auto" w:sz="4" w:space="0"/>
              <w:right w:val="single" w:color="auto" w:sz="4" w:space="0"/>
            </w:tcBorders>
            <w:vAlign w:val="center"/>
          </w:tcPr>
          <w:p w14:paraId="13ACD12E">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14:paraId="7FA0EDD1">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14:paraId="35885700">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r>
      <w:tr w14:paraId="3DA641A7">
        <w:tblPrEx>
          <w:tblCellMar>
            <w:top w:w="0" w:type="dxa"/>
            <w:left w:w="108" w:type="dxa"/>
            <w:bottom w:w="0" w:type="dxa"/>
            <w:right w:w="108" w:type="dxa"/>
          </w:tblCellMar>
        </w:tblPrEx>
        <w:trPr>
          <w:trHeight w:val="420" w:hRule="atLeast"/>
          <w:jc w:val="center"/>
        </w:trPr>
        <w:tc>
          <w:tcPr>
            <w:tcW w:w="1568" w:type="dxa"/>
            <w:gridSpan w:val="2"/>
            <w:vMerge w:val="continue"/>
            <w:tcBorders>
              <w:top w:val="nil"/>
              <w:left w:val="single" w:color="auto" w:sz="4" w:space="0"/>
              <w:bottom w:val="single" w:color="auto" w:sz="4" w:space="0"/>
              <w:right w:val="single" w:color="auto" w:sz="4" w:space="0"/>
            </w:tcBorders>
            <w:vAlign w:val="center"/>
          </w:tcPr>
          <w:p w14:paraId="763F4B86">
            <w:pPr>
              <w:widowControl/>
              <w:jc w:val="left"/>
              <w:rPr>
                <w:rFonts w:ascii="Times New Roman" w:hAnsi="Times New Roman" w:cs="Times New Roman"/>
                <w:color w:val="auto"/>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308353EE">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其中：当年财政拨款</w:t>
            </w:r>
          </w:p>
        </w:tc>
        <w:tc>
          <w:tcPr>
            <w:tcW w:w="1134" w:type="dxa"/>
            <w:tcBorders>
              <w:top w:val="nil"/>
              <w:left w:val="nil"/>
              <w:bottom w:val="single" w:color="auto" w:sz="4" w:space="0"/>
              <w:right w:val="single" w:color="auto" w:sz="4" w:space="0"/>
            </w:tcBorders>
            <w:vAlign w:val="center"/>
          </w:tcPr>
          <w:p w14:paraId="21C7B159">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38.78</w:t>
            </w:r>
          </w:p>
        </w:tc>
        <w:tc>
          <w:tcPr>
            <w:tcW w:w="1134" w:type="dxa"/>
            <w:gridSpan w:val="2"/>
            <w:tcBorders>
              <w:top w:val="nil"/>
              <w:left w:val="nil"/>
              <w:bottom w:val="single" w:color="auto" w:sz="4" w:space="0"/>
              <w:right w:val="single" w:color="auto" w:sz="4" w:space="0"/>
            </w:tcBorders>
            <w:vAlign w:val="center"/>
          </w:tcPr>
          <w:p w14:paraId="66BCD159">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38.78</w:t>
            </w:r>
          </w:p>
        </w:tc>
        <w:tc>
          <w:tcPr>
            <w:tcW w:w="1134" w:type="dxa"/>
            <w:gridSpan w:val="2"/>
            <w:tcBorders>
              <w:top w:val="nil"/>
              <w:left w:val="nil"/>
              <w:bottom w:val="single" w:color="auto" w:sz="4" w:space="0"/>
              <w:right w:val="single" w:color="auto" w:sz="4" w:space="0"/>
            </w:tcBorders>
            <w:vAlign w:val="center"/>
          </w:tcPr>
          <w:p w14:paraId="783B18B9">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38.78</w:t>
            </w:r>
          </w:p>
        </w:tc>
        <w:tc>
          <w:tcPr>
            <w:tcW w:w="709" w:type="dxa"/>
            <w:gridSpan w:val="2"/>
            <w:tcBorders>
              <w:top w:val="nil"/>
              <w:left w:val="nil"/>
              <w:bottom w:val="single" w:color="auto" w:sz="4" w:space="0"/>
              <w:right w:val="single" w:color="auto" w:sz="4" w:space="0"/>
            </w:tcBorders>
            <w:vAlign w:val="center"/>
          </w:tcPr>
          <w:p w14:paraId="4CF7FDC5">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14:paraId="08AD6A1E">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100%</w:t>
            </w:r>
          </w:p>
        </w:tc>
        <w:tc>
          <w:tcPr>
            <w:tcW w:w="708" w:type="dxa"/>
            <w:tcBorders>
              <w:top w:val="nil"/>
              <w:left w:val="nil"/>
              <w:bottom w:val="single" w:color="auto" w:sz="4" w:space="0"/>
              <w:right w:val="single" w:color="auto" w:sz="4" w:space="0"/>
            </w:tcBorders>
            <w:vAlign w:val="center"/>
          </w:tcPr>
          <w:p w14:paraId="2CAD8149">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14:paraId="1AA657F3">
        <w:tblPrEx>
          <w:tblCellMar>
            <w:top w:w="0" w:type="dxa"/>
            <w:left w:w="108" w:type="dxa"/>
            <w:bottom w:w="0" w:type="dxa"/>
            <w:right w:w="108" w:type="dxa"/>
          </w:tblCellMar>
        </w:tblPrEx>
        <w:trPr>
          <w:trHeight w:val="420" w:hRule="atLeast"/>
          <w:jc w:val="center"/>
        </w:trPr>
        <w:tc>
          <w:tcPr>
            <w:tcW w:w="1568" w:type="dxa"/>
            <w:gridSpan w:val="2"/>
            <w:vMerge w:val="continue"/>
            <w:tcBorders>
              <w:top w:val="nil"/>
              <w:left w:val="single" w:color="auto" w:sz="4" w:space="0"/>
              <w:bottom w:val="single" w:color="auto" w:sz="4" w:space="0"/>
              <w:right w:val="single" w:color="auto" w:sz="4" w:space="0"/>
            </w:tcBorders>
            <w:vAlign w:val="center"/>
          </w:tcPr>
          <w:p w14:paraId="5A8D05B8">
            <w:pPr>
              <w:widowControl/>
              <w:jc w:val="left"/>
              <w:rPr>
                <w:rFonts w:ascii="Times New Roman" w:hAnsi="Times New Roman" w:cs="Times New Roman"/>
                <w:color w:val="auto"/>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5930C8A7">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14:paraId="0FE99C04">
            <w:pPr>
              <w:widowControl/>
              <w:spacing w:line="240" w:lineRule="exact"/>
              <w:jc w:val="center"/>
              <w:rPr>
                <w:rFonts w:ascii="Times New Roman" w:hAnsi="Times New Roman" w:cs="Times New Roman"/>
                <w:color w:val="auto"/>
                <w:kern w:val="0"/>
                <w:sz w:val="18"/>
                <w:szCs w:val="18"/>
              </w:rPr>
            </w:pPr>
          </w:p>
        </w:tc>
        <w:tc>
          <w:tcPr>
            <w:tcW w:w="1134" w:type="dxa"/>
            <w:gridSpan w:val="2"/>
            <w:tcBorders>
              <w:top w:val="nil"/>
              <w:left w:val="nil"/>
              <w:bottom w:val="single" w:color="auto" w:sz="4" w:space="0"/>
              <w:right w:val="single" w:color="auto" w:sz="4" w:space="0"/>
            </w:tcBorders>
            <w:vAlign w:val="center"/>
          </w:tcPr>
          <w:p w14:paraId="0AB736F1">
            <w:pPr>
              <w:widowControl/>
              <w:spacing w:line="240" w:lineRule="exact"/>
              <w:jc w:val="center"/>
              <w:rPr>
                <w:rFonts w:ascii="Times New Roman" w:hAnsi="Times New Roman" w:cs="Times New Roman"/>
                <w:color w:val="auto"/>
                <w:kern w:val="0"/>
                <w:sz w:val="18"/>
                <w:szCs w:val="18"/>
              </w:rPr>
            </w:pPr>
          </w:p>
        </w:tc>
        <w:tc>
          <w:tcPr>
            <w:tcW w:w="1134" w:type="dxa"/>
            <w:gridSpan w:val="2"/>
            <w:tcBorders>
              <w:top w:val="nil"/>
              <w:left w:val="nil"/>
              <w:bottom w:val="single" w:color="auto" w:sz="4" w:space="0"/>
              <w:right w:val="single" w:color="auto" w:sz="4" w:space="0"/>
            </w:tcBorders>
            <w:vAlign w:val="center"/>
          </w:tcPr>
          <w:p w14:paraId="4EA8804D">
            <w:pPr>
              <w:widowControl/>
              <w:spacing w:line="240" w:lineRule="exact"/>
              <w:jc w:val="center"/>
              <w:rPr>
                <w:rFonts w:ascii="Times New Roman" w:hAnsi="Times New Roman" w:cs="Times New Roman"/>
                <w:color w:val="auto"/>
                <w:kern w:val="0"/>
                <w:sz w:val="18"/>
                <w:szCs w:val="18"/>
              </w:rPr>
            </w:pPr>
          </w:p>
        </w:tc>
        <w:tc>
          <w:tcPr>
            <w:tcW w:w="709" w:type="dxa"/>
            <w:gridSpan w:val="2"/>
            <w:tcBorders>
              <w:top w:val="nil"/>
              <w:left w:val="nil"/>
              <w:bottom w:val="single" w:color="auto" w:sz="4" w:space="0"/>
              <w:right w:val="single" w:color="auto" w:sz="4" w:space="0"/>
            </w:tcBorders>
            <w:vAlign w:val="center"/>
          </w:tcPr>
          <w:p w14:paraId="73048412">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14:paraId="403502B8">
            <w:pPr>
              <w:widowControl/>
              <w:spacing w:line="240" w:lineRule="exact"/>
              <w:jc w:val="center"/>
              <w:rPr>
                <w:rFonts w:ascii="Times New Roman" w:hAnsi="Times New Roman" w:cs="Times New Roman"/>
                <w:color w:val="auto"/>
                <w:kern w:val="0"/>
                <w:sz w:val="18"/>
                <w:szCs w:val="18"/>
              </w:rPr>
            </w:pPr>
          </w:p>
        </w:tc>
        <w:tc>
          <w:tcPr>
            <w:tcW w:w="708" w:type="dxa"/>
            <w:tcBorders>
              <w:top w:val="nil"/>
              <w:left w:val="nil"/>
              <w:bottom w:val="single" w:color="auto" w:sz="4" w:space="0"/>
              <w:right w:val="single" w:color="auto" w:sz="4" w:space="0"/>
            </w:tcBorders>
            <w:vAlign w:val="center"/>
          </w:tcPr>
          <w:p w14:paraId="6E35C1FB">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14:paraId="4A0672B5">
        <w:tblPrEx>
          <w:tblCellMar>
            <w:top w:w="0" w:type="dxa"/>
            <w:left w:w="108" w:type="dxa"/>
            <w:bottom w:w="0" w:type="dxa"/>
            <w:right w:w="108" w:type="dxa"/>
          </w:tblCellMar>
        </w:tblPrEx>
        <w:trPr>
          <w:trHeight w:val="465" w:hRule="atLeast"/>
          <w:jc w:val="center"/>
        </w:trPr>
        <w:tc>
          <w:tcPr>
            <w:tcW w:w="1568" w:type="dxa"/>
            <w:gridSpan w:val="2"/>
            <w:vMerge w:val="continue"/>
            <w:tcBorders>
              <w:top w:val="nil"/>
              <w:left w:val="single" w:color="auto" w:sz="4" w:space="0"/>
              <w:bottom w:val="single" w:color="auto" w:sz="4" w:space="0"/>
              <w:right w:val="single" w:color="auto" w:sz="4" w:space="0"/>
            </w:tcBorders>
            <w:vAlign w:val="center"/>
          </w:tcPr>
          <w:p w14:paraId="7E7F5A32">
            <w:pPr>
              <w:widowControl/>
              <w:jc w:val="left"/>
              <w:rPr>
                <w:rFonts w:ascii="Times New Roman" w:hAnsi="Times New Roman" w:cs="Times New Roman"/>
                <w:color w:val="auto"/>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75DA2F8E">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14:paraId="46A72C59">
            <w:pPr>
              <w:widowControl/>
              <w:spacing w:line="240" w:lineRule="exact"/>
              <w:jc w:val="center"/>
              <w:rPr>
                <w:rFonts w:ascii="Times New Roman" w:hAnsi="Times New Roman" w:cs="Times New Roman"/>
                <w:color w:val="auto"/>
                <w:kern w:val="0"/>
                <w:sz w:val="18"/>
                <w:szCs w:val="18"/>
              </w:rPr>
            </w:pPr>
          </w:p>
        </w:tc>
        <w:tc>
          <w:tcPr>
            <w:tcW w:w="1134" w:type="dxa"/>
            <w:gridSpan w:val="2"/>
            <w:tcBorders>
              <w:top w:val="nil"/>
              <w:left w:val="nil"/>
              <w:bottom w:val="single" w:color="auto" w:sz="4" w:space="0"/>
              <w:right w:val="single" w:color="auto" w:sz="4" w:space="0"/>
            </w:tcBorders>
            <w:vAlign w:val="center"/>
          </w:tcPr>
          <w:p w14:paraId="0915F316">
            <w:pPr>
              <w:widowControl/>
              <w:spacing w:line="240" w:lineRule="exact"/>
              <w:jc w:val="center"/>
              <w:rPr>
                <w:rFonts w:ascii="Times New Roman" w:hAnsi="Times New Roman" w:cs="Times New Roman"/>
                <w:color w:val="auto"/>
                <w:kern w:val="0"/>
                <w:sz w:val="18"/>
                <w:szCs w:val="18"/>
              </w:rPr>
            </w:pPr>
          </w:p>
        </w:tc>
        <w:tc>
          <w:tcPr>
            <w:tcW w:w="1134" w:type="dxa"/>
            <w:gridSpan w:val="2"/>
            <w:tcBorders>
              <w:top w:val="nil"/>
              <w:left w:val="nil"/>
              <w:bottom w:val="single" w:color="auto" w:sz="4" w:space="0"/>
              <w:right w:val="single" w:color="auto" w:sz="4" w:space="0"/>
            </w:tcBorders>
            <w:vAlign w:val="center"/>
          </w:tcPr>
          <w:p w14:paraId="30E7F1A4">
            <w:pPr>
              <w:widowControl/>
              <w:spacing w:line="240" w:lineRule="exact"/>
              <w:jc w:val="center"/>
              <w:rPr>
                <w:rFonts w:hint="default" w:ascii="Times New Roman" w:hAnsi="Times New Roman" w:eastAsia="宋体" w:cs="Times New Roman"/>
                <w:color w:val="auto"/>
                <w:kern w:val="0"/>
                <w:sz w:val="18"/>
                <w:szCs w:val="18"/>
                <w:lang w:val="en-US" w:eastAsia="zh-CN"/>
              </w:rPr>
            </w:pPr>
          </w:p>
        </w:tc>
        <w:tc>
          <w:tcPr>
            <w:tcW w:w="709" w:type="dxa"/>
            <w:gridSpan w:val="2"/>
            <w:tcBorders>
              <w:top w:val="nil"/>
              <w:left w:val="nil"/>
              <w:bottom w:val="single" w:color="auto" w:sz="4" w:space="0"/>
              <w:right w:val="single" w:color="auto" w:sz="4" w:space="0"/>
            </w:tcBorders>
            <w:vAlign w:val="center"/>
          </w:tcPr>
          <w:p w14:paraId="1C0C14CF">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14:paraId="04A921B6">
            <w:pPr>
              <w:widowControl/>
              <w:spacing w:line="240" w:lineRule="exact"/>
              <w:jc w:val="center"/>
              <w:rPr>
                <w:rFonts w:ascii="Times New Roman" w:hAnsi="Times New Roman" w:cs="Times New Roman"/>
                <w:color w:val="auto"/>
                <w:kern w:val="0"/>
                <w:sz w:val="18"/>
                <w:szCs w:val="18"/>
              </w:rPr>
            </w:pPr>
          </w:p>
        </w:tc>
        <w:tc>
          <w:tcPr>
            <w:tcW w:w="708" w:type="dxa"/>
            <w:tcBorders>
              <w:top w:val="nil"/>
              <w:left w:val="nil"/>
              <w:bottom w:val="single" w:color="auto" w:sz="4" w:space="0"/>
              <w:right w:val="single" w:color="auto" w:sz="4" w:space="0"/>
            </w:tcBorders>
            <w:vAlign w:val="center"/>
          </w:tcPr>
          <w:p w14:paraId="269F4C24">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r>
      <w:tr w14:paraId="5B638433">
        <w:tblPrEx>
          <w:tblCellMar>
            <w:top w:w="0" w:type="dxa"/>
            <w:left w:w="108" w:type="dxa"/>
            <w:bottom w:w="0" w:type="dxa"/>
            <w:right w:w="108" w:type="dxa"/>
          </w:tblCellMar>
        </w:tblPrEx>
        <w:trPr>
          <w:trHeight w:val="480" w:hRule="atLeast"/>
          <w:jc w:val="center"/>
        </w:trPr>
        <w:tc>
          <w:tcPr>
            <w:tcW w:w="588" w:type="dxa"/>
            <w:vMerge w:val="restart"/>
            <w:tcBorders>
              <w:top w:val="nil"/>
              <w:left w:val="single" w:color="auto" w:sz="4" w:space="0"/>
              <w:bottom w:val="single" w:color="auto" w:sz="4" w:space="0"/>
              <w:right w:val="single" w:color="auto" w:sz="4" w:space="0"/>
            </w:tcBorders>
            <w:vAlign w:val="center"/>
          </w:tcPr>
          <w:p w14:paraId="1B8D096F">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年度总体目标</w:t>
            </w:r>
          </w:p>
        </w:tc>
        <w:tc>
          <w:tcPr>
            <w:tcW w:w="5090" w:type="dxa"/>
            <w:gridSpan w:val="6"/>
            <w:tcBorders>
              <w:top w:val="single" w:color="auto" w:sz="4" w:space="0"/>
              <w:left w:val="nil"/>
              <w:bottom w:val="single" w:color="auto" w:sz="4" w:space="0"/>
              <w:right w:val="single" w:color="auto" w:sz="4" w:space="0"/>
            </w:tcBorders>
            <w:vAlign w:val="center"/>
          </w:tcPr>
          <w:p w14:paraId="2155B0F0">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预期目标</w:t>
            </w:r>
          </w:p>
        </w:tc>
        <w:tc>
          <w:tcPr>
            <w:tcW w:w="3402" w:type="dxa"/>
            <w:gridSpan w:val="7"/>
            <w:tcBorders>
              <w:top w:val="single" w:color="auto" w:sz="4" w:space="0"/>
              <w:left w:val="nil"/>
              <w:bottom w:val="single" w:color="auto" w:sz="4" w:space="0"/>
              <w:right w:val="single" w:color="auto" w:sz="4" w:space="0"/>
            </w:tcBorders>
            <w:vAlign w:val="center"/>
          </w:tcPr>
          <w:p w14:paraId="4B3600F7">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实际完成情况</w:t>
            </w:r>
          </w:p>
        </w:tc>
      </w:tr>
      <w:tr w14:paraId="338FB6C4">
        <w:tblPrEx>
          <w:tblCellMar>
            <w:top w:w="0" w:type="dxa"/>
            <w:left w:w="108" w:type="dxa"/>
            <w:bottom w:w="0" w:type="dxa"/>
            <w:right w:w="108" w:type="dxa"/>
          </w:tblCellMar>
        </w:tblPrEx>
        <w:trPr>
          <w:trHeight w:val="1485" w:hRule="atLeast"/>
          <w:jc w:val="center"/>
        </w:trPr>
        <w:tc>
          <w:tcPr>
            <w:tcW w:w="588" w:type="dxa"/>
            <w:vMerge w:val="continue"/>
            <w:tcBorders>
              <w:top w:val="nil"/>
              <w:left w:val="single" w:color="auto" w:sz="4" w:space="0"/>
              <w:bottom w:val="single" w:color="auto" w:sz="4" w:space="0"/>
              <w:right w:val="single" w:color="auto" w:sz="4" w:space="0"/>
            </w:tcBorders>
            <w:vAlign w:val="center"/>
          </w:tcPr>
          <w:p w14:paraId="3C9C894A">
            <w:pPr>
              <w:widowControl/>
              <w:jc w:val="left"/>
              <w:rPr>
                <w:rFonts w:ascii="Times New Roman" w:hAnsi="Times New Roman" w:cs="Times New Roman"/>
                <w:color w:val="auto"/>
                <w:kern w:val="0"/>
                <w:sz w:val="18"/>
                <w:szCs w:val="18"/>
              </w:rPr>
            </w:pPr>
          </w:p>
        </w:tc>
        <w:tc>
          <w:tcPr>
            <w:tcW w:w="5090" w:type="dxa"/>
            <w:gridSpan w:val="6"/>
            <w:tcBorders>
              <w:top w:val="single" w:color="auto" w:sz="4" w:space="0"/>
              <w:left w:val="nil"/>
              <w:bottom w:val="single" w:color="auto" w:sz="4" w:space="0"/>
              <w:right w:val="single" w:color="auto" w:sz="4" w:space="0"/>
            </w:tcBorders>
            <w:vAlign w:val="center"/>
          </w:tcPr>
          <w:p w14:paraId="75D4121F">
            <w:pPr>
              <w:widowControl/>
              <w:numPr>
                <w:ilvl w:val="0"/>
                <w:numId w:val="1"/>
              </w:numPr>
              <w:spacing w:line="240" w:lineRule="exact"/>
              <w:jc w:val="left"/>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科学编制中方县滨江北路城市综合管廊建设项目可行性研究报告并及时报送可研报告成果。</w:t>
            </w:r>
          </w:p>
          <w:p w14:paraId="7A52F238">
            <w:pPr>
              <w:widowControl/>
              <w:numPr>
                <w:ilvl w:val="0"/>
                <w:numId w:val="1"/>
              </w:numPr>
              <w:spacing w:line="240" w:lineRule="exact"/>
              <w:jc w:val="left"/>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eastAsia="zh-CN"/>
              </w:rPr>
              <w:t>加强政府投资项目概算管理，对投资</w:t>
            </w:r>
            <w:r>
              <w:rPr>
                <w:rFonts w:hint="eastAsia" w:ascii="Times New Roman" w:hAnsi="Times New Roman" w:cs="Times New Roman"/>
                <w:color w:val="auto"/>
                <w:kern w:val="0"/>
                <w:sz w:val="18"/>
                <w:szCs w:val="18"/>
                <w:lang w:val="en-US" w:eastAsia="zh-CN"/>
              </w:rPr>
              <w:t>1000万以上的政府投资项目概算进行评审，</w:t>
            </w:r>
            <w:r>
              <w:rPr>
                <w:rFonts w:hint="eastAsia" w:ascii="Times New Roman" w:hAnsi="Times New Roman" w:cs="Times New Roman"/>
                <w:color w:val="auto"/>
                <w:kern w:val="0"/>
                <w:sz w:val="18"/>
                <w:szCs w:val="18"/>
                <w:lang w:eastAsia="zh-CN"/>
              </w:rPr>
              <w:t>有效控制“超规模、超标准、超投资”问题，进一步提高政府投资效应和项目管理水平。</w:t>
            </w:r>
          </w:p>
        </w:tc>
        <w:tc>
          <w:tcPr>
            <w:tcW w:w="3402" w:type="dxa"/>
            <w:gridSpan w:val="7"/>
            <w:tcBorders>
              <w:top w:val="single" w:color="auto" w:sz="4" w:space="0"/>
              <w:left w:val="nil"/>
              <w:bottom w:val="single" w:color="auto" w:sz="4" w:space="0"/>
              <w:right w:val="single" w:color="auto" w:sz="4" w:space="0"/>
            </w:tcBorders>
            <w:vAlign w:val="center"/>
          </w:tcPr>
          <w:p w14:paraId="57D959C6">
            <w:pPr>
              <w:widowControl/>
              <w:spacing w:line="240" w:lineRule="exact"/>
              <w:jc w:val="left"/>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w:t>
            </w:r>
            <w:r>
              <w:rPr>
                <w:rFonts w:hint="eastAsia" w:ascii="Times New Roman" w:hAnsi="Times New Roman" w:cs="Times New Roman"/>
                <w:color w:val="auto"/>
                <w:kern w:val="0"/>
                <w:sz w:val="18"/>
                <w:szCs w:val="18"/>
                <w:lang w:eastAsia="zh-CN"/>
              </w:rPr>
              <w:t>完成了</w:t>
            </w:r>
            <w:r>
              <w:rPr>
                <w:rFonts w:hint="eastAsia" w:ascii="Times New Roman" w:hAnsi="Times New Roman" w:cs="Times New Roman"/>
                <w:color w:val="auto"/>
                <w:kern w:val="0"/>
                <w:sz w:val="18"/>
                <w:szCs w:val="18"/>
                <w:lang w:val="en-US" w:eastAsia="zh-CN"/>
              </w:rPr>
              <w:t>中方县滨江北路城市综合管廊建设项目可行性研究报告编制并</w:t>
            </w:r>
            <w:r>
              <w:rPr>
                <w:rFonts w:hint="eastAsia" w:ascii="Times New Roman" w:hAnsi="Times New Roman" w:cs="Times New Roman"/>
                <w:color w:val="auto"/>
                <w:kern w:val="0"/>
                <w:sz w:val="18"/>
                <w:szCs w:val="18"/>
                <w:lang w:eastAsia="zh-CN"/>
              </w:rPr>
              <w:t>及时报送可研报告成果</w:t>
            </w:r>
            <w:r>
              <w:rPr>
                <w:rFonts w:hint="eastAsia" w:ascii="Times New Roman" w:hAnsi="Times New Roman" w:cs="Times New Roman"/>
                <w:color w:val="auto"/>
                <w:kern w:val="0"/>
                <w:sz w:val="18"/>
                <w:szCs w:val="18"/>
                <w:lang w:val="en-US" w:eastAsia="zh-CN"/>
              </w:rPr>
              <w:t>。2、</w:t>
            </w:r>
            <w:r>
              <w:rPr>
                <w:rFonts w:hint="eastAsia" w:ascii="Times New Roman" w:hAnsi="Times New Roman" w:cs="Times New Roman"/>
                <w:color w:val="auto"/>
                <w:kern w:val="0"/>
                <w:sz w:val="18"/>
                <w:szCs w:val="18"/>
                <w:lang w:eastAsia="zh-CN"/>
              </w:rPr>
              <w:t>完成了</w:t>
            </w:r>
            <w:r>
              <w:rPr>
                <w:rFonts w:hint="eastAsia" w:ascii="Times New Roman" w:hAnsi="Times New Roman" w:cs="Times New Roman"/>
                <w:color w:val="auto"/>
                <w:kern w:val="0"/>
                <w:sz w:val="18"/>
                <w:szCs w:val="18"/>
                <w:lang w:val="en-US" w:eastAsia="zh-CN"/>
              </w:rPr>
              <w:t>中方县2022年牌楼片区老旧小区配套基础设施建设项目、中方县农村团寨消防水改工程</w:t>
            </w:r>
            <w:r>
              <w:rPr>
                <w:rFonts w:hint="eastAsia" w:ascii="Times New Roman" w:hAnsi="Times New Roman" w:cs="Times New Roman"/>
                <w:color w:val="auto"/>
                <w:kern w:val="0"/>
                <w:sz w:val="18"/>
                <w:szCs w:val="18"/>
                <w:lang w:eastAsia="zh-CN"/>
              </w:rPr>
              <w:t>等</w:t>
            </w:r>
            <w:r>
              <w:rPr>
                <w:rFonts w:hint="eastAsia" w:ascii="Times New Roman" w:hAnsi="Times New Roman" w:cs="Times New Roman"/>
                <w:color w:val="auto"/>
                <w:kern w:val="0"/>
                <w:sz w:val="18"/>
                <w:szCs w:val="18"/>
                <w:lang w:val="en-US" w:eastAsia="zh-CN"/>
              </w:rPr>
              <w:t>7个</w:t>
            </w:r>
            <w:r>
              <w:rPr>
                <w:rFonts w:hint="eastAsia" w:ascii="Times New Roman" w:hAnsi="Times New Roman" w:cs="Times New Roman"/>
                <w:color w:val="auto"/>
                <w:kern w:val="0"/>
                <w:sz w:val="18"/>
                <w:szCs w:val="18"/>
                <w:lang w:eastAsia="zh-CN"/>
              </w:rPr>
              <w:t>投资</w:t>
            </w:r>
            <w:r>
              <w:rPr>
                <w:rFonts w:hint="eastAsia" w:ascii="Times New Roman" w:hAnsi="Times New Roman" w:cs="Times New Roman"/>
                <w:color w:val="auto"/>
                <w:kern w:val="0"/>
                <w:sz w:val="18"/>
                <w:szCs w:val="18"/>
                <w:lang w:val="en-US" w:eastAsia="zh-CN"/>
              </w:rPr>
              <w:t>1000万以上的政府投资项目概算进行评审。</w:t>
            </w:r>
          </w:p>
        </w:tc>
      </w:tr>
      <w:tr w14:paraId="1CEEF745">
        <w:tblPrEx>
          <w:tblCellMar>
            <w:top w:w="0" w:type="dxa"/>
            <w:left w:w="108" w:type="dxa"/>
            <w:bottom w:w="0" w:type="dxa"/>
            <w:right w:w="108" w:type="dxa"/>
          </w:tblCellMar>
        </w:tblPrEx>
        <w:trPr>
          <w:trHeight w:val="533" w:hRule="atLeast"/>
          <w:jc w:val="center"/>
        </w:trPr>
        <w:tc>
          <w:tcPr>
            <w:tcW w:w="588" w:type="dxa"/>
            <w:vMerge w:val="restart"/>
            <w:tcBorders>
              <w:top w:val="nil"/>
              <w:left w:val="single" w:color="auto" w:sz="4" w:space="0"/>
              <w:bottom w:val="nil"/>
              <w:right w:val="single" w:color="auto" w:sz="4" w:space="0"/>
            </w:tcBorders>
            <w:vAlign w:val="center"/>
          </w:tcPr>
          <w:p w14:paraId="17434958">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绩</w:t>
            </w:r>
            <w:r>
              <w:rPr>
                <w:rFonts w:ascii="Times New Roman" w:hAnsi="Times New Roman" w:cs="Times New Roman"/>
                <w:color w:val="auto"/>
                <w:kern w:val="0"/>
                <w:sz w:val="18"/>
                <w:szCs w:val="18"/>
              </w:rPr>
              <w:br w:type="textWrapping"/>
            </w:r>
            <w:r>
              <w:rPr>
                <w:rFonts w:ascii="Times New Roman" w:hAnsi="Times New Roman" w:cs="Times New Roman"/>
                <w:color w:val="auto"/>
                <w:kern w:val="0"/>
                <w:sz w:val="18"/>
                <w:szCs w:val="18"/>
              </w:rPr>
              <w:t>效</w:t>
            </w:r>
            <w:r>
              <w:rPr>
                <w:rFonts w:ascii="Times New Roman" w:hAnsi="Times New Roman" w:cs="Times New Roman"/>
                <w:color w:val="auto"/>
                <w:kern w:val="0"/>
                <w:sz w:val="18"/>
                <w:szCs w:val="18"/>
              </w:rPr>
              <w:br w:type="textWrapping"/>
            </w:r>
            <w:r>
              <w:rPr>
                <w:rFonts w:ascii="Times New Roman" w:hAnsi="Times New Roman" w:cs="Times New Roman"/>
                <w:color w:val="auto"/>
                <w:kern w:val="0"/>
                <w:sz w:val="18"/>
                <w:szCs w:val="18"/>
              </w:rPr>
              <w:t>指</w:t>
            </w:r>
            <w:r>
              <w:rPr>
                <w:rFonts w:ascii="Times New Roman" w:hAnsi="Times New Roman" w:cs="Times New Roman"/>
                <w:color w:val="auto"/>
                <w:kern w:val="0"/>
                <w:sz w:val="18"/>
                <w:szCs w:val="18"/>
              </w:rPr>
              <w:br w:type="textWrapping"/>
            </w:r>
            <w:r>
              <w:rPr>
                <w:rFonts w:ascii="Times New Roman" w:hAnsi="Times New Roman" w:cs="Times New Roman"/>
                <w:color w:val="auto"/>
                <w:kern w:val="0"/>
                <w:sz w:val="18"/>
                <w:szCs w:val="18"/>
              </w:rPr>
              <w:t>标</w:t>
            </w:r>
          </w:p>
        </w:tc>
        <w:tc>
          <w:tcPr>
            <w:tcW w:w="980" w:type="dxa"/>
            <w:tcBorders>
              <w:top w:val="nil"/>
              <w:left w:val="nil"/>
              <w:bottom w:val="single" w:color="auto" w:sz="4" w:space="0"/>
              <w:right w:val="single" w:color="auto" w:sz="4" w:space="0"/>
            </w:tcBorders>
            <w:vAlign w:val="center"/>
          </w:tcPr>
          <w:p w14:paraId="53BBC700">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一级指标</w:t>
            </w:r>
          </w:p>
        </w:tc>
        <w:tc>
          <w:tcPr>
            <w:tcW w:w="1112" w:type="dxa"/>
            <w:tcBorders>
              <w:top w:val="nil"/>
              <w:left w:val="nil"/>
              <w:bottom w:val="single" w:color="auto" w:sz="4" w:space="0"/>
              <w:right w:val="single" w:color="auto" w:sz="4" w:space="0"/>
            </w:tcBorders>
            <w:vAlign w:val="center"/>
          </w:tcPr>
          <w:p w14:paraId="0639C833">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二级指标</w:t>
            </w:r>
          </w:p>
        </w:tc>
        <w:tc>
          <w:tcPr>
            <w:tcW w:w="2148" w:type="dxa"/>
            <w:gridSpan w:val="3"/>
            <w:tcBorders>
              <w:top w:val="single" w:color="auto" w:sz="4" w:space="0"/>
              <w:left w:val="nil"/>
              <w:bottom w:val="single" w:color="auto" w:sz="4" w:space="0"/>
              <w:right w:val="single" w:color="auto" w:sz="4" w:space="0"/>
            </w:tcBorders>
            <w:vAlign w:val="center"/>
          </w:tcPr>
          <w:p w14:paraId="1351D011">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三级指标</w:t>
            </w:r>
          </w:p>
        </w:tc>
        <w:tc>
          <w:tcPr>
            <w:tcW w:w="850" w:type="dxa"/>
            <w:tcBorders>
              <w:top w:val="nil"/>
              <w:left w:val="nil"/>
              <w:bottom w:val="single" w:color="auto" w:sz="4" w:space="0"/>
              <w:right w:val="single" w:color="auto" w:sz="4" w:space="0"/>
            </w:tcBorders>
            <w:vAlign w:val="center"/>
          </w:tcPr>
          <w:p w14:paraId="588C28B9">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年度</w:t>
            </w:r>
          </w:p>
          <w:p w14:paraId="0B61265B">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指标值</w:t>
            </w:r>
          </w:p>
        </w:tc>
        <w:tc>
          <w:tcPr>
            <w:tcW w:w="851" w:type="dxa"/>
            <w:tcBorders>
              <w:top w:val="nil"/>
              <w:left w:val="nil"/>
              <w:bottom w:val="single" w:color="auto" w:sz="4" w:space="0"/>
              <w:right w:val="single" w:color="auto" w:sz="4" w:space="0"/>
            </w:tcBorders>
            <w:vAlign w:val="center"/>
          </w:tcPr>
          <w:p w14:paraId="7BFC2A8D">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实际</w:t>
            </w:r>
          </w:p>
          <w:p w14:paraId="0BD76C7C">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完成值</w:t>
            </w:r>
          </w:p>
        </w:tc>
        <w:tc>
          <w:tcPr>
            <w:tcW w:w="567" w:type="dxa"/>
            <w:gridSpan w:val="2"/>
            <w:tcBorders>
              <w:top w:val="nil"/>
              <w:left w:val="nil"/>
              <w:bottom w:val="single" w:color="auto" w:sz="4" w:space="0"/>
              <w:right w:val="single" w:color="auto" w:sz="4" w:space="0"/>
            </w:tcBorders>
            <w:vAlign w:val="center"/>
          </w:tcPr>
          <w:p w14:paraId="6D81CD11">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分值</w:t>
            </w:r>
          </w:p>
        </w:tc>
        <w:tc>
          <w:tcPr>
            <w:tcW w:w="567" w:type="dxa"/>
            <w:gridSpan w:val="2"/>
            <w:tcBorders>
              <w:top w:val="nil"/>
              <w:left w:val="nil"/>
              <w:bottom w:val="single" w:color="auto" w:sz="4" w:space="0"/>
              <w:right w:val="single" w:color="auto" w:sz="4" w:space="0"/>
            </w:tcBorders>
            <w:vAlign w:val="center"/>
          </w:tcPr>
          <w:p w14:paraId="2822D4D2">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得分</w:t>
            </w:r>
          </w:p>
        </w:tc>
        <w:tc>
          <w:tcPr>
            <w:tcW w:w="1417" w:type="dxa"/>
            <w:gridSpan w:val="2"/>
            <w:tcBorders>
              <w:top w:val="single" w:color="auto" w:sz="4" w:space="0"/>
              <w:left w:val="nil"/>
              <w:bottom w:val="single" w:color="auto" w:sz="4" w:space="0"/>
              <w:right w:val="single" w:color="auto" w:sz="4" w:space="0"/>
            </w:tcBorders>
            <w:vAlign w:val="center"/>
          </w:tcPr>
          <w:p w14:paraId="592A594C">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偏差原因分析及改进措施</w:t>
            </w:r>
          </w:p>
        </w:tc>
      </w:tr>
      <w:tr w14:paraId="53350EDC">
        <w:tblPrEx>
          <w:tblCellMar>
            <w:top w:w="0" w:type="dxa"/>
            <w:left w:w="108" w:type="dxa"/>
            <w:bottom w:w="0" w:type="dxa"/>
            <w:right w:w="108" w:type="dxa"/>
          </w:tblCellMar>
        </w:tblPrEx>
        <w:trPr>
          <w:trHeight w:val="475" w:hRule="atLeast"/>
          <w:jc w:val="center"/>
        </w:trPr>
        <w:tc>
          <w:tcPr>
            <w:tcW w:w="588" w:type="dxa"/>
            <w:vMerge w:val="continue"/>
            <w:tcBorders>
              <w:top w:val="nil"/>
              <w:left w:val="single" w:color="auto" w:sz="4" w:space="0"/>
              <w:bottom w:val="nil"/>
              <w:right w:val="single" w:color="auto" w:sz="4" w:space="0"/>
            </w:tcBorders>
            <w:vAlign w:val="center"/>
          </w:tcPr>
          <w:p w14:paraId="0609691A">
            <w:pPr>
              <w:widowControl/>
              <w:jc w:val="left"/>
              <w:rPr>
                <w:rFonts w:ascii="Times New Roman" w:hAnsi="Times New Roman" w:cs="Times New Roman"/>
                <w:color w:val="auto"/>
                <w:kern w:val="0"/>
                <w:sz w:val="18"/>
                <w:szCs w:val="18"/>
              </w:rPr>
            </w:pPr>
          </w:p>
        </w:tc>
        <w:tc>
          <w:tcPr>
            <w:tcW w:w="980" w:type="dxa"/>
            <w:vMerge w:val="restart"/>
            <w:tcBorders>
              <w:top w:val="nil"/>
              <w:left w:val="nil"/>
              <w:bottom w:val="single" w:color="auto" w:sz="4" w:space="0"/>
              <w:right w:val="single" w:color="auto" w:sz="4" w:space="0"/>
            </w:tcBorders>
            <w:vAlign w:val="center"/>
          </w:tcPr>
          <w:p w14:paraId="360AF016">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产出指标</w:t>
            </w:r>
            <w:r>
              <w:rPr>
                <w:rFonts w:ascii="Times New Roman" w:hAnsi="Times New Roman" w:cs="Times New Roman"/>
                <w:color w:val="auto"/>
                <w:kern w:val="0"/>
                <w:sz w:val="20"/>
                <w:szCs w:val="20"/>
              </w:rPr>
              <w:t>(50</w:t>
            </w:r>
            <w:r>
              <w:rPr>
                <w:rFonts w:ascii="宋体" w:hAnsi="宋体" w:cs="Times New Roman"/>
                <w:color w:val="auto"/>
                <w:kern w:val="0"/>
                <w:sz w:val="20"/>
                <w:szCs w:val="20"/>
              </w:rPr>
              <w:t>分</w:t>
            </w:r>
            <w:r>
              <w:rPr>
                <w:rFonts w:ascii="Times New Roman" w:hAnsi="Times New Roman" w:cs="Times New Roman"/>
                <w:color w:val="auto"/>
                <w:kern w:val="0"/>
                <w:sz w:val="20"/>
                <w:szCs w:val="20"/>
              </w:rPr>
              <w:t>)</w:t>
            </w:r>
          </w:p>
        </w:tc>
        <w:tc>
          <w:tcPr>
            <w:tcW w:w="1112" w:type="dxa"/>
            <w:tcBorders>
              <w:top w:val="nil"/>
              <w:left w:val="nil"/>
              <w:bottom w:val="single" w:color="auto" w:sz="4" w:space="0"/>
              <w:right w:val="single" w:color="auto" w:sz="4" w:space="0"/>
            </w:tcBorders>
            <w:vAlign w:val="center"/>
          </w:tcPr>
          <w:p w14:paraId="66621B1D">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数量指标</w:t>
            </w:r>
          </w:p>
        </w:tc>
        <w:tc>
          <w:tcPr>
            <w:tcW w:w="2148" w:type="dxa"/>
            <w:gridSpan w:val="3"/>
            <w:tcBorders>
              <w:top w:val="single" w:color="auto" w:sz="4" w:space="0"/>
              <w:left w:val="nil"/>
              <w:bottom w:val="single" w:color="auto" w:sz="4" w:space="0"/>
              <w:right w:val="single" w:color="auto" w:sz="4" w:space="0"/>
            </w:tcBorders>
            <w:vAlign w:val="center"/>
          </w:tcPr>
          <w:p w14:paraId="511A7C76">
            <w:pPr>
              <w:widowControl/>
              <w:spacing w:line="240" w:lineRule="exact"/>
              <w:jc w:val="left"/>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1、项目可行性研究报告数2、</w:t>
            </w:r>
            <w:r>
              <w:rPr>
                <w:rFonts w:hint="eastAsia" w:ascii="Times New Roman" w:hAnsi="Times New Roman" w:cs="Times New Roman"/>
                <w:color w:val="auto"/>
                <w:kern w:val="0"/>
                <w:sz w:val="18"/>
                <w:szCs w:val="18"/>
                <w:highlight w:val="none"/>
                <w:lang w:eastAsia="zh-CN"/>
              </w:rPr>
              <w:t>项目概算评审数量</w:t>
            </w:r>
          </w:p>
        </w:tc>
        <w:tc>
          <w:tcPr>
            <w:tcW w:w="850" w:type="dxa"/>
            <w:tcBorders>
              <w:top w:val="nil"/>
              <w:left w:val="nil"/>
              <w:bottom w:val="single" w:color="auto" w:sz="4" w:space="0"/>
              <w:right w:val="single" w:color="auto" w:sz="4" w:space="0"/>
            </w:tcBorders>
            <w:vAlign w:val="center"/>
          </w:tcPr>
          <w:p w14:paraId="44C891A0">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8</w:t>
            </w:r>
          </w:p>
        </w:tc>
        <w:tc>
          <w:tcPr>
            <w:tcW w:w="851" w:type="dxa"/>
            <w:tcBorders>
              <w:top w:val="nil"/>
              <w:left w:val="nil"/>
              <w:bottom w:val="single" w:color="auto" w:sz="4" w:space="0"/>
              <w:right w:val="single" w:color="auto" w:sz="4" w:space="0"/>
            </w:tcBorders>
            <w:vAlign w:val="center"/>
          </w:tcPr>
          <w:p w14:paraId="4E90CBE0">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8</w:t>
            </w:r>
          </w:p>
        </w:tc>
        <w:tc>
          <w:tcPr>
            <w:tcW w:w="567" w:type="dxa"/>
            <w:gridSpan w:val="2"/>
            <w:tcBorders>
              <w:top w:val="nil"/>
              <w:left w:val="nil"/>
              <w:bottom w:val="single" w:color="auto" w:sz="4" w:space="0"/>
              <w:right w:val="single" w:color="auto" w:sz="4" w:space="0"/>
            </w:tcBorders>
            <w:vAlign w:val="center"/>
          </w:tcPr>
          <w:p w14:paraId="7888E1B3">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3506A6C7">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252BB620">
            <w:pPr>
              <w:widowControl/>
              <w:spacing w:line="240" w:lineRule="exact"/>
              <w:jc w:val="center"/>
              <w:rPr>
                <w:rFonts w:ascii="Times New Roman" w:hAnsi="Times New Roman" w:cs="Times New Roman"/>
                <w:color w:val="auto"/>
                <w:kern w:val="0"/>
                <w:sz w:val="18"/>
                <w:szCs w:val="18"/>
              </w:rPr>
            </w:pPr>
          </w:p>
        </w:tc>
      </w:tr>
      <w:tr w14:paraId="495BDB40">
        <w:tblPrEx>
          <w:tblCellMar>
            <w:top w:w="0" w:type="dxa"/>
            <w:left w:w="108" w:type="dxa"/>
            <w:bottom w:w="0" w:type="dxa"/>
            <w:right w:w="108" w:type="dxa"/>
          </w:tblCellMar>
        </w:tblPrEx>
        <w:trPr>
          <w:trHeight w:val="565" w:hRule="atLeast"/>
          <w:jc w:val="center"/>
        </w:trPr>
        <w:tc>
          <w:tcPr>
            <w:tcW w:w="588" w:type="dxa"/>
            <w:vMerge w:val="continue"/>
            <w:tcBorders>
              <w:top w:val="nil"/>
              <w:left w:val="single" w:color="auto" w:sz="4" w:space="0"/>
              <w:bottom w:val="nil"/>
              <w:right w:val="single" w:color="auto" w:sz="4" w:space="0"/>
            </w:tcBorders>
            <w:vAlign w:val="center"/>
          </w:tcPr>
          <w:p w14:paraId="5D1BA6A9">
            <w:pPr>
              <w:widowControl/>
              <w:jc w:val="left"/>
              <w:rPr>
                <w:rFonts w:ascii="Times New Roman" w:hAnsi="Times New Roman" w:cs="Times New Roman"/>
                <w:color w:val="auto"/>
                <w:kern w:val="0"/>
                <w:sz w:val="18"/>
                <w:szCs w:val="18"/>
              </w:rPr>
            </w:pPr>
          </w:p>
        </w:tc>
        <w:tc>
          <w:tcPr>
            <w:tcW w:w="980" w:type="dxa"/>
            <w:vMerge w:val="continue"/>
            <w:tcBorders>
              <w:top w:val="nil"/>
              <w:left w:val="nil"/>
              <w:bottom w:val="single" w:color="auto" w:sz="4" w:space="0"/>
              <w:right w:val="single" w:color="auto" w:sz="4" w:space="0"/>
            </w:tcBorders>
            <w:vAlign w:val="center"/>
          </w:tcPr>
          <w:p w14:paraId="44EECF5E">
            <w:pPr>
              <w:widowControl/>
              <w:jc w:val="left"/>
              <w:rPr>
                <w:rFonts w:ascii="Times New Roman" w:hAnsi="Times New Roman" w:cs="Times New Roman"/>
                <w:color w:val="auto"/>
                <w:kern w:val="0"/>
                <w:sz w:val="18"/>
                <w:szCs w:val="18"/>
              </w:rPr>
            </w:pPr>
          </w:p>
        </w:tc>
        <w:tc>
          <w:tcPr>
            <w:tcW w:w="1112" w:type="dxa"/>
            <w:tcBorders>
              <w:top w:val="nil"/>
              <w:left w:val="nil"/>
              <w:bottom w:val="single" w:color="auto" w:sz="4" w:space="0"/>
              <w:right w:val="single" w:color="auto" w:sz="4" w:space="0"/>
            </w:tcBorders>
            <w:vAlign w:val="center"/>
          </w:tcPr>
          <w:p w14:paraId="6EE2D395">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质量指标</w:t>
            </w:r>
          </w:p>
        </w:tc>
        <w:tc>
          <w:tcPr>
            <w:tcW w:w="2148" w:type="dxa"/>
            <w:gridSpan w:val="3"/>
            <w:tcBorders>
              <w:top w:val="single" w:color="auto" w:sz="4" w:space="0"/>
              <w:left w:val="nil"/>
              <w:bottom w:val="single" w:color="auto" w:sz="4" w:space="0"/>
              <w:right w:val="single" w:color="auto" w:sz="4" w:space="0"/>
            </w:tcBorders>
            <w:vAlign w:val="center"/>
          </w:tcPr>
          <w:p w14:paraId="41765178">
            <w:pPr>
              <w:widowControl/>
              <w:spacing w:line="240" w:lineRule="exact"/>
              <w:jc w:val="lef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rPr>
              <w:t>完成1000万以上政府投资项目概算评审</w:t>
            </w:r>
          </w:p>
        </w:tc>
        <w:tc>
          <w:tcPr>
            <w:tcW w:w="850" w:type="dxa"/>
            <w:tcBorders>
              <w:top w:val="nil"/>
              <w:left w:val="nil"/>
              <w:bottom w:val="single" w:color="auto" w:sz="4" w:space="0"/>
              <w:right w:val="single" w:color="auto" w:sz="4" w:space="0"/>
            </w:tcBorders>
            <w:vAlign w:val="center"/>
          </w:tcPr>
          <w:p w14:paraId="091144C7">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100%</w:t>
            </w:r>
          </w:p>
        </w:tc>
        <w:tc>
          <w:tcPr>
            <w:tcW w:w="851" w:type="dxa"/>
            <w:tcBorders>
              <w:top w:val="nil"/>
              <w:left w:val="nil"/>
              <w:bottom w:val="single" w:color="auto" w:sz="4" w:space="0"/>
              <w:right w:val="single" w:color="auto" w:sz="4" w:space="0"/>
            </w:tcBorders>
            <w:vAlign w:val="center"/>
          </w:tcPr>
          <w:p w14:paraId="1336691E">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100%</w:t>
            </w:r>
          </w:p>
        </w:tc>
        <w:tc>
          <w:tcPr>
            <w:tcW w:w="567" w:type="dxa"/>
            <w:gridSpan w:val="2"/>
            <w:tcBorders>
              <w:top w:val="nil"/>
              <w:left w:val="nil"/>
              <w:bottom w:val="single" w:color="auto" w:sz="4" w:space="0"/>
              <w:right w:val="single" w:color="auto" w:sz="4" w:space="0"/>
            </w:tcBorders>
            <w:vAlign w:val="center"/>
          </w:tcPr>
          <w:p w14:paraId="485F34D9">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5D50E2B7">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61CAB54B">
            <w:pPr>
              <w:widowControl/>
              <w:spacing w:line="240" w:lineRule="exact"/>
              <w:jc w:val="center"/>
              <w:rPr>
                <w:rFonts w:ascii="Times New Roman" w:hAnsi="Times New Roman" w:cs="Times New Roman"/>
                <w:color w:val="auto"/>
                <w:kern w:val="0"/>
                <w:sz w:val="18"/>
                <w:szCs w:val="18"/>
              </w:rPr>
            </w:pPr>
          </w:p>
        </w:tc>
      </w:tr>
      <w:tr w14:paraId="71F76627">
        <w:tblPrEx>
          <w:tblCellMar>
            <w:top w:w="0" w:type="dxa"/>
            <w:left w:w="108" w:type="dxa"/>
            <w:bottom w:w="0" w:type="dxa"/>
            <w:right w:w="108" w:type="dxa"/>
          </w:tblCellMar>
        </w:tblPrEx>
        <w:trPr>
          <w:trHeight w:val="460" w:hRule="atLeast"/>
          <w:jc w:val="center"/>
        </w:trPr>
        <w:tc>
          <w:tcPr>
            <w:tcW w:w="588" w:type="dxa"/>
            <w:vMerge w:val="continue"/>
            <w:tcBorders>
              <w:top w:val="nil"/>
              <w:left w:val="single" w:color="auto" w:sz="4" w:space="0"/>
              <w:bottom w:val="nil"/>
              <w:right w:val="single" w:color="auto" w:sz="4" w:space="0"/>
            </w:tcBorders>
            <w:vAlign w:val="center"/>
          </w:tcPr>
          <w:p w14:paraId="352E7C79">
            <w:pPr>
              <w:widowControl/>
              <w:jc w:val="left"/>
              <w:rPr>
                <w:rFonts w:ascii="Times New Roman" w:hAnsi="Times New Roman" w:cs="Times New Roman"/>
                <w:color w:val="auto"/>
                <w:kern w:val="0"/>
                <w:sz w:val="18"/>
                <w:szCs w:val="18"/>
              </w:rPr>
            </w:pPr>
          </w:p>
        </w:tc>
        <w:tc>
          <w:tcPr>
            <w:tcW w:w="980" w:type="dxa"/>
            <w:vMerge w:val="continue"/>
            <w:tcBorders>
              <w:top w:val="nil"/>
              <w:left w:val="nil"/>
              <w:bottom w:val="single" w:color="auto" w:sz="4" w:space="0"/>
              <w:right w:val="single" w:color="auto" w:sz="4" w:space="0"/>
            </w:tcBorders>
            <w:vAlign w:val="center"/>
          </w:tcPr>
          <w:p w14:paraId="18776446">
            <w:pPr>
              <w:widowControl/>
              <w:jc w:val="left"/>
              <w:rPr>
                <w:rFonts w:ascii="Times New Roman" w:hAnsi="Times New Roman" w:cs="Times New Roman"/>
                <w:color w:val="auto"/>
                <w:kern w:val="0"/>
                <w:sz w:val="18"/>
                <w:szCs w:val="18"/>
              </w:rPr>
            </w:pPr>
          </w:p>
        </w:tc>
        <w:tc>
          <w:tcPr>
            <w:tcW w:w="1112" w:type="dxa"/>
            <w:tcBorders>
              <w:top w:val="nil"/>
              <w:left w:val="nil"/>
              <w:bottom w:val="single" w:color="auto" w:sz="4" w:space="0"/>
              <w:right w:val="single" w:color="auto" w:sz="4" w:space="0"/>
            </w:tcBorders>
            <w:vAlign w:val="center"/>
          </w:tcPr>
          <w:p w14:paraId="7EF99584">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时效指标</w:t>
            </w:r>
          </w:p>
        </w:tc>
        <w:tc>
          <w:tcPr>
            <w:tcW w:w="2148" w:type="dxa"/>
            <w:gridSpan w:val="3"/>
            <w:tcBorders>
              <w:top w:val="single" w:color="auto" w:sz="4" w:space="0"/>
              <w:left w:val="nil"/>
              <w:bottom w:val="single" w:color="auto" w:sz="4" w:space="0"/>
              <w:right w:val="single" w:color="auto" w:sz="4" w:space="0"/>
            </w:tcBorders>
            <w:vAlign w:val="center"/>
          </w:tcPr>
          <w:p w14:paraId="3F1D7ECC">
            <w:pPr>
              <w:widowControl/>
              <w:spacing w:line="240" w:lineRule="exact"/>
              <w:jc w:val="lef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按时提交成果率</w:t>
            </w:r>
          </w:p>
        </w:tc>
        <w:tc>
          <w:tcPr>
            <w:tcW w:w="850" w:type="dxa"/>
            <w:tcBorders>
              <w:top w:val="nil"/>
              <w:left w:val="nil"/>
              <w:bottom w:val="single" w:color="auto" w:sz="4" w:space="0"/>
              <w:right w:val="single" w:color="auto" w:sz="4" w:space="0"/>
            </w:tcBorders>
            <w:vAlign w:val="center"/>
          </w:tcPr>
          <w:p w14:paraId="6F47C277">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100%</w:t>
            </w:r>
          </w:p>
        </w:tc>
        <w:tc>
          <w:tcPr>
            <w:tcW w:w="851" w:type="dxa"/>
            <w:tcBorders>
              <w:top w:val="nil"/>
              <w:left w:val="nil"/>
              <w:bottom w:val="single" w:color="auto" w:sz="4" w:space="0"/>
              <w:right w:val="single" w:color="auto" w:sz="4" w:space="0"/>
            </w:tcBorders>
            <w:vAlign w:val="center"/>
          </w:tcPr>
          <w:p w14:paraId="691E226A">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100%</w:t>
            </w:r>
          </w:p>
        </w:tc>
        <w:tc>
          <w:tcPr>
            <w:tcW w:w="567" w:type="dxa"/>
            <w:gridSpan w:val="2"/>
            <w:tcBorders>
              <w:top w:val="nil"/>
              <w:left w:val="nil"/>
              <w:bottom w:val="single" w:color="auto" w:sz="4" w:space="0"/>
              <w:right w:val="single" w:color="auto" w:sz="4" w:space="0"/>
            </w:tcBorders>
            <w:vAlign w:val="center"/>
          </w:tcPr>
          <w:p w14:paraId="19AFE1A4">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528CE0DF">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1D3FBE49">
            <w:pPr>
              <w:widowControl/>
              <w:spacing w:line="240" w:lineRule="exact"/>
              <w:jc w:val="center"/>
              <w:rPr>
                <w:rFonts w:ascii="Times New Roman" w:hAnsi="Times New Roman" w:cs="Times New Roman"/>
                <w:color w:val="auto"/>
                <w:kern w:val="0"/>
                <w:sz w:val="18"/>
                <w:szCs w:val="18"/>
              </w:rPr>
            </w:pPr>
          </w:p>
        </w:tc>
      </w:tr>
      <w:tr w14:paraId="61DAE5EF">
        <w:tblPrEx>
          <w:tblCellMar>
            <w:top w:w="0" w:type="dxa"/>
            <w:left w:w="108" w:type="dxa"/>
            <w:bottom w:w="0" w:type="dxa"/>
            <w:right w:w="108" w:type="dxa"/>
          </w:tblCellMar>
        </w:tblPrEx>
        <w:trPr>
          <w:trHeight w:val="595" w:hRule="atLeast"/>
          <w:jc w:val="center"/>
        </w:trPr>
        <w:tc>
          <w:tcPr>
            <w:tcW w:w="588" w:type="dxa"/>
            <w:vMerge w:val="continue"/>
            <w:tcBorders>
              <w:top w:val="nil"/>
              <w:left w:val="single" w:color="auto" w:sz="4" w:space="0"/>
              <w:bottom w:val="nil"/>
              <w:right w:val="single" w:color="auto" w:sz="4" w:space="0"/>
            </w:tcBorders>
            <w:vAlign w:val="center"/>
          </w:tcPr>
          <w:p w14:paraId="2DF630E7">
            <w:pPr>
              <w:widowControl/>
              <w:jc w:val="left"/>
              <w:rPr>
                <w:rFonts w:ascii="Times New Roman" w:hAnsi="Times New Roman" w:cs="Times New Roman"/>
                <w:color w:val="auto"/>
                <w:kern w:val="0"/>
                <w:sz w:val="18"/>
                <w:szCs w:val="18"/>
              </w:rPr>
            </w:pPr>
          </w:p>
        </w:tc>
        <w:tc>
          <w:tcPr>
            <w:tcW w:w="980" w:type="dxa"/>
            <w:vMerge w:val="continue"/>
            <w:tcBorders>
              <w:top w:val="nil"/>
              <w:left w:val="nil"/>
              <w:bottom w:val="single" w:color="auto" w:sz="4" w:space="0"/>
              <w:right w:val="single" w:color="auto" w:sz="4" w:space="0"/>
            </w:tcBorders>
            <w:vAlign w:val="center"/>
          </w:tcPr>
          <w:p w14:paraId="02319B3F">
            <w:pPr>
              <w:widowControl/>
              <w:jc w:val="left"/>
              <w:rPr>
                <w:rFonts w:ascii="Times New Roman" w:hAnsi="Times New Roman" w:cs="Times New Roman"/>
                <w:color w:val="auto"/>
                <w:kern w:val="0"/>
                <w:sz w:val="18"/>
                <w:szCs w:val="18"/>
              </w:rPr>
            </w:pPr>
          </w:p>
        </w:tc>
        <w:tc>
          <w:tcPr>
            <w:tcW w:w="1112" w:type="dxa"/>
            <w:tcBorders>
              <w:top w:val="nil"/>
              <w:left w:val="nil"/>
              <w:bottom w:val="single" w:color="auto" w:sz="4" w:space="0"/>
              <w:right w:val="single" w:color="auto" w:sz="4" w:space="0"/>
            </w:tcBorders>
            <w:vAlign w:val="center"/>
          </w:tcPr>
          <w:p w14:paraId="64351BA7">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成本指标</w:t>
            </w:r>
          </w:p>
        </w:tc>
        <w:tc>
          <w:tcPr>
            <w:tcW w:w="2148" w:type="dxa"/>
            <w:gridSpan w:val="3"/>
            <w:tcBorders>
              <w:top w:val="single" w:color="auto" w:sz="4" w:space="0"/>
              <w:left w:val="nil"/>
              <w:bottom w:val="single" w:color="auto" w:sz="4" w:space="0"/>
              <w:right w:val="single" w:color="auto" w:sz="4" w:space="0"/>
            </w:tcBorders>
            <w:vAlign w:val="center"/>
          </w:tcPr>
          <w:p w14:paraId="7F032EF8">
            <w:pPr>
              <w:widowControl/>
              <w:spacing w:line="240" w:lineRule="exact"/>
              <w:jc w:val="lef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节约成本，加强经费管理</w:t>
            </w:r>
          </w:p>
        </w:tc>
        <w:tc>
          <w:tcPr>
            <w:tcW w:w="850" w:type="dxa"/>
            <w:tcBorders>
              <w:top w:val="nil"/>
              <w:left w:val="nil"/>
              <w:bottom w:val="single" w:color="auto" w:sz="4" w:space="0"/>
              <w:right w:val="single" w:color="auto" w:sz="4" w:space="0"/>
            </w:tcBorders>
            <w:vAlign w:val="center"/>
          </w:tcPr>
          <w:p w14:paraId="2E88B963">
            <w:pPr>
              <w:widowControl/>
              <w:spacing w:line="240" w:lineRule="exact"/>
              <w:jc w:val="center"/>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851" w:type="dxa"/>
            <w:tcBorders>
              <w:top w:val="nil"/>
              <w:left w:val="nil"/>
              <w:bottom w:val="single" w:color="auto" w:sz="4" w:space="0"/>
              <w:right w:val="single" w:color="auto" w:sz="4" w:space="0"/>
            </w:tcBorders>
            <w:vAlign w:val="center"/>
          </w:tcPr>
          <w:p w14:paraId="3F695A26">
            <w:pPr>
              <w:widowControl/>
              <w:spacing w:line="240" w:lineRule="exact"/>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567" w:type="dxa"/>
            <w:gridSpan w:val="2"/>
            <w:tcBorders>
              <w:top w:val="nil"/>
              <w:left w:val="nil"/>
              <w:bottom w:val="single" w:color="auto" w:sz="4" w:space="0"/>
              <w:right w:val="single" w:color="auto" w:sz="4" w:space="0"/>
            </w:tcBorders>
            <w:vAlign w:val="center"/>
          </w:tcPr>
          <w:p w14:paraId="3326F9DB">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25DB7E75">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vAlign w:val="center"/>
          </w:tcPr>
          <w:p w14:paraId="11DA2D49">
            <w:pPr>
              <w:widowControl/>
              <w:spacing w:line="240" w:lineRule="exact"/>
              <w:jc w:val="center"/>
              <w:rPr>
                <w:rFonts w:ascii="Times New Roman" w:hAnsi="Times New Roman" w:cs="Times New Roman"/>
                <w:color w:val="auto"/>
                <w:kern w:val="0"/>
                <w:sz w:val="18"/>
                <w:szCs w:val="18"/>
              </w:rPr>
            </w:pPr>
          </w:p>
        </w:tc>
      </w:tr>
      <w:tr w14:paraId="3CE349CC">
        <w:tblPrEx>
          <w:tblCellMar>
            <w:top w:w="0" w:type="dxa"/>
            <w:left w:w="108" w:type="dxa"/>
            <w:bottom w:w="0" w:type="dxa"/>
            <w:right w:w="108" w:type="dxa"/>
          </w:tblCellMar>
        </w:tblPrEx>
        <w:trPr>
          <w:trHeight w:val="595" w:hRule="atLeast"/>
          <w:jc w:val="center"/>
        </w:trPr>
        <w:tc>
          <w:tcPr>
            <w:tcW w:w="588" w:type="dxa"/>
            <w:vMerge w:val="continue"/>
            <w:tcBorders>
              <w:top w:val="nil"/>
              <w:left w:val="single" w:color="auto" w:sz="4" w:space="0"/>
              <w:bottom w:val="nil"/>
              <w:right w:val="single" w:color="auto" w:sz="4" w:space="0"/>
            </w:tcBorders>
            <w:vAlign w:val="center"/>
          </w:tcPr>
          <w:p w14:paraId="12622A6B">
            <w:pPr>
              <w:widowControl/>
              <w:jc w:val="left"/>
              <w:rPr>
                <w:rFonts w:ascii="Times New Roman" w:hAnsi="Times New Roman" w:cs="Times New Roman"/>
                <w:color w:val="auto"/>
                <w:kern w:val="0"/>
                <w:sz w:val="18"/>
                <w:szCs w:val="18"/>
              </w:rPr>
            </w:pPr>
          </w:p>
        </w:tc>
        <w:tc>
          <w:tcPr>
            <w:tcW w:w="980" w:type="dxa"/>
            <w:vMerge w:val="restart"/>
            <w:tcBorders>
              <w:top w:val="nil"/>
              <w:left w:val="nil"/>
              <w:bottom w:val="single" w:color="auto" w:sz="4" w:space="0"/>
              <w:right w:val="single" w:color="auto" w:sz="4" w:space="0"/>
            </w:tcBorders>
            <w:vAlign w:val="center"/>
          </w:tcPr>
          <w:p w14:paraId="3C486CA3">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效益指标</w:t>
            </w:r>
            <w:r>
              <w:rPr>
                <w:rFonts w:ascii="Times New Roman" w:hAnsi="Times New Roman" w:cs="Times New Roman"/>
                <w:color w:val="auto"/>
                <w:kern w:val="0"/>
                <w:sz w:val="20"/>
                <w:szCs w:val="20"/>
              </w:rPr>
              <w:t>(30</w:t>
            </w:r>
            <w:r>
              <w:rPr>
                <w:rFonts w:ascii="宋体" w:hAnsi="宋体" w:cs="Times New Roman"/>
                <w:color w:val="auto"/>
                <w:kern w:val="0"/>
                <w:sz w:val="20"/>
                <w:szCs w:val="20"/>
              </w:rPr>
              <w:t>分</w:t>
            </w:r>
            <w:r>
              <w:rPr>
                <w:rFonts w:ascii="Times New Roman" w:hAnsi="Times New Roman" w:cs="Times New Roman"/>
                <w:color w:val="auto"/>
                <w:kern w:val="0"/>
                <w:sz w:val="20"/>
                <w:szCs w:val="20"/>
              </w:rPr>
              <w:t>)</w:t>
            </w:r>
          </w:p>
        </w:tc>
        <w:tc>
          <w:tcPr>
            <w:tcW w:w="1112" w:type="dxa"/>
            <w:tcBorders>
              <w:top w:val="nil"/>
              <w:left w:val="nil"/>
              <w:bottom w:val="single" w:color="auto" w:sz="4" w:space="0"/>
              <w:right w:val="single" w:color="auto" w:sz="4" w:space="0"/>
            </w:tcBorders>
            <w:vAlign w:val="center"/>
          </w:tcPr>
          <w:p w14:paraId="742A5BA6">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经济效益</w:t>
            </w:r>
          </w:p>
          <w:p w14:paraId="60AEA237">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14:paraId="196185A7">
            <w:pPr>
              <w:widowControl/>
              <w:spacing w:line="240" w:lineRule="exact"/>
              <w:jc w:val="lef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优化可行性研究报告，</w:t>
            </w:r>
            <w:r>
              <w:rPr>
                <w:rFonts w:hint="eastAsia" w:ascii="Times New Roman" w:hAnsi="Times New Roman" w:cs="Times New Roman"/>
                <w:color w:val="auto"/>
                <w:kern w:val="0"/>
                <w:sz w:val="18"/>
                <w:szCs w:val="18"/>
              </w:rPr>
              <w:t>加强政府投资项目概算管理，有效控制“超规模、超标准、超投资”问题</w:t>
            </w:r>
          </w:p>
        </w:tc>
        <w:tc>
          <w:tcPr>
            <w:tcW w:w="850" w:type="dxa"/>
            <w:tcBorders>
              <w:top w:val="nil"/>
              <w:left w:val="nil"/>
              <w:bottom w:val="single" w:color="auto" w:sz="4" w:space="0"/>
              <w:right w:val="single" w:color="auto" w:sz="4" w:space="0"/>
            </w:tcBorders>
            <w:vAlign w:val="center"/>
          </w:tcPr>
          <w:p w14:paraId="3FC3F69E">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效果良好</w:t>
            </w:r>
          </w:p>
        </w:tc>
        <w:tc>
          <w:tcPr>
            <w:tcW w:w="851" w:type="dxa"/>
            <w:tcBorders>
              <w:top w:val="nil"/>
              <w:left w:val="nil"/>
              <w:bottom w:val="single" w:color="auto" w:sz="4" w:space="0"/>
              <w:right w:val="single" w:color="auto" w:sz="4" w:space="0"/>
            </w:tcBorders>
            <w:vAlign w:val="center"/>
          </w:tcPr>
          <w:p w14:paraId="21731A55">
            <w:pPr>
              <w:widowControl/>
              <w:spacing w:line="240" w:lineRule="exac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效果良好</w:t>
            </w:r>
          </w:p>
        </w:tc>
        <w:tc>
          <w:tcPr>
            <w:tcW w:w="567" w:type="dxa"/>
            <w:gridSpan w:val="2"/>
            <w:tcBorders>
              <w:top w:val="nil"/>
              <w:left w:val="nil"/>
              <w:bottom w:val="single" w:color="auto" w:sz="4" w:space="0"/>
              <w:right w:val="single" w:color="auto" w:sz="4" w:space="0"/>
            </w:tcBorders>
            <w:vAlign w:val="center"/>
          </w:tcPr>
          <w:p w14:paraId="42FBB607">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688CBE6C">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7ED12CDC">
            <w:pPr>
              <w:widowControl/>
              <w:spacing w:line="240" w:lineRule="exact"/>
              <w:jc w:val="center"/>
              <w:rPr>
                <w:rFonts w:ascii="Times New Roman" w:hAnsi="Times New Roman" w:cs="Times New Roman"/>
                <w:color w:val="auto"/>
                <w:kern w:val="0"/>
                <w:sz w:val="18"/>
                <w:szCs w:val="18"/>
              </w:rPr>
            </w:pPr>
          </w:p>
        </w:tc>
      </w:tr>
      <w:tr w14:paraId="0973098B">
        <w:tblPrEx>
          <w:tblCellMar>
            <w:top w:w="0" w:type="dxa"/>
            <w:left w:w="108" w:type="dxa"/>
            <w:bottom w:w="0" w:type="dxa"/>
            <w:right w:w="108" w:type="dxa"/>
          </w:tblCellMar>
        </w:tblPrEx>
        <w:trPr>
          <w:trHeight w:val="580" w:hRule="atLeast"/>
          <w:jc w:val="center"/>
        </w:trPr>
        <w:tc>
          <w:tcPr>
            <w:tcW w:w="588" w:type="dxa"/>
            <w:vMerge w:val="continue"/>
            <w:tcBorders>
              <w:top w:val="nil"/>
              <w:left w:val="single" w:color="auto" w:sz="4" w:space="0"/>
              <w:bottom w:val="nil"/>
              <w:right w:val="single" w:color="auto" w:sz="4" w:space="0"/>
            </w:tcBorders>
            <w:vAlign w:val="center"/>
          </w:tcPr>
          <w:p w14:paraId="124C14E7">
            <w:pPr>
              <w:widowControl/>
              <w:jc w:val="left"/>
              <w:rPr>
                <w:rFonts w:ascii="Times New Roman" w:hAnsi="Times New Roman" w:cs="Times New Roman"/>
                <w:color w:val="auto"/>
                <w:kern w:val="0"/>
                <w:sz w:val="18"/>
                <w:szCs w:val="18"/>
              </w:rPr>
            </w:pPr>
          </w:p>
        </w:tc>
        <w:tc>
          <w:tcPr>
            <w:tcW w:w="980" w:type="dxa"/>
            <w:vMerge w:val="continue"/>
            <w:tcBorders>
              <w:top w:val="nil"/>
              <w:left w:val="nil"/>
              <w:bottom w:val="single" w:color="auto" w:sz="4" w:space="0"/>
              <w:right w:val="single" w:color="auto" w:sz="4" w:space="0"/>
            </w:tcBorders>
            <w:vAlign w:val="center"/>
          </w:tcPr>
          <w:p w14:paraId="6F387141">
            <w:pPr>
              <w:widowControl/>
              <w:jc w:val="left"/>
              <w:rPr>
                <w:rFonts w:ascii="Times New Roman" w:hAnsi="Times New Roman" w:cs="Times New Roman"/>
                <w:color w:val="auto"/>
                <w:kern w:val="0"/>
                <w:sz w:val="18"/>
                <w:szCs w:val="18"/>
              </w:rPr>
            </w:pPr>
          </w:p>
        </w:tc>
        <w:tc>
          <w:tcPr>
            <w:tcW w:w="1112" w:type="dxa"/>
            <w:tcBorders>
              <w:top w:val="nil"/>
              <w:left w:val="nil"/>
              <w:bottom w:val="single" w:color="auto" w:sz="4" w:space="0"/>
              <w:right w:val="single" w:color="auto" w:sz="4" w:space="0"/>
            </w:tcBorders>
            <w:vAlign w:val="center"/>
          </w:tcPr>
          <w:p w14:paraId="34C0970D">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社会效益</w:t>
            </w:r>
          </w:p>
          <w:p w14:paraId="58BBC6AF">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14:paraId="2097AA64">
            <w:pPr>
              <w:widowControl/>
              <w:spacing w:line="240" w:lineRule="exact"/>
              <w:jc w:val="lef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积极谋划储备项目，促进社会民生发展。</w:t>
            </w:r>
          </w:p>
        </w:tc>
        <w:tc>
          <w:tcPr>
            <w:tcW w:w="850" w:type="dxa"/>
            <w:tcBorders>
              <w:top w:val="nil"/>
              <w:left w:val="nil"/>
              <w:bottom w:val="single" w:color="auto" w:sz="4" w:space="0"/>
              <w:right w:val="single" w:color="auto" w:sz="4" w:space="0"/>
            </w:tcBorders>
            <w:vAlign w:val="center"/>
          </w:tcPr>
          <w:p w14:paraId="4DB41B4D">
            <w:pPr>
              <w:widowControl/>
              <w:spacing w:line="240" w:lineRule="exact"/>
              <w:jc w:val="center"/>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851" w:type="dxa"/>
            <w:tcBorders>
              <w:top w:val="nil"/>
              <w:left w:val="nil"/>
              <w:bottom w:val="single" w:color="auto" w:sz="4" w:space="0"/>
              <w:right w:val="single" w:color="auto" w:sz="4" w:space="0"/>
            </w:tcBorders>
            <w:vAlign w:val="center"/>
          </w:tcPr>
          <w:p w14:paraId="739B54DF">
            <w:pPr>
              <w:widowControl/>
              <w:spacing w:line="240" w:lineRule="exact"/>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567" w:type="dxa"/>
            <w:gridSpan w:val="2"/>
            <w:tcBorders>
              <w:top w:val="nil"/>
              <w:left w:val="nil"/>
              <w:bottom w:val="single" w:color="auto" w:sz="4" w:space="0"/>
              <w:right w:val="single" w:color="auto" w:sz="4" w:space="0"/>
            </w:tcBorders>
            <w:vAlign w:val="center"/>
          </w:tcPr>
          <w:p w14:paraId="1A2B3585">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1A79BA52">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4079E5A2">
            <w:pPr>
              <w:widowControl/>
              <w:spacing w:line="240" w:lineRule="exact"/>
              <w:jc w:val="center"/>
              <w:rPr>
                <w:rFonts w:ascii="Times New Roman" w:hAnsi="Times New Roman" w:cs="Times New Roman"/>
                <w:color w:val="auto"/>
                <w:kern w:val="0"/>
                <w:sz w:val="18"/>
                <w:szCs w:val="18"/>
              </w:rPr>
            </w:pPr>
          </w:p>
        </w:tc>
      </w:tr>
      <w:tr w14:paraId="368A9B6A">
        <w:tblPrEx>
          <w:tblCellMar>
            <w:top w:w="0" w:type="dxa"/>
            <w:left w:w="108" w:type="dxa"/>
            <w:bottom w:w="0" w:type="dxa"/>
            <w:right w:w="108" w:type="dxa"/>
          </w:tblCellMar>
        </w:tblPrEx>
        <w:trPr>
          <w:trHeight w:val="685" w:hRule="atLeast"/>
          <w:jc w:val="center"/>
        </w:trPr>
        <w:tc>
          <w:tcPr>
            <w:tcW w:w="588" w:type="dxa"/>
            <w:vMerge w:val="continue"/>
            <w:tcBorders>
              <w:top w:val="nil"/>
              <w:left w:val="single" w:color="auto" w:sz="4" w:space="0"/>
              <w:bottom w:val="nil"/>
              <w:right w:val="single" w:color="auto" w:sz="4" w:space="0"/>
            </w:tcBorders>
            <w:vAlign w:val="center"/>
          </w:tcPr>
          <w:p w14:paraId="7443F6DC">
            <w:pPr>
              <w:widowControl/>
              <w:jc w:val="left"/>
              <w:rPr>
                <w:rFonts w:ascii="Times New Roman" w:hAnsi="Times New Roman" w:cs="Times New Roman"/>
                <w:color w:val="auto"/>
                <w:kern w:val="0"/>
                <w:sz w:val="18"/>
                <w:szCs w:val="18"/>
              </w:rPr>
            </w:pPr>
          </w:p>
        </w:tc>
        <w:tc>
          <w:tcPr>
            <w:tcW w:w="980" w:type="dxa"/>
            <w:vMerge w:val="continue"/>
            <w:tcBorders>
              <w:top w:val="nil"/>
              <w:left w:val="nil"/>
              <w:bottom w:val="single" w:color="auto" w:sz="4" w:space="0"/>
              <w:right w:val="single" w:color="auto" w:sz="4" w:space="0"/>
            </w:tcBorders>
            <w:vAlign w:val="center"/>
          </w:tcPr>
          <w:p w14:paraId="4354A6EE">
            <w:pPr>
              <w:widowControl/>
              <w:jc w:val="left"/>
              <w:rPr>
                <w:rFonts w:ascii="Times New Roman" w:hAnsi="Times New Roman" w:cs="Times New Roman"/>
                <w:color w:val="auto"/>
                <w:kern w:val="0"/>
                <w:sz w:val="18"/>
                <w:szCs w:val="18"/>
              </w:rPr>
            </w:pPr>
          </w:p>
        </w:tc>
        <w:tc>
          <w:tcPr>
            <w:tcW w:w="1112" w:type="dxa"/>
            <w:tcBorders>
              <w:top w:val="nil"/>
              <w:left w:val="nil"/>
              <w:bottom w:val="single" w:color="auto" w:sz="4" w:space="0"/>
              <w:right w:val="single" w:color="auto" w:sz="4" w:space="0"/>
            </w:tcBorders>
            <w:vAlign w:val="center"/>
          </w:tcPr>
          <w:p w14:paraId="4B5275CC">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生态效益</w:t>
            </w:r>
          </w:p>
          <w:p w14:paraId="40A82EF2">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指标</w:t>
            </w:r>
          </w:p>
        </w:tc>
        <w:tc>
          <w:tcPr>
            <w:tcW w:w="2148" w:type="dxa"/>
            <w:gridSpan w:val="3"/>
            <w:tcBorders>
              <w:top w:val="single" w:color="auto" w:sz="4" w:space="0"/>
              <w:left w:val="nil"/>
              <w:bottom w:val="single" w:color="auto" w:sz="4" w:space="0"/>
              <w:right w:val="single" w:color="auto" w:sz="4" w:space="0"/>
            </w:tcBorders>
            <w:vAlign w:val="center"/>
          </w:tcPr>
          <w:p w14:paraId="57A0C42C">
            <w:pPr>
              <w:widowControl/>
              <w:spacing w:line="240" w:lineRule="exact"/>
              <w:jc w:val="lef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加强环境和生态影响分析</w:t>
            </w:r>
          </w:p>
        </w:tc>
        <w:tc>
          <w:tcPr>
            <w:tcW w:w="850" w:type="dxa"/>
            <w:tcBorders>
              <w:top w:val="nil"/>
              <w:left w:val="nil"/>
              <w:bottom w:val="single" w:color="auto" w:sz="4" w:space="0"/>
              <w:right w:val="single" w:color="auto" w:sz="4" w:space="0"/>
            </w:tcBorders>
            <w:vAlign w:val="center"/>
          </w:tcPr>
          <w:p w14:paraId="0EDE4785">
            <w:pPr>
              <w:widowControl/>
              <w:spacing w:line="240" w:lineRule="exact"/>
              <w:jc w:val="center"/>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851" w:type="dxa"/>
            <w:tcBorders>
              <w:top w:val="nil"/>
              <w:left w:val="nil"/>
              <w:bottom w:val="single" w:color="auto" w:sz="4" w:space="0"/>
              <w:right w:val="single" w:color="auto" w:sz="4" w:space="0"/>
            </w:tcBorders>
            <w:vAlign w:val="center"/>
          </w:tcPr>
          <w:p w14:paraId="2BA0CB4A">
            <w:pPr>
              <w:widowControl/>
              <w:spacing w:line="240" w:lineRule="exact"/>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567" w:type="dxa"/>
            <w:gridSpan w:val="2"/>
            <w:tcBorders>
              <w:top w:val="nil"/>
              <w:left w:val="nil"/>
              <w:bottom w:val="single" w:color="auto" w:sz="4" w:space="0"/>
              <w:right w:val="single" w:color="auto" w:sz="4" w:space="0"/>
            </w:tcBorders>
            <w:vAlign w:val="center"/>
          </w:tcPr>
          <w:p w14:paraId="0A0B3041">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024730F5">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4806069B">
            <w:pPr>
              <w:widowControl/>
              <w:spacing w:line="240" w:lineRule="exact"/>
              <w:jc w:val="center"/>
              <w:rPr>
                <w:rFonts w:ascii="Times New Roman" w:hAnsi="Times New Roman" w:cs="Times New Roman"/>
                <w:color w:val="auto"/>
                <w:kern w:val="0"/>
                <w:sz w:val="18"/>
                <w:szCs w:val="18"/>
              </w:rPr>
            </w:pPr>
          </w:p>
        </w:tc>
      </w:tr>
      <w:tr w14:paraId="46D869D3">
        <w:tblPrEx>
          <w:tblCellMar>
            <w:top w:w="0" w:type="dxa"/>
            <w:left w:w="108" w:type="dxa"/>
            <w:bottom w:w="0" w:type="dxa"/>
            <w:right w:w="108" w:type="dxa"/>
          </w:tblCellMar>
        </w:tblPrEx>
        <w:trPr>
          <w:trHeight w:val="610" w:hRule="atLeast"/>
          <w:jc w:val="center"/>
        </w:trPr>
        <w:tc>
          <w:tcPr>
            <w:tcW w:w="588" w:type="dxa"/>
            <w:vMerge w:val="continue"/>
            <w:tcBorders>
              <w:top w:val="nil"/>
              <w:left w:val="single" w:color="auto" w:sz="4" w:space="0"/>
              <w:bottom w:val="nil"/>
              <w:right w:val="single" w:color="auto" w:sz="4" w:space="0"/>
            </w:tcBorders>
            <w:vAlign w:val="center"/>
          </w:tcPr>
          <w:p w14:paraId="6D4CF261">
            <w:pPr>
              <w:widowControl/>
              <w:jc w:val="left"/>
              <w:rPr>
                <w:rFonts w:ascii="Times New Roman" w:hAnsi="Times New Roman" w:cs="Times New Roman"/>
                <w:color w:val="auto"/>
                <w:kern w:val="0"/>
                <w:sz w:val="18"/>
                <w:szCs w:val="18"/>
              </w:rPr>
            </w:pPr>
          </w:p>
        </w:tc>
        <w:tc>
          <w:tcPr>
            <w:tcW w:w="980" w:type="dxa"/>
            <w:vMerge w:val="continue"/>
            <w:tcBorders>
              <w:top w:val="nil"/>
              <w:left w:val="nil"/>
              <w:bottom w:val="single" w:color="auto" w:sz="4" w:space="0"/>
              <w:right w:val="single" w:color="auto" w:sz="4" w:space="0"/>
            </w:tcBorders>
            <w:vAlign w:val="center"/>
          </w:tcPr>
          <w:p w14:paraId="4F77C73C">
            <w:pPr>
              <w:widowControl/>
              <w:jc w:val="left"/>
              <w:rPr>
                <w:rFonts w:ascii="Times New Roman" w:hAnsi="Times New Roman" w:cs="Times New Roman"/>
                <w:color w:val="auto"/>
                <w:kern w:val="0"/>
                <w:sz w:val="18"/>
                <w:szCs w:val="18"/>
              </w:rPr>
            </w:pPr>
          </w:p>
        </w:tc>
        <w:tc>
          <w:tcPr>
            <w:tcW w:w="1112" w:type="dxa"/>
            <w:tcBorders>
              <w:top w:val="nil"/>
              <w:left w:val="nil"/>
              <w:bottom w:val="single" w:color="auto" w:sz="4" w:space="0"/>
              <w:right w:val="single" w:color="auto" w:sz="4" w:space="0"/>
            </w:tcBorders>
            <w:vAlign w:val="center"/>
          </w:tcPr>
          <w:p w14:paraId="6EB0880A">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vAlign w:val="center"/>
          </w:tcPr>
          <w:p w14:paraId="241D46C6">
            <w:pPr>
              <w:widowControl/>
              <w:spacing w:line="240" w:lineRule="exact"/>
              <w:jc w:val="left"/>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eastAsia="zh-CN"/>
              </w:rPr>
              <w:t>完善</w:t>
            </w:r>
            <w:r>
              <w:rPr>
                <w:rFonts w:hint="eastAsia" w:ascii="Times New Roman" w:hAnsi="Times New Roman" w:cs="Times New Roman"/>
                <w:color w:val="auto"/>
                <w:kern w:val="0"/>
                <w:sz w:val="18"/>
                <w:szCs w:val="18"/>
                <w:lang w:val="en-US" w:eastAsia="zh-CN"/>
              </w:rPr>
              <w:t>全县重大项目库，为后续申报专项资金支持提供条件。</w:t>
            </w:r>
          </w:p>
        </w:tc>
        <w:tc>
          <w:tcPr>
            <w:tcW w:w="850" w:type="dxa"/>
            <w:tcBorders>
              <w:top w:val="nil"/>
              <w:left w:val="nil"/>
              <w:bottom w:val="single" w:color="auto" w:sz="4" w:space="0"/>
              <w:right w:val="single" w:color="auto" w:sz="4" w:space="0"/>
            </w:tcBorders>
            <w:vAlign w:val="center"/>
          </w:tcPr>
          <w:p w14:paraId="61D7EDF0">
            <w:pPr>
              <w:widowControl/>
              <w:spacing w:line="240" w:lineRule="exact"/>
              <w:jc w:val="center"/>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851" w:type="dxa"/>
            <w:tcBorders>
              <w:top w:val="nil"/>
              <w:left w:val="nil"/>
              <w:bottom w:val="single" w:color="auto" w:sz="4" w:space="0"/>
              <w:right w:val="single" w:color="auto" w:sz="4" w:space="0"/>
            </w:tcBorders>
            <w:vAlign w:val="center"/>
          </w:tcPr>
          <w:p w14:paraId="47484095">
            <w:pPr>
              <w:widowControl/>
              <w:spacing w:line="240" w:lineRule="exact"/>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效果良好</w:t>
            </w:r>
          </w:p>
        </w:tc>
        <w:tc>
          <w:tcPr>
            <w:tcW w:w="567" w:type="dxa"/>
            <w:gridSpan w:val="2"/>
            <w:tcBorders>
              <w:top w:val="nil"/>
              <w:left w:val="nil"/>
              <w:bottom w:val="single" w:color="auto" w:sz="4" w:space="0"/>
              <w:right w:val="single" w:color="auto" w:sz="4" w:space="0"/>
            </w:tcBorders>
            <w:vAlign w:val="center"/>
          </w:tcPr>
          <w:p w14:paraId="0FD0F61B">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nil"/>
              <w:left w:val="nil"/>
              <w:bottom w:val="single" w:color="auto" w:sz="4" w:space="0"/>
              <w:right w:val="single" w:color="auto" w:sz="4" w:space="0"/>
            </w:tcBorders>
            <w:vAlign w:val="center"/>
          </w:tcPr>
          <w:p w14:paraId="52FE0ADF">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1600F9C0">
            <w:pPr>
              <w:widowControl/>
              <w:spacing w:line="240" w:lineRule="exact"/>
              <w:jc w:val="center"/>
              <w:rPr>
                <w:rFonts w:ascii="Times New Roman" w:hAnsi="Times New Roman" w:cs="Times New Roman"/>
                <w:color w:val="auto"/>
                <w:kern w:val="0"/>
                <w:sz w:val="18"/>
                <w:szCs w:val="18"/>
              </w:rPr>
            </w:pPr>
          </w:p>
        </w:tc>
      </w:tr>
      <w:tr w14:paraId="706910E7">
        <w:tblPrEx>
          <w:tblCellMar>
            <w:top w:w="0" w:type="dxa"/>
            <w:left w:w="108" w:type="dxa"/>
            <w:bottom w:w="0" w:type="dxa"/>
            <w:right w:w="108" w:type="dxa"/>
          </w:tblCellMar>
        </w:tblPrEx>
        <w:trPr>
          <w:trHeight w:val="300" w:hRule="atLeast"/>
          <w:jc w:val="center"/>
        </w:trPr>
        <w:tc>
          <w:tcPr>
            <w:tcW w:w="588" w:type="dxa"/>
            <w:vMerge w:val="continue"/>
            <w:tcBorders>
              <w:top w:val="nil"/>
              <w:left w:val="single" w:color="auto" w:sz="4" w:space="0"/>
              <w:bottom w:val="nil"/>
              <w:right w:val="single" w:color="auto" w:sz="4" w:space="0"/>
            </w:tcBorders>
            <w:vAlign w:val="center"/>
          </w:tcPr>
          <w:p w14:paraId="21E833ED">
            <w:pPr>
              <w:widowControl/>
              <w:jc w:val="left"/>
              <w:rPr>
                <w:rFonts w:ascii="Times New Roman" w:hAnsi="Times New Roman" w:cs="Times New Roman"/>
                <w:color w:val="auto"/>
                <w:kern w:val="0"/>
                <w:sz w:val="18"/>
                <w:szCs w:val="18"/>
              </w:rPr>
            </w:pPr>
          </w:p>
        </w:tc>
        <w:tc>
          <w:tcPr>
            <w:tcW w:w="980" w:type="dxa"/>
            <w:tcBorders>
              <w:top w:val="nil"/>
              <w:left w:val="nil"/>
              <w:bottom w:val="nil"/>
              <w:right w:val="single" w:color="auto" w:sz="4" w:space="0"/>
            </w:tcBorders>
            <w:vAlign w:val="center"/>
          </w:tcPr>
          <w:p w14:paraId="41121831">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满意度</w:t>
            </w:r>
          </w:p>
          <w:p w14:paraId="57813DE4">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指标</w:t>
            </w:r>
            <w:r>
              <w:rPr>
                <w:rFonts w:ascii="Times New Roman" w:hAnsi="Times New Roman" w:cs="Times New Roman"/>
                <w:color w:val="auto"/>
                <w:kern w:val="0"/>
                <w:sz w:val="20"/>
                <w:szCs w:val="20"/>
              </w:rPr>
              <w:t>(10</w:t>
            </w:r>
            <w:r>
              <w:rPr>
                <w:rFonts w:ascii="宋体" w:hAnsi="宋体" w:cs="Times New Roman"/>
                <w:color w:val="auto"/>
                <w:kern w:val="0"/>
                <w:sz w:val="20"/>
                <w:szCs w:val="20"/>
              </w:rPr>
              <w:t>分</w:t>
            </w:r>
            <w:r>
              <w:rPr>
                <w:rFonts w:ascii="Times New Roman" w:hAnsi="Times New Roman" w:cs="Times New Roman"/>
                <w:color w:val="auto"/>
                <w:kern w:val="0"/>
                <w:sz w:val="20"/>
                <w:szCs w:val="20"/>
              </w:rPr>
              <w:t>)</w:t>
            </w:r>
          </w:p>
        </w:tc>
        <w:tc>
          <w:tcPr>
            <w:tcW w:w="1112" w:type="dxa"/>
            <w:tcBorders>
              <w:top w:val="nil"/>
              <w:left w:val="nil"/>
              <w:bottom w:val="single" w:color="auto" w:sz="4" w:space="0"/>
              <w:right w:val="single" w:color="auto" w:sz="4" w:space="0"/>
            </w:tcBorders>
            <w:vAlign w:val="center"/>
          </w:tcPr>
          <w:p w14:paraId="1CBE01CB">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vAlign w:val="center"/>
          </w:tcPr>
          <w:p w14:paraId="6678B6C8">
            <w:pPr>
              <w:widowControl/>
              <w:spacing w:line="240" w:lineRule="exact"/>
              <w:jc w:val="left"/>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服务对象满意度</w:t>
            </w:r>
          </w:p>
        </w:tc>
        <w:tc>
          <w:tcPr>
            <w:tcW w:w="850" w:type="dxa"/>
            <w:tcBorders>
              <w:top w:val="single" w:color="auto" w:sz="4" w:space="0"/>
              <w:left w:val="nil"/>
              <w:bottom w:val="single" w:color="auto" w:sz="4" w:space="0"/>
              <w:right w:val="single" w:color="auto" w:sz="4" w:space="0"/>
            </w:tcBorders>
            <w:vAlign w:val="center"/>
          </w:tcPr>
          <w:p w14:paraId="7D11F89F">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90%</w:t>
            </w:r>
          </w:p>
        </w:tc>
        <w:tc>
          <w:tcPr>
            <w:tcW w:w="851" w:type="dxa"/>
            <w:tcBorders>
              <w:top w:val="single" w:color="auto" w:sz="4" w:space="0"/>
              <w:left w:val="nil"/>
              <w:bottom w:val="single" w:color="auto" w:sz="4" w:space="0"/>
              <w:right w:val="single" w:color="auto" w:sz="4" w:space="0"/>
            </w:tcBorders>
            <w:vAlign w:val="center"/>
          </w:tcPr>
          <w:p w14:paraId="611C4E50">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95%</w:t>
            </w:r>
          </w:p>
        </w:tc>
        <w:tc>
          <w:tcPr>
            <w:tcW w:w="567" w:type="dxa"/>
            <w:gridSpan w:val="2"/>
            <w:tcBorders>
              <w:top w:val="single" w:color="auto" w:sz="4" w:space="0"/>
              <w:left w:val="nil"/>
              <w:bottom w:val="single" w:color="auto" w:sz="4" w:space="0"/>
              <w:right w:val="single" w:color="auto" w:sz="4" w:space="0"/>
            </w:tcBorders>
            <w:vAlign w:val="center"/>
          </w:tcPr>
          <w:p w14:paraId="3939F0A8">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567" w:type="dxa"/>
            <w:gridSpan w:val="2"/>
            <w:tcBorders>
              <w:top w:val="single" w:color="auto" w:sz="4" w:space="0"/>
              <w:left w:val="nil"/>
              <w:bottom w:val="single" w:color="auto" w:sz="4" w:space="0"/>
              <w:right w:val="single" w:color="auto" w:sz="4" w:space="0"/>
            </w:tcBorders>
            <w:vAlign w:val="center"/>
          </w:tcPr>
          <w:p w14:paraId="365ACC5E">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vAlign w:val="center"/>
          </w:tcPr>
          <w:p w14:paraId="53510B31">
            <w:pPr>
              <w:widowControl/>
              <w:spacing w:line="240" w:lineRule="exact"/>
              <w:jc w:val="center"/>
              <w:rPr>
                <w:rFonts w:ascii="Times New Roman" w:hAnsi="Times New Roman" w:cs="Times New Roman"/>
                <w:color w:val="auto"/>
                <w:kern w:val="0"/>
                <w:sz w:val="18"/>
                <w:szCs w:val="18"/>
              </w:rPr>
            </w:pPr>
          </w:p>
        </w:tc>
      </w:tr>
      <w:tr w14:paraId="52E52FE0">
        <w:tblPrEx>
          <w:tblCellMar>
            <w:top w:w="0" w:type="dxa"/>
            <w:left w:w="108" w:type="dxa"/>
            <w:bottom w:w="0" w:type="dxa"/>
            <w:right w:w="108" w:type="dxa"/>
          </w:tblCellMar>
        </w:tblPrEx>
        <w:trPr>
          <w:trHeight w:val="535" w:hRule="atLeas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14:paraId="5D138BF0">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总分</w:t>
            </w:r>
          </w:p>
        </w:tc>
        <w:tc>
          <w:tcPr>
            <w:tcW w:w="567" w:type="dxa"/>
            <w:gridSpan w:val="2"/>
            <w:tcBorders>
              <w:top w:val="nil"/>
              <w:left w:val="nil"/>
              <w:bottom w:val="single" w:color="auto" w:sz="4" w:space="0"/>
              <w:right w:val="single" w:color="auto" w:sz="4" w:space="0"/>
            </w:tcBorders>
            <w:vAlign w:val="center"/>
          </w:tcPr>
          <w:p w14:paraId="0B4008C5">
            <w:pPr>
              <w:widowControl/>
              <w:spacing w:line="240" w:lineRule="exac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100</w:t>
            </w:r>
          </w:p>
        </w:tc>
        <w:tc>
          <w:tcPr>
            <w:tcW w:w="567" w:type="dxa"/>
            <w:gridSpan w:val="2"/>
            <w:tcBorders>
              <w:top w:val="nil"/>
              <w:left w:val="nil"/>
              <w:bottom w:val="single" w:color="auto" w:sz="4" w:space="0"/>
              <w:right w:val="single" w:color="auto" w:sz="4" w:space="0"/>
            </w:tcBorders>
            <w:vAlign w:val="center"/>
          </w:tcPr>
          <w:p w14:paraId="6DFDDF61">
            <w:pPr>
              <w:widowControl/>
              <w:spacing w:line="240" w:lineRule="exact"/>
              <w:jc w:val="center"/>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98</w:t>
            </w:r>
          </w:p>
        </w:tc>
        <w:tc>
          <w:tcPr>
            <w:tcW w:w="1417" w:type="dxa"/>
            <w:gridSpan w:val="2"/>
            <w:tcBorders>
              <w:top w:val="single" w:color="auto" w:sz="4" w:space="0"/>
              <w:left w:val="nil"/>
              <w:bottom w:val="single" w:color="auto" w:sz="4" w:space="0"/>
              <w:right w:val="single" w:color="auto" w:sz="4" w:space="0"/>
            </w:tcBorders>
            <w:vAlign w:val="center"/>
          </w:tcPr>
          <w:p w14:paraId="55ED0076">
            <w:pPr>
              <w:widowControl/>
              <w:spacing w:line="240" w:lineRule="exact"/>
              <w:jc w:val="center"/>
              <w:rPr>
                <w:rFonts w:ascii="Times New Roman" w:hAnsi="Times New Roman" w:cs="Times New Roman"/>
                <w:color w:val="auto"/>
                <w:kern w:val="0"/>
                <w:sz w:val="18"/>
                <w:szCs w:val="18"/>
              </w:rPr>
            </w:pPr>
          </w:p>
        </w:tc>
      </w:tr>
    </w:tbl>
    <w:p w14:paraId="743C88D1">
      <w:pPr>
        <w:widowControl/>
        <w:spacing w:line="400" w:lineRule="exact"/>
        <w:jc w:val="left"/>
        <w:rPr>
          <w:rFonts w:ascii="Times New Roman" w:hAnsi="Times New Roman" w:eastAsia="仿宋_GB2312" w:cs="Times New Roman"/>
          <w:bCs/>
          <w:color w:val="auto"/>
          <w:sz w:val="32"/>
          <w:szCs w:val="32"/>
        </w:rPr>
        <w:sectPr>
          <w:headerReference r:id="rId3" w:type="default"/>
          <w:footerReference r:id="rId4" w:type="default"/>
          <w:pgSz w:w="11906" w:h="16838"/>
          <w:pgMar w:top="1474" w:right="1417" w:bottom="1474" w:left="1417" w:header="737" w:footer="850" w:gutter="0"/>
          <w:cols w:space="720" w:num="1"/>
          <w:docGrid w:type="lines" w:linePitch="408" w:charSpace="0"/>
        </w:sectPr>
      </w:pPr>
      <w:r>
        <w:rPr>
          <w:rFonts w:ascii="Times New Roman" w:hAnsi="Times New Roman" w:cs="Times New Roman"/>
          <w:color w:val="auto"/>
          <w:kern w:val="0"/>
          <w:sz w:val="18"/>
          <w:szCs w:val="18"/>
        </w:rPr>
        <w:br w:type="page"/>
      </w:r>
    </w:p>
    <w:p w14:paraId="3D7FAC4F">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宋体" w:cs="Times New Roman"/>
          <w:bCs/>
          <w:color w:val="auto"/>
          <w:sz w:val="32"/>
          <w:szCs w:val="32"/>
          <w:lang w:val="en-US" w:eastAsia="zh-CN"/>
        </w:rPr>
      </w:pPr>
      <w:r>
        <w:rPr>
          <w:rFonts w:hint="eastAsia" w:ascii="宋体" w:hAnsi="宋体" w:cs="宋体"/>
          <w:bCs/>
          <w:color w:val="auto"/>
          <w:sz w:val="32"/>
          <w:szCs w:val="32"/>
        </w:rPr>
        <w:t>附件</w:t>
      </w:r>
      <w:r>
        <w:rPr>
          <w:rFonts w:hint="eastAsia" w:ascii="Times New Roman" w:hAnsi="Times New Roman" w:eastAsia="仿宋_GB2312" w:cs="Times New Roman"/>
          <w:bCs/>
          <w:color w:val="auto"/>
          <w:sz w:val="32"/>
          <w:szCs w:val="32"/>
          <w:lang w:val="en-US" w:eastAsia="zh-CN"/>
        </w:rPr>
        <w:t>2</w:t>
      </w:r>
    </w:p>
    <w:p w14:paraId="1CD42449">
      <w:pPr>
        <w:pStyle w:val="16"/>
        <w:keepNext w:val="0"/>
        <w:keepLines w:val="0"/>
        <w:pageBreakBefore w:val="0"/>
        <w:kinsoku/>
        <w:wordWrap/>
        <w:overflowPunct/>
        <w:topLinePunct w:val="0"/>
        <w:autoSpaceDE/>
        <w:autoSpaceDN/>
        <w:bidi w:val="0"/>
        <w:adjustRightInd/>
        <w:snapToGrid/>
        <w:spacing w:line="560" w:lineRule="exact"/>
        <w:ind w:firstLine="1320" w:firstLineChars="300"/>
        <w:jc w:val="center"/>
        <w:textAlignment w:val="auto"/>
        <w:rPr>
          <w:rFonts w:ascii="Times New Roman" w:hAnsi="Times New Roman" w:eastAsia="黑体" w:cs="Times New Roman"/>
          <w:color w:val="auto"/>
          <w:sz w:val="44"/>
          <w:szCs w:val="44"/>
        </w:rPr>
      </w:pPr>
      <w:r>
        <w:rPr>
          <w:rFonts w:ascii="黑体" w:hAnsi="黑体" w:eastAsia="黑体" w:cs="Times New Roman"/>
          <w:color w:val="auto"/>
          <w:sz w:val="44"/>
          <w:szCs w:val="44"/>
        </w:rPr>
        <w:t>项目支出绩效评价报告</w:t>
      </w:r>
    </w:p>
    <w:p w14:paraId="1F25CB0A">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一、基本情况</w:t>
      </w:r>
    </w:p>
    <w:p w14:paraId="45EBD866">
      <w:pPr>
        <w:pStyle w:val="16"/>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eastAsia="zh-CN"/>
        </w:rPr>
      </w:pPr>
      <w:r>
        <w:rPr>
          <w:rFonts w:hint="eastAsia" w:ascii="方正仿宋简体" w:hAnsi="方正仿宋简体" w:eastAsia="方正仿宋简体" w:cs="方正仿宋简体"/>
          <w:b/>
          <w:bCs/>
          <w:color w:val="auto"/>
          <w:sz w:val="32"/>
          <w:szCs w:val="32"/>
        </w:rPr>
        <w:t>（一）</w:t>
      </w:r>
      <w:r>
        <w:rPr>
          <w:rFonts w:ascii="仿宋" w:hAnsi="仿宋" w:eastAsia="仿宋" w:cs="Times New Roman"/>
          <w:b/>
          <w:bCs/>
          <w:color w:val="auto"/>
          <w:sz w:val="32"/>
          <w:szCs w:val="32"/>
        </w:rPr>
        <w:t>项目概况</w:t>
      </w:r>
      <w:r>
        <w:rPr>
          <w:rFonts w:hint="eastAsia" w:ascii="仿宋" w:hAnsi="仿宋" w:eastAsia="仿宋" w:cs="Times New Roman"/>
          <w:b/>
          <w:bCs/>
          <w:color w:val="auto"/>
          <w:sz w:val="32"/>
          <w:szCs w:val="32"/>
          <w:lang w:val="en-US" w:eastAsia="zh-CN"/>
        </w:rPr>
        <w:t>,1、</w:t>
      </w:r>
      <w:r>
        <w:rPr>
          <w:rFonts w:hint="eastAsia" w:ascii="仿宋_GB2312" w:hAnsi="仿宋_GB2312" w:eastAsia="仿宋_GB2312" w:cs="仿宋_GB2312"/>
          <w:color w:val="auto"/>
          <w:sz w:val="32"/>
          <w:szCs w:val="32"/>
          <w:lang w:eastAsia="zh-CN"/>
        </w:rPr>
        <w:t>中方县滨江北路城市综合管廊建设项目</w:t>
      </w:r>
      <w:r>
        <w:rPr>
          <w:rFonts w:hint="eastAsia" w:ascii="仿宋_GB2312" w:hAnsi="仿宋_GB2312" w:eastAsia="仿宋_GB2312" w:cs="仿宋_GB2312"/>
          <w:color w:val="auto"/>
          <w:spacing w:val="0"/>
          <w:sz w:val="32"/>
          <w:szCs w:val="32"/>
        </w:rPr>
        <w:t>建设规模及内容</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在中方县滨江北路建设支线综合管廊2948.67米(含管廊引出段)，同时建设综合管廊入廊管线（包括给水、强、弱电及污水共4类），及管廊自身照明、消防、通风、排水、防雷、监控、标识等附属设施。</w:t>
      </w:r>
      <w:r>
        <w:rPr>
          <w:rFonts w:hint="eastAsia" w:ascii="仿宋_GB2312" w:hAnsi="仿宋_GB2312" w:eastAsia="仿宋_GB2312" w:cs="仿宋_GB2312"/>
          <w:color w:val="auto"/>
          <w:sz w:val="32"/>
          <w:szCs w:val="32"/>
          <w:lang w:eastAsia="zh-CN"/>
        </w:rPr>
        <w:t>项目总投资</w:t>
      </w:r>
      <w:r>
        <w:rPr>
          <w:rFonts w:hint="eastAsia" w:ascii="仿宋_GB2312" w:hAnsi="仿宋_GB2312" w:eastAsia="仿宋_GB2312" w:cs="仿宋_GB2312"/>
          <w:color w:val="auto"/>
          <w:sz w:val="32"/>
          <w:szCs w:val="32"/>
          <w:lang w:val="en-US" w:eastAsia="zh-CN"/>
        </w:rPr>
        <w:t>19687.26万元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资金来源为</w:t>
      </w:r>
      <w:r>
        <w:rPr>
          <w:rFonts w:hint="eastAsia" w:ascii="仿宋_GB2312" w:hAnsi="仿宋_GB2312" w:eastAsia="仿宋_GB2312" w:cs="仿宋_GB2312"/>
          <w:color w:val="auto"/>
          <w:kern w:val="2"/>
          <w:sz w:val="32"/>
          <w:szCs w:val="32"/>
          <w:lang w:val="en-US" w:eastAsia="zh-CN" w:bidi="ar-SA"/>
        </w:rPr>
        <w:t>申请地方政府专项债券资金及地方财政配套资金。2、</w:t>
      </w:r>
      <w:r>
        <w:rPr>
          <w:rFonts w:hint="eastAsia" w:ascii="仿宋" w:hAnsi="仿宋" w:eastAsia="仿宋" w:cs="仿宋"/>
          <w:color w:val="auto"/>
          <w:sz w:val="32"/>
          <w:szCs w:val="32"/>
          <w:lang w:eastAsia="zh-CN"/>
        </w:rPr>
        <w:t>根据《中方县政府投资项目审批及概算管理办法》（中政办发〔2018〕17号）、《关于进一步加强政府投资项目审批及概算管理有关事项的通知》（中政办发〔201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lang w:eastAsia="zh-CN"/>
        </w:rPr>
        <w:t>号）和政府常务会纪要（</w:t>
      </w:r>
      <w:r>
        <w:rPr>
          <w:rFonts w:hint="eastAsia" w:ascii="仿宋" w:hAnsi="仿宋" w:eastAsia="仿宋" w:cs="仿宋"/>
          <w:color w:val="auto"/>
          <w:sz w:val="32"/>
          <w:szCs w:val="32"/>
          <w:lang w:val="en-US" w:eastAsia="zh-CN"/>
        </w:rPr>
        <w:t>2019年第12期</w:t>
      </w:r>
      <w:r>
        <w:rPr>
          <w:rFonts w:hint="eastAsia" w:ascii="仿宋" w:hAnsi="仿宋" w:eastAsia="仿宋" w:cs="仿宋"/>
          <w:color w:val="auto"/>
          <w:sz w:val="32"/>
          <w:szCs w:val="32"/>
          <w:lang w:eastAsia="zh-CN"/>
        </w:rPr>
        <w:t>）文件要求，对政府投资</w:t>
      </w:r>
      <w:r>
        <w:rPr>
          <w:rFonts w:hint="eastAsia" w:ascii="仿宋" w:hAnsi="仿宋" w:eastAsia="仿宋" w:cs="仿宋"/>
          <w:color w:val="auto"/>
          <w:sz w:val="32"/>
          <w:szCs w:val="32"/>
          <w:lang w:val="en-US" w:eastAsia="zh-CN"/>
        </w:rPr>
        <w:t>1000万以上的中方县2022年牌楼片区老旧小区配套基础设施建设项目、中方县农村团寨消防水改工程</w:t>
      </w:r>
      <w:r>
        <w:rPr>
          <w:rFonts w:hint="eastAsia" w:ascii="仿宋" w:hAnsi="仿宋" w:eastAsia="仿宋" w:cs="仿宋"/>
          <w:color w:val="auto"/>
          <w:sz w:val="32"/>
          <w:szCs w:val="32"/>
          <w:lang w:eastAsia="zh-CN"/>
        </w:rPr>
        <w:t>等</w:t>
      </w:r>
      <w:r>
        <w:rPr>
          <w:rFonts w:hint="eastAsia" w:ascii="仿宋" w:hAnsi="仿宋" w:eastAsia="仿宋" w:cs="仿宋"/>
          <w:color w:val="auto"/>
          <w:sz w:val="32"/>
          <w:szCs w:val="32"/>
          <w:lang w:val="en-US" w:eastAsia="zh-CN"/>
        </w:rPr>
        <w:t>7个政府投资项目概算进行评审。</w:t>
      </w:r>
      <w:r>
        <w:rPr>
          <w:rFonts w:hint="eastAsia" w:ascii="仿宋" w:hAnsi="仿宋" w:eastAsia="仿宋" w:cs="仿宋"/>
          <w:color w:val="auto"/>
          <w:sz w:val="32"/>
          <w:szCs w:val="32"/>
          <w:lang w:eastAsia="zh-CN"/>
        </w:rPr>
        <w:t>概算评审费共</w:t>
      </w:r>
      <w:r>
        <w:rPr>
          <w:rFonts w:hint="eastAsia" w:ascii="仿宋" w:hAnsi="仿宋" w:eastAsia="仿宋" w:cs="仿宋"/>
          <w:color w:val="auto"/>
          <w:sz w:val="32"/>
          <w:szCs w:val="32"/>
          <w:lang w:val="en-US" w:eastAsia="zh-CN"/>
        </w:rPr>
        <w:t>21.7万元，财政追加预算20万元，实际支付20万元</w:t>
      </w:r>
      <w:r>
        <w:rPr>
          <w:rFonts w:hint="eastAsia" w:ascii="仿宋" w:hAnsi="仿宋" w:eastAsia="仿宋" w:cs="仿宋"/>
          <w:color w:val="auto"/>
          <w:sz w:val="32"/>
          <w:szCs w:val="32"/>
          <w:lang w:eastAsia="zh-CN"/>
        </w:rPr>
        <w:t>。</w:t>
      </w:r>
    </w:p>
    <w:p w14:paraId="32CD064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jc w:val="both"/>
        <w:textAlignment w:val="auto"/>
        <w:outlineLvl w:val="9"/>
        <w:rPr>
          <w:rFonts w:hint="default" w:ascii="方正仿宋简体" w:hAnsi="方正仿宋简体" w:eastAsia="方正仿宋简体" w:cs="方正仿宋简体"/>
          <w:color w:val="auto"/>
          <w:sz w:val="32"/>
          <w:szCs w:val="32"/>
          <w:lang w:val="en-US" w:eastAsia="zh-CN"/>
        </w:rPr>
      </w:pPr>
    </w:p>
    <w:p w14:paraId="249A5136">
      <w:pPr>
        <w:pStyle w:val="16"/>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eastAsia="zh-CN"/>
        </w:rPr>
      </w:pPr>
      <w:r>
        <w:rPr>
          <w:rFonts w:hint="eastAsia" w:ascii="方正仿宋简体" w:hAnsi="方正仿宋简体" w:eastAsia="方正仿宋简体" w:cs="方正仿宋简体"/>
          <w:b/>
          <w:bCs/>
          <w:color w:val="auto"/>
          <w:sz w:val="32"/>
          <w:szCs w:val="32"/>
        </w:rPr>
        <w:t>（二）项目绩效目标。</w:t>
      </w:r>
      <w:r>
        <w:rPr>
          <w:rFonts w:hint="eastAsia" w:ascii="方正仿宋简体" w:hAnsi="方正仿宋简体" w:eastAsia="方正仿宋简体" w:cs="方正仿宋简体"/>
          <w:b/>
          <w:bCs/>
          <w:color w:val="auto"/>
          <w:sz w:val="32"/>
          <w:szCs w:val="32"/>
          <w:lang w:val="en-US" w:eastAsia="zh-CN"/>
        </w:rPr>
        <w:t>1、</w:t>
      </w:r>
      <w:r>
        <w:rPr>
          <w:rFonts w:hint="eastAsia" w:ascii="仿宋_GB2312" w:hAnsi="仿宋_GB2312" w:eastAsia="仿宋_GB2312" w:cs="仿宋_GB2312"/>
          <w:color w:val="auto"/>
          <w:spacing w:val="0"/>
          <w:kern w:val="2"/>
          <w:sz w:val="32"/>
          <w:szCs w:val="32"/>
          <w:lang w:val="en-US" w:eastAsia="zh-CN" w:bidi="ar-SA"/>
        </w:rPr>
        <w:t>科学编制中方县滨江北路城市综合管廊建设项目可行性研究报告并及时报送可研报告成果</w:t>
      </w:r>
      <w:r>
        <w:rPr>
          <w:rFonts w:hint="eastAsia" w:ascii="方正仿宋简体" w:hAnsi="方正仿宋简体" w:eastAsia="方正仿宋简体" w:cs="方正仿宋简体"/>
          <w:b w:val="0"/>
          <w:bCs w:val="0"/>
          <w:color w:val="auto"/>
          <w:sz w:val="32"/>
          <w:szCs w:val="32"/>
          <w:lang w:val="en-US" w:eastAsia="zh-CN"/>
        </w:rPr>
        <w:t>。2、</w:t>
      </w:r>
      <w:r>
        <w:rPr>
          <w:rFonts w:hint="eastAsia" w:ascii="仿宋" w:hAnsi="仿宋" w:eastAsia="仿宋" w:cs="仿宋"/>
          <w:color w:val="auto"/>
          <w:sz w:val="32"/>
          <w:szCs w:val="32"/>
          <w:lang w:eastAsia="zh-CN"/>
        </w:rPr>
        <w:t>加强政府投资项目概算管理，对政府投资</w:t>
      </w:r>
      <w:r>
        <w:rPr>
          <w:rFonts w:hint="eastAsia" w:ascii="仿宋" w:hAnsi="仿宋" w:eastAsia="仿宋" w:cs="仿宋"/>
          <w:color w:val="auto"/>
          <w:sz w:val="32"/>
          <w:szCs w:val="32"/>
          <w:lang w:val="en-US" w:eastAsia="zh-CN"/>
        </w:rPr>
        <w:t>1000万以上的</w:t>
      </w:r>
      <w:r>
        <w:rPr>
          <w:rFonts w:hint="eastAsia" w:ascii="仿宋" w:hAnsi="仿宋" w:eastAsia="仿宋" w:cs="仿宋"/>
          <w:color w:val="auto"/>
          <w:sz w:val="32"/>
          <w:szCs w:val="32"/>
          <w:lang w:eastAsia="zh-CN"/>
        </w:rPr>
        <w:t>项目</w:t>
      </w:r>
      <w:r>
        <w:rPr>
          <w:rFonts w:hint="eastAsia" w:ascii="仿宋" w:hAnsi="仿宋" w:eastAsia="仿宋" w:cs="仿宋"/>
          <w:color w:val="auto"/>
          <w:sz w:val="32"/>
          <w:szCs w:val="32"/>
          <w:lang w:val="en-US" w:eastAsia="zh-CN"/>
        </w:rPr>
        <w:t>概算进行评审，</w:t>
      </w:r>
      <w:r>
        <w:rPr>
          <w:rFonts w:hint="eastAsia" w:ascii="仿宋" w:hAnsi="仿宋" w:eastAsia="仿宋" w:cs="仿宋"/>
          <w:color w:val="auto"/>
          <w:sz w:val="32"/>
          <w:szCs w:val="32"/>
          <w:lang w:eastAsia="zh-CN"/>
        </w:rPr>
        <w:t>有效控制“超规模、超标准、超投资”问题，进一步提高政府投资效应和项目管理水平。</w:t>
      </w:r>
    </w:p>
    <w:p w14:paraId="72C8D833">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简体" w:hAnsi="方正仿宋简体" w:eastAsia="方正仿宋简体" w:cs="方正仿宋简体"/>
          <w:b w:val="0"/>
          <w:bCs w:val="0"/>
          <w:color w:val="auto"/>
          <w:sz w:val="32"/>
          <w:szCs w:val="32"/>
          <w:lang w:val="en-US" w:eastAsia="zh-CN"/>
        </w:rPr>
      </w:pPr>
    </w:p>
    <w:p w14:paraId="4456E768">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方正仿宋简体" w:hAnsi="方正仿宋简体" w:eastAsia="方正仿宋简体" w:cs="方正仿宋简体"/>
          <w:b/>
          <w:color w:val="auto"/>
          <w:sz w:val="32"/>
          <w:szCs w:val="32"/>
        </w:rPr>
      </w:pPr>
      <w:r>
        <w:rPr>
          <w:rFonts w:hint="eastAsia" w:ascii="宋体" w:hAnsi="宋体" w:eastAsia="宋体" w:cs="宋体"/>
          <w:b/>
          <w:color w:val="auto"/>
          <w:sz w:val="32"/>
          <w:szCs w:val="32"/>
        </w:rPr>
        <w:t>二、绩效评价工作开展情况</w:t>
      </w:r>
    </w:p>
    <w:p w14:paraId="0B01C55D">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方正仿宋简体" w:hAnsi="方正仿宋简体" w:eastAsia="方正仿宋简体" w:cs="方正仿宋简体"/>
          <w:b/>
          <w:bCs/>
          <w:color w:val="auto"/>
          <w:sz w:val="32"/>
          <w:szCs w:val="32"/>
        </w:rPr>
        <w:t>（一）绩效评价目的、对象和范围。</w:t>
      </w:r>
      <w:r>
        <w:rPr>
          <w:rFonts w:hint="eastAsia" w:ascii="方正仿宋简体" w:hAnsi="方正仿宋简体" w:eastAsia="方正仿宋简体" w:cs="方正仿宋简体"/>
          <w:b/>
          <w:bCs/>
          <w:color w:val="auto"/>
          <w:sz w:val="32"/>
          <w:szCs w:val="32"/>
          <w:lang w:val="en-US" w:eastAsia="zh-CN"/>
        </w:rPr>
        <w:t>1、</w:t>
      </w:r>
      <w:r>
        <w:rPr>
          <w:rFonts w:hint="eastAsia" w:ascii="仿宋_GB2312" w:hAnsi="仿宋_GB2312" w:eastAsia="仿宋_GB2312" w:cs="仿宋_GB2312"/>
          <w:color w:val="auto"/>
          <w:spacing w:val="0"/>
          <w:kern w:val="2"/>
          <w:sz w:val="32"/>
          <w:szCs w:val="32"/>
          <w:lang w:val="en-US" w:eastAsia="zh-CN" w:bidi="ar-SA"/>
        </w:rPr>
        <w:t>对中方县滨江北路城市综合管廊等几个建设项目可行性研究报告编制工作进行评价。2、</w:t>
      </w:r>
      <w:r>
        <w:rPr>
          <w:rFonts w:hint="eastAsia" w:ascii="仿宋" w:hAnsi="仿宋" w:eastAsia="仿宋" w:cs="仿宋"/>
          <w:color w:val="auto"/>
          <w:sz w:val="32"/>
          <w:szCs w:val="32"/>
          <w:lang w:eastAsia="zh-CN"/>
        </w:rPr>
        <w:t>对政府投资</w:t>
      </w:r>
      <w:r>
        <w:rPr>
          <w:rFonts w:hint="eastAsia" w:ascii="仿宋" w:hAnsi="仿宋" w:eastAsia="仿宋" w:cs="仿宋"/>
          <w:color w:val="auto"/>
          <w:sz w:val="32"/>
          <w:szCs w:val="32"/>
          <w:lang w:val="en-US" w:eastAsia="zh-CN"/>
        </w:rPr>
        <w:t>1000万以上的</w:t>
      </w:r>
      <w:r>
        <w:rPr>
          <w:rFonts w:hint="eastAsia" w:ascii="仿宋" w:hAnsi="仿宋" w:eastAsia="仿宋" w:cs="仿宋"/>
          <w:color w:val="auto"/>
          <w:sz w:val="32"/>
          <w:szCs w:val="32"/>
          <w:lang w:eastAsia="zh-CN"/>
        </w:rPr>
        <w:t>项目</w:t>
      </w:r>
      <w:r>
        <w:rPr>
          <w:rFonts w:hint="eastAsia" w:ascii="仿宋" w:hAnsi="仿宋" w:eastAsia="仿宋" w:cs="仿宋"/>
          <w:color w:val="auto"/>
          <w:sz w:val="32"/>
          <w:szCs w:val="32"/>
          <w:lang w:val="en-US" w:eastAsia="zh-CN"/>
        </w:rPr>
        <w:t>概算评审工作进行评价，</w:t>
      </w:r>
      <w:r>
        <w:rPr>
          <w:rFonts w:hint="eastAsia" w:ascii="仿宋" w:hAnsi="仿宋" w:eastAsia="仿宋" w:cs="仿宋"/>
          <w:color w:val="auto"/>
          <w:sz w:val="32"/>
          <w:szCs w:val="32"/>
          <w:lang w:eastAsia="zh-CN"/>
        </w:rPr>
        <w:t>有效控制“超规模、超标准、超投资”问题，进一步提高政府投资效应和项目管理水平。</w:t>
      </w:r>
    </w:p>
    <w:p w14:paraId="35A2D82C">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（二）绩效评价原则、评价指标体系、评价方法、评价标准等。</w:t>
      </w:r>
      <w:r>
        <w:rPr>
          <w:rFonts w:hint="eastAsia" w:ascii="仿宋" w:hAnsi="仿宋" w:eastAsia="仿宋" w:cs="Times New Roman"/>
          <w:color w:val="auto"/>
          <w:sz w:val="32"/>
          <w:szCs w:val="32"/>
        </w:rPr>
        <w:t>主要</w:t>
      </w:r>
      <w:r>
        <w:rPr>
          <w:rFonts w:hint="eastAsia" w:ascii="仿宋" w:hAnsi="仿宋" w:eastAsia="仿宋" w:cs="Times New Roman"/>
          <w:color w:val="auto"/>
          <w:sz w:val="32"/>
          <w:szCs w:val="32"/>
          <w:lang w:eastAsia="zh-CN"/>
        </w:rPr>
        <w:t>设置了产出指标、效益指标、满意度指标三大类指标，重点从成果合格率、按时提交成果率、节约成本等方面进行评价，主要通过</w:t>
      </w:r>
      <w:r>
        <w:rPr>
          <w:rFonts w:hint="eastAsia" w:ascii="仿宋" w:hAnsi="仿宋" w:eastAsia="仿宋" w:cs="Times New Roman"/>
          <w:color w:val="auto"/>
          <w:sz w:val="32"/>
          <w:szCs w:val="32"/>
        </w:rPr>
        <w:t>审阅资料</w:t>
      </w:r>
      <w:r>
        <w:rPr>
          <w:rFonts w:hint="eastAsia" w:ascii="仿宋" w:hAnsi="仿宋" w:eastAsia="仿宋" w:cs="Times New Roman"/>
          <w:color w:val="auto"/>
          <w:sz w:val="32"/>
          <w:szCs w:val="32"/>
          <w:lang w:eastAsia="zh-CN"/>
        </w:rPr>
        <w:t>等方式进行评价。</w:t>
      </w:r>
    </w:p>
    <w:p w14:paraId="696D6B78">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b/>
          <w:bCs/>
          <w:color w:val="auto"/>
          <w:sz w:val="32"/>
          <w:szCs w:val="32"/>
        </w:rPr>
        <w:t>（三）绩效评价工作过程。</w:t>
      </w:r>
      <w:r>
        <w:rPr>
          <w:rFonts w:hint="eastAsia" w:ascii="仿宋" w:hAnsi="仿宋" w:eastAsia="仿宋" w:cs="Times New Roman"/>
          <w:color w:val="auto"/>
          <w:sz w:val="32"/>
          <w:szCs w:val="32"/>
        </w:rPr>
        <w:t>县发改局负责对该项目进行绩效评价，绩效评价现场由县发改局、财政局相关股室负责</w:t>
      </w:r>
      <w:r>
        <w:rPr>
          <w:rFonts w:hint="eastAsia" w:ascii="仿宋" w:hAnsi="仿宋" w:eastAsia="仿宋" w:cs="Times New Roman"/>
          <w:color w:val="auto"/>
          <w:sz w:val="32"/>
          <w:szCs w:val="32"/>
          <w:lang w:eastAsia="zh-CN"/>
        </w:rPr>
        <w:t>人</w:t>
      </w:r>
      <w:r>
        <w:rPr>
          <w:rFonts w:hint="eastAsia" w:ascii="仿宋" w:hAnsi="仿宋" w:eastAsia="仿宋" w:cs="Times New Roman"/>
          <w:color w:val="auto"/>
          <w:sz w:val="32"/>
          <w:szCs w:val="32"/>
        </w:rPr>
        <w:t>参加，通过查阅资料、收付款凭据等资料进行绩效复核。</w:t>
      </w:r>
    </w:p>
    <w:p w14:paraId="05C86CAA">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方正仿宋简体" w:hAnsi="方正仿宋简体" w:eastAsia="方正仿宋简体" w:cs="方正仿宋简体"/>
          <w:b/>
          <w:color w:val="auto"/>
          <w:sz w:val="32"/>
          <w:szCs w:val="32"/>
        </w:rPr>
      </w:pPr>
      <w:r>
        <w:rPr>
          <w:rFonts w:hint="eastAsia" w:ascii="宋体" w:hAnsi="宋体" w:eastAsia="宋体" w:cs="宋体"/>
          <w:b/>
          <w:color w:val="auto"/>
          <w:sz w:val="32"/>
          <w:szCs w:val="32"/>
        </w:rPr>
        <w:t>三、综合评价情况及评价结论</w:t>
      </w:r>
    </w:p>
    <w:p w14:paraId="36470321">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项目支出绩效自评得分98分，为优秀等级。</w:t>
      </w:r>
    </w:p>
    <w:p w14:paraId="1D4251D2">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方正仿宋简体" w:hAnsi="方正仿宋简体" w:eastAsia="方正仿宋简体" w:cs="方正仿宋简体"/>
          <w:b/>
          <w:color w:val="auto"/>
          <w:sz w:val="32"/>
          <w:szCs w:val="32"/>
        </w:rPr>
      </w:pPr>
      <w:r>
        <w:rPr>
          <w:rFonts w:hint="eastAsia" w:ascii="宋体" w:hAnsi="宋体" w:eastAsia="宋体" w:cs="宋体"/>
          <w:b/>
          <w:color w:val="auto"/>
          <w:sz w:val="32"/>
          <w:szCs w:val="32"/>
        </w:rPr>
        <w:t>四、绩效评价指标分析</w:t>
      </w:r>
    </w:p>
    <w:p w14:paraId="41F8C9EF">
      <w:pPr>
        <w:pStyle w:val="16"/>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方正仿宋简体" w:hAnsi="方正仿宋简体" w:eastAsia="方正仿宋简体" w:cs="方正仿宋简体"/>
          <w:b/>
          <w:bCs/>
          <w:color w:val="auto"/>
          <w:sz w:val="32"/>
          <w:szCs w:val="32"/>
        </w:rPr>
        <w:t>（一）项目决策情况。</w:t>
      </w:r>
      <w:r>
        <w:rPr>
          <w:rFonts w:hint="eastAsia" w:ascii="方正仿宋简体" w:hAnsi="方正仿宋简体" w:eastAsia="方正仿宋简体" w:cs="方正仿宋简体"/>
          <w:b/>
          <w:bCs/>
          <w:color w:val="auto"/>
          <w:sz w:val="32"/>
          <w:szCs w:val="32"/>
          <w:lang w:val="en-US" w:eastAsia="zh-CN"/>
        </w:rPr>
        <w:t>1、</w:t>
      </w:r>
      <w:r>
        <w:rPr>
          <w:rFonts w:hint="eastAsia" w:ascii="仿宋_GB2312" w:hAnsi="仿宋_GB2312" w:eastAsia="仿宋_GB2312" w:cs="仿宋_GB2312"/>
          <w:color w:val="auto"/>
          <w:spacing w:val="0"/>
          <w:kern w:val="2"/>
          <w:sz w:val="32"/>
          <w:szCs w:val="32"/>
          <w:lang w:val="en-US" w:eastAsia="zh-CN" w:bidi="ar-SA"/>
        </w:rPr>
        <w:t>县领导多次召开专题会议，研究调度专项债券项目储备事宜，明确需要储备的项目名单。2、</w:t>
      </w:r>
      <w:r>
        <w:rPr>
          <w:rFonts w:hint="eastAsia" w:ascii="仿宋" w:hAnsi="仿宋" w:eastAsia="仿宋" w:cs="仿宋"/>
          <w:color w:val="auto"/>
          <w:sz w:val="32"/>
          <w:szCs w:val="32"/>
          <w:lang w:val="en-US" w:eastAsia="zh-CN"/>
        </w:rPr>
        <w:t>根据《中方县政府投资项目审批及概算管理办法》（中政办发〔2018〕17号）、《关于进一步加强政府投资项目审批及概算管理有关事项的通知》（中政办发〔2019〕20号）和政府常务会纪要（2019年第12期）文件要求，对政府投资1000万以上的项目概算由县发改局在项目初步设计阶段委托评审后审批。</w:t>
      </w:r>
    </w:p>
    <w:p w14:paraId="165A369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p>
    <w:p w14:paraId="3A8E99FF">
      <w:pPr>
        <w:pStyle w:val="16"/>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方正仿宋简体" w:hAnsi="方正仿宋简体" w:eastAsia="方正仿宋简体" w:cs="方正仿宋简体"/>
          <w:b/>
          <w:bCs/>
          <w:color w:val="auto"/>
          <w:sz w:val="32"/>
          <w:szCs w:val="32"/>
        </w:rPr>
        <w:t>（二）项目过程情况。</w:t>
      </w:r>
      <w:r>
        <w:rPr>
          <w:rFonts w:hint="eastAsia" w:ascii="方正仿宋简体" w:hAnsi="方正仿宋简体" w:eastAsia="方正仿宋简体" w:cs="方正仿宋简体"/>
          <w:b/>
          <w:bCs/>
          <w:color w:val="auto"/>
          <w:sz w:val="32"/>
          <w:szCs w:val="32"/>
          <w:lang w:val="en-US" w:eastAsia="zh-CN"/>
        </w:rPr>
        <w:t>1、</w:t>
      </w:r>
      <w:r>
        <w:rPr>
          <w:rFonts w:hint="eastAsia" w:ascii="仿宋_GB2312" w:hAnsi="仿宋_GB2312" w:eastAsia="仿宋_GB2312" w:cs="仿宋_GB2312"/>
          <w:color w:val="auto"/>
          <w:spacing w:val="0"/>
          <w:kern w:val="2"/>
          <w:sz w:val="32"/>
          <w:szCs w:val="32"/>
          <w:lang w:val="en-US" w:eastAsia="zh-CN" w:bidi="ar-SA"/>
        </w:rPr>
        <w:t>由发改局牵头联系有资质的机构编制可研报告，项目责任单位提供项目相关情况和材料。2、</w:t>
      </w:r>
      <w:r>
        <w:rPr>
          <w:rFonts w:hint="eastAsia" w:ascii="仿宋" w:hAnsi="仿宋" w:eastAsia="仿宋" w:cs="仿宋"/>
          <w:color w:val="auto"/>
          <w:sz w:val="32"/>
          <w:szCs w:val="32"/>
          <w:lang w:val="en-US" w:eastAsia="zh-CN"/>
        </w:rPr>
        <w:t>项目建设单位提出概算申请并提交概算报告及初步设计等资料，县发改局组织概算评审并进行概算批复。</w:t>
      </w:r>
    </w:p>
    <w:p w14:paraId="4155117F">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pacing w:val="0"/>
          <w:kern w:val="2"/>
          <w:sz w:val="32"/>
          <w:szCs w:val="32"/>
          <w:lang w:val="en-US" w:eastAsia="zh-CN" w:bidi="ar-SA"/>
        </w:rPr>
      </w:pPr>
    </w:p>
    <w:p w14:paraId="3B9FEFE7">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方正仿宋简体" w:hAnsi="方正仿宋简体" w:eastAsia="方正仿宋简体" w:cs="方正仿宋简体"/>
          <w:b/>
          <w:bCs/>
          <w:color w:val="auto"/>
          <w:sz w:val="32"/>
          <w:szCs w:val="32"/>
        </w:rPr>
        <w:t>（三）项目产出情况。</w:t>
      </w:r>
      <w:r>
        <w:rPr>
          <w:rFonts w:hint="eastAsia" w:ascii="方正仿宋简体" w:hAnsi="方正仿宋简体" w:eastAsia="方正仿宋简体" w:cs="方正仿宋简体"/>
          <w:b/>
          <w:bCs/>
          <w:color w:val="auto"/>
          <w:sz w:val="32"/>
          <w:szCs w:val="32"/>
          <w:lang w:val="en-US" w:eastAsia="zh-CN"/>
        </w:rPr>
        <w:t>1、</w:t>
      </w:r>
      <w:r>
        <w:rPr>
          <w:rFonts w:hint="eastAsia" w:ascii="仿宋_GB2312" w:hAnsi="仿宋_GB2312" w:eastAsia="仿宋_GB2312" w:cs="仿宋_GB2312"/>
          <w:color w:val="auto"/>
          <w:spacing w:val="0"/>
          <w:kern w:val="2"/>
          <w:sz w:val="32"/>
          <w:szCs w:val="32"/>
          <w:lang w:val="en-US" w:eastAsia="zh-CN" w:bidi="ar-SA"/>
        </w:rPr>
        <w:t>完成了中方县滨江北路城市综合管廊建设项目可行性研究报告编制并及时报送可研报告成果。2、</w:t>
      </w:r>
      <w:r>
        <w:rPr>
          <w:rFonts w:hint="eastAsia" w:ascii="方正仿宋简体" w:hAnsi="方正仿宋简体" w:eastAsia="方正仿宋简体" w:cs="方正仿宋简体"/>
          <w:b w:val="0"/>
          <w:bCs w:val="0"/>
          <w:color w:val="auto"/>
          <w:sz w:val="32"/>
          <w:szCs w:val="32"/>
          <w:lang w:eastAsia="zh-CN"/>
        </w:rPr>
        <w:t>完</w:t>
      </w:r>
      <w:r>
        <w:rPr>
          <w:rFonts w:hint="eastAsia" w:ascii="仿宋" w:hAnsi="仿宋" w:eastAsia="仿宋" w:cs="仿宋"/>
          <w:color w:val="auto"/>
          <w:sz w:val="32"/>
          <w:szCs w:val="32"/>
          <w:lang w:val="en-US" w:eastAsia="zh-CN"/>
        </w:rPr>
        <w:t>成了中方县2022年牌楼片区老旧小区配套基础设施建设项目、中方县农村团寨消防水改工程等7个投资1000万以上的政府投资项目概算进行评审。</w:t>
      </w:r>
    </w:p>
    <w:p w14:paraId="3D60D46F">
      <w:pPr>
        <w:pStyle w:val="16"/>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color w:val="auto"/>
          <w:sz w:val="32"/>
          <w:szCs w:val="32"/>
          <w:lang w:val="en-US" w:eastAsia="zh-CN"/>
        </w:rPr>
      </w:pPr>
      <w:r>
        <w:rPr>
          <w:rFonts w:hint="eastAsia" w:ascii="方正仿宋简体" w:hAnsi="方正仿宋简体" w:eastAsia="方正仿宋简体" w:cs="方正仿宋简体"/>
          <w:b/>
          <w:bCs/>
          <w:color w:val="auto"/>
          <w:sz w:val="32"/>
          <w:szCs w:val="32"/>
        </w:rPr>
        <w:t>（四）项目效益情况。</w:t>
      </w:r>
      <w:r>
        <w:rPr>
          <w:rFonts w:hint="eastAsia" w:ascii="方正仿宋简体" w:hAnsi="方正仿宋简体" w:eastAsia="方正仿宋简体" w:cs="方正仿宋简体"/>
          <w:b/>
          <w:bCs/>
          <w:color w:val="auto"/>
          <w:sz w:val="32"/>
          <w:szCs w:val="32"/>
          <w:lang w:val="en-US" w:eastAsia="zh-CN"/>
        </w:rPr>
        <w:t>1、</w:t>
      </w:r>
      <w:r>
        <w:rPr>
          <w:rFonts w:hint="eastAsia" w:ascii="仿宋_GB2312" w:hAnsi="仿宋_GB2312" w:eastAsia="仿宋_GB2312" w:cs="仿宋_GB2312"/>
          <w:color w:val="auto"/>
          <w:spacing w:val="0"/>
          <w:kern w:val="2"/>
          <w:sz w:val="32"/>
          <w:szCs w:val="32"/>
          <w:lang w:val="en-US" w:eastAsia="zh-CN" w:bidi="ar-SA"/>
        </w:rPr>
        <w:t>谋划储备了一批关系产业发展、园区基础设施、社会民生等方面的重大项目，为后续申报专项资金支持提供条件。2、</w:t>
      </w:r>
      <w:r>
        <w:rPr>
          <w:rFonts w:hint="eastAsia" w:ascii="仿宋" w:hAnsi="仿宋" w:eastAsia="仿宋" w:cs="仿宋"/>
          <w:color w:val="auto"/>
          <w:sz w:val="32"/>
          <w:szCs w:val="32"/>
          <w:lang w:val="en-US" w:eastAsia="zh-CN"/>
        </w:rPr>
        <w:t>有效控制“超规模、超标准、超投资”问题，进一步提高政府投资效应和项目管理水平，合理地压缩了政府投资项目成本。</w:t>
      </w:r>
    </w:p>
    <w:p w14:paraId="58470854">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pacing w:val="0"/>
          <w:kern w:val="2"/>
          <w:sz w:val="32"/>
          <w:szCs w:val="32"/>
          <w:lang w:val="en-US" w:eastAsia="zh-CN" w:bidi="ar-SA"/>
        </w:rPr>
      </w:pPr>
    </w:p>
    <w:p w14:paraId="12E46514">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五、主要经验及做法、存在的问题及原因分析</w:t>
      </w:r>
    </w:p>
    <w:p w14:paraId="718F4FE2">
      <w:pPr>
        <w:pStyle w:val="16"/>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b/>
          <w:bCs/>
          <w:color w:val="auto"/>
          <w:sz w:val="32"/>
          <w:szCs w:val="32"/>
        </w:rPr>
        <w:t>主要经验：</w:t>
      </w:r>
      <w:r>
        <w:rPr>
          <w:rFonts w:hint="eastAsia" w:ascii="仿宋" w:hAnsi="仿宋" w:eastAsia="仿宋"/>
          <w:color w:val="auto"/>
          <w:sz w:val="32"/>
          <w:szCs w:val="32"/>
        </w:rPr>
        <w:t>一是提前准备，科学规划，在项目前期工作中做到精心策划，聘请有资质的</w:t>
      </w:r>
      <w:r>
        <w:rPr>
          <w:rFonts w:hint="eastAsia" w:ascii="仿宋" w:hAnsi="仿宋" w:eastAsia="仿宋"/>
          <w:color w:val="auto"/>
          <w:sz w:val="32"/>
          <w:szCs w:val="32"/>
          <w:lang w:eastAsia="zh-CN"/>
        </w:rPr>
        <w:t>可</w:t>
      </w:r>
      <w:r>
        <w:rPr>
          <w:rFonts w:hint="eastAsia" w:ascii="仿宋" w:hAnsi="仿宋" w:eastAsia="仿宋"/>
          <w:color w:val="auto"/>
          <w:sz w:val="32"/>
          <w:szCs w:val="32"/>
        </w:rPr>
        <w:t>研单位对项目进行可行性认证分析。二是精心组织，在项目</w:t>
      </w:r>
      <w:r>
        <w:rPr>
          <w:rFonts w:hint="eastAsia" w:ascii="仿宋" w:hAnsi="仿宋" w:eastAsia="仿宋"/>
          <w:color w:val="auto"/>
          <w:sz w:val="32"/>
          <w:szCs w:val="32"/>
          <w:lang w:eastAsia="zh-CN"/>
        </w:rPr>
        <w:t>申报</w:t>
      </w:r>
      <w:r>
        <w:rPr>
          <w:rFonts w:hint="eastAsia" w:ascii="仿宋" w:hAnsi="仿宋" w:eastAsia="仿宋"/>
          <w:color w:val="auto"/>
          <w:sz w:val="32"/>
          <w:szCs w:val="32"/>
        </w:rPr>
        <w:t>过程中抓好项目组织，实行项目负责制，责任到人。</w:t>
      </w:r>
      <w:r>
        <w:rPr>
          <w:rFonts w:hint="eastAsia" w:ascii="仿宋" w:hAnsi="仿宋" w:eastAsia="仿宋"/>
          <w:color w:val="auto"/>
          <w:sz w:val="32"/>
          <w:szCs w:val="32"/>
          <w:lang w:eastAsia="zh-CN"/>
        </w:rPr>
        <w:t>三是</w:t>
      </w:r>
      <w:r>
        <w:rPr>
          <w:rFonts w:hint="eastAsia" w:ascii="仿宋" w:hAnsi="仿宋" w:eastAsia="仿宋" w:cs="仿宋"/>
          <w:color w:val="auto"/>
          <w:sz w:val="32"/>
          <w:szCs w:val="32"/>
          <w:lang w:val="en-US" w:eastAsia="zh-CN"/>
        </w:rPr>
        <w:t>深入学习贯彻《政府投资条例》和省、市、县政府投资项目审批及概算管理办法等相关政策，严格概算管理，原则上不允许超概算。</w:t>
      </w:r>
    </w:p>
    <w:p w14:paraId="0C9168E4">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ascii="仿宋" w:hAnsi="仿宋" w:eastAsia="仿宋"/>
          <w:color w:val="auto"/>
          <w:sz w:val="32"/>
          <w:szCs w:val="32"/>
        </w:rPr>
      </w:pPr>
    </w:p>
    <w:p w14:paraId="23507D62">
      <w:pPr>
        <w:pStyle w:val="8"/>
        <w:keepNext w:val="0"/>
        <w:keepLines w:val="0"/>
        <w:pageBreakBefore w:val="0"/>
        <w:kinsoku/>
        <w:wordWrap/>
        <w:overflowPunct/>
        <w:topLinePunct w:val="0"/>
        <w:autoSpaceDE/>
        <w:autoSpaceDN/>
        <w:bidi w:val="0"/>
        <w:adjustRightInd/>
        <w:snapToGrid/>
        <w:spacing w:line="540" w:lineRule="exact"/>
        <w:ind w:left="0" w:leftChars="0" w:firstLine="0" w:firstLineChars="0"/>
        <w:jc w:val="both"/>
        <w:textAlignment w:val="auto"/>
        <w:rPr>
          <w:rFonts w:hint="eastAsia" w:eastAsia="方正仿宋简体"/>
          <w:color w:val="auto"/>
          <w:lang w:eastAsia="zh-CN"/>
        </w:rPr>
      </w:pPr>
      <w:r>
        <w:rPr>
          <w:rFonts w:hint="eastAsia" w:ascii="方正仿宋简体" w:hAnsi="方正仿宋简体" w:eastAsia="方正仿宋简体" w:cs="方正仿宋简体"/>
          <w:b w:val="0"/>
          <w:bCs w:val="0"/>
          <w:color w:val="auto"/>
          <w:sz w:val="32"/>
          <w:szCs w:val="32"/>
          <w:lang w:eastAsia="zh-CN"/>
        </w:rPr>
        <w:t>存在问题。</w:t>
      </w:r>
      <w:r>
        <w:rPr>
          <w:rFonts w:hint="eastAsia" w:ascii="仿宋" w:hAnsi="仿宋" w:eastAsia="仿宋" w:cs="仿宋"/>
          <w:color w:val="auto"/>
          <w:sz w:val="32"/>
          <w:szCs w:val="32"/>
          <w:lang w:val="en-US" w:eastAsia="zh-CN"/>
        </w:rPr>
        <w:t>主要是对政府投资项目实施数量估算不足导致年初预算编制不够精准。</w:t>
      </w:r>
    </w:p>
    <w:p w14:paraId="5915C46E">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六、有关建议</w:t>
      </w:r>
    </w:p>
    <w:p w14:paraId="358BB1F8">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Calibri"/>
          <w:color w:val="auto"/>
          <w:kern w:val="2"/>
          <w:sz w:val="32"/>
          <w:szCs w:val="32"/>
          <w:lang w:val="en-US" w:eastAsia="zh-CN" w:bidi="ar-SA"/>
        </w:rPr>
      </w:pPr>
      <w:r>
        <w:rPr>
          <w:rFonts w:hint="eastAsia" w:ascii="仿宋" w:hAnsi="仿宋" w:eastAsia="仿宋" w:cs="Calibri"/>
          <w:color w:val="auto"/>
          <w:kern w:val="2"/>
          <w:sz w:val="32"/>
          <w:szCs w:val="32"/>
          <w:lang w:val="en-US" w:eastAsia="zh-CN" w:bidi="ar-SA"/>
        </w:rPr>
        <w:t>无</w:t>
      </w:r>
    </w:p>
    <w:p w14:paraId="2DEE3D91">
      <w:pPr>
        <w:pStyle w:val="16"/>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宋体" w:hAnsi="宋体" w:eastAsia="宋体" w:cs="宋体"/>
          <w:b/>
          <w:color w:val="auto"/>
          <w:sz w:val="32"/>
          <w:szCs w:val="32"/>
        </w:rPr>
      </w:pPr>
      <w:r>
        <w:rPr>
          <w:rFonts w:hint="eastAsia" w:ascii="宋体" w:hAnsi="宋体" w:eastAsia="宋体" w:cs="宋体"/>
          <w:b/>
          <w:color w:val="auto"/>
          <w:sz w:val="32"/>
          <w:szCs w:val="32"/>
        </w:rPr>
        <w:t>七、其他需要说明的问题</w:t>
      </w:r>
    </w:p>
    <w:p w14:paraId="4E635037">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Calibri"/>
          <w:color w:val="auto"/>
          <w:kern w:val="2"/>
          <w:sz w:val="32"/>
          <w:szCs w:val="32"/>
          <w:lang w:val="en-US" w:eastAsia="zh-CN" w:bidi="ar-SA"/>
        </w:rPr>
      </w:pPr>
      <w:r>
        <w:rPr>
          <w:rFonts w:hint="eastAsia" w:ascii="仿宋" w:hAnsi="仿宋" w:eastAsia="仿宋" w:cs="Calibri"/>
          <w:color w:val="auto"/>
          <w:kern w:val="2"/>
          <w:sz w:val="32"/>
          <w:szCs w:val="32"/>
          <w:lang w:val="en-US" w:eastAsia="zh-CN" w:bidi="ar-SA"/>
        </w:rPr>
        <w:t>无</w:t>
      </w:r>
    </w:p>
    <w:p w14:paraId="2F6B2827">
      <w:pPr>
        <w:pStyle w:val="16"/>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Calibri"/>
          <w:color w:val="auto"/>
          <w:kern w:val="2"/>
          <w:sz w:val="32"/>
          <w:szCs w:val="32"/>
          <w:lang w:val="en-US" w:eastAsia="zh-CN" w:bidi="ar-SA"/>
        </w:rPr>
      </w:pPr>
    </w:p>
    <w:sectPr>
      <w:pgSz w:w="11906" w:h="16838"/>
      <w:pgMar w:top="2154" w:right="1531" w:bottom="158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5BD9">
    <w:pPr>
      <w:pStyle w:val="8"/>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F6B8C">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1CF6B8C">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B3B1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F9D68"/>
    <w:multiLevelType w:val="singleLevel"/>
    <w:tmpl w:val="087F9D6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NTMyN2M3YzE0ZjFiMmYyM2E3YTk1OThhMzU0MTAifQ=="/>
  </w:docVars>
  <w:rsids>
    <w:rsidRoot w:val="00191AB8"/>
    <w:rsid w:val="00191AB8"/>
    <w:rsid w:val="00686F37"/>
    <w:rsid w:val="00855BFD"/>
    <w:rsid w:val="00C15BB6"/>
    <w:rsid w:val="01B92B81"/>
    <w:rsid w:val="020C5D82"/>
    <w:rsid w:val="03296B0E"/>
    <w:rsid w:val="08BB3593"/>
    <w:rsid w:val="096C112F"/>
    <w:rsid w:val="0C761227"/>
    <w:rsid w:val="0D1209A0"/>
    <w:rsid w:val="0D247EB9"/>
    <w:rsid w:val="0DCC6DF2"/>
    <w:rsid w:val="0E242AE9"/>
    <w:rsid w:val="0EC61E3A"/>
    <w:rsid w:val="10DC4D15"/>
    <w:rsid w:val="11C0403E"/>
    <w:rsid w:val="131E3D02"/>
    <w:rsid w:val="14442082"/>
    <w:rsid w:val="16A76EF8"/>
    <w:rsid w:val="16F06A1C"/>
    <w:rsid w:val="17706A51"/>
    <w:rsid w:val="1B1C188A"/>
    <w:rsid w:val="1CD64FCE"/>
    <w:rsid w:val="1E206B67"/>
    <w:rsid w:val="1FAF330E"/>
    <w:rsid w:val="20C05DBA"/>
    <w:rsid w:val="21765286"/>
    <w:rsid w:val="27B33019"/>
    <w:rsid w:val="27DF6CD0"/>
    <w:rsid w:val="2B2052F9"/>
    <w:rsid w:val="2B5B764B"/>
    <w:rsid w:val="2C860476"/>
    <w:rsid w:val="2D2B1556"/>
    <w:rsid w:val="2DF02A59"/>
    <w:rsid w:val="2E580E99"/>
    <w:rsid w:val="2EF35B34"/>
    <w:rsid w:val="2F287C43"/>
    <w:rsid w:val="2F875074"/>
    <w:rsid w:val="35805994"/>
    <w:rsid w:val="3839587C"/>
    <w:rsid w:val="38863835"/>
    <w:rsid w:val="3A702339"/>
    <w:rsid w:val="40FC1086"/>
    <w:rsid w:val="41012932"/>
    <w:rsid w:val="41E07C44"/>
    <w:rsid w:val="44F712A9"/>
    <w:rsid w:val="4F1A147B"/>
    <w:rsid w:val="4FA26C09"/>
    <w:rsid w:val="4FA318E1"/>
    <w:rsid w:val="4FC8407B"/>
    <w:rsid w:val="53AE31AC"/>
    <w:rsid w:val="549D19A6"/>
    <w:rsid w:val="54FD4B04"/>
    <w:rsid w:val="550A1349"/>
    <w:rsid w:val="59754C8D"/>
    <w:rsid w:val="5C104010"/>
    <w:rsid w:val="5DD7310F"/>
    <w:rsid w:val="5E907CE7"/>
    <w:rsid w:val="603C4D9E"/>
    <w:rsid w:val="6163301B"/>
    <w:rsid w:val="62E83B63"/>
    <w:rsid w:val="64960006"/>
    <w:rsid w:val="65113490"/>
    <w:rsid w:val="65862BE7"/>
    <w:rsid w:val="65ED6BE9"/>
    <w:rsid w:val="66683268"/>
    <w:rsid w:val="69D13C2E"/>
    <w:rsid w:val="6A7971A0"/>
    <w:rsid w:val="6B6D503A"/>
    <w:rsid w:val="6C4A240A"/>
    <w:rsid w:val="6DF80F0E"/>
    <w:rsid w:val="6FAA2D15"/>
    <w:rsid w:val="6FEF2BB1"/>
    <w:rsid w:val="712B05DA"/>
    <w:rsid w:val="71995387"/>
    <w:rsid w:val="724E3FA6"/>
    <w:rsid w:val="747D4753"/>
    <w:rsid w:val="78163981"/>
    <w:rsid w:val="79213B49"/>
    <w:rsid w:val="7AEB5458"/>
    <w:rsid w:val="7DEF6A9B"/>
    <w:rsid w:val="7E666A35"/>
    <w:rsid w:val="7F547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link w:val="15"/>
    <w:qFormat/>
    <w:uiPriority w:val="99"/>
    <w:pPr>
      <w:keepNext/>
      <w:keepLines/>
      <w:spacing w:before="260" w:after="260" w:line="412" w:lineRule="auto"/>
      <w:outlineLvl w:val="1"/>
    </w:pPr>
    <w:rPr>
      <w:rFonts w:ascii="Arial" w:hAnsi="Arial" w:eastAsia="黑体" w:cs="Arial"/>
      <w:b/>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rPr>
      <w:szCs w:val="24"/>
    </w:rPr>
  </w:style>
  <w:style w:type="paragraph" w:styleId="3">
    <w:name w:val="Body Text Indent"/>
    <w:basedOn w:val="1"/>
    <w:next w:val="1"/>
    <w:unhideWhenUsed/>
    <w:qFormat/>
    <w:uiPriority w:val="99"/>
    <w:pPr>
      <w:spacing w:after="120"/>
      <w:ind w:left="420" w:leftChars="200"/>
    </w:pPr>
  </w:style>
  <w:style w:type="paragraph" w:styleId="5">
    <w:name w:val="index 5"/>
    <w:basedOn w:val="1"/>
    <w:next w:val="1"/>
    <w:qFormat/>
    <w:uiPriority w:val="99"/>
    <w:pPr>
      <w:ind w:left="1680"/>
    </w:pPr>
  </w:style>
  <w:style w:type="paragraph" w:styleId="6">
    <w:name w:val="Body Text"/>
    <w:basedOn w:val="1"/>
    <w:next w:val="1"/>
    <w:unhideWhenUsed/>
    <w:qFormat/>
    <w:uiPriority w:val="99"/>
    <w:pPr>
      <w:spacing w:after="120"/>
    </w:pPr>
  </w:style>
  <w:style w:type="paragraph" w:styleId="7">
    <w:name w:val="Balloon Text"/>
    <w:basedOn w:val="1"/>
    <w:link w:val="17"/>
    <w:semiHidden/>
    <w:unhideWhenUsed/>
    <w:qFormat/>
    <w:uiPriority w:val="99"/>
    <w:rPr>
      <w:sz w:val="18"/>
      <w:szCs w:val="18"/>
    </w:rPr>
  </w:style>
  <w:style w:type="paragraph" w:styleId="8">
    <w:name w:val="footer"/>
    <w:basedOn w:val="1"/>
    <w:next w:val="5"/>
    <w:qFormat/>
    <w:uiPriority w:val="0"/>
    <w:pPr>
      <w:widowControl w:val="0"/>
      <w:autoSpaceDE/>
      <w:autoSpaceDN/>
      <w:spacing w:before="0" w:after="0" w:line="240" w:lineRule="auto"/>
      <w:ind w:left="0" w:firstLine="5632"/>
    </w:p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Indent 3"/>
    <w:basedOn w:val="1"/>
    <w:qFormat/>
    <w:uiPriority w:val="0"/>
    <w:pPr>
      <w:spacing w:after="120"/>
      <w:ind w:left="420"/>
    </w:pPr>
    <w:rPr>
      <w:rFonts w:ascii="Times New Roman" w:hAnsi="Times New Roman" w:eastAsia="宋体"/>
      <w:sz w:val="24"/>
    </w:r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2">
    <w:name w:val="Body Text First Indent"/>
    <w:basedOn w:val="6"/>
    <w:next w:val="10"/>
    <w:qFormat/>
    <w:uiPriority w:val="0"/>
    <w:pPr>
      <w:spacing w:after="0"/>
      <w:ind w:firstLine="420" w:firstLineChars="100"/>
    </w:pPr>
    <w:rPr>
      <w:rFonts w:ascii="Times New Roman" w:hAnsi="Times New Roman" w:eastAsia="宋体"/>
      <w:sz w:val="24"/>
    </w:rPr>
  </w:style>
  <w:style w:type="character" w:customStyle="1" w:styleId="15">
    <w:name w:val="标题 2 Char"/>
    <w:basedOn w:val="14"/>
    <w:link w:val="4"/>
    <w:qFormat/>
    <w:uiPriority w:val="99"/>
    <w:rPr>
      <w:rFonts w:ascii="Arial" w:hAnsi="Arial" w:eastAsia="黑体" w:cs="Arial"/>
      <w:b/>
      <w:sz w:val="32"/>
      <w:szCs w:val="32"/>
    </w:rPr>
  </w:style>
  <w:style w:type="paragraph" w:styleId="16">
    <w:name w:val="No Spacing"/>
    <w:basedOn w:val="1"/>
    <w:qFormat/>
    <w:uiPriority w:val="99"/>
  </w:style>
  <w:style w:type="character" w:customStyle="1" w:styleId="17">
    <w:name w:val="批注框文本 Char"/>
    <w:basedOn w:val="14"/>
    <w:link w:val="7"/>
    <w:semiHidden/>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2295</Words>
  <Characters>2452</Characters>
  <Lines>28</Lines>
  <Paragraphs>8</Paragraphs>
  <TotalTime>5</TotalTime>
  <ScaleCrop>false</ScaleCrop>
  <LinksUpToDate>false</LinksUpToDate>
  <CharactersWithSpaces>2460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2021-07-26T03:17:00Z</dcterms:created>
  <dc:creator>Administrator</dc:creator>
  <cp:lastModifiedBy>祁某人</cp:lastModifiedBy>
  <cp:lastPrinted>2023-07-27T01:33:00Z</cp:lastPrinted>
  <dcterms:modified xsi:type="dcterms:W3CDTF">2026-07-06T03:39:13Z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B2C389479FD141CF876CB98AAACAABD5_13</vt:lpwstr>
  </property>
  <property fmtid="{D5CDD505-2E9C-101B-9397-08002B2CF9AE}" pid="4" name="KSOSaveFontToCloudKey">
    <vt:lpwstr>236881808_btnclosed</vt:lpwstr>
  </property>
</Properties>
</file>