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49915">
      <w:pPr>
        <w:adjustRightInd w:val="0"/>
        <w:snapToGrid w:val="0"/>
        <w:spacing w:line="288" w:lineRule="auto"/>
        <w:jc w:val="center"/>
        <w:rPr>
          <w:rFonts w:hint="eastAsia" w:ascii="楷体_GB2312" w:eastAsia="楷体_GB2312"/>
          <w:sz w:val="36"/>
          <w:szCs w:val="36"/>
          <w:u w:val="none" w:color="auto"/>
          <w:lang w:eastAsia="zh-CN"/>
        </w:rPr>
      </w:pPr>
      <w:bookmarkStart w:id="0" w:name="_Toc71631397"/>
      <w:r>
        <w:rPr>
          <w:rFonts w:hint="eastAsia" w:ascii="楷体_GB2312" w:eastAsia="楷体_GB2312"/>
          <w:sz w:val="36"/>
          <w:szCs w:val="36"/>
          <w:u w:val="none" w:color="auto"/>
          <w:lang w:eastAsia="zh-CN"/>
        </w:rPr>
        <w:drawing>
          <wp:inline distT="0" distB="0" distL="114300" distR="114300">
            <wp:extent cx="6477000" cy="8392160"/>
            <wp:effectExtent l="0" t="0" r="0" b="8890"/>
            <wp:docPr id="45" name="图片 45" descr="31397d6a9ad7a7d570da53c141a39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31397d6a9ad7a7d570da53c141a39009"/>
                    <pic:cNvPicPr>
                      <a:picLocks noChangeAspect="1"/>
                    </pic:cNvPicPr>
                  </pic:nvPicPr>
                  <pic:blipFill>
                    <a:blip r:embed="rId15"/>
                    <a:srcRect l="1409" r="1722" b="8057"/>
                    <a:stretch>
                      <a:fillRect/>
                    </a:stretch>
                  </pic:blipFill>
                  <pic:spPr>
                    <a:xfrm>
                      <a:off x="0" y="0"/>
                      <a:ext cx="6477000" cy="8392160"/>
                    </a:xfrm>
                    <a:prstGeom prst="rect">
                      <a:avLst/>
                    </a:prstGeom>
                  </pic:spPr>
                </pic:pic>
              </a:graphicData>
            </a:graphic>
          </wp:inline>
        </w:drawing>
      </w:r>
    </w:p>
    <w:p w14:paraId="45DB211F">
      <w:pPr>
        <w:rPr>
          <w:rFonts w:hint="eastAsia" w:ascii="楷体_GB2312" w:eastAsia="楷体_GB2312"/>
          <w:sz w:val="36"/>
          <w:szCs w:val="36"/>
          <w:u w:val="none" w:color="auto"/>
        </w:rPr>
      </w:pPr>
      <w:r>
        <w:rPr>
          <w:rFonts w:hint="eastAsia" w:ascii="楷体_GB2312" w:eastAsia="楷体_GB2312"/>
          <w:sz w:val="36"/>
          <w:szCs w:val="36"/>
          <w:u w:val="none" w:color="auto"/>
        </w:rPr>
        <w:br w:type="page"/>
      </w:r>
    </w:p>
    <w:p w14:paraId="66877FF2">
      <w:pPr>
        <w:pStyle w:val="2"/>
        <w:rPr>
          <w:rFonts w:hint="eastAsia" w:eastAsia="宋体"/>
          <w:lang w:eastAsia="zh-CN"/>
        </w:rPr>
      </w:pPr>
      <w:r>
        <w:drawing>
          <wp:inline distT="0" distB="0" distL="114300" distR="114300">
            <wp:extent cx="6437630" cy="8458200"/>
            <wp:effectExtent l="0" t="0" r="1270" b="0"/>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16"/>
                    <a:stretch>
                      <a:fillRect/>
                    </a:stretch>
                  </pic:blipFill>
                  <pic:spPr>
                    <a:xfrm>
                      <a:off x="0" y="0"/>
                      <a:ext cx="6437630" cy="8458200"/>
                    </a:xfrm>
                    <a:prstGeom prst="rect">
                      <a:avLst/>
                    </a:prstGeom>
                    <a:noFill/>
                    <a:ln>
                      <a:noFill/>
                    </a:ln>
                  </pic:spPr>
                </pic:pic>
              </a:graphicData>
            </a:graphic>
          </wp:inline>
        </w:drawing>
      </w:r>
    </w:p>
    <w:p w14:paraId="0721303D">
      <w:pPr>
        <w:rPr>
          <w:rFonts w:ascii="仿宋_GB2312" w:eastAsia="仿宋_GB2312"/>
          <w:sz w:val="36"/>
          <w:szCs w:val="36"/>
          <w:u w:val="none" w:color="auto"/>
        </w:rPr>
      </w:pPr>
      <w:r>
        <w:rPr>
          <w:rFonts w:ascii="仿宋_GB2312" w:eastAsia="仿宋_GB2312"/>
          <w:sz w:val="36"/>
          <w:szCs w:val="36"/>
          <w:u w:val="none" w:color="auto"/>
        </w:rPr>
        <w:br w:type="page"/>
      </w:r>
    </w:p>
    <w:p w14:paraId="750FC887">
      <w:pPr>
        <w:rPr>
          <w:rFonts w:ascii="仿宋_GB2312" w:eastAsia="仿宋_GB2312"/>
          <w:sz w:val="36"/>
          <w:szCs w:val="36"/>
          <w:u w:val="none" w:color="auto"/>
        </w:rPr>
      </w:pPr>
      <w:r>
        <w:rPr>
          <w:rFonts w:ascii="仿宋_GB2312" w:eastAsia="仿宋_GB2312"/>
          <w:sz w:val="36"/>
          <w:szCs w:val="36"/>
          <w:u w:val="none" w:color="auto"/>
        </w:rPr>
        <w:drawing>
          <wp:inline distT="0" distB="0" distL="114300" distR="114300">
            <wp:extent cx="5996940" cy="8185785"/>
            <wp:effectExtent l="0" t="0" r="3810" b="5715"/>
            <wp:docPr id="79" name="图片 79" descr="a724b3dedccb386cd8fd6b441eda4f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a724b3dedccb386cd8fd6b441eda4f43"/>
                    <pic:cNvPicPr>
                      <a:picLocks noChangeAspect="1"/>
                    </pic:cNvPicPr>
                  </pic:nvPicPr>
                  <pic:blipFill>
                    <a:blip r:embed="rId17"/>
                    <a:stretch>
                      <a:fillRect/>
                    </a:stretch>
                  </pic:blipFill>
                  <pic:spPr>
                    <a:xfrm>
                      <a:off x="0" y="0"/>
                      <a:ext cx="5996940" cy="8185785"/>
                    </a:xfrm>
                    <a:prstGeom prst="rect">
                      <a:avLst/>
                    </a:prstGeom>
                  </pic:spPr>
                </pic:pic>
              </a:graphicData>
            </a:graphic>
          </wp:inline>
        </w:drawing>
      </w:r>
    </w:p>
    <w:p w14:paraId="3690095A">
      <w:pPr>
        <w:rPr>
          <w:rFonts w:ascii="仿宋_GB2312" w:eastAsia="仿宋_GB2312"/>
          <w:sz w:val="36"/>
          <w:szCs w:val="36"/>
          <w:u w:val="none" w:color="auto"/>
        </w:rPr>
      </w:pPr>
      <w:r>
        <w:rPr>
          <w:rFonts w:ascii="仿宋_GB2312" w:eastAsia="仿宋_GB2312"/>
          <w:sz w:val="36"/>
          <w:szCs w:val="36"/>
          <w:u w:val="none" w:color="auto"/>
        </w:rPr>
        <w:br w:type="page"/>
      </w:r>
    </w:p>
    <w:p w14:paraId="2F3E0F38">
      <w:pPr>
        <w:rPr>
          <w:rFonts w:ascii="仿宋_GB2312" w:eastAsia="仿宋_GB2312"/>
          <w:sz w:val="36"/>
          <w:szCs w:val="36"/>
          <w:u w:val="none" w:color="auto"/>
        </w:rPr>
      </w:pPr>
      <w:r>
        <w:rPr>
          <w:rFonts w:ascii="仿宋_GB2312" w:eastAsia="仿宋_GB2312"/>
          <w:sz w:val="36"/>
          <w:szCs w:val="36"/>
          <w:u w:val="none" w:color="auto"/>
        </w:rPr>
        <w:drawing>
          <wp:inline distT="0" distB="0" distL="114300" distR="114300">
            <wp:extent cx="5834380" cy="8164195"/>
            <wp:effectExtent l="0" t="0" r="13970" b="8255"/>
            <wp:docPr id="128" name="图片 128" descr="5f8b6e065bc9b93436f049f8e2c0f3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5f8b6e065bc9b93436f049f8e2c0f37c"/>
                    <pic:cNvPicPr>
                      <a:picLocks noChangeAspect="1"/>
                    </pic:cNvPicPr>
                  </pic:nvPicPr>
                  <pic:blipFill>
                    <a:blip r:embed="rId18"/>
                    <a:stretch>
                      <a:fillRect/>
                    </a:stretch>
                  </pic:blipFill>
                  <pic:spPr>
                    <a:xfrm>
                      <a:off x="0" y="0"/>
                      <a:ext cx="5834380" cy="8164195"/>
                    </a:xfrm>
                    <a:prstGeom prst="rect">
                      <a:avLst/>
                    </a:prstGeom>
                  </pic:spPr>
                </pic:pic>
              </a:graphicData>
            </a:graphic>
          </wp:inline>
        </w:drawing>
      </w:r>
    </w:p>
    <w:p w14:paraId="06C5F826">
      <w:pPr>
        <w:rPr>
          <w:rFonts w:ascii="仿宋_GB2312" w:eastAsia="仿宋_GB2312"/>
          <w:sz w:val="36"/>
          <w:szCs w:val="36"/>
          <w:u w:val="none" w:color="auto"/>
        </w:rPr>
      </w:pPr>
      <w:r>
        <w:rPr>
          <w:rFonts w:ascii="仿宋_GB2312" w:eastAsia="仿宋_GB2312"/>
          <w:sz w:val="36"/>
          <w:szCs w:val="36"/>
          <w:u w:val="none" w:color="auto"/>
        </w:rPr>
        <w:br w:type="page"/>
      </w:r>
    </w:p>
    <w:p w14:paraId="030E0B55">
      <w:pPr>
        <w:rPr>
          <w:rFonts w:ascii="仿宋_GB2312" w:eastAsia="仿宋_GB2312"/>
          <w:sz w:val="36"/>
          <w:szCs w:val="36"/>
          <w:u w:val="none" w:color="auto"/>
        </w:rPr>
      </w:pPr>
      <w:r>
        <w:drawing>
          <wp:inline distT="0" distB="0" distL="114300" distR="114300">
            <wp:extent cx="5610860" cy="8024495"/>
            <wp:effectExtent l="0" t="0" r="8890" b="14605"/>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
                    <pic:cNvPicPr>
                      <a:picLocks noChangeAspect="1"/>
                    </pic:cNvPicPr>
                  </pic:nvPicPr>
                  <pic:blipFill>
                    <a:blip r:embed="rId19"/>
                    <a:stretch>
                      <a:fillRect/>
                    </a:stretch>
                  </pic:blipFill>
                  <pic:spPr>
                    <a:xfrm>
                      <a:off x="0" y="0"/>
                      <a:ext cx="5610860" cy="8024495"/>
                    </a:xfrm>
                    <a:prstGeom prst="rect">
                      <a:avLst/>
                    </a:prstGeom>
                    <a:noFill/>
                    <a:ln>
                      <a:noFill/>
                    </a:ln>
                  </pic:spPr>
                </pic:pic>
              </a:graphicData>
            </a:graphic>
          </wp:inline>
        </w:drawing>
      </w:r>
      <w:bookmarkStart w:id="43" w:name="_GoBack"/>
      <w:bookmarkEnd w:id="43"/>
    </w:p>
    <w:p w14:paraId="1B9ED23B">
      <w:pPr>
        <w:rPr>
          <w:rFonts w:ascii="仿宋_GB2312" w:eastAsia="仿宋_GB2312"/>
          <w:sz w:val="36"/>
          <w:szCs w:val="36"/>
          <w:u w:val="none" w:color="auto"/>
        </w:rPr>
      </w:pPr>
      <w:r>
        <w:rPr>
          <w:rFonts w:ascii="仿宋_GB2312" w:eastAsia="仿宋_GB2312"/>
          <w:sz w:val="36"/>
          <w:szCs w:val="36"/>
          <w:u w:val="none" w:color="auto"/>
        </w:rPr>
        <w:br w:type="page"/>
      </w:r>
    </w:p>
    <w:p w14:paraId="1DF213C5">
      <w:pPr>
        <w:jc w:val="center"/>
        <w:rPr>
          <w:rFonts w:ascii="仿宋_GB2312" w:eastAsia="仿宋_GB2312"/>
          <w:sz w:val="36"/>
          <w:szCs w:val="36"/>
          <w:u w:val="none" w:color="auto"/>
        </w:rPr>
      </w:pPr>
      <w:r>
        <w:drawing>
          <wp:inline distT="0" distB="0" distL="114300" distR="114300">
            <wp:extent cx="5613400" cy="7897495"/>
            <wp:effectExtent l="0" t="0" r="6350" b="825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20"/>
                    <a:stretch>
                      <a:fillRect/>
                    </a:stretch>
                  </pic:blipFill>
                  <pic:spPr>
                    <a:xfrm>
                      <a:off x="0" y="0"/>
                      <a:ext cx="5613400" cy="7897495"/>
                    </a:xfrm>
                    <a:prstGeom prst="rect">
                      <a:avLst/>
                    </a:prstGeom>
                    <a:noFill/>
                    <a:ln>
                      <a:noFill/>
                    </a:ln>
                  </pic:spPr>
                </pic:pic>
              </a:graphicData>
            </a:graphic>
          </wp:inline>
        </w:drawing>
      </w:r>
    </w:p>
    <w:p w14:paraId="36CAB50E">
      <w:pPr>
        <w:rPr>
          <w:rFonts w:ascii="仿宋_GB2312" w:eastAsia="仿宋_GB2312"/>
          <w:sz w:val="36"/>
          <w:szCs w:val="36"/>
          <w:u w:val="none" w:color="auto"/>
        </w:rPr>
      </w:pPr>
      <w:r>
        <w:rPr>
          <w:rFonts w:ascii="仿宋_GB2312" w:eastAsia="仿宋_GB2312"/>
          <w:sz w:val="36"/>
          <w:szCs w:val="36"/>
          <w:u w:val="none" w:color="auto"/>
        </w:rPr>
        <w:br w:type="page"/>
      </w:r>
    </w:p>
    <w:p w14:paraId="6F781D45">
      <w:pPr>
        <w:rPr>
          <w:rFonts w:ascii="仿宋_GB2312" w:eastAsia="仿宋_GB2312"/>
          <w:sz w:val="36"/>
          <w:szCs w:val="36"/>
          <w:u w:val="none" w:color="auto"/>
        </w:rPr>
      </w:pPr>
      <w:r>
        <w:rPr>
          <w:rFonts w:ascii="仿宋_GB2312" w:eastAsia="仿宋_GB2312"/>
          <w:sz w:val="36"/>
          <w:szCs w:val="36"/>
          <w:u w:val="none" w:color="auto"/>
        </w:rPr>
        <w:drawing>
          <wp:inline distT="0" distB="0" distL="114300" distR="114300">
            <wp:extent cx="6137275" cy="8335645"/>
            <wp:effectExtent l="0" t="0" r="15875" b="8255"/>
            <wp:docPr id="136" name="图片 136" descr="63fc3b279dfcdd167697cd9a74834e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63fc3b279dfcdd167697cd9a74834e0a"/>
                    <pic:cNvPicPr>
                      <a:picLocks noChangeAspect="1"/>
                    </pic:cNvPicPr>
                  </pic:nvPicPr>
                  <pic:blipFill>
                    <a:blip r:embed="rId21"/>
                    <a:stretch>
                      <a:fillRect/>
                    </a:stretch>
                  </pic:blipFill>
                  <pic:spPr>
                    <a:xfrm>
                      <a:off x="0" y="0"/>
                      <a:ext cx="6137275" cy="8335645"/>
                    </a:xfrm>
                    <a:prstGeom prst="rect">
                      <a:avLst/>
                    </a:prstGeom>
                  </pic:spPr>
                </pic:pic>
              </a:graphicData>
            </a:graphic>
          </wp:inline>
        </w:drawing>
      </w:r>
    </w:p>
    <w:p w14:paraId="07875C0D">
      <w:pPr>
        <w:rPr>
          <w:rFonts w:ascii="仿宋_GB2312" w:eastAsia="仿宋_GB2312"/>
          <w:sz w:val="36"/>
          <w:szCs w:val="36"/>
          <w:u w:val="none" w:color="auto"/>
        </w:rPr>
      </w:pPr>
      <w:r>
        <w:rPr>
          <w:rFonts w:ascii="仿宋_GB2312" w:eastAsia="仿宋_GB2312"/>
          <w:sz w:val="36"/>
          <w:szCs w:val="36"/>
          <w:u w:val="none" w:color="auto"/>
        </w:rPr>
        <w:br w:type="page"/>
      </w:r>
    </w:p>
    <w:p w14:paraId="450D39C0">
      <w:pPr>
        <w:rPr>
          <w:rFonts w:ascii="仿宋_GB2312" w:eastAsia="仿宋_GB2312"/>
          <w:sz w:val="36"/>
          <w:szCs w:val="36"/>
          <w:u w:val="none" w:color="auto"/>
        </w:rPr>
      </w:pPr>
      <w:r>
        <w:drawing>
          <wp:inline distT="0" distB="0" distL="114300" distR="114300">
            <wp:extent cx="5977255" cy="8447405"/>
            <wp:effectExtent l="0" t="0" r="444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2"/>
                    <a:srcRect r="8186" b="2465"/>
                    <a:stretch>
                      <a:fillRect/>
                    </a:stretch>
                  </pic:blipFill>
                  <pic:spPr>
                    <a:xfrm>
                      <a:off x="0" y="0"/>
                      <a:ext cx="5977255" cy="8447405"/>
                    </a:xfrm>
                    <a:prstGeom prst="rect">
                      <a:avLst/>
                    </a:prstGeom>
                    <a:noFill/>
                    <a:ln>
                      <a:noFill/>
                    </a:ln>
                  </pic:spPr>
                </pic:pic>
              </a:graphicData>
            </a:graphic>
          </wp:inline>
        </w:drawing>
      </w:r>
      <w:r>
        <w:rPr>
          <w:rFonts w:ascii="仿宋_GB2312" w:eastAsia="仿宋_GB2312"/>
          <w:sz w:val="36"/>
          <w:szCs w:val="36"/>
          <w:u w:val="none" w:color="auto"/>
        </w:rPr>
        <w:br w:type="page"/>
      </w:r>
    </w:p>
    <w:p w14:paraId="061F9BDE">
      <w:pPr>
        <w:pStyle w:val="2"/>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14:paraId="59EBC4B4">
      <w:pPr>
        <w:bidi w:val="0"/>
        <w:jc w:val="center"/>
        <w:rPr>
          <w:u w:val="none" w:color="auto"/>
        </w:rPr>
      </w:pPr>
      <w:r>
        <w:rPr>
          <w:rFonts w:hint="eastAsia"/>
          <w:b/>
          <w:bCs/>
          <w:sz w:val="44"/>
          <w:szCs w:val="44"/>
          <w:u w:val="none" w:color="auto"/>
        </w:rPr>
        <w:t>目录</w:t>
      </w:r>
      <w:bookmarkEnd w:id="0"/>
      <w:r>
        <w:rPr>
          <w:rFonts w:hint="default" w:ascii="Times New Roman" w:hAnsi="Times New Roman" w:cs="Times New Roman"/>
          <w:color w:val="000000" w:themeColor="text1"/>
          <w:u w:val="none" w:color="auto"/>
          <w14:textFill>
            <w14:solidFill>
              <w14:schemeClr w14:val="tx1"/>
            </w14:solidFill>
          </w14:textFill>
        </w:rPr>
        <w:fldChar w:fldCharType="begin"/>
      </w:r>
      <w:r>
        <w:rPr>
          <w:rFonts w:hint="default" w:ascii="Times New Roman" w:hAnsi="Times New Roman" w:cs="Times New Roman"/>
          <w:color w:val="000000" w:themeColor="text1"/>
          <w:u w:val="none" w:color="auto"/>
          <w14:textFill>
            <w14:solidFill>
              <w14:schemeClr w14:val="tx1"/>
            </w14:solidFill>
          </w14:textFill>
        </w:rPr>
        <w:instrText xml:space="preserve"> TOC \o "1-1" \h \z \u </w:instrText>
      </w:r>
      <w:r>
        <w:rPr>
          <w:rFonts w:hint="default" w:ascii="Times New Roman" w:hAnsi="Times New Roman" w:cs="Times New Roman"/>
          <w:color w:val="000000" w:themeColor="text1"/>
          <w:u w:val="none" w:color="auto"/>
          <w14:textFill>
            <w14:solidFill>
              <w14:schemeClr w14:val="tx1"/>
            </w14:solidFill>
          </w14:textFill>
        </w:rPr>
        <w:fldChar w:fldCharType="separate"/>
      </w:r>
    </w:p>
    <w:p w14:paraId="7D5E5561">
      <w:pPr>
        <w:pStyle w:val="26"/>
        <w:tabs>
          <w:tab w:val="right" w:leader="dot" w:pos="8844"/>
        </w:tabs>
        <w:rPr>
          <w:rFonts w:hint="default" w:ascii="Times New Roman" w:hAnsi="Times New Roman" w:eastAsia="黑体" w:cs="Times New Roman"/>
          <w:u w:val="none" w:color="auto"/>
        </w:rPr>
      </w:pPr>
      <w:r>
        <w:rPr>
          <w:rFonts w:hint="default" w:ascii="Times New Roman" w:hAnsi="Times New Roman" w:eastAsia="黑体" w:cs="Times New Roman"/>
          <w:color w:val="000000" w:themeColor="text1"/>
          <w:u w:val="none" w:color="auto"/>
          <w14:textFill>
            <w14:solidFill>
              <w14:schemeClr w14:val="tx1"/>
            </w14:solidFill>
          </w14:textFill>
        </w:rPr>
        <w:fldChar w:fldCharType="begin"/>
      </w:r>
      <w:r>
        <w:rPr>
          <w:rFonts w:hint="default" w:ascii="Times New Roman" w:hAnsi="Times New Roman" w:eastAsia="黑体" w:cs="Times New Roman"/>
          <w:u w:val="none" w:color="auto"/>
        </w:rPr>
        <w:instrText xml:space="preserve"> HYPERLINK \l _Toc20656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bCs/>
          <w:u w:val="none" w:color="auto"/>
        </w:rPr>
        <w:t>一、建设项目基本情况</w:t>
      </w:r>
      <w:r>
        <w:rPr>
          <w:rFonts w:hint="default" w:ascii="Times New Roman" w:hAnsi="Times New Roman" w:eastAsia="黑体" w:cs="Times New Roman"/>
          <w:u w:val="none" w:color="auto"/>
        </w:rPr>
        <w:tab/>
      </w:r>
      <w:r>
        <w:rPr>
          <w:rFonts w:hint="default" w:ascii="Times New Roman" w:hAnsi="Times New Roman" w:eastAsia="黑体" w:cs="Times New Roman"/>
          <w:u w:val="none" w:color="auto"/>
        </w:rPr>
        <w:fldChar w:fldCharType="begin"/>
      </w:r>
      <w:r>
        <w:rPr>
          <w:rFonts w:hint="default" w:ascii="Times New Roman" w:hAnsi="Times New Roman" w:eastAsia="黑体" w:cs="Times New Roman"/>
          <w:u w:val="none" w:color="auto"/>
        </w:rPr>
        <w:instrText xml:space="preserve"> PAGEREF _Toc20656 \h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u w:val="none" w:color="auto"/>
        </w:rPr>
        <w:t>1</w:t>
      </w:r>
      <w:r>
        <w:rPr>
          <w:rFonts w:hint="default" w:ascii="Times New Roman" w:hAnsi="Times New Roman" w:eastAsia="黑体" w:cs="Times New Roman"/>
          <w:u w:val="none" w:color="auto"/>
        </w:rPr>
        <w:fldChar w:fldCharType="end"/>
      </w:r>
      <w:r>
        <w:rPr>
          <w:rFonts w:hint="default" w:ascii="Times New Roman" w:hAnsi="Times New Roman" w:eastAsia="黑体" w:cs="Times New Roman"/>
          <w:color w:val="000000" w:themeColor="text1"/>
          <w:u w:val="none" w:color="auto"/>
          <w14:textFill>
            <w14:solidFill>
              <w14:schemeClr w14:val="tx1"/>
            </w14:solidFill>
          </w14:textFill>
        </w:rPr>
        <w:fldChar w:fldCharType="end"/>
      </w:r>
    </w:p>
    <w:p w14:paraId="2A4348D6">
      <w:pPr>
        <w:pStyle w:val="26"/>
        <w:tabs>
          <w:tab w:val="right" w:leader="dot" w:pos="8844"/>
        </w:tabs>
        <w:rPr>
          <w:rFonts w:hint="default" w:ascii="Times New Roman" w:hAnsi="Times New Roman" w:eastAsia="黑体" w:cs="Times New Roman"/>
          <w:u w:val="none" w:color="auto"/>
        </w:rPr>
      </w:pPr>
      <w:r>
        <w:rPr>
          <w:rFonts w:hint="default" w:ascii="Times New Roman" w:hAnsi="Times New Roman" w:eastAsia="黑体" w:cs="Times New Roman"/>
          <w:color w:val="000000" w:themeColor="text1"/>
          <w:u w:val="none" w:color="auto"/>
          <w14:textFill>
            <w14:solidFill>
              <w14:schemeClr w14:val="tx1"/>
            </w14:solidFill>
          </w14:textFill>
        </w:rPr>
        <w:fldChar w:fldCharType="begin"/>
      </w:r>
      <w:r>
        <w:rPr>
          <w:rFonts w:hint="default" w:ascii="Times New Roman" w:hAnsi="Times New Roman" w:eastAsia="黑体" w:cs="Times New Roman"/>
          <w:u w:val="none" w:color="auto"/>
        </w:rPr>
        <w:instrText xml:space="preserve"> HYPERLINK \l _Toc4543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bCs/>
          <w:u w:val="none" w:color="auto"/>
        </w:rPr>
        <w:t>二、建设项目工程分析</w:t>
      </w:r>
      <w:r>
        <w:rPr>
          <w:rFonts w:hint="default" w:ascii="Times New Roman" w:hAnsi="Times New Roman" w:eastAsia="黑体" w:cs="Times New Roman"/>
          <w:u w:val="none" w:color="auto"/>
        </w:rPr>
        <w:tab/>
      </w:r>
      <w:r>
        <w:rPr>
          <w:rFonts w:hint="default" w:ascii="Times New Roman" w:hAnsi="Times New Roman" w:eastAsia="黑体" w:cs="Times New Roman"/>
          <w:u w:val="none" w:color="auto"/>
        </w:rPr>
        <w:fldChar w:fldCharType="begin"/>
      </w:r>
      <w:r>
        <w:rPr>
          <w:rFonts w:hint="default" w:ascii="Times New Roman" w:hAnsi="Times New Roman" w:eastAsia="黑体" w:cs="Times New Roman"/>
          <w:u w:val="none" w:color="auto"/>
        </w:rPr>
        <w:instrText xml:space="preserve"> PAGEREF _Toc4543 \h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u w:val="none" w:color="auto"/>
        </w:rPr>
        <w:t>26</w:t>
      </w:r>
      <w:r>
        <w:rPr>
          <w:rFonts w:hint="default" w:ascii="Times New Roman" w:hAnsi="Times New Roman" w:eastAsia="黑体" w:cs="Times New Roman"/>
          <w:u w:val="none" w:color="auto"/>
        </w:rPr>
        <w:fldChar w:fldCharType="end"/>
      </w:r>
      <w:r>
        <w:rPr>
          <w:rFonts w:hint="default" w:ascii="Times New Roman" w:hAnsi="Times New Roman" w:eastAsia="黑体" w:cs="Times New Roman"/>
          <w:color w:val="000000" w:themeColor="text1"/>
          <w:u w:val="none" w:color="auto"/>
          <w14:textFill>
            <w14:solidFill>
              <w14:schemeClr w14:val="tx1"/>
            </w14:solidFill>
          </w14:textFill>
        </w:rPr>
        <w:fldChar w:fldCharType="end"/>
      </w:r>
    </w:p>
    <w:p w14:paraId="7432D8DF">
      <w:pPr>
        <w:pStyle w:val="26"/>
        <w:tabs>
          <w:tab w:val="right" w:leader="dot" w:pos="8844"/>
        </w:tabs>
        <w:rPr>
          <w:rFonts w:hint="default" w:ascii="Times New Roman" w:hAnsi="Times New Roman" w:eastAsia="黑体" w:cs="Times New Roman"/>
          <w:u w:val="none" w:color="auto"/>
        </w:rPr>
      </w:pPr>
      <w:r>
        <w:rPr>
          <w:rFonts w:hint="default" w:ascii="Times New Roman" w:hAnsi="Times New Roman" w:eastAsia="黑体" w:cs="Times New Roman"/>
          <w:color w:val="000000" w:themeColor="text1"/>
          <w:u w:val="none" w:color="auto"/>
          <w14:textFill>
            <w14:solidFill>
              <w14:schemeClr w14:val="tx1"/>
            </w14:solidFill>
          </w14:textFill>
        </w:rPr>
        <w:fldChar w:fldCharType="begin"/>
      </w:r>
      <w:r>
        <w:rPr>
          <w:rFonts w:hint="default" w:ascii="Times New Roman" w:hAnsi="Times New Roman" w:eastAsia="黑体" w:cs="Times New Roman"/>
          <w:u w:val="none" w:color="auto"/>
        </w:rPr>
        <w:instrText xml:space="preserve"> HYPERLINK \l _Toc23011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bCs/>
          <w:u w:val="none" w:color="auto"/>
        </w:rPr>
        <w:t>三、区域环境质量现状、环境保护目标及评价标准</w:t>
      </w:r>
      <w:r>
        <w:rPr>
          <w:rFonts w:hint="default" w:ascii="Times New Roman" w:hAnsi="Times New Roman" w:eastAsia="黑体" w:cs="Times New Roman"/>
          <w:u w:val="none" w:color="auto"/>
        </w:rPr>
        <w:tab/>
      </w:r>
      <w:r>
        <w:rPr>
          <w:rFonts w:hint="default" w:ascii="Times New Roman" w:hAnsi="Times New Roman" w:eastAsia="黑体" w:cs="Times New Roman"/>
          <w:u w:val="none" w:color="auto"/>
        </w:rPr>
        <w:fldChar w:fldCharType="begin"/>
      </w:r>
      <w:r>
        <w:rPr>
          <w:rFonts w:hint="default" w:ascii="Times New Roman" w:hAnsi="Times New Roman" w:eastAsia="黑体" w:cs="Times New Roman"/>
          <w:u w:val="none" w:color="auto"/>
        </w:rPr>
        <w:instrText xml:space="preserve"> PAGEREF _Toc23011 \h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u w:val="none" w:color="auto"/>
        </w:rPr>
        <w:t>38</w:t>
      </w:r>
      <w:r>
        <w:rPr>
          <w:rFonts w:hint="default" w:ascii="Times New Roman" w:hAnsi="Times New Roman" w:eastAsia="黑体" w:cs="Times New Roman"/>
          <w:u w:val="none" w:color="auto"/>
        </w:rPr>
        <w:fldChar w:fldCharType="end"/>
      </w:r>
      <w:r>
        <w:rPr>
          <w:rFonts w:hint="default" w:ascii="Times New Roman" w:hAnsi="Times New Roman" w:eastAsia="黑体" w:cs="Times New Roman"/>
          <w:color w:val="000000" w:themeColor="text1"/>
          <w:u w:val="none" w:color="auto"/>
          <w14:textFill>
            <w14:solidFill>
              <w14:schemeClr w14:val="tx1"/>
            </w14:solidFill>
          </w14:textFill>
        </w:rPr>
        <w:fldChar w:fldCharType="end"/>
      </w:r>
    </w:p>
    <w:p w14:paraId="62F18DE0">
      <w:pPr>
        <w:pStyle w:val="26"/>
        <w:tabs>
          <w:tab w:val="right" w:leader="dot" w:pos="8844"/>
        </w:tabs>
        <w:rPr>
          <w:rFonts w:hint="default" w:ascii="Times New Roman" w:hAnsi="Times New Roman" w:eastAsia="黑体" w:cs="Times New Roman"/>
          <w:u w:val="none" w:color="auto"/>
        </w:rPr>
      </w:pPr>
      <w:r>
        <w:rPr>
          <w:rFonts w:hint="default" w:ascii="Times New Roman" w:hAnsi="Times New Roman" w:eastAsia="黑体" w:cs="Times New Roman"/>
          <w:color w:val="000000" w:themeColor="text1"/>
          <w:u w:val="none" w:color="auto"/>
          <w14:textFill>
            <w14:solidFill>
              <w14:schemeClr w14:val="tx1"/>
            </w14:solidFill>
          </w14:textFill>
        </w:rPr>
        <w:fldChar w:fldCharType="begin"/>
      </w:r>
      <w:r>
        <w:rPr>
          <w:rFonts w:hint="default" w:ascii="Times New Roman" w:hAnsi="Times New Roman" w:eastAsia="黑体" w:cs="Times New Roman"/>
          <w:u w:val="none" w:color="auto"/>
        </w:rPr>
        <w:instrText xml:space="preserve"> HYPERLINK \l _Toc23475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u w:val="none" w:color="auto"/>
        </w:rPr>
        <w:t>四、主要环境影响和保护措施</w:t>
      </w:r>
      <w:r>
        <w:rPr>
          <w:rFonts w:hint="default" w:ascii="Times New Roman" w:hAnsi="Times New Roman" w:eastAsia="黑体" w:cs="Times New Roman"/>
          <w:u w:val="none" w:color="auto"/>
        </w:rPr>
        <w:tab/>
      </w:r>
      <w:r>
        <w:rPr>
          <w:rFonts w:hint="default" w:ascii="Times New Roman" w:hAnsi="Times New Roman" w:eastAsia="黑体" w:cs="Times New Roman"/>
          <w:u w:val="none" w:color="auto"/>
        </w:rPr>
        <w:fldChar w:fldCharType="begin"/>
      </w:r>
      <w:r>
        <w:rPr>
          <w:rFonts w:hint="default" w:ascii="Times New Roman" w:hAnsi="Times New Roman" w:eastAsia="黑体" w:cs="Times New Roman"/>
          <w:u w:val="none" w:color="auto"/>
        </w:rPr>
        <w:instrText xml:space="preserve"> PAGEREF _Toc23475 \h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u w:val="none" w:color="auto"/>
        </w:rPr>
        <w:t>46</w:t>
      </w:r>
      <w:r>
        <w:rPr>
          <w:rFonts w:hint="default" w:ascii="Times New Roman" w:hAnsi="Times New Roman" w:eastAsia="黑体" w:cs="Times New Roman"/>
          <w:u w:val="none" w:color="auto"/>
        </w:rPr>
        <w:fldChar w:fldCharType="end"/>
      </w:r>
      <w:r>
        <w:rPr>
          <w:rFonts w:hint="default" w:ascii="Times New Roman" w:hAnsi="Times New Roman" w:eastAsia="黑体" w:cs="Times New Roman"/>
          <w:color w:val="000000" w:themeColor="text1"/>
          <w:u w:val="none" w:color="auto"/>
          <w14:textFill>
            <w14:solidFill>
              <w14:schemeClr w14:val="tx1"/>
            </w14:solidFill>
          </w14:textFill>
        </w:rPr>
        <w:fldChar w:fldCharType="end"/>
      </w:r>
    </w:p>
    <w:p w14:paraId="537023BD">
      <w:pPr>
        <w:pStyle w:val="26"/>
        <w:tabs>
          <w:tab w:val="right" w:leader="dot" w:pos="8844"/>
        </w:tabs>
        <w:rPr>
          <w:rFonts w:hint="default" w:ascii="Times New Roman" w:hAnsi="Times New Roman" w:eastAsia="黑体" w:cs="Times New Roman"/>
          <w:u w:val="none" w:color="auto"/>
        </w:rPr>
      </w:pPr>
      <w:r>
        <w:rPr>
          <w:rFonts w:hint="default" w:ascii="Times New Roman" w:hAnsi="Times New Roman" w:eastAsia="黑体" w:cs="Times New Roman"/>
          <w:color w:val="000000" w:themeColor="text1"/>
          <w:u w:val="none" w:color="auto"/>
          <w14:textFill>
            <w14:solidFill>
              <w14:schemeClr w14:val="tx1"/>
            </w14:solidFill>
          </w14:textFill>
        </w:rPr>
        <w:fldChar w:fldCharType="begin"/>
      </w:r>
      <w:r>
        <w:rPr>
          <w:rFonts w:hint="default" w:ascii="Times New Roman" w:hAnsi="Times New Roman" w:eastAsia="黑体" w:cs="Times New Roman"/>
          <w:u w:val="none" w:color="auto"/>
        </w:rPr>
        <w:instrText xml:space="preserve"> HYPERLINK \l _Toc4861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u w:val="none" w:color="auto"/>
        </w:rPr>
        <w:t>五、环境保护措施监督检查清单</w:t>
      </w:r>
      <w:r>
        <w:rPr>
          <w:rFonts w:hint="default" w:ascii="Times New Roman" w:hAnsi="Times New Roman" w:eastAsia="黑体" w:cs="Times New Roman"/>
          <w:u w:val="none" w:color="auto"/>
        </w:rPr>
        <w:tab/>
      </w:r>
      <w:r>
        <w:rPr>
          <w:rFonts w:hint="default" w:ascii="Times New Roman" w:hAnsi="Times New Roman" w:eastAsia="黑体" w:cs="Times New Roman"/>
          <w:u w:val="none" w:color="auto"/>
        </w:rPr>
        <w:fldChar w:fldCharType="begin"/>
      </w:r>
      <w:r>
        <w:rPr>
          <w:rFonts w:hint="default" w:ascii="Times New Roman" w:hAnsi="Times New Roman" w:eastAsia="黑体" w:cs="Times New Roman"/>
          <w:u w:val="none" w:color="auto"/>
        </w:rPr>
        <w:instrText xml:space="preserve"> PAGEREF _Toc4861 \h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u w:val="none" w:color="auto"/>
        </w:rPr>
        <w:t>85</w:t>
      </w:r>
      <w:r>
        <w:rPr>
          <w:rFonts w:hint="default" w:ascii="Times New Roman" w:hAnsi="Times New Roman" w:eastAsia="黑体" w:cs="Times New Roman"/>
          <w:u w:val="none" w:color="auto"/>
        </w:rPr>
        <w:fldChar w:fldCharType="end"/>
      </w:r>
      <w:r>
        <w:rPr>
          <w:rFonts w:hint="default" w:ascii="Times New Roman" w:hAnsi="Times New Roman" w:eastAsia="黑体" w:cs="Times New Roman"/>
          <w:color w:val="000000" w:themeColor="text1"/>
          <w:u w:val="none" w:color="auto"/>
          <w14:textFill>
            <w14:solidFill>
              <w14:schemeClr w14:val="tx1"/>
            </w14:solidFill>
          </w14:textFill>
        </w:rPr>
        <w:fldChar w:fldCharType="end"/>
      </w:r>
    </w:p>
    <w:p w14:paraId="39E4B708">
      <w:pPr>
        <w:pStyle w:val="26"/>
        <w:tabs>
          <w:tab w:val="right" w:leader="dot" w:pos="8844"/>
        </w:tabs>
        <w:rPr>
          <w:rFonts w:hint="default" w:ascii="Times New Roman" w:hAnsi="Times New Roman" w:eastAsia="黑体" w:cs="Times New Roman"/>
          <w:u w:val="none" w:color="auto"/>
        </w:rPr>
      </w:pPr>
      <w:r>
        <w:rPr>
          <w:rFonts w:hint="default" w:ascii="Times New Roman" w:hAnsi="Times New Roman" w:eastAsia="黑体" w:cs="Times New Roman"/>
          <w:color w:val="000000" w:themeColor="text1"/>
          <w:u w:val="none" w:color="auto"/>
          <w14:textFill>
            <w14:solidFill>
              <w14:schemeClr w14:val="tx1"/>
            </w14:solidFill>
          </w14:textFill>
        </w:rPr>
        <w:fldChar w:fldCharType="begin"/>
      </w:r>
      <w:r>
        <w:rPr>
          <w:rFonts w:hint="default" w:ascii="Times New Roman" w:hAnsi="Times New Roman" w:eastAsia="黑体" w:cs="Times New Roman"/>
          <w:u w:val="none" w:color="auto"/>
        </w:rPr>
        <w:instrText xml:space="preserve"> HYPERLINK \l _Toc5278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u w:val="none" w:color="auto"/>
        </w:rPr>
        <w:t>六、结论</w:t>
      </w:r>
      <w:r>
        <w:rPr>
          <w:rFonts w:hint="default" w:ascii="Times New Roman" w:hAnsi="Times New Roman" w:eastAsia="黑体" w:cs="Times New Roman"/>
          <w:u w:val="none" w:color="auto"/>
        </w:rPr>
        <w:tab/>
      </w:r>
      <w:r>
        <w:rPr>
          <w:rFonts w:hint="default" w:ascii="Times New Roman" w:hAnsi="Times New Roman" w:eastAsia="黑体" w:cs="Times New Roman"/>
          <w:u w:val="none" w:color="auto"/>
        </w:rPr>
        <w:fldChar w:fldCharType="begin"/>
      </w:r>
      <w:r>
        <w:rPr>
          <w:rFonts w:hint="default" w:ascii="Times New Roman" w:hAnsi="Times New Roman" w:eastAsia="黑体" w:cs="Times New Roman"/>
          <w:u w:val="none" w:color="auto"/>
        </w:rPr>
        <w:instrText xml:space="preserve"> PAGEREF _Toc5278 \h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u w:val="none" w:color="auto"/>
        </w:rPr>
        <w:t>88</w:t>
      </w:r>
      <w:r>
        <w:rPr>
          <w:rFonts w:hint="default" w:ascii="Times New Roman" w:hAnsi="Times New Roman" w:eastAsia="黑体" w:cs="Times New Roman"/>
          <w:u w:val="none" w:color="auto"/>
        </w:rPr>
        <w:fldChar w:fldCharType="end"/>
      </w:r>
      <w:r>
        <w:rPr>
          <w:rFonts w:hint="default" w:ascii="Times New Roman" w:hAnsi="Times New Roman" w:eastAsia="黑体" w:cs="Times New Roman"/>
          <w:color w:val="000000" w:themeColor="text1"/>
          <w:u w:val="none" w:color="auto"/>
          <w14:textFill>
            <w14:solidFill>
              <w14:schemeClr w14:val="tx1"/>
            </w14:solidFill>
          </w14:textFill>
        </w:rPr>
        <w:fldChar w:fldCharType="end"/>
      </w:r>
    </w:p>
    <w:p w14:paraId="57009599">
      <w:pPr>
        <w:pStyle w:val="26"/>
        <w:tabs>
          <w:tab w:val="right" w:leader="dot" w:pos="8844"/>
        </w:tabs>
        <w:rPr>
          <w:u w:val="none" w:color="auto"/>
        </w:rPr>
      </w:pPr>
      <w:r>
        <w:rPr>
          <w:rFonts w:hint="default" w:ascii="Times New Roman" w:hAnsi="Times New Roman" w:eastAsia="黑体" w:cs="Times New Roman"/>
          <w:color w:val="000000" w:themeColor="text1"/>
          <w:u w:val="none" w:color="auto"/>
          <w14:textFill>
            <w14:solidFill>
              <w14:schemeClr w14:val="tx1"/>
            </w14:solidFill>
          </w14:textFill>
        </w:rPr>
        <w:fldChar w:fldCharType="begin"/>
      </w:r>
      <w:r>
        <w:rPr>
          <w:rFonts w:hint="default" w:ascii="Times New Roman" w:hAnsi="Times New Roman" w:eastAsia="黑体" w:cs="Times New Roman"/>
          <w:u w:val="none" w:color="auto"/>
        </w:rPr>
        <w:instrText xml:space="preserve"> HYPERLINK \l _Toc30517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snapToGrid w:val="0"/>
          <w:szCs w:val="28"/>
          <w:u w:val="none" w:color="auto"/>
        </w:rPr>
        <w:t>建设项目污染物排放量汇总表</w:t>
      </w:r>
      <w:r>
        <w:rPr>
          <w:rFonts w:hint="default" w:ascii="Times New Roman" w:hAnsi="Times New Roman" w:eastAsia="黑体" w:cs="Times New Roman"/>
          <w:u w:val="none" w:color="auto"/>
        </w:rPr>
        <w:tab/>
      </w:r>
      <w:r>
        <w:rPr>
          <w:rFonts w:hint="default" w:ascii="Times New Roman" w:hAnsi="Times New Roman" w:eastAsia="黑体" w:cs="Times New Roman"/>
          <w:u w:val="none" w:color="auto"/>
        </w:rPr>
        <w:fldChar w:fldCharType="begin"/>
      </w:r>
      <w:r>
        <w:rPr>
          <w:rFonts w:hint="default" w:ascii="Times New Roman" w:hAnsi="Times New Roman" w:eastAsia="黑体" w:cs="Times New Roman"/>
          <w:u w:val="none" w:color="auto"/>
        </w:rPr>
        <w:instrText xml:space="preserve"> PAGEREF _Toc30517 \h </w:instrText>
      </w:r>
      <w:r>
        <w:rPr>
          <w:rFonts w:hint="default" w:ascii="Times New Roman" w:hAnsi="Times New Roman" w:eastAsia="黑体" w:cs="Times New Roman"/>
          <w:u w:val="none" w:color="auto"/>
        </w:rPr>
        <w:fldChar w:fldCharType="separate"/>
      </w:r>
      <w:r>
        <w:rPr>
          <w:rFonts w:hint="default" w:ascii="Times New Roman" w:hAnsi="Times New Roman" w:eastAsia="黑体" w:cs="Times New Roman"/>
          <w:u w:val="none" w:color="auto"/>
        </w:rPr>
        <w:t>89</w:t>
      </w:r>
      <w:r>
        <w:rPr>
          <w:rFonts w:hint="default" w:ascii="Times New Roman" w:hAnsi="Times New Roman" w:eastAsia="黑体" w:cs="Times New Roman"/>
          <w:u w:val="none" w:color="auto"/>
        </w:rPr>
        <w:fldChar w:fldCharType="end"/>
      </w:r>
      <w:r>
        <w:rPr>
          <w:rFonts w:hint="default" w:ascii="Times New Roman" w:hAnsi="Times New Roman" w:eastAsia="黑体" w:cs="Times New Roman"/>
          <w:color w:val="000000" w:themeColor="text1"/>
          <w:u w:val="none" w:color="auto"/>
          <w14:textFill>
            <w14:solidFill>
              <w14:schemeClr w14:val="tx1"/>
            </w14:solidFill>
          </w14:textFill>
        </w:rPr>
        <w:fldChar w:fldCharType="end"/>
      </w:r>
    </w:p>
    <w:p w14:paraId="54A83F9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cs="Times New Roman"/>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color="auto"/>
          <w14:textFill>
            <w14:solidFill>
              <w14:schemeClr w14:val="tx1"/>
            </w14:solidFill>
          </w14:textFill>
        </w:rPr>
        <w:fldChar w:fldCharType="end"/>
      </w:r>
    </w:p>
    <w:p w14:paraId="166423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bCs/>
          <w:color w:val="000000" w:themeColor="text1"/>
          <w:highlight w:val="none"/>
          <w:u w:val="none" w:color="auto"/>
          <w:lang w:eastAsia="zh-CN"/>
          <w14:textFill>
            <w14:solidFill>
              <w14:schemeClr w14:val="tx1"/>
            </w14:solidFill>
          </w14:textFill>
        </w:rPr>
      </w:pPr>
      <w:r>
        <w:rPr>
          <w:rFonts w:hint="eastAsia"/>
          <w:b/>
          <w:bCs/>
          <w:color w:val="000000" w:themeColor="text1"/>
          <w:highlight w:val="none"/>
          <w:u w:val="none" w:color="auto"/>
          <w14:textFill>
            <w14:solidFill>
              <w14:schemeClr w14:val="tx1"/>
            </w14:solidFill>
          </w14:textFill>
        </w:rPr>
        <w:t>附件：</w:t>
      </w:r>
    </w:p>
    <w:p w14:paraId="43232D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bookmarkStart w:id="1" w:name="_Toc12329"/>
      <w:bookmarkStart w:id="2" w:name="_Toc29579_WPSOffice_Level1"/>
      <w:bookmarkStart w:id="3" w:name="_Toc6146_WPSOffice_Level1"/>
      <w:bookmarkStart w:id="4" w:name="_Toc6450"/>
      <w:bookmarkStart w:id="5" w:name="_Toc25692_WPSOffice_Level1"/>
      <w:r>
        <w:rPr>
          <w:rFonts w:hint="eastAsia"/>
          <w:sz w:val="24"/>
          <w:szCs w:val="24"/>
          <w:lang w:eastAsia="zh-CN"/>
        </w:rPr>
        <w:fldChar w:fldCharType="begin"/>
      </w:r>
      <w:r>
        <w:rPr>
          <w:rFonts w:hint="eastAsia"/>
          <w:sz w:val="24"/>
          <w:szCs w:val="24"/>
          <w:lang w:eastAsia="zh-CN"/>
        </w:rPr>
        <w:instrText xml:space="preserve"> HYPERLINK \l _Toc16108 </w:instrText>
      </w:r>
      <w:r>
        <w:rPr>
          <w:rFonts w:hint="eastAsia"/>
          <w:sz w:val="24"/>
          <w:szCs w:val="24"/>
          <w:lang w:eastAsia="zh-CN"/>
        </w:rPr>
        <w:fldChar w:fldCharType="separate"/>
      </w:r>
      <w:r>
        <w:rPr>
          <w:rFonts w:hint="eastAsia"/>
          <w:sz w:val="24"/>
          <w:szCs w:val="24"/>
        </w:rPr>
        <w:t>附件1：</w:t>
      </w:r>
      <w:r>
        <w:rPr>
          <w:rFonts w:hint="eastAsia"/>
          <w:sz w:val="24"/>
          <w:szCs w:val="24"/>
          <w:lang w:eastAsia="zh-CN"/>
        </w:rPr>
        <w:t>项目环评</w:t>
      </w:r>
      <w:r>
        <w:rPr>
          <w:rFonts w:hint="eastAsia"/>
          <w:sz w:val="24"/>
          <w:szCs w:val="24"/>
        </w:rPr>
        <w:t>委托书</w:t>
      </w:r>
      <w:r>
        <w:rPr>
          <w:rFonts w:hint="eastAsia"/>
          <w:sz w:val="24"/>
          <w:szCs w:val="24"/>
          <w:lang w:eastAsia="zh-CN"/>
        </w:rPr>
        <w:fldChar w:fldCharType="end"/>
      </w:r>
    </w:p>
    <w:p w14:paraId="534F43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lang w:eastAsia="zh-CN"/>
        </w:rPr>
        <w:fldChar w:fldCharType="begin"/>
      </w:r>
      <w:r>
        <w:rPr>
          <w:rFonts w:hint="eastAsia"/>
          <w:sz w:val="24"/>
          <w:szCs w:val="24"/>
          <w:lang w:eastAsia="zh-CN"/>
        </w:rPr>
        <w:instrText xml:space="preserve"> HYPERLINK \l _Toc24015 </w:instrText>
      </w:r>
      <w:r>
        <w:rPr>
          <w:rFonts w:hint="eastAsia"/>
          <w:sz w:val="24"/>
          <w:szCs w:val="24"/>
          <w:lang w:eastAsia="zh-CN"/>
        </w:rPr>
        <w:fldChar w:fldCharType="separate"/>
      </w:r>
      <w:r>
        <w:rPr>
          <w:rFonts w:hint="eastAsia"/>
          <w:sz w:val="24"/>
          <w:szCs w:val="24"/>
        </w:rPr>
        <w:t>附件2：建设单位责任说明</w:t>
      </w:r>
      <w:r>
        <w:rPr>
          <w:rFonts w:hint="eastAsia"/>
          <w:sz w:val="24"/>
          <w:szCs w:val="24"/>
          <w:lang w:eastAsia="zh-CN"/>
        </w:rPr>
        <w:fldChar w:fldCharType="end"/>
      </w:r>
    </w:p>
    <w:p w14:paraId="3E9D12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lang w:eastAsia="zh-CN"/>
        </w:rPr>
        <w:fldChar w:fldCharType="begin"/>
      </w:r>
      <w:r>
        <w:rPr>
          <w:rFonts w:hint="eastAsia"/>
          <w:sz w:val="24"/>
          <w:szCs w:val="24"/>
          <w:lang w:eastAsia="zh-CN"/>
        </w:rPr>
        <w:instrText xml:space="preserve"> HYPERLINK \l _Toc9411 </w:instrText>
      </w:r>
      <w:r>
        <w:rPr>
          <w:rFonts w:hint="eastAsia"/>
          <w:sz w:val="24"/>
          <w:szCs w:val="24"/>
          <w:lang w:eastAsia="zh-CN"/>
        </w:rPr>
        <w:fldChar w:fldCharType="separate"/>
      </w:r>
      <w:r>
        <w:rPr>
          <w:rFonts w:hint="eastAsia"/>
          <w:sz w:val="24"/>
          <w:szCs w:val="24"/>
          <w:lang w:eastAsia="zh-CN"/>
        </w:rPr>
        <w:t>附件</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营业执照</w:t>
      </w:r>
      <w:r>
        <w:rPr>
          <w:rFonts w:hint="eastAsia"/>
          <w:sz w:val="24"/>
          <w:szCs w:val="24"/>
          <w:lang w:eastAsia="zh-CN"/>
        </w:rPr>
        <w:fldChar w:fldCharType="end"/>
      </w:r>
    </w:p>
    <w:p w14:paraId="4D25E9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eastAsia="zh-CN"/>
        </w:rPr>
        <w:fldChar w:fldCharType="begin"/>
      </w:r>
      <w:r>
        <w:rPr>
          <w:rFonts w:hint="eastAsia"/>
          <w:sz w:val="24"/>
          <w:szCs w:val="24"/>
          <w:lang w:eastAsia="zh-CN"/>
        </w:rPr>
        <w:instrText xml:space="preserve"> HYPERLINK \l _Toc9411 </w:instrText>
      </w:r>
      <w:r>
        <w:rPr>
          <w:rFonts w:hint="eastAsia"/>
          <w:sz w:val="24"/>
          <w:szCs w:val="24"/>
          <w:lang w:eastAsia="zh-CN"/>
        </w:rPr>
        <w:fldChar w:fldCharType="separate"/>
      </w:r>
      <w:r>
        <w:rPr>
          <w:rFonts w:hint="eastAsia"/>
          <w:sz w:val="24"/>
          <w:szCs w:val="24"/>
          <w:lang w:eastAsia="zh-CN"/>
        </w:rPr>
        <w:t>附件</w:t>
      </w:r>
      <w:r>
        <w:rPr>
          <w:rFonts w:hint="eastAsia"/>
          <w:sz w:val="24"/>
          <w:szCs w:val="24"/>
          <w:lang w:val="en-US" w:eastAsia="zh-CN"/>
        </w:rPr>
        <w:t>4</w:t>
      </w:r>
      <w:r>
        <w:rPr>
          <w:rFonts w:hint="eastAsia"/>
          <w:sz w:val="24"/>
          <w:szCs w:val="24"/>
          <w:lang w:eastAsia="zh-CN"/>
        </w:rPr>
        <w:t>：</w:t>
      </w:r>
      <w:r>
        <w:rPr>
          <w:rFonts w:hint="eastAsia"/>
          <w:sz w:val="24"/>
          <w:szCs w:val="24"/>
          <w:lang w:val="en-US" w:eastAsia="zh-CN"/>
        </w:rPr>
        <w:t>备案</w:t>
      </w:r>
      <w:r>
        <w:rPr>
          <w:rFonts w:hint="eastAsia"/>
          <w:sz w:val="24"/>
          <w:szCs w:val="24"/>
          <w:lang w:eastAsia="zh-CN"/>
        </w:rPr>
        <w:fldChar w:fldCharType="end"/>
      </w:r>
      <w:r>
        <w:rPr>
          <w:rFonts w:hint="eastAsia"/>
          <w:sz w:val="24"/>
          <w:szCs w:val="24"/>
          <w:lang w:val="en-US" w:eastAsia="zh-CN"/>
        </w:rPr>
        <w:t>证明</w:t>
      </w:r>
    </w:p>
    <w:p w14:paraId="27E0F6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lang w:val="en-US" w:eastAsia="zh-CN"/>
        </w:rPr>
      </w:pPr>
      <w:r>
        <w:rPr>
          <w:rFonts w:hint="eastAsia"/>
          <w:sz w:val="24"/>
          <w:szCs w:val="24"/>
          <w:u w:val="single"/>
          <w:lang w:val="en-US" w:eastAsia="zh-CN"/>
        </w:rPr>
        <w:t>附件5：入园协议书</w:t>
      </w:r>
    </w:p>
    <w:p w14:paraId="1B18AE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eastAsia="zh-CN"/>
        </w:rPr>
        <w:fldChar w:fldCharType="begin"/>
      </w:r>
      <w:r>
        <w:rPr>
          <w:rFonts w:hint="eastAsia"/>
          <w:sz w:val="24"/>
          <w:szCs w:val="24"/>
          <w:lang w:eastAsia="zh-CN"/>
        </w:rPr>
        <w:instrText xml:space="preserve"> HYPERLINK \l _Toc9411 </w:instrText>
      </w:r>
      <w:r>
        <w:rPr>
          <w:rFonts w:hint="eastAsia"/>
          <w:sz w:val="24"/>
          <w:szCs w:val="24"/>
          <w:lang w:eastAsia="zh-CN"/>
        </w:rPr>
        <w:fldChar w:fldCharType="separate"/>
      </w:r>
      <w:r>
        <w:rPr>
          <w:rFonts w:hint="eastAsia"/>
          <w:sz w:val="24"/>
          <w:szCs w:val="24"/>
          <w:lang w:eastAsia="zh-CN"/>
        </w:rPr>
        <w:t>附件</w:t>
      </w:r>
      <w:r>
        <w:rPr>
          <w:rFonts w:hint="eastAsia"/>
          <w:sz w:val="24"/>
          <w:szCs w:val="24"/>
          <w:lang w:val="en-US" w:eastAsia="zh-CN"/>
        </w:rPr>
        <w:t>6</w:t>
      </w:r>
      <w:r>
        <w:rPr>
          <w:rFonts w:hint="eastAsia"/>
          <w:sz w:val="24"/>
          <w:szCs w:val="24"/>
          <w:lang w:eastAsia="zh-CN"/>
        </w:rPr>
        <w:t>：</w:t>
      </w:r>
      <w:r>
        <w:rPr>
          <w:rFonts w:hint="eastAsia"/>
          <w:sz w:val="24"/>
          <w:szCs w:val="24"/>
          <w:lang w:eastAsia="zh-CN"/>
        </w:rPr>
        <w:fldChar w:fldCharType="end"/>
      </w:r>
      <w:r>
        <w:rPr>
          <w:rFonts w:hint="eastAsia"/>
          <w:sz w:val="24"/>
          <w:szCs w:val="24"/>
          <w:lang w:val="en-US" w:eastAsia="zh-CN"/>
        </w:rPr>
        <w:t>厂房租赁合同</w:t>
      </w:r>
    </w:p>
    <w:p w14:paraId="5FA8DC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eastAsia="zh-CN"/>
        </w:rPr>
        <w:fldChar w:fldCharType="begin"/>
      </w:r>
      <w:r>
        <w:rPr>
          <w:rFonts w:hint="eastAsia"/>
          <w:sz w:val="24"/>
          <w:szCs w:val="24"/>
          <w:lang w:eastAsia="zh-CN"/>
        </w:rPr>
        <w:instrText xml:space="preserve"> HYPERLINK \l _Toc9411 </w:instrText>
      </w:r>
      <w:r>
        <w:rPr>
          <w:rFonts w:hint="eastAsia"/>
          <w:sz w:val="24"/>
          <w:szCs w:val="24"/>
          <w:lang w:eastAsia="zh-CN"/>
        </w:rPr>
        <w:fldChar w:fldCharType="separate"/>
      </w:r>
      <w:r>
        <w:rPr>
          <w:rFonts w:hint="eastAsia"/>
          <w:sz w:val="24"/>
          <w:szCs w:val="24"/>
          <w:lang w:eastAsia="zh-CN"/>
        </w:rPr>
        <w:t>附件</w:t>
      </w:r>
      <w:r>
        <w:rPr>
          <w:rFonts w:hint="eastAsia"/>
          <w:sz w:val="24"/>
          <w:szCs w:val="24"/>
          <w:lang w:val="en-US" w:eastAsia="zh-CN"/>
        </w:rPr>
        <w:t>7</w:t>
      </w:r>
      <w:r>
        <w:rPr>
          <w:rFonts w:hint="eastAsia"/>
          <w:sz w:val="24"/>
          <w:szCs w:val="24"/>
          <w:lang w:eastAsia="zh-CN"/>
        </w:rPr>
        <w:t>：</w:t>
      </w:r>
      <w:r>
        <w:rPr>
          <w:rFonts w:hint="eastAsia"/>
          <w:sz w:val="24"/>
          <w:szCs w:val="24"/>
          <w:lang w:val="en-US" w:eastAsia="zh-CN"/>
        </w:rPr>
        <w:t>项目</w:t>
      </w:r>
      <w:r>
        <w:rPr>
          <w:rFonts w:hint="eastAsia"/>
          <w:sz w:val="24"/>
          <w:szCs w:val="24"/>
          <w:lang w:eastAsia="zh-CN"/>
        </w:rPr>
        <w:fldChar w:fldCharType="end"/>
      </w:r>
      <w:r>
        <w:rPr>
          <w:rFonts w:hint="eastAsia"/>
          <w:sz w:val="24"/>
          <w:szCs w:val="24"/>
          <w:lang w:val="en-US" w:eastAsia="zh-CN"/>
        </w:rPr>
        <w:t>涉VOCs物料MSDS</w:t>
      </w:r>
    </w:p>
    <w:p w14:paraId="33047A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fldChar w:fldCharType="begin"/>
      </w:r>
      <w:r>
        <w:rPr>
          <w:rFonts w:hint="eastAsia" w:ascii="Times New Roman" w:hAnsi="Times New Roman" w:eastAsia="宋体" w:cs="Times New Roman"/>
          <w:kern w:val="2"/>
          <w:sz w:val="24"/>
          <w:szCs w:val="24"/>
          <w:lang w:val="en-US" w:eastAsia="zh-CN" w:bidi="ar-SA"/>
        </w:rPr>
        <w:instrText xml:space="preserve"> HYPERLINK \l _Toc9411 </w:instrText>
      </w:r>
      <w:r>
        <w:rPr>
          <w:rFonts w:hint="eastAsia" w:ascii="Times New Roman" w:hAnsi="Times New Roman" w:eastAsia="宋体" w:cs="Times New Roman"/>
          <w:kern w:val="2"/>
          <w:sz w:val="24"/>
          <w:szCs w:val="24"/>
          <w:lang w:val="en-US" w:eastAsia="zh-CN" w:bidi="ar-SA"/>
        </w:rPr>
        <w:fldChar w:fldCharType="separate"/>
      </w:r>
      <w:r>
        <w:rPr>
          <w:rFonts w:hint="eastAsia" w:ascii="Times New Roman" w:hAnsi="Times New Roman" w:eastAsia="宋体" w:cs="Times New Roman"/>
          <w:kern w:val="2"/>
          <w:sz w:val="24"/>
          <w:szCs w:val="24"/>
          <w:lang w:val="en-US" w:eastAsia="zh-CN" w:bidi="ar-SA"/>
        </w:rPr>
        <w:t>附件</w:t>
      </w:r>
      <w:r>
        <w:rPr>
          <w:rFonts w:hint="eastAsia" w:cs="Times New Roman"/>
          <w:kern w:val="2"/>
          <w:sz w:val="24"/>
          <w:szCs w:val="24"/>
          <w:lang w:val="en-US" w:eastAsia="zh-CN" w:bidi="ar-SA"/>
        </w:rPr>
        <w:t>8</w:t>
      </w:r>
      <w:r>
        <w:rPr>
          <w:rFonts w:hint="eastAsia" w:ascii="Times New Roman" w:hAnsi="Times New Roman" w:eastAsia="宋体" w:cs="Times New Roman"/>
          <w:kern w:val="2"/>
          <w:sz w:val="24"/>
          <w:szCs w:val="24"/>
          <w:lang w:val="en-US" w:eastAsia="zh-CN" w:bidi="ar-SA"/>
        </w:rPr>
        <w:t>：环境</w:t>
      </w:r>
      <w:r>
        <w:rPr>
          <w:rFonts w:hint="eastAsia" w:ascii="Times New Roman" w:hAnsi="Times New Roman" w:eastAsia="宋体" w:cs="Times New Roman"/>
          <w:kern w:val="2"/>
          <w:sz w:val="24"/>
          <w:szCs w:val="24"/>
          <w:lang w:val="en-US" w:eastAsia="zh-CN" w:bidi="ar-SA"/>
        </w:rPr>
        <w:fldChar w:fldCharType="end"/>
      </w:r>
      <w:r>
        <w:rPr>
          <w:rFonts w:hint="eastAsia" w:eastAsia="宋体" w:cs="Times New Roman"/>
          <w:kern w:val="2"/>
          <w:sz w:val="24"/>
          <w:szCs w:val="24"/>
          <w:lang w:val="en-US" w:eastAsia="zh-CN" w:bidi="ar-SA"/>
        </w:rPr>
        <w:t>空气引用检测报告</w:t>
      </w:r>
    </w:p>
    <w:p w14:paraId="75A53F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fldChar w:fldCharType="begin"/>
      </w:r>
      <w:r>
        <w:rPr>
          <w:rFonts w:hint="eastAsia" w:ascii="Times New Roman" w:hAnsi="Times New Roman" w:eastAsia="宋体" w:cs="Times New Roman"/>
          <w:kern w:val="2"/>
          <w:sz w:val="24"/>
          <w:szCs w:val="24"/>
          <w:lang w:val="en-US" w:eastAsia="zh-CN" w:bidi="ar-SA"/>
        </w:rPr>
        <w:instrText xml:space="preserve"> HYPERLINK \l _Toc9411 </w:instrText>
      </w:r>
      <w:r>
        <w:rPr>
          <w:rFonts w:hint="eastAsia" w:ascii="Times New Roman" w:hAnsi="Times New Roman" w:eastAsia="宋体" w:cs="Times New Roman"/>
          <w:kern w:val="2"/>
          <w:sz w:val="24"/>
          <w:szCs w:val="24"/>
          <w:lang w:val="en-US" w:eastAsia="zh-CN" w:bidi="ar-SA"/>
        </w:rPr>
        <w:fldChar w:fldCharType="separate"/>
      </w:r>
      <w:r>
        <w:rPr>
          <w:rFonts w:hint="eastAsia" w:ascii="Times New Roman" w:hAnsi="Times New Roman" w:eastAsia="宋体" w:cs="Times New Roman"/>
          <w:kern w:val="2"/>
          <w:sz w:val="24"/>
          <w:szCs w:val="24"/>
          <w:lang w:val="en-US" w:eastAsia="zh-CN" w:bidi="ar-SA"/>
        </w:rPr>
        <w:t>附件</w:t>
      </w:r>
      <w:r>
        <w:rPr>
          <w:rFonts w:hint="eastAsia" w:cs="Times New Roman"/>
          <w:kern w:val="2"/>
          <w:sz w:val="24"/>
          <w:szCs w:val="24"/>
          <w:lang w:val="en-US" w:eastAsia="zh-CN" w:bidi="ar-SA"/>
        </w:rPr>
        <w:t>9</w:t>
      </w:r>
      <w:r>
        <w:rPr>
          <w:rFonts w:hint="eastAsia" w:ascii="Times New Roman" w:hAnsi="Times New Roman" w:eastAsia="宋体" w:cs="Times New Roman"/>
          <w:kern w:val="2"/>
          <w:sz w:val="24"/>
          <w:szCs w:val="24"/>
          <w:lang w:val="en-US" w:eastAsia="zh-CN" w:bidi="ar-SA"/>
        </w:rPr>
        <w:t>：地表水</w:t>
      </w:r>
      <w:r>
        <w:rPr>
          <w:rFonts w:hint="eastAsia" w:ascii="Times New Roman" w:hAnsi="Times New Roman" w:eastAsia="宋体" w:cs="Times New Roman"/>
          <w:kern w:val="2"/>
          <w:sz w:val="24"/>
          <w:szCs w:val="24"/>
          <w:lang w:val="en-US" w:eastAsia="zh-CN" w:bidi="ar-SA"/>
        </w:rPr>
        <w:fldChar w:fldCharType="end"/>
      </w:r>
      <w:r>
        <w:rPr>
          <w:rFonts w:hint="eastAsia" w:eastAsia="宋体" w:cs="Times New Roman"/>
          <w:kern w:val="2"/>
          <w:sz w:val="24"/>
          <w:szCs w:val="24"/>
          <w:lang w:val="en-US" w:eastAsia="zh-CN" w:bidi="ar-SA"/>
        </w:rPr>
        <w:t>引用检测报告</w:t>
      </w:r>
    </w:p>
    <w:p w14:paraId="4D2300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kern w:val="2"/>
          <w:sz w:val="24"/>
          <w:szCs w:val="24"/>
          <w:lang w:val="en-US" w:eastAsia="zh-CN" w:bidi="ar-SA"/>
        </w:rPr>
      </w:pPr>
      <w:r>
        <w:rPr>
          <w:rFonts w:hint="eastAsia" w:cs="Times New Roman"/>
          <w:kern w:val="2"/>
          <w:sz w:val="24"/>
          <w:szCs w:val="24"/>
          <w:lang w:val="en-US" w:eastAsia="zh-CN" w:bidi="ar-SA"/>
        </w:rPr>
        <w:t>附件10：关于《中方工业集中区总体规划环境影响报告书》审查意见的函</w:t>
      </w:r>
    </w:p>
    <w:p w14:paraId="10EF36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kern w:val="2"/>
          <w:sz w:val="24"/>
          <w:szCs w:val="24"/>
          <w:lang w:val="en-US" w:eastAsia="zh-CN" w:bidi="ar-SA"/>
        </w:rPr>
      </w:pPr>
      <w:r>
        <w:rPr>
          <w:rFonts w:hint="eastAsia" w:cs="Times New Roman"/>
          <w:kern w:val="2"/>
          <w:sz w:val="24"/>
          <w:szCs w:val="24"/>
          <w:lang w:val="en-US" w:eastAsia="zh-CN" w:bidi="ar-SA"/>
        </w:rPr>
        <w:t>附件11：生态环境分区管控研判报告</w:t>
      </w:r>
    </w:p>
    <w:p w14:paraId="7178B0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000000" w:themeColor="text1"/>
          <w:highlight w:val="none"/>
          <w:u w:val="none" w:color="auto"/>
          <w:lang w:val="en-US"/>
          <w14:textFill>
            <w14:solidFill>
              <w14:schemeClr w14:val="tx1"/>
            </w14:solidFill>
          </w14:textFill>
        </w:rPr>
      </w:pPr>
      <w:r>
        <w:rPr>
          <w:rFonts w:hint="eastAsia" w:cs="Times New Roman"/>
          <w:kern w:val="2"/>
          <w:sz w:val="24"/>
          <w:szCs w:val="24"/>
          <w:lang w:val="en-US" w:eastAsia="zh-CN" w:bidi="ar-SA"/>
        </w:rPr>
        <w:t>附件12：专家评审意见</w:t>
      </w:r>
    </w:p>
    <w:p w14:paraId="6F055C2B">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highlight w:val="none"/>
          <w:u w:val="none" w:color="auto"/>
          <w14:textFill>
            <w14:solidFill>
              <w14:schemeClr w14:val="tx1"/>
            </w14:solidFill>
          </w14:textFill>
        </w:rPr>
      </w:pPr>
      <w:r>
        <w:rPr>
          <w:rFonts w:hint="eastAsia" w:ascii="Times New Roman" w:hAnsi="Times New Roman" w:eastAsia="宋体" w:cs="Times New Roman"/>
          <w:b/>
          <w:bCs/>
          <w:color w:val="000000" w:themeColor="text1"/>
          <w:highlight w:val="none"/>
          <w:u w:val="none" w:color="auto"/>
          <w14:textFill>
            <w14:solidFill>
              <w14:schemeClr w14:val="tx1"/>
            </w14:solidFill>
          </w14:textFill>
        </w:rPr>
        <w:t>附图：</w:t>
      </w:r>
    </w:p>
    <w:bookmarkEnd w:id="1"/>
    <w:bookmarkEnd w:id="2"/>
    <w:bookmarkEnd w:id="3"/>
    <w:bookmarkEnd w:id="4"/>
    <w:bookmarkEnd w:id="5"/>
    <w:p w14:paraId="6C44A0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lang w:eastAsia="zh-CN"/>
        </w:rPr>
        <w:fldChar w:fldCharType="begin"/>
      </w:r>
      <w:r>
        <w:rPr>
          <w:rFonts w:hint="eastAsia"/>
          <w:sz w:val="24"/>
          <w:szCs w:val="24"/>
          <w:lang w:eastAsia="zh-CN"/>
        </w:rPr>
        <w:instrText xml:space="preserve"> HYPERLINK \l _Toc18176 </w:instrText>
      </w:r>
      <w:r>
        <w:rPr>
          <w:rFonts w:hint="eastAsia"/>
          <w:sz w:val="24"/>
          <w:szCs w:val="24"/>
          <w:lang w:eastAsia="zh-CN"/>
        </w:rPr>
        <w:fldChar w:fldCharType="separate"/>
      </w:r>
      <w:r>
        <w:rPr>
          <w:rFonts w:hint="eastAsia"/>
          <w:sz w:val="24"/>
          <w:szCs w:val="24"/>
        </w:rPr>
        <w:t>附</w:t>
      </w:r>
      <w:r>
        <w:rPr>
          <w:rFonts w:hint="eastAsia"/>
          <w:sz w:val="24"/>
          <w:szCs w:val="24"/>
          <w:lang w:eastAsia="zh-CN"/>
        </w:rPr>
        <w:t>图</w:t>
      </w:r>
      <w:r>
        <w:rPr>
          <w:rFonts w:hint="eastAsia"/>
          <w:sz w:val="24"/>
          <w:szCs w:val="24"/>
          <w:lang w:val="en-US" w:eastAsia="zh-CN"/>
        </w:rPr>
        <w:t>1</w:t>
      </w:r>
      <w:r>
        <w:rPr>
          <w:rFonts w:hint="eastAsia"/>
          <w:sz w:val="24"/>
          <w:szCs w:val="24"/>
        </w:rPr>
        <w:t>：</w:t>
      </w:r>
      <w:r>
        <w:rPr>
          <w:rFonts w:hint="eastAsia"/>
          <w:sz w:val="24"/>
          <w:szCs w:val="24"/>
          <w:lang w:eastAsia="zh-CN"/>
        </w:rPr>
        <w:t>项目地理位置图</w:t>
      </w:r>
      <w:r>
        <w:rPr>
          <w:sz w:val="24"/>
          <w:szCs w:val="24"/>
        </w:rPr>
        <w:tab/>
      </w:r>
      <w:r>
        <w:rPr>
          <w:rFonts w:hint="eastAsia"/>
          <w:sz w:val="24"/>
          <w:szCs w:val="24"/>
          <w:lang w:eastAsia="zh-CN"/>
        </w:rPr>
        <w:fldChar w:fldCharType="end"/>
      </w:r>
    </w:p>
    <w:p w14:paraId="649CEB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u w:val="single"/>
          <w:lang w:eastAsia="zh-CN"/>
        </w:rPr>
      </w:pPr>
      <w:r>
        <w:rPr>
          <w:rFonts w:hint="eastAsia" w:ascii="Times New Roman" w:hAnsi="Times New Roman" w:eastAsia="宋体" w:cs="Times New Roman"/>
          <w:sz w:val="24"/>
          <w:szCs w:val="24"/>
          <w:u w:val="single"/>
          <w:lang w:eastAsia="zh-CN"/>
        </w:rPr>
        <w:t>附图</w:t>
      </w:r>
      <w:r>
        <w:rPr>
          <w:rFonts w:hint="eastAsia" w:ascii="Times New Roman" w:hAnsi="Times New Roman" w:eastAsia="宋体" w:cs="Times New Roman"/>
          <w:sz w:val="24"/>
          <w:szCs w:val="24"/>
          <w:u w:val="single"/>
          <w:lang w:val="en-US" w:eastAsia="zh-CN"/>
        </w:rPr>
        <w:t>2</w:t>
      </w:r>
      <w:r>
        <w:rPr>
          <w:rFonts w:hint="eastAsia" w:ascii="Times New Roman" w:hAnsi="Times New Roman" w:eastAsia="宋体" w:cs="Times New Roman"/>
          <w:sz w:val="24"/>
          <w:szCs w:val="24"/>
          <w:u w:val="single"/>
          <w:lang w:eastAsia="zh-CN"/>
        </w:rPr>
        <w:t>：项目总平面布置图</w:t>
      </w:r>
    </w:p>
    <w:p w14:paraId="7070B4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lang w:eastAsia="zh-CN"/>
        </w:rPr>
        <w:fldChar w:fldCharType="begin"/>
      </w:r>
      <w:r>
        <w:rPr>
          <w:rFonts w:hint="eastAsia"/>
          <w:sz w:val="24"/>
          <w:szCs w:val="24"/>
          <w:lang w:eastAsia="zh-CN"/>
        </w:rPr>
        <w:instrText xml:space="preserve"> HYPERLINK \l _Toc23122 </w:instrText>
      </w:r>
      <w:r>
        <w:rPr>
          <w:rFonts w:hint="eastAsia"/>
          <w:sz w:val="24"/>
          <w:szCs w:val="24"/>
          <w:lang w:eastAsia="zh-CN"/>
        </w:rPr>
        <w:fldChar w:fldCharType="separate"/>
      </w:r>
      <w:r>
        <w:rPr>
          <w:rFonts w:hint="eastAsia"/>
          <w:sz w:val="24"/>
          <w:szCs w:val="24"/>
        </w:rPr>
        <w:t>附</w:t>
      </w:r>
      <w:r>
        <w:rPr>
          <w:rFonts w:hint="eastAsia"/>
          <w:sz w:val="24"/>
          <w:szCs w:val="24"/>
          <w:lang w:eastAsia="zh-CN"/>
        </w:rPr>
        <w:t>图</w:t>
      </w:r>
      <w:r>
        <w:rPr>
          <w:rFonts w:hint="eastAsia"/>
          <w:sz w:val="24"/>
          <w:szCs w:val="24"/>
          <w:lang w:val="en-US" w:eastAsia="zh-CN"/>
        </w:rPr>
        <w:t>3</w:t>
      </w:r>
      <w:r>
        <w:rPr>
          <w:rFonts w:hint="eastAsia"/>
          <w:sz w:val="24"/>
          <w:szCs w:val="24"/>
        </w:rPr>
        <w:t>：</w:t>
      </w:r>
      <w:r>
        <w:rPr>
          <w:rFonts w:hint="eastAsia"/>
          <w:sz w:val="24"/>
          <w:szCs w:val="24"/>
          <w:lang w:eastAsia="zh-CN"/>
        </w:rPr>
        <w:t>项目环境保护目标图</w:t>
      </w:r>
      <w:r>
        <w:rPr>
          <w:sz w:val="24"/>
          <w:szCs w:val="24"/>
        </w:rPr>
        <w:tab/>
      </w:r>
      <w:r>
        <w:rPr>
          <w:rFonts w:hint="eastAsia"/>
          <w:sz w:val="24"/>
          <w:szCs w:val="24"/>
          <w:lang w:eastAsia="zh-CN"/>
        </w:rPr>
        <w:fldChar w:fldCharType="end"/>
      </w:r>
    </w:p>
    <w:p w14:paraId="57D1C7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附图4：引用监测布点示意图</w:t>
      </w:r>
    </w:p>
    <w:p w14:paraId="41D94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附图5：湖南省生态分区管控智慧服务平台截图</w:t>
      </w:r>
    </w:p>
    <w:p w14:paraId="5A6C06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附图6：项目分区防渗图</w:t>
      </w:r>
    </w:p>
    <w:p w14:paraId="731E44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u w:val="single"/>
          <w:lang w:val="en-US" w:eastAsia="zh-CN"/>
        </w:rPr>
        <w:t>附图7：项目周边水系及水环境保护目标图</w:t>
      </w:r>
    </w:p>
    <w:p w14:paraId="5AE360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lang w:val="en-US" w:eastAsia="zh-CN"/>
        </w:rPr>
        <w:t>附图8：中方工业集中区总体规划(2020-2035)--泸阳片区土地利用规划图</w:t>
      </w:r>
    </w:p>
    <w:p w14:paraId="220FBE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lang w:val="en-US" w:eastAsia="zh-CN"/>
        </w:rPr>
        <w:t>附图9：中方工业集中区总体规划(2020-2035)--泸阳片区污水管网规划图</w:t>
      </w:r>
    </w:p>
    <w:p w14:paraId="1DE7BE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lang w:val="en-US" w:eastAsia="zh-CN"/>
        </w:rPr>
      </w:pPr>
      <w:r>
        <w:rPr>
          <w:rFonts w:hint="eastAsia"/>
          <w:sz w:val="24"/>
          <w:szCs w:val="24"/>
          <w:u w:val="single"/>
          <w:lang w:val="en-US" w:eastAsia="zh-CN"/>
        </w:rPr>
        <w:t>附图10：项目四至图</w:t>
      </w:r>
    </w:p>
    <w:p w14:paraId="6E29EA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lang w:val="en-US" w:eastAsia="zh-CN"/>
        </w:rPr>
      </w:pPr>
      <w:r>
        <w:rPr>
          <w:rFonts w:hint="eastAsia"/>
          <w:sz w:val="24"/>
          <w:szCs w:val="24"/>
          <w:u w:val="single"/>
          <w:lang w:val="en-US" w:eastAsia="zh-CN"/>
        </w:rPr>
        <w:t>附图11：项目废气路径走向图</w:t>
      </w:r>
    </w:p>
    <w:p w14:paraId="7A5E1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highlight w:val="none"/>
          <w:u w:val="none" w:color="auto"/>
          <w:lang w:val="en-US" w:eastAsia="zh-CN"/>
          <w14:textFill>
            <w14:solidFill>
              <w14:schemeClr w14:val="tx1"/>
            </w14:solidFill>
          </w14:textFill>
        </w:rPr>
      </w:pPr>
      <w:r>
        <w:rPr>
          <w:rFonts w:hint="eastAsia"/>
          <w:sz w:val="24"/>
          <w:szCs w:val="24"/>
          <w:lang w:eastAsia="zh-CN"/>
        </w:rPr>
        <w:fldChar w:fldCharType="begin"/>
      </w:r>
      <w:r>
        <w:rPr>
          <w:rFonts w:hint="eastAsia"/>
          <w:sz w:val="24"/>
          <w:szCs w:val="24"/>
          <w:lang w:eastAsia="zh-CN"/>
        </w:rPr>
        <w:instrText xml:space="preserve"> HYPERLINK \l _Toc29672 </w:instrText>
      </w:r>
      <w:r>
        <w:rPr>
          <w:rFonts w:hint="eastAsia"/>
          <w:sz w:val="24"/>
          <w:szCs w:val="24"/>
          <w:lang w:eastAsia="zh-CN"/>
        </w:rPr>
        <w:fldChar w:fldCharType="separate"/>
      </w:r>
      <w:r>
        <w:rPr>
          <w:rFonts w:hint="eastAsia"/>
          <w:sz w:val="24"/>
          <w:szCs w:val="24"/>
          <w:lang w:eastAsia="zh-CN"/>
        </w:rPr>
        <w:t>附</w:t>
      </w:r>
      <w:r>
        <w:rPr>
          <w:rFonts w:hint="eastAsia"/>
          <w:sz w:val="24"/>
          <w:szCs w:val="24"/>
          <w:lang w:val="en-US" w:eastAsia="zh-CN"/>
        </w:rPr>
        <w:t>图12</w:t>
      </w:r>
      <w:r>
        <w:rPr>
          <w:rFonts w:hint="eastAsia"/>
          <w:sz w:val="24"/>
          <w:szCs w:val="24"/>
          <w:lang w:eastAsia="zh-CN"/>
        </w:rPr>
        <w:t>：项目</w:t>
      </w:r>
      <w:r>
        <w:rPr>
          <w:rFonts w:hint="eastAsia"/>
          <w:sz w:val="24"/>
          <w:szCs w:val="24"/>
          <w:lang w:val="en-US" w:eastAsia="zh-CN"/>
        </w:rPr>
        <w:t>现场</w:t>
      </w:r>
      <w:r>
        <w:rPr>
          <w:rFonts w:hint="eastAsia"/>
          <w:sz w:val="24"/>
          <w:szCs w:val="24"/>
          <w:lang w:eastAsia="zh-CN"/>
        </w:rPr>
        <w:fldChar w:fldCharType="end"/>
      </w:r>
      <w:r>
        <w:rPr>
          <w:rFonts w:hint="eastAsia"/>
          <w:sz w:val="24"/>
          <w:szCs w:val="24"/>
          <w:lang w:val="en-US" w:eastAsia="zh-CN"/>
        </w:rPr>
        <w:t>情况</w:t>
      </w:r>
    </w:p>
    <w:p w14:paraId="15D239A2">
      <w:pPr>
        <w:pStyle w:val="3"/>
        <w:jc w:val="center"/>
        <w:rPr>
          <w:rStyle w:val="38"/>
          <w:rFonts w:eastAsia="宋体"/>
          <w:b/>
          <w:bCs/>
          <w:color w:val="000000" w:themeColor="text1"/>
          <w:highlight w:val="yellow"/>
          <w:u w:val="none" w:color="auto"/>
          <w14:textFill>
            <w14:solidFill>
              <w14:schemeClr w14:val="tx1"/>
            </w14:solidFill>
          </w14:textFill>
        </w:rPr>
        <w:sectPr>
          <w:footerReference r:id="rId5" w:type="default"/>
          <w:pgSz w:w="11906" w:h="16838"/>
          <w:pgMar w:top="1587"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008CA3DE">
      <w:pPr>
        <w:pStyle w:val="3"/>
        <w:jc w:val="center"/>
        <w:rPr>
          <w:rStyle w:val="38"/>
          <w:rFonts w:eastAsia="宋体"/>
          <w:b/>
          <w:bCs/>
          <w:color w:val="000000" w:themeColor="text1"/>
          <w:u w:val="none" w:color="auto"/>
          <w14:textFill>
            <w14:solidFill>
              <w14:schemeClr w14:val="tx1"/>
            </w14:solidFill>
          </w14:textFill>
        </w:rPr>
      </w:pPr>
      <w:bookmarkStart w:id="6" w:name="_Toc20656"/>
      <w:r>
        <w:rPr>
          <w:rStyle w:val="38"/>
          <w:rFonts w:eastAsia="宋体"/>
          <w:b/>
          <w:bCs/>
          <w:color w:val="000000" w:themeColor="text1"/>
          <w:u w:val="none" w:color="auto"/>
          <w14:textFill>
            <w14:solidFill>
              <w14:schemeClr w14:val="tx1"/>
            </w14:solidFill>
          </w14:textFill>
        </w:rPr>
        <w:t>一、建设项目基本情况</w:t>
      </w:r>
      <w:bookmarkEnd w:id="6"/>
    </w:p>
    <w:tbl>
      <w:tblPr>
        <w:tblStyle w:val="33"/>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51"/>
        <w:gridCol w:w="2179"/>
        <w:gridCol w:w="2427"/>
        <w:gridCol w:w="4077"/>
        <w:gridCol w:w="36"/>
      </w:tblGrid>
      <w:tr w14:paraId="65208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8" w:type="pct"/>
          <w:trHeight w:val="497" w:hRule="atLeast"/>
          <w:jc w:val="center"/>
        </w:trPr>
        <w:tc>
          <w:tcPr>
            <w:tcW w:w="538" w:type="pct"/>
            <w:tcMar>
              <w:top w:w="16" w:type="dxa"/>
              <w:left w:w="16" w:type="dxa"/>
              <w:right w:w="16" w:type="dxa"/>
            </w:tcMar>
            <w:vAlign w:val="center"/>
          </w:tcPr>
          <w:p w14:paraId="43437624">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建设项目名称</w:t>
            </w:r>
          </w:p>
        </w:tc>
        <w:tc>
          <w:tcPr>
            <w:tcW w:w="4443" w:type="pct"/>
            <w:gridSpan w:val="3"/>
            <w:vAlign w:val="center"/>
          </w:tcPr>
          <w:p w14:paraId="2EC4C776">
            <w:pPr>
              <w:adjustRightInd w:val="0"/>
              <w:snapToGrid w:val="0"/>
              <w:jc w:val="center"/>
              <w:rPr>
                <w:rFonts w:hint="default"/>
                <w:color w:val="000000" w:themeColor="text1"/>
                <w:u w:val="none" w:color="auto"/>
                <w:lang w:val="en-US"/>
                <w14:textFill>
                  <w14:solidFill>
                    <w14:schemeClr w14:val="tx1"/>
                  </w14:solidFill>
                </w14:textFill>
              </w:rPr>
            </w:pPr>
            <w:r>
              <w:rPr>
                <w:rFonts w:hint="eastAsia" w:cs="Times New Roman"/>
                <w:sz w:val="24"/>
                <w:szCs w:val="24"/>
                <w:lang w:val="en-US" w:eastAsia="zh-CN"/>
              </w:rPr>
              <w:t>年产1200万只电子变压器生产线项目</w:t>
            </w:r>
          </w:p>
        </w:tc>
      </w:tr>
      <w:tr w14:paraId="294C23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8" w:type="pct"/>
          <w:trHeight w:val="332" w:hRule="atLeast"/>
          <w:jc w:val="center"/>
        </w:trPr>
        <w:tc>
          <w:tcPr>
            <w:tcW w:w="538" w:type="pct"/>
            <w:tcMar>
              <w:top w:w="16" w:type="dxa"/>
              <w:left w:w="16" w:type="dxa"/>
              <w:right w:w="16" w:type="dxa"/>
            </w:tcMar>
            <w:vAlign w:val="center"/>
          </w:tcPr>
          <w:p w14:paraId="5B79E5DE">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项目代码</w:t>
            </w:r>
          </w:p>
        </w:tc>
        <w:tc>
          <w:tcPr>
            <w:tcW w:w="4443" w:type="pct"/>
            <w:gridSpan w:val="3"/>
            <w:vAlign w:val="center"/>
          </w:tcPr>
          <w:p w14:paraId="09BC967F">
            <w:pPr>
              <w:adjustRightInd w:val="0"/>
              <w:snapToGrid w:val="0"/>
              <w:jc w:val="center"/>
              <w:rPr>
                <w:rFonts w:hint="default" w:eastAsia="宋体"/>
                <w:color w:val="000000" w:themeColor="text1"/>
                <w:u w:val="none" w:color="auto"/>
                <w:lang w:val="en-US" w:eastAsia="zh-CN"/>
                <w14:textFill>
                  <w14:solidFill>
                    <w14:schemeClr w14:val="tx1"/>
                  </w14:solidFill>
                </w14:textFill>
              </w:rPr>
            </w:pPr>
            <w:r>
              <w:rPr>
                <w:rFonts w:hint="eastAsia" w:cs="Times New Roman"/>
                <w:color w:val="auto"/>
                <w:sz w:val="24"/>
                <w:szCs w:val="24"/>
                <w:lang w:val="en-US" w:eastAsia="zh-CN"/>
              </w:rPr>
              <w:t>2607-431221-04-01-716057</w:t>
            </w:r>
          </w:p>
        </w:tc>
      </w:tr>
      <w:tr w14:paraId="1B123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8" w:type="pct"/>
          <w:trHeight w:val="514" w:hRule="atLeast"/>
          <w:jc w:val="center"/>
        </w:trPr>
        <w:tc>
          <w:tcPr>
            <w:tcW w:w="538" w:type="pct"/>
            <w:tcMar>
              <w:top w:w="16" w:type="dxa"/>
              <w:left w:w="16" w:type="dxa"/>
              <w:right w:w="16" w:type="dxa"/>
            </w:tcMar>
            <w:vAlign w:val="center"/>
          </w:tcPr>
          <w:p w14:paraId="48F31C76">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建设单位联系人</w:t>
            </w:r>
          </w:p>
        </w:tc>
        <w:tc>
          <w:tcPr>
            <w:tcW w:w="1115" w:type="pct"/>
            <w:vAlign w:val="center"/>
          </w:tcPr>
          <w:p w14:paraId="7426E0EF">
            <w:pPr>
              <w:adjustRightInd w:val="0"/>
              <w:snapToGrid w:val="0"/>
              <w:jc w:val="center"/>
              <w:rPr>
                <w:rFonts w:hint="eastAsia" w:eastAsia="宋体"/>
                <w:color w:val="000000" w:themeColor="text1"/>
                <w:u w:val="none" w:color="auto"/>
                <w:lang w:eastAsia="zh-CN"/>
                <w14:textFill>
                  <w14:solidFill>
                    <w14:schemeClr w14:val="tx1"/>
                  </w14:solidFill>
                </w14:textFill>
              </w:rPr>
            </w:pPr>
            <w:r>
              <w:rPr>
                <w:rFonts w:hint="eastAsia" w:ascii="宋体" w:hAnsi="宋体" w:cs="宋体"/>
                <w:sz w:val="24"/>
                <w:szCs w:val="24"/>
                <w:lang w:val="en-US" w:eastAsia="zh-CN"/>
              </w:rPr>
              <w:t>谭彪</w:t>
            </w:r>
          </w:p>
        </w:tc>
        <w:tc>
          <w:tcPr>
            <w:tcW w:w="1242" w:type="pct"/>
            <w:vAlign w:val="center"/>
          </w:tcPr>
          <w:p w14:paraId="18250615">
            <w:pPr>
              <w:adjustRightInd w:val="0"/>
              <w:snapToGrid w:val="0"/>
              <w:jc w:val="center"/>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联系方式</w:t>
            </w:r>
          </w:p>
        </w:tc>
        <w:tc>
          <w:tcPr>
            <w:tcW w:w="2084" w:type="pct"/>
            <w:vAlign w:val="center"/>
          </w:tcPr>
          <w:p w14:paraId="77E706D0">
            <w:pPr>
              <w:adjustRightInd w:val="0"/>
              <w:snapToGrid w:val="0"/>
              <w:jc w:val="center"/>
              <w:rPr>
                <w:rFonts w:hint="default" w:eastAsia="宋体"/>
                <w:color w:val="000000" w:themeColor="text1"/>
                <w:u w:val="none" w:color="auto"/>
                <w:lang w:val="en-US" w:eastAsia="zh-CN"/>
                <w14:textFill>
                  <w14:solidFill>
                    <w14:schemeClr w14:val="tx1"/>
                  </w14:solidFill>
                </w14:textFill>
              </w:rPr>
            </w:pPr>
            <w:r>
              <w:rPr>
                <w:rFonts w:hint="eastAsia" w:cs="Times New Roman"/>
                <w:sz w:val="24"/>
                <w:szCs w:val="24"/>
                <w:lang w:val="en-US" w:eastAsia="zh-CN"/>
              </w:rPr>
              <w:t>1777451****</w:t>
            </w:r>
          </w:p>
        </w:tc>
      </w:tr>
      <w:tr w14:paraId="59FD3E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8" w:type="pct"/>
          <w:trHeight w:val="497" w:hRule="atLeast"/>
          <w:jc w:val="center"/>
        </w:trPr>
        <w:tc>
          <w:tcPr>
            <w:tcW w:w="538" w:type="pct"/>
            <w:tcMar>
              <w:top w:w="16" w:type="dxa"/>
              <w:left w:w="16" w:type="dxa"/>
              <w:right w:w="16" w:type="dxa"/>
            </w:tcMar>
            <w:vAlign w:val="center"/>
          </w:tcPr>
          <w:p w14:paraId="5608D7D1">
            <w:pPr>
              <w:jc w:val="center"/>
              <w:rPr>
                <w:rFonts w:hint="eastAsia" w:ascii="Times New Roman" w:hAnsi="Times New Roman" w:eastAsia="宋体" w:cs="Times New Roman"/>
                <w:color w:val="000000" w:themeColor="text1"/>
                <w:sz w:val="24"/>
                <w:u w:val="none" w:color="auto"/>
                <w:lang w:eastAsia="zh-CN"/>
                <w14:textFill>
                  <w14:solidFill>
                    <w14:schemeClr w14:val="tx1"/>
                  </w14:solidFill>
                </w14:textFill>
              </w:rPr>
            </w:pPr>
            <w:r>
              <w:rPr>
                <w:rFonts w:hint="eastAsia" w:ascii="Times New Roman" w:hAnsi="Times New Roman" w:eastAsia="宋体" w:cs="Times New Roman"/>
                <w:color w:val="000000" w:themeColor="text1"/>
                <w:sz w:val="24"/>
                <w:u w:val="none" w:color="auto"/>
                <w:lang w:eastAsia="zh-CN"/>
                <w14:textFill>
                  <w14:solidFill>
                    <w14:schemeClr w14:val="tx1"/>
                  </w14:solidFill>
                </w14:textFill>
              </w:rPr>
              <w:t>建设地点</w:t>
            </w:r>
          </w:p>
        </w:tc>
        <w:tc>
          <w:tcPr>
            <w:tcW w:w="4443" w:type="pct"/>
            <w:gridSpan w:val="3"/>
            <w:vAlign w:val="center"/>
          </w:tcPr>
          <w:p w14:paraId="650F1532">
            <w:pPr>
              <w:jc w:val="cente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pPr>
            <w:r>
              <w:rPr>
                <w:rFonts w:hint="eastAsia" w:cs="Times New Roman"/>
                <w:color w:val="000000" w:themeColor="text1"/>
                <w:sz w:val="24"/>
                <w:szCs w:val="24"/>
                <w:u w:val="single"/>
                <w:lang w:val="en-US" w:eastAsia="zh-CN"/>
                <w14:textFill>
                  <w14:solidFill>
                    <w14:schemeClr w14:val="tx1"/>
                  </w14:solidFill>
                </w14:textFill>
              </w:rPr>
              <w:t>怀化市高新技术产业开发区管理委员会中方片区管理办公室泸阳片区（众力创新园1栋南区第2层）</w:t>
            </w:r>
          </w:p>
        </w:tc>
      </w:tr>
      <w:tr w14:paraId="06FBC3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8" w:type="pct"/>
          <w:trHeight w:val="303" w:hRule="atLeast"/>
          <w:jc w:val="center"/>
        </w:trPr>
        <w:tc>
          <w:tcPr>
            <w:tcW w:w="538" w:type="pct"/>
            <w:tcMar>
              <w:top w:w="16" w:type="dxa"/>
              <w:left w:w="16" w:type="dxa"/>
              <w:right w:w="16" w:type="dxa"/>
            </w:tcMar>
            <w:vAlign w:val="center"/>
          </w:tcPr>
          <w:p w14:paraId="047881A3">
            <w:pPr>
              <w:adjustRightInd w:val="0"/>
              <w:snapToGrid w:val="0"/>
              <w:jc w:val="center"/>
              <w:rPr>
                <w:color w:val="000000" w:themeColor="text1"/>
                <w:u w:val="none" w:color="auto"/>
                <w14:textFill>
                  <w14:solidFill>
                    <w14:schemeClr w14:val="tx1"/>
                  </w14:solidFill>
                </w14:textFill>
              </w:rPr>
            </w:pPr>
            <w:bookmarkStart w:id="7" w:name="_Hlk70624142"/>
            <w:r>
              <w:rPr>
                <w:color w:val="000000" w:themeColor="text1"/>
                <w:u w:val="none" w:color="auto"/>
                <w14:textFill>
                  <w14:solidFill>
                    <w14:schemeClr w14:val="tx1"/>
                  </w14:solidFill>
                </w14:textFill>
              </w:rPr>
              <w:t>地理坐标</w:t>
            </w:r>
          </w:p>
        </w:tc>
        <w:tc>
          <w:tcPr>
            <w:tcW w:w="4443" w:type="pct"/>
            <w:gridSpan w:val="3"/>
            <w:vAlign w:val="center"/>
          </w:tcPr>
          <w:p w14:paraId="3343B62F">
            <w:pPr>
              <w:jc w:val="center"/>
              <w:rPr>
                <w:color w:val="000000" w:themeColor="text1"/>
                <w:u w:val="none" w:color="auto"/>
                <w14:textFill>
                  <w14:solidFill>
                    <w14:schemeClr w14:val="tx1"/>
                  </w14:solidFill>
                </w14:textFill>
              </w:rPr>
            </w:pPr>
            <w:r>
              <w:rPr>
                <w:rFonts w:hint="eastAsia" w:ascii="宋体" w:hAnsi="宋体" w:cs="宋体"/>
                <w:sz w:val="24"/>
                <w:szCs w:val="24"/>
              </w:rPr>
              <w:t>（</w:t>
            </w:r>
            <w:r>
              <w:rPr>
                <w:rFonts w:hint="default" w:ascii="Times New Roman" w:hAnsi="Times New Roman" w:cs="Times New Roman"/>
                <w:sz w:val="24"/>
                <w:szCs w:val="24"/>
                <w:u w:val="single"/>
                <w:lang w:val="en-US" w:eastAsia="zh-CN"/>
              </w:rPr>
              <w:t>2</w:t>
            </w:r>
            <w:r>
              <w:rPr>
                <w:rFonts w:hint="eastAsia" w:cs="Times New Roman"/>
                <w:sz w:val="24"/>
                <w:szCs w:val="24"/>
                <w:u w:val="single"/>
                <w:lang w:val="en-US" w:eastAsia="zh-CN"/>
              </w:rPr>
              <w:t>7</w:t>
            </w:r>
            <w:r>
              <w:rPr>
                <w:rFonts w:hint="eastAsia" w:ascii="宋体" w:hAnsi="宋体" w:cs="宋体"/>
                <w:sz w:val="24"/>
                <w:szCs w:val="24"/>
              </w:rPr>
              <w:t>度</w:t>
            </w:r>
            <w:r>
              <w:rPr>
                <w:rFonts w:hint="eastAsia" w:cs="Times New Roman"/>
                <w:sz w:val="24"/>
                <w:szCs w:val="24"/>
                <w:u w:val="single"/>
                <w:lang w:val="en-US" w:eastAsia="zh-CN"/>
              </w:rPr>
              <w:t>38</w:t>
            </w:r>
            <w:r>
              <w:rPr>
                <w:rFonts w:hint="eastAsia" w:ascii="宋体" w:hAnsi="宋体" w:cs="宋体"/>
                <w:sz w:val="24"/>
                <w:szCs w:val="24"/>
              </w:rPr>
              <w:t>分</w:t>
            </w:r>
            <w:r>
              <w:rPr>
                <w:rFonts w:hint="eastAsia" w:cs="Times New Roman"/>
                <w:sz w:val="24"/>
                <w:szCs w:val="24"/>
                <w:u w:val="single"/>
                <w:lang w:val="en-US" w:eastAsia="zh-CN"/>
              </w:rPr>
              <w:t>56.713</w:t>
            </w:r>
            <w:r>
              <w:rPr>
                <w:rFonts w:hint="eastAsia" w:ascii="宋体" w:hAnsi="宋体" w:cs="宋体"/>
                <w:sz w:val="24"/>
                <w:szCs w:val="24"/>
              </w:rPr>
              <w:t>秒</w:t>
            </w:r>
            <w:r>
              <w:rPr>
                <w:rFonts w:hint="default" w:ascii="Times New Roman" w:hAnsi="Times New Roman" w:cs="Times New Roman"/>
                <w:sz w:val="24"/>
                <w:szCs w:val="24"/>
                <w:lang w:val="en-US" w:eastAsia="zh-CN"/>
              </w:rPr>
              <w:t>N</w:t>
            </w:r>
            <w:r>
              <w:rPr>
                <w:rFonts w:hint="eastAsia" w:ascii="宋体" w:hAnsi="宋体" w:cs="宋体"/>
                <w:sz w:val="24"/>
                <w:szCs w:val="24"/>
              </w:rPr>
              <w:t>，</w:t>
            </w:r>
            <w:r>
              <w:rPr>
                <w:rFonts w:hint="default" w:ascii="Times New Roman" w:hAnsi="Times New Roman" w:cs="Times New Roman"/>
                <w:sz w:val="24"/>
                <w:szCs w:val="24"/>
                <w:u w:val="single"/>
                <w:lang w:val="en-US" w:eastAsia="zh-CN"/>
              </w:rPr>
              <w:t>11</w:t>
            </w:r>
            <w:r>
              <w:rPr>
                <w:rFonts w:hint="eastAsia" w:cs="Times New Roman"/>
                <w:sz w:val="24"/>
                <w:szCs w:val="24"/>
                <w:u w:val="single"/>
                <w:lang w:val="en-US" w:eastAsia="zh-CN"/>
              </w:rPr>
              <w:t>0</w:t>
            </w:r>
            <w:r>
              <w:rPr>
                <w:rFonts w:hint="eastAsia" w:ascii="宋体" w:hAnsi="宋体" w:cs="宋体"/>
                <w:sz w:val="24"/>
                <w:szCs w:val="24"/>
              </w:rPr>
              <w:t>度</w:t>
            </w:r>
            <w:r>
              <w:rPr>
                <w:rFonts w:hint="eastAsia" w:cs="Times New Roman"/>
                <w:sz w:val="24"/>
                <w:szCs w:val="24"/>
                <w:u w:val="single"/>
                <w:lang w:val="en-US" w:eastAsia="zh-CN"/>
              </w:rPr>
              <w:t>7</w:t>
            </w:r>
            <w:r>
              <w:rPr>
                <w:rFonts w:hint="eastAsia" w:ascii="宋体" w:hAnsi="宋体" w:cs="宋体"/>
                <w:sz w:val="24"/>
                <w:szCs w:val="24"/>
              </w:rPr>
              <w:t>分</w:t>
            </w:r>
            <w:r>
              <w:rPr>
                <w:rFonts w:hint="default" w:ascii="Times New Roman" w:hAnsi="Times New Roman" w:cs="Times New Roman"/>
                <w:sz w:val="24"/>
                <w:szCs w:val="24"/>
                <w:u w:val="single"/>
                <w:lang w:val="en-US" w:eastAsia="zh-CN"/>
              </w:rPr>
              <w:t>29.548</w:t>
            </w:r>
            <w:r>
              <w:rPr>
                <w:rFonts w:hint="eastAsia" w:ascii="宋体" w:hAnsi="宋体" w:cs="宋体"/>
                <w:sz w:val="24"/>
                <w:szCs w:val="24"/>
              </w:rPr>
              <w:t>秒</w:t>
            </w:r>
            <w:r>
              <w:rPr>
                <w:rFonts w:hint="default" w:ascii="Times New Roman" w:hAnsi="Times New Roman" w:cs="Times New Roman"/>
                <w:sz w:val="24"/>
                <w:szCs w:val="24"/>
                <w:lang w:val="en-US" w:eastAsia="zh-CN"/>
              </w:rPr>
              <w:t>E</w:t>
            </w:r>
            <w:r>
              <w:rPr>
                <w:rFonts w:hint="eastAsia" w:ascii="宋体" w:hAnsi="宋体" w:cs="宋体"/>
                <w:sz w:val="24"/>
                <w:szCs w:val="24"/>
              </w:rPr>
              <w:t>）</w:t>
            </w:r>
          </w:p>
        </w:tc>
      </w:tr>
      <w:bookmarkEnd w:id="7"/>
      <w:tr w14:paraId="5BCBB0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8" w:type="pct"/>
          <w:trHeight w:val="90" w:hRule="atLeast"/>
          <w:jc w:val="center"/>
        </w:trPr>
        <w:tc>
          <w:tcPr>
            <w:tcW w:w="538" w:type="pct"/>
            <w:tcMar>
              <w:top w:w="16" w:type="dxa"/>
              <w:left w:w="16" w:type="dxa"/>
              <w:right w:w="16" w:type="dxa"/>
            </w:tcMar>
            <w:vAlign w:val="center"/>
          </w:tcPr>
          <w:p w14:paraId="067D4B8D">
            <w:pPr>
              <w:jc w:val="center"/>
              <w:rPr>
                <w:color w:val="000000" w:themeColor="text1"/>
                <w:u w:val="none" w:color="auto"/>
                <w14:textFill>
                  <w14:solidFill>
                    <w14:schemeClr w14:val="tx1"/>
                  </w14:solidFill>
                </w14:textFill>
              </w:rPr>
            </w:pPr>
            <w:r>
              <w:rPr>
                <w:u w:val="none" w:color="auto"/>
              </w:rPr>
              <w:t>国民经济</w:t>
            </w:r>
            <w:r>
              <w:rPr>
                <w:color w:val="000000" w:themeColor="text1"/>
                <w:u w:val="none" w:color="auto"/>
                <w14:textFill>
                  <w14:solidFill>
                    <w14:schemeClr w14:val="tx1"/>
                  </w14:solidFill>
                </w14:textFill>
              </w:rPr>
              <w:t>行业类别</w:t>
            </w:r>
          </w:p>
        </w:tc>
        <w:tc>
          <w:tcPr>
            <w:tcW w:w="1115" w:type="pct"/>
            <w:vAlign w:val="center"/>
          </w:tcPr>
          <w:p w14:paraId="066CC2BD">
            <w:pPr>
              <w:jc w:val="center"/>
              <w:textAlignment w:val="center"/>
              <w:rPr>
                <w:rFonts w:hint="default" w:ascii="Times New Roman" w:hAnsi="Times New Roman" w:eastAsia="宋体"/>
                <w:b w:val="0"/>
                <w:color w:val="000000" w:themeColor="text1"/>
                <w:u w:val="none" w:color="auto"/>
                <w:lang w:val="en-US" w:eastAsia="zh-CN"/>
                <w14:textFill>
                  <w14:solidFill>
                    <w14:schemeClr w14:val="tx1"/>
                  </w14:solidFill>
                </w14:textFill>
              </w:rPr>
            </w:pPr>
            <w:r>
              <w:rPr>
                <w:rFonts w:hint="default" w:ascii="Times New Roman" w:hAnsi="Times New Roman" w:cs="Times New Roman"/>
                <w:color w:val="auto"/>
                <w:sz w:val="24"/>
              </w:rPr>
              <w:t>C3</w:t>
            </w:r>
            <w:r>
              <w:rPr>
                <w:rFonts w:hint="eastAsia" w:cs="Times New Roman"/>
                <w:color w:val="auto"/>
                <w:sz w:val="24"/>
                <w:lang w:val="en-US" w:eastAsia="zh-CN"/>
              </w:rPr>
              <w:t>981电阻电容电感</w:t>
            </w:r>
            <w:r>
              <w:rPr>
                <w:rFonts w:hint="default" w:ascii="Times New Roman" w:hAnsi="Times New Roman" w:cs="Times New Roman"/>
                <w:color w:val="auto"/>
                <w:sz w:val="24"/>
              </w:rPr>
              <w:t>制造</w:t>
            </w:r>
          </w:p>
        </w:tc>
        <w:tc>
          <w:tcPr>
            <w:tcW w:w="1242" w:type="pct"/>
            <w:vAlign w:val="center"/>
          </w:tcPr>
          <w:p w14:paraId="3FEA9444">
            <w:pPr>
              <w:adjustRightInd w:val="0"/>
              <w:snapToGrid w:val="0"/>
              <w:jc w:val="center"/>
              <w:rPr>
                <w:rFonts w:hint="eastAsia" w:ascii="宋体" w:hAnsi="宋体" w:eastAsia="宋体" w:cs="宋体"/>
                <w:color w:val="000000" w:themeColor="text1"/>
                <w:u w:val="none" w:color="auto"/>
                <w14:textFill>
                  <w14:solidFill>
                    <w14:schemeClr w14:val="tx1"/>
                  </w14:solidFill>
                </w14:textFill>
              </w:rPr>
            </w:pPr>
            <w:bookmarkStart w:id="8" w:name="_Hlk49843745"/>
            <w:r>
              <w:rPr>
                <w:rFonts w:hint="eastAsia" w:ascii="宋体" w:hAnsi="宋体" w:eastAsia="宋体" w:cs="宋体"/>
                <w:color w:val="000000" w:themeColor="text1"/>
                <w:u w:val="none" w:color="auto"/>
                <w14:textFill>
                  <w14:solidFill>
                    <w14:schemeClr w14:val="tx1"/>
                  </w14:solidFill>
                </w14:textFill>
              </w:rPr>
              <w:t>建设项目</w:t>
            </w:r>
          </w:p>
          <w:p w14:paraId="1901BD3F">
            <w:pPr>
              <w:adjustRightInd w:val="0"/>
              <w:snapToGrid w:val="0"/>
              <w:jc w:val="center"/>
              <w:rPr>
                <w:rFonts w:hint="eastAsia" w:ascii="宋体" w:hAnsi="宋体" w:eastAsia="宋体" w:cs="宋体"/>
                <w:color w:val="000000" w:themeColor="text1"/>
                <w:u w:val="none" w:color="auto"/>
                <w14:textFill>
                  <w14:solidFill>
                    <w14:schemeClr w14:val="tx1"/>
                  </w14:solidFill>
                </w14:textFill>
              </w:rPr>
            </w:pPr>
            <w:r>
              <w:rPr>
                <w:rFonts w:hint="eastAsia" w:ascii="宋体" w:hAnsi="宋体" w:eastAsia="宋体" w:cs="宋体"/>
                <w:color w:val="000000" w:themeColor="text1"/>
                <w:u w:val="none" w:color="auto"/>
                <w14:textFill>
                  <w14:solidFill>
                    <w14:schemeClr w14:val="tx1"/>
                  </w14:solidFill>
                </w14:textFill>
              </w:rPr>
              <w:t>行业类别</w:t>
            </w:r>
            <w:bookmarkEnd w:id="8"/>
          </w:p>
        </w:tc>
        <w:tc>
          <w:tcPr>
            <w:tcW w:w="2084" w:type="pct"/>
            <w:vAlign w:val="center"/>
          </w:tcPr>
          <w:p w14:paraId="1CC5E22D">
            <w:pPr>
              <w:pStyle w:val="41"/>
              <w:bidi w:val="0"/>
              <w:jc w:val="both"/>
              <w:rPr>
                <w:rFonts w:hint="default" w:ascii="宋体" w:hAnsi="宋体" w:eastAsia="宋体" w:cs="宋体"/>
                <w:color w:val="000000" w:themeColor="text1"/>
                <w:u w:val="none" w:color="auto"/>
                <w:lang w:val="en-US" w:eastAsia="zh-CN"/>
                <w14:textFill>
                  <w14:solidFill>
                    <w14:schemeClr w14:val="tx1"/>
                  </w14:solidFill>
                </w14:textFill>
              </w:rPr>
            </w:pPr>
            <w:r>
              <w:rPr>
                <w:rFonts w:hint="default" w:ascii="Times New Roman" w:hAnsi="Times New Roman" w:cs="Times New Roman"/>
                <w:color w:val="auto"/>
                <w:sz w:val="24"/>
                <w:lang w:val="en-US" w:eastAsia="zh-CN"/>
              </w:rPr>
              <w:t>三十六、计算机、通信和其他电子设备制造业39</w:t>
            </w:r>
            <w:r>
              <w:rPr>
                <w:rFonts w:hint="eastAsia" w:cs="Times New Roman"/>
                <w:color w:val="auto"/>
                <w:sz w:val="24"/>
                <w:lang w:val="en-US" w:eastAsia="zh-CN"/>
              </w:rPr>
              <w:t>-81.电子元件及电子专用材料制造398</w:t>
            </w:r>
          </w:p>
        </w:tc>
      </w:tr>
      <w:tr w14:paraId="3F30B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8" w:type="pct"/>
          <w:trHeight w:val="751" w:hRule="atLeast"/>
          <w:jc w:val="center"/>
        </w:trPr>
        <w:tc>
          <w:tcPr>
            <w:tcW w:w="538" w:type="pct"/>
            <w:tcMar>
              <w:top w:w="16" w:type="dxa"/>
              <w:left w:w="16" w:type="dxa"/>
              <w:right w:w="16" w:type="dxa"/>
            </w:tcMar>
            <w:vAlign w:val="center"/>
          </w:tcPr>
          <w:p w14:paraId="13B4C1DE">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建设性质</w:t>
            </w:r>
          </w:p>
        </w:tc>
        <w:tc>
          <w:tcPr>
            <w:tcW w:w="1115" w:type="pct"/>
            <w:vAlign w:val="center"/>
          </w:tcPr>
          <w:p w14:paraId="09DC3F93">
            <w:pPr>
              <w:jc w:val="left"/>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t>新建（迁建）</w:t>
            </w:r>
          </w:p>
          <w:p w14:paraId="2C36E1F5">
            <w:pPr>
              <w:jc w:val="left"/>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t>改建</w:t>
            </w:r>
          </w:p>
          <w:p w14:paraId="42369340">
            <w:pPr>
              <w:jc w:val="left"/>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t>扩建</w:t>
            </w:r>
          </w:p>
          <w:p w14:paraId="47301313">
            <w:pPr>
              <w:jc w:val="left"/>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t>技术改造</w:t>
            </w:r>
          </w:p>
        </w:tc>
        <w:tc>
          <w:tcPr>
            <w:tcW w:w="1242" w:type="pct"/>
            <w:vAlign w:val="center"/>
          </w:tcPr>
          <w:p w14:paraId="3F4872B6">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建设项目</w:t>
            </w:r>
          </w:p>
          <w:p w14:paraId="4E406B52">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申报情形</w:t>
            </w:r>
          </w:p>
        </w:tc>
        <w:tc>
          <w:tcPr>
            <w:tcW w:w="2084" w:type="pct"/>
            <w:vAlign w:val="center"/>
          </w:tcPr>
          <w:p w14:paraId="318B1BD3">
            <w:pPr>
              <w:jc w:val="left"/>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☑首次申报项目</w:t>
            </w:r>
          </w:p>
          <w:p w14:paraId="1905E166">
            <w:pPr>
              <w:jc w:val="left"/>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t>不予批准后再次申报项目</w:t>
            </w:r>
          </w:p>
          <w:p w14:paraId="75C5EC43">
            <w:pPr>
              <w:jc w:val="left"/>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t>超五年重新审核项目</w:t>
            </w:r>
          </w:p>
          <w:p w14:paraId="22D5F6DB">
            <w:pPr>
              <w:jc w:val="left"/>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t>重大变动重新报批项目</w:t>
            </w:r>
          </w:p>
        </w:tc>
      </w:tr>
      <w:tr w14:paraId="46EFA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8" w:type="pct"/>
          <w:trHeight w:val="622" w:hRule="atLeast"/>
          <w:jc w:val="center"/>
        </w:trPr>
        <w:tc>
          <w:tcPr>
            <w:tcW w:w="538" w:type="pct"/>
            <w:tcMar>
              <w:top w:w="16" w:type="dxa"/>
              <w:left w:w="16" w:type="dxa"/>
              <w:right w:w="16" w:type="dxa"/>
            </w:tcMar>
            <w:vAlign w:val="center"/>
          </w:tcPr>
          <w:p w14:paraId="109CF67C">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项目审批（核准/备案）部门（选填）</w:t>
            </w:r>
          </w:p>
        </w:tc>
        <w:tc>
          <w:tcPr>
            <w:tcW w:w="1115" w:type="pct"/>
            <w:vAlign w:val="center"/>
          </w:tcPr>
          <w:p w14:paraId="1EA64188">
            <w:pPr>
              <w:adjustRightInd w:val="0"/>
              <w:snapToGrid w:val="0"/>
              <w:jc w:val="center"/>
              <w:rPr>
                <w:rFonts w:hint="default"/>
                <w:color w:val="000000" w:themeColor="text1"/>
                <w:u w:val="none" w:color="auto"/>
                <w:lang w:val="en-US" w:eastAsia="zh-CN"/>
                <w14:textFill>
                  <w14:solidFill>
                    <w14:schemeClr w14:val="tx1"/>
                  </w14:solidFill>
                </w14:textFill>
              </w:rPr>
            </w:pPr>
            <w:r>
              <w:rPr>
                <w:rFonts w:hint="eastAsia" w:cs="Times New Roman"/>
                <w:sz w:val="24"/>
                <w:szCs w:val="24"/>
                <w:lang w:val="en-US" w:eastAsia="zh-CN"/>
              </w:rPr>
              <w:t>中方县发展和改革局</w:t>
            </w:r>
          </w:p>
        </w:tc>
        <w:tc>
          <w:tcPr>
            <w:tcW w:w="1242" w:type="pct"/>
            <w:vAlign w:val="center"/>
          </w:tcPr>
          <w:p w14:paraId="1245FED6">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项目审批（核准/</w:t>
            </w:r>
          </w:p>
          <w:p w14:paraId="33D4ECB7">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备案）文号（选填）</w:t>
            </w:r>
          </w:p>
        </w:tc>
        <w:tc>
          <w:tcPr>
            <w:tcW w:w="2084" w:type="pct"/>
            <w:vAlign w:val="center"/>
          </w:tcPr>
          <w:p w14:paraId="731A1A7B">
            <w:pPr>
              <w:adjustRightInd w:val="0"/>
              <w:snapToGrid w:val="0"/>
              <w:jc w:val="center"/>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w:t>
            </w:r>
          </w:p>
        </w:tc>
      </w:tr>
      <w:tr w14:paraId="17F327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8" w:type="pct"/>
          <w:trHeight w:val="618" w:hRule="atLeast"/>
          <w:jc w:val="center"/>
        </w:trPr>
        <w:tc>
          <w:tcPr>
            <w:tcW w:w="538" w:type="pct"/>
            <w:tcMar>
              <w:top w:w="16" w:type="dxa"/>
              <w:left w:w="16" w:type="dxa"/>
              <w:right w:w="16" w:type="dxa"/>
            </w:tcMar>
            <w:vAlign w:val="center"/>
          </w:tcPr>
          <w:p w14:paraId="6C3EED1F">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总投资（万元）</w:t>
            </w:r>
          </w:p>
        </w:tc>
        <w:tc>
          <w:tcPr>
            <w:tcW w:w="1115" w:type="pct"/>
            <w:vAlign w:val="center"/>
          </w:tcPr>
          <w:p w14:paraId="315C645D">
            <w:pPr>
              <w:adjustRightInd w:val="0"/>
              <w:snapToGrid w:val="0"/>
              <w:jc w:val="center"/>
              <w:rPr>
                <w:rFonts w:hint="default"/>
                <w:color w:val="auto"/>
                <w:u w:val="none" w:color="auto"/>
                <w:lang w:val="en-US" w:eastAsia="zh-CN"/>
              </w:rPr>
            </w:pPr>
            <w:r>
              <w:rPr>
                <w:rFonts w:hint="eastAsia"/>
                <w:color w:val="auto"/>
                <w:u w:val="none" w:color="auto"/>
                <w:lang w:val="en-US" w:eastAsia="zh-CN"/>
              </w:rPr>
              <w:t>4900</w:t>
            </w:r>
          </w:p>
        </w:tc>
        <w:tc>
          <w:tcPr>
            <w:tcW w:w="1242" w:type="pct"/>
            <w:tcMar>
              <w:top w:w="16" w:type="dxa"/>
              <w:left w:w="16" w:type="dxa"/>
              <w:right w:w="16" w:type="dxa"/>
            </w:tcMar>
            <w:vAlign w:val="center"/>
          </w:tcPr>
          <w:p w14:paraId="7294C325">
            <w:pPr>
              <w:adjustRightInd w:val="0"/>
              <w:snapToGrid w:val="0"/>
              <w:jc w:val="center"/>
              <w:rPr>
                <w:color w:val="auto"/>
                <w:u w:val="none" w:color="auto"/>
              </w:rPr>
            </w:pPr>
            <w:r>
              <w:rPr>
                <w:color w:val="auto"/>
                <w:u w:val="none" w:color="auto"/>
              </w:rPr>
              <w:t>环保投资（万元）</w:t>
            </w:r>
          </w:p>
        </w:tc>
        <w:tc>
          <w:tcPr>
            <w:tcW w:w="2084" w:type="pct"/>
            <w:vAlign w:val="center"/>
          </w:tcPr>
          <w:p w14:paraId="34747C66">
            <w:pPr>
              <w:adjustRightInd w:val="0"/>
              <w:snapToGrid w:val="0"/>
              <w:jc w:val="center"/>
              <w:rPr>
                <w:rFonts w:hint="default"/>
                <w:color w:val="auto"/>
                <w:u w:val="none" w:color="auto"/>
                <w:lang w:val="en-US" w:eastAsia="zh-CN"/>
              </w:rPr>
            </w:pPr>
            <w:r>
              <w:rPr>
                <w:rFonts w:hint="eastAsia"/>
                <w:color w:val="auto"/>
                <w:u w:val="none" w:color="auto"/>
                <w:lang w:val="en-US" w:eastAsia="zh-CN"/>
              </w:rPr>
              <w:t>57</w:t>
            </w:r>
          </w:p>
        </w:tc>
      </w:tr>
      <w:tr w14:paraId="2059EA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8" w:type="pct"/>
          <w:trHeight w:val="497" w:hRule="atLeast"/>
          <w:jc w:val="center"/>
        </w:trPr>
        <w:tc>
          <w:tcPr>
            <w:tcW w:w="538" w:type="pct"/>
            <w:tcMar>
              <w:top w:w="16" w:type="dxa"/>
              <w:left w:w="16" w:type="dxa"/>
              <w:right w:w="16" w:type="dxa"/>
            </w:tcMar>
            <w:vAlign w:val="center"/>
          </w:tcPr>
          <w:p w14:paraId="603051D0">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环保投资占比（%）</w:t>
            </w:r>
          </w:p>
        </w:tc>
        <w:tc>
          <w:tcPr>
            <w:tcW w:w="1115" w:type="pct"/>
            <w:vAlign w:val="center"/>
          </w:tcPr>
          <w:p w14:paraId="52A256F7">
            <w:pPr>
              <w:adjustRightInd w:val="0"/>
              <w:snapToGrid w:val="0"/>
              <w:jc w:val="center"/>
              <w:rPr>
                <w:rFonts w:hint="default"/>
                <w:color w:val="auto"/>
                <w:u w:val="none" w:color="auto"/>
                <w:lang w:val="en-US" w:eastAsia="zh-CN"/>
              </w:rPr>
            </w:pPr>
            <w:r>
              <w:rPr>
                <w:rFonts w:hint="eastAsia"/>
                <w:color w:val="auto"/>
                <w:u w:val="none" w:color="auto"/>
                <w:lang w:val="en-US" w:eastAsia="zh-CN"/>
              </w:rPr>
              <w:t>1.16</w:t>
            </w:r>
          </w:p>
        </w:tc>
        <w:tc>
          <w:tcPr>
            <w:tcW w:w="1242" w:type="pct"/>
            <w:tcMar>
              <w:top w:w="16" w:type="dxa"/>
              <w:left w:w="16" w:type="dxa"/>
              <w:right w:w="16" w:type="dxa"/>
            </w:tcMar>
            <w:vAlign w:val="center"/>
          </w:tcPr>
          <w:p w14:paraId="39CBFD3E">
            <w:pPr>
              <w:adjustRightInd w:val="0"/>
              <w:snapToGrid w:val="0"/>
              <w:jc w:val="center"/>
              <w:rPr>
                <w:color w:val="auto"/>
                <w:u w:val="none" w:color="auto"/>
              </w:rPr>
            </w:pPr>
            <w:r>
              <w:rPr>
                <w:color w:val="auto"/>
                <w:u w:val="none" w:color="auto"/>
              </w:rPr>
              <w:t>施工工期</w:t>
            </w:r>
          </w:p>
        </w:tc>
        <w:tc>
          <w:tcPr>
            <w:tcW w:w="2084" w:type="pct"/>
            <w:vAlign w:val="center"/>
          </w:tcPr>
          <w:p w14:paraId="2FB0422E">
            <w:pPr>
              <w:adjustRightInd w:val="0"/>
              <w:snapToGrid w:val="0"/>
              <w:jc w:val="center"/>
              <w:rPr>
                <w:rFonts w:hint="default"/>
                <w:color w:val="auto"/>
                <w:u w:val="none" w:color="auto"/>
                <w:lang w:val="en-US" w:eastAsia="zh-CN"/>
              </w:rPr>
            </w:pPr>
            <w:r>
              <w:rPr>
                <w:rFonts w:hint="eastAsia"/>
                <w:color w:val="auto"/>
                <w:u w:val="none" w:color="auto"/>
                <w:lang w:val="en-US" w:eastAsia="zh-CN"/>
              </w:rPr>
              <w:t>1个月</w:t>
            </w:r>
          </w:p>
        </w:tc>
      </w:tr>
      <w:tr w14:paraId="6C5E41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8" w:type="pct"/>
          <w:trHeight w:val="497" w:hRule="atLeast"/>
          <w:jc w:val="center"/>
        </w:trPr>
        <w:tc>
          <w:tcPr>
            <w:tcW w:w="538" w:type="pct"/>
            <w:tcMar>
              <w:top w:w="16" w:type="dxa"/>
              <w:left w:w="16" w:type="dxa"/>
              <w:right w:w="16" w:type="dxa"/>
            </w:tcMar>
            <w:vAlign w:val="center"/>
          </w:tcPr>
          <w:p w14:paraId="47AB3773">
            <w:pPr>
              <w:adjustRightInd w:val="0"/>
              <w:snapToGrid w:val="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是否开工建设</w:t>
            </w:r>
          </w:p>
        </w:tc>
        <w:tc>
          <w:tcPr>
            <w:tcW w:w="1115" w:type="pct"/>
            <w:vAlign w:val="center"/>
          </w:tcPr>
          <w:p w14:paraId="3347ED87">
            <w:pPr>
              <w:adjustRightInd w:val="0"/>
              <w:snapToGrid w:val="0"/>
              <w:rPr>
                <w:color w:val="000000" w:themeColor="text1"/>
                <w:u w:val="none" w:color="auto"/>
                <w14:textFill>
                  <w14:solidFill>
                    <w14:schemeClr w14:val="tx1"/>
                  </w14:solidFill>
                </w14:textFill>
              </w:rPr>
            </w:pPr>
            <w:r>
              <w:rPr>
                <w:rFonts w:hint="eastAsia"/>
                <w:color w:val="000000" w:themeColor="text1"/>
                <w:u w:val="none" w:color="auto"/>
                <w:lang w:eastAsia="zh-CN"/>
                <w14:textFill>
                  <w14:solidFill>
                    <w14:schemeClr w14:val="tx1"/>
                  </w14:solidFill>
                </w14:textFill>
              </w:rPr>
              <w:t>☑</w:t>
            </w:r>
            <w:r>
              <w:rPr>
                <w:color w:val="000000" w:themeColor="text1"/>
                <w:u w:val="none" w:color="auto"/>
                <w14:textFill>
                  <w14:solidFill>
                    <w14:schemeClr w14:val="tx1"/>
                  </w14:solidFill>
                </w14:textFill>
              </w:rPr>
              <w:t>否</w:t>
            </w:r>
          </w:p>
          <w:p w14:paraId="76CBBB22">
            <w:pPr>
              <w:adjustRightInd w:val="0"/>
              <w:snapToGrid w:val="0"/>
              <w:rPr>
                <w:color w:val="000000" w:themeColor="text1"/>
                <w:u w:val="none" w:color="auto"/>
                <w14:textFill>
                  <w14:solidFill>
                    <w14:schemeClr w14:val="tx1"/>
                  </w14:solidFill>
                </w14:textFill>
              </w:rPr>
            </w:pPr>
            <w:r>
              <w:rPr>
                <w:rFonts w:hint="eastAsia"/>
                <w:color w:val="000000" w:themeColor="text1"/>
                <w:u w:val="none" w:color="auto"/>
                <w:lang w:eastAsia="zh-CN"/>
                <w14:textFill>
                  <w14:solidFill>
                    <w14:schemeClr w14:val="tx1"/>
                  </w14:solidFill>
                </w14:textFill>
              </w:rPr>
              <w:t>□</w:t>
            </w:r>
            <w:r>
              <w:rPr>
                <w:color w:val="000000" w:themeColor="text1"/>
                <w:u w:val="none" w:color="auto"/>
                <w14:textFill>
                  <w14:solidFill>
                    <w14:schemeClr w14:val="tx1"/>
                  </w14:solidFill>
                </w14:textFill>
              </w:rPr>
              <w:t>是：</w:t>
            </w:r>
          </w:p>
        </w:tc>
        <w:tc>
          <w:tcPr>
            <w:tcW w:w="1242" w:type="pct"/>
            <w:tcMar>
              <w:top w:w="16" w:type="dxa"/>
              <w:left w:w="16" w:type="dxa"/>
              <w:right w:w="16" w:type="dxa"/>
            </w:tcMar>
            <w:vAlign w:val="center"/>
          </w:tcPr>
          <w:p w14:paraId="1E7A614A">
            <w:pPr>
              <w:adjustRightInd w:val="0"/>
              <w:snapToGrid w:val="0"/>
              <w:jc w:val="center"/>
              <w:rPr>
                <w:color w:val="000000" w:themeColor="text1"/>
                <w:spacing w:val="-6"/>
                <w:u w:val="none" w:color="auto"/>
                <w14:textFill>
                  <w14:solidFill>
                    <w14:schemeClr w14:val="tx1"/>
                  </w14:solidFill>
                </w14:textFill>
              </w:rPr>
            </w:pPr>
            <w:r>
              <w:rPr>
                <w:color w:val="000000" w:themeColor="text1"/>
                <w:spacing w:val="-6"/>
                <w:u w:val="none" w:color="auto"/>
                <w14:textFill>
                  <w14:solidFill>
                    <w14:schemeClr w14:val="tx1"/>
                  </w14:solidFill>
                </w14:textFill>
              </w:rPr>
              <w:t>用地（用海）</w:t>
            </w:r>
          </w:p>
          <w:p w14:paraId="379AAC08">
            <w:pPr>
              <w:adjustRightInd w:val="0"/>
              <w:snapToGrid w:val="0"/>
              <w:jc w:val="center"/>
              <w:rPr>
                <w:color w:val="000000" w:themeColor="text1"/>
                <w:u w:val="none" w:color="auto"/>
                <w14:textFill>
                  <w14:solidFill>
                    <w14:schemeClr w14:val="tx1"/>
                  </w14:solidFill>
                </w14:textFill>
              </w:rPr>
            </w:pPr>
            <w:r>
              <w:rPr>
                <w:color w:val="000000" w:themeColor="text1"/>
                <w:spacing w:val="-6"/>
                <w:u w:val="none" w:color="auto"/>
                <w14:textFill>
                  <w14:solidFill>
                    <w14:schemeClr w14:val="tx1"/>
                  </w14:solidFill>
                </w14:textFill>
              </w:rPr>
              <w:t>面积（m</w:t>
            </w:r>
            <w:r>
              <w:rPr>
                <w:color w:val="000000" w:themeColor="text1"/>
                <w:spacing w:val="-6"/>
                <w:u w:val="none" w:color="auto"/>
                <w:vertAlign w:val="superscript"/>
                <w14:textFill>
                  <w14:solidFill>
                    <w14:schemeClr w14:val="tx1"/>
                  </w14:solidFill>
                </w14:textFill>
              </w:rPr>
              <w:t>2</w:t>
            </w:r>
            <w:r>
              <w:rPr>
                <w:color w:val="000000" w:themeColor="text1"/>
                <w:spacing w:val="-6"/>
                <w:u w:val="none" w:color="auto"/>
                <w14:textFill>
                  <w14:solidFill>
                    <w14:schemeClr w14:val="tx1"/>
                  </w14:solidFill>
                </w14:textFill>
              </w:rPr>
              <w:t>）</w:t>
            </w:r>
          </w:p>
        </w:tc>
        <w:tc>
          <w:tcPr>
            <w:tcW w:w="2084" w:type="pct"/>
            <w:vAlign w:val="center"/>
          </w:tcPr>
          <w:p w14:paraId="5AF60746">
            <w:pPr>
              <w:adjustRightInd w:val="0"/>
              <w:snapToGrid w:val="0"/>
              <w:jc w:val="center"/>
              <w:rPr>
                <w:rFonts w:hint="default" w:eastAsia="宋体"/>
                <w:color w:val="000000" w:themeColor="text1"/>
                <w:u w:val="none" w:color="auto"/>
                <w:lang w:val="en-US" w:eastAsia="zh-CN"/>
                <w14:textFill>
                  <w14:solidFill>
                    <w14:schemeClr w14:val="tx1"/>
                  </w14:solidFill>
                </w14:textFill>
              </w:rPr>
            </w:pPr>
            <w:r>
              <w:rPr>
                <w:rFonts w:hint="eastAsia"/>
                <w:color w:val="000000" w:themeColor="text1"/>
                <w:highlight w:val="none"/>
                <w:u w:val="none" w:color="auto"/>
                <w:lang w:val="en-US" w:eastAsia="zh-CN"/>
                <w14:textFill>
                  <w14:solidFill>
                    <w14:schemeClr w14:val="tx1"/>
                  </w14:solidFill>
                </w14:textFill>
              </w:rPr>
              <w:t>1387.5</w:t>
            </w:r>
          </w:p>
        </w:tc>
      </w:tr>
      <w:tr w14:paraId="58A40C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791" w:hRule="atLeast"/>
          <w:jc w:val="center"/>
        </w:trPr>
        <w:tc>
          <w:tcPr>
            <w:tcW w:w="538" w:type="pct"/>
            <w:vAlign w:val="center"/>
          </w:tcPr>
          <w:p w14:paraId="030ACF1D">
            <w:pPr>
              <w:autoSpaceDE w:val="0"/>
              <w:autoSpaceDN w:val="0"/>
              <w:adjustRightInd w:val="0"/>
              <w:snapToGrid w:val="0"/>
              <w:jc w:val="center"/>
              <w:rPr>
                <w:color w:val="000000" w:themeColor="text1"/>
                <w:kern w:val="0"/>
                <w:u w:val="none" w:color="auto"/>
                <w14:textFill>
                  <w14:solidFill>
                    <w14:schemeClr w14:val="tx1"/>
                  </w14:solidFill>
                </w14:textFill>
              </w:rPr>
            </w:pPr>
            <w:r>
              <w:rPr>
                <w:color w:val="000000" w:themeColor="text1"/>
                <w:kern w:val="0"/>
                <w:u w:val="none" w:color="auto"/>
                <w14:textFill>
                  <w14:solidFill>
                    <w14:schemeClr w14:val="tx1"/>
                  </w14:solidFill>
                </w14:textFill>
              </w:rPr>
              <w:t>专项评价设置情况</w:t>
            </w:r>
          </w:p>
        </w:tc>
        <w:tc>
          <w:tcPr>
            <w:tcW w:w="4443" w:type="pct"/>
            <w:gridSpan w:val="3"/>
            <w:vAlign w:val="center"/>
          </w:tcPr>
          <w:p w14:paraId="7AE0F78B">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bCs/>
                <w:color w:val="auto"/>
                <w:sz w:val="21"/>
                <w:szCs w:val="21"/>
                <w:vertAlign w:val="baseline"/>
                <w:lang w:val="en-US" w:eastAsia="zh-CN"/>
              </w:rPr>
            </w:pPr>
            <w:r>
              <w:rPr>
                <w:rFonts w:hint="eastAsia"/>
                <w:b/>
                <w:bCs/>
                <w:color w:val="auto"/>
                <w:sz w:val="21"/>
                <w:szCs w:val="21"/>
                <w:vertAlign w:val="baseline"/>
                <w:lang w:val="en-US" w:eastAsia="zh-CN"/>
              </w:rPr>
              <w:t>表1-1项目专项评价设置原则一览表</w:t>
            </w:r>
          </w:p>
          <w:tbl>
            <w:tblPr>
              <w:tblStyle w:val="34"/>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39"/>
              <w:gridCol w:w="4435"/>
              <w:gridCol w:w="2458"/>
            </w:tblGrid>
            <w:tr w14:paraId="09645C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12" w:type="pct"/>
                  <w:tcBorders>
                    <w:tl2br w:val="nil"/>
                    <w:tr2bl w:val="nil"/>
                  </w:tcBorders>
                  <w:noWrap w:val="0"/>
                  <w:vAlign w:val="center"/>
                </w:tcPr>
                <w:p w14:paraId="017ECD58">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专项评价类别</w:t>
                  </w:r>
                </w:p>
              </w:tc>
              <w:tc>
                <w:tcPr>
                  <w:tcW w:w="2629" w:type="pct"/>
                  <w:tcBorders>
                    <w:tl2br w:val="nil"/>
                    <w:tr2bl w:val="nil"/>
                  </w:tcBorders>
                  <w:noWrap w:val="0"/>
                  <w:vAlign w:val="center"/>
                </w:tcPr>
                <w:p w14:paraId="46A78267">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设置原则</w:t>
                  </w:r>
                </w:p>
              </w:tc>
              <w:tc>
                <w:tcPr>
                  <w:tcW w:w="1457" w:type="pct"/>
                  <w:tcBorders>
                    <w:tl2br w:val="nil"/>
                    <w:tr2bl w:val="nil"/>
                  </w:tcBorders>
                  <w:noWrap w:val="0"/>
                  <w:vAlign w:val="center"/>
                </w:tcPr>
                <w:p w14:paraId="460A9E7D">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本项目详细情况</w:t>
                  </w:r>
                </w:p>
              </w:tc>
            </w:tr>
            <w:tr w14:paraId="1910DD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12" w:type="pct"/>
                  <w:tcBorders>
                    <w:tl2br w:val="nil"/>
                    <w:tr2bl w:val="nil"/>
                  </w:tcBorders>
                  <w:noWrap w:val="0"/>
                  <w:vAlign w:val="center"/>
                </w:tcPr>
                <w:p w14:paraId="013F5262">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大气</w:t>
                  </w:r>
                </w:p>
              </w:tc>
              <w:tc>
                <w:tcPr>
                  <w:tcW w:w="2629" w:type="pct"/>
                  <w:tcBorders>
                    <w:tl2br w:val="nil"/>
                    <w:tr2bl w:val="nil"/>
                  </w:tcBorders>
                  <w:noWrap w:val="0"/>
                  <w:vAlign w:val="center"/>
                </w:tcPr>
                <w:p w14:paraId="5658F1D9">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default" w:eastAsia="宋体"/>
                      <w:color w:val="auto"/>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排放废气含有毒有害污染物1、二噁英、苯并[</w:t>
                  </w:r>
                  <w:r>
                    <w:rPr>
                      <w:rFonts w:hint="default" w:ascii="Times New Roman" w:hAnsi="Times New Roman" w:eastAsia="宋体" w:cs="Times New Roman"/>
                      <w:i/>
                      <w:iCs/>
                      <w:color w:val="000000"/>
                      <w:kern w:val="0"/>
                      <w:sz w:val="21"/>
                      <w:szCs w:val="21"/>
                      <w:lang w:val="en-US" w:eastAsia="zh-CN" w:bidi="ar"/>
                    </w:rPr>
                    <w:t>a</w:t>
                  </w:r>
                  <w:r>
                    <w:rPr>
                      <w:rFonts w:hint="default" w:ascii="Times New Roman" w:hAnsi="Times New Roman" w:eastAsia="宋体" w:cs="Times New Roman"/>
                      <w:color w:val="000000"/>
                      <w:kern w:val="0"/>
                      <w:sz w:val="21"/>
                      <w:szCs w:val="21"/>
                      <w:lang w:val="en-US" w:eastAsia="zh-CN" w:bidi="ar"/>
                    </w:rPr>
                    <w:t>]芘、氰化物、氯气且厂界外500米范围内有环境空气保护目标</w:t>
                  </w:r>
                  <w:r>
                    <w:rPr>
                      <w:rFonts w:hint="default" w:ascii="Times New Roman" w:hAnsi="Times New Roman" w:eastAsia="宋体" w:cs="Times New Roman"/>
                      <w:color w:val="000000"/>
                      <w:kern w:val="0"/>
                      <w:sz w:val="21"/>
                      <w:szCs w:val="21"/>
                      <w:vertAlign w:val="superscript"/>
                      <w:lang w:val="en-US" w:eastAsia="zh-CN" w:bidi="ar"/>
                    </w:rPr>
                    <w:t>2</w:t>
                  </w:r>
                  <w:r>
                    <w:rPr>
                      <w:rFonts w:hint="default" w:ascii="Times New Roman" w:hAnsi="Times New Roman" w:eastAsia="宋体" w:cs="Times New Roman"/>
                      <w:color w:val="000000"/>
                      <w:kern w:val="0"/>
                      <w:sz w:val="21"/>
                      <w:szCs w:val="21"/>
                      <w:lang w:val="en-US" w:eastAsia="zh-CN" w:bidi="ar"/>
                    </w:rPr>
                    <w:t>的建设项目</w:t>
                  </w:r>
                </w:p>
              </w:tc>
              <w:tc>
                <w:tcPr>
                  <w:tcW w:w="1457" w:type="pct"/>
                  <w:tcBorders>
                    <w:tl2br w:val="nil"/>
                    <w:tr2bl w:val="nil"/>
                  </w:tcBorders>
                  <w:noWrap w:val="0"/>
                  <w:vAlign w:val="center"/>
                </w:tcPr>
                <w:p w14:paraId="21546CA0">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不涉及</w:t>
                  </w:r>
                </w:p>
              </w:tc>
            </w:tr>
            <w:tr w14:paraId="4E9DA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12" w:type="pct"/>
                  <w:tcBorders>
                    <w:tl2br w:val="nil"/>
                    <w:tr2bl w:val="nil"/>
                  </w:tcBorders>
                  <w:noWrap w:val="0"/>
                  <w:vAlign w:val="center"/>
                </w:tcPr>
                <w:p w14:paraId="0FEE8813">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地表水</w:t>
                  </w:r>
                </w:p>
              </w:tc>
              <w:tc>
                <w:tcPr>
                  <w:tcW w:w="2629" w:type="pct"/>
                  <w:tcBorders>
                    <w:tl2br w:val="nil"/>
                    <w:tr2bl w:val="nil"/>
                  </w:tcBorders>
                  <w:noWrap w:val="0"/>
                  <w:vAlign w:val="center"/>
                </w:tcPr>
                <w:p w14:paraId="55E9345E">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default" w:eastAsia="宋体"/>
                      <w:color w:val="auto"/>
                      <w:sz w:val="21"/>
                      <w:szCs w:val="21"/>
                      <w:vertAlign w:val="baseline"/>
                      <w:lang w:val="en-US" w:eastAsia="zh-CN"/>
                    </w:rPr>
                    <w:t>新增工业废水直排建设项目（槽罐车外送污水处理厂的除外）；</w:t>
                  </w:r>
                </w:p>
                <w:p w14:paraId="29970916">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default" w:eastAsia="宋体"/>
                      <w:color w:val="auto"/>
                      <w:sz w:val="21"/>
                      <w:szCs w:val="21"/>
                      <w:vertAlign w:val="baseline"/>
                      <w:lang w:val="en-US" w:eastAsia="zh-CN"/>
                    </w:rPr>
                    <w:t>新增废水直排的污水集中处理厂</w:t>
                  </w:r>
                </w:p>
              </w:tc>
              <w:tc>
                <w:tcPr>
                  <w:tcW w:w="1457" w:type="pct"/>
                  <w:tcBorders>
                    <w:tl2br w:val="nil"/>
                    <w:tr2bl w:val="nil"/>
                  </w:tcBorders>
                  <w:noWrap w:val="0"/>
                  <w:vAlign w:val="center"/>
                </w:tcPr>
                <w:p w14:paraId="6A7D763E">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不涉及</w:t>
                  </w:r>
                </w:p>
              </w:tc>
            </w:tr>
            <w:tr w14:paraId="44D83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12" w:type="pct"/>
                  <w:tcBorders>
                    <w:tl2br w:val="nil"/>
                    <w:tr2bl w:val="nil"/>
                  </w:tcBorders>
                  <w:noWrap w:val="0"/>
                  <w:vAlign w:val="center"/>
                </w:tcPr>
                <w:p w14:paraId="2575D2A9">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环境风险</w:t>
                  </w:r>
                </w:p>
              </w:tc>
              <w:tc>
                <w:tcPr>
                  <w:tcW w:w="2629" w:type="pct"/>
                  <w:tcBorders>
                    <w:tl2br w:val="nil"/>
                    <w:tr2bl w:val="nil"/>
                  </w:tcBorders>
                  <w:noWrap w:val="0"/>
                  <w:vAlign w:val="center"/>
                </w:tcPr>
                <w:p w14:paraId="3EE74D7B">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有毒有害和易燃易爆危险物质存储量超过临界量</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vertAlign w:val="baseline"/>
                      <w:lang w:val="en-US" w:eastAsia="zh-CN"/>
                    </w:rPr>
                    <w:t>的建设项目</w:t>
                  </w:r>
                </w:p>
              </w:tc>
              <w:tc>
                <w:tcPr>
                  <w:tcW w:w="1457" w:type="pct"/>
                  <w:tcBorders>
                    <w:tl2br w:val="nil"/>
                    <w:tr2bl w:val="nil"/>
                  </w:tcBorders>
                  <w:noWrap w:val="0"/>
                  <w:vAlign w:val="center"/>
                </w:tcPr>
                <w:p w14:paraId="4C14F490">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default" w:eastAsia="宋体"/>
                      <w:color w:val="auto"/>
                      <w:sz w:val="21"/>
                      <w:szCs w:val="21"/>
                      <w:vertAlign w:val="baseline"/>
                      <w:lang w:val="en-US" w:eastAsia="zh-CN"/>
                    </w:rPr>
                    <w:t>经对照建设项目环境风险评价技术导则(HJ169-2018)中的环境风险物质,项目环境风险物质</w:t>
                  </w:r>
                  <w:r>
                    <w:rPr>
                      <w:rFonts w:hint="eastAsia" w:eastAsia="宋体"/>
                      <w:color w:val="auto"/>
                      <w:sz w:val="21"/>
                      <w:szCs w:val="21"/>
                      <w:vertAlign w:val="baseline"/>
                      <w:lang w:val="en-US" w:eastAsia="zh-CN"/>
                    </w:rPr>
                    <w:t>未</w:t>
                  </w:r>
                  <w:r>
                    <w:rPr>
                      <w:rFonts w:hint="default" w:eastAsia="宋体"/>
                      <w:color w:val="auto"/>
                      <w:sz w:val="21"/>
                      <w:szCs w:val="21"/>
                      <w:vertAlign w:val="baseline"/>
                      <w:lang w:val="en-US" w:eastAsia="zh-CN"/>
                    </w:rPr>
                    <w:t>超过临界量</w:t>
                  </w:r>
                </w:p>
              </w:tc>
            </w:tr>
            <w:tr w14:paraId="6104D1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12" w:type="pct"/>
                  <w:tcBorders>
                    <w:tl2br w:val="nil"/>
                    <w:tr2bl w:val="nil"/>
                  </w:tcBorders>
                  <w:noWrap w:val="0"/>
                  <w:vAlign w:val="center"/>
                </w:tcPr>
                <w:p w14:paraId="2C34F588">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生态</w:t>
                  </w:r>
                </w:p>
              </w:tc>
              <w:tc>
                <w:tcPr>
                  <w:tcW w:w="2629" w:type="pct"/>
                  <w:tcBorders>
                    <w:tl2br w:val="nil"/>
                    <w:tr2bl w:val="nil"/>
                  </w:tcBorders>
                  <w:noWrap w:val="0"/>
                  <w:vAlign w:val="center"/>
                </w:tcPr>
                <w:p w14:paraId="58472A91">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default" w:eastAsia="宋体"/>
                      <w:color w:val="auto"/>
                      <w:sz w:val="21"/>
                      <w:szCs w:val="21"/>
                      <w:vertAlign w:val="baseline"/>
                      <w:lang w:val="en-US" w:eastAsia="zh-CN"/>
                    </w:rPr>
                    <w:t>取水口下游500米范围内有重要水生生物的自然产卵场、索饵场、越冬场和洄游通道的新增河道取水的污染类建设项目</w:t>
                  </w:r>
                </w:p>
              </w:tc>
              <w:tc>
                <w:tcPr>
                  <w:tcW w:w="1457" w:type="pct"/>
                  <w:tcBorders>
                    <w:tl2br w:val="nil"/>
                    <w:tr2bl w:val="nil"/>
                  </w:tcBorders>
                  <w:noWrap w:val="0"/>
                  <w:vAlign w:val="center"/>
                </w:tcPr>
                <w:p w14:paraId="4A14AF95">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项目不涉及河道取水</w:t>
                  </w:r>
                </w:p>
              </w:tc>
            </w:tr>
            <w:tr w14:paraId="2229FE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12" w:type="pct"/>
                  <w:tcBorders>
                    <w:tl2br w:val="nil"/>
                    <w:tr2bl w:val="nil"/>
                  </w:tcBorders>
                  <w:noWrap w:val="0"/>
                  <w:vAlign w:val="center"/>
                </w:tcPr>
                <w:p w14:paraId="2249ECBC">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海洋</w:t>
                  </w:r>
                </w:p>
              </w:tc>
              <w:tc>
                <w:tcPr>
                  <w:tcW w:w="2629" w:type="pct"/>
                  <w:tcBorders>
                    <w:tl2br w:val="nil"/>
                    <w:tr2bl w:val="nil"/>
                  </w:tcBorders>
                  <w:noWrap w:val="0"/>
                  <w:vAlign w:val="center"/>
                </w:tcPr>
                <w:p w14:paraId="2264A878">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default" w:eastAsia="宋体"/>
                      <w:color w:val="auto"/>
                      <w:sz w:val="21"/>
                      <w:szCs w:val="21"/>
                      <w:vertAlign w:val="baseline"/>
                      <w:lang w:val="en-US" w:eastAsia="zh-CN"/>
                    </w:rPr>
                    <w:t>直接向海排放污染物的海洋工程建设项目</w:t>
                  </w:r>
                </w:p>
              </w:tc>
              <w:tc>
                <w:tcPr>
                  <w:tcW w:w="1457" w:type="pct"/>
                  <w:tcBorders>
                    <w:tl2br w:val="nil"/>
                    <w:tr2bl w:val="nil"/>
                  </w:tcBorders>
                  <w:noWrap w:val="0"/>
                  <w:vAlign w:val="center"/>
                </w:tcPr>
                <w:p w14:paraId="0BA6AD99">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项目不涉及向海洋排放污染物</w:t>
                  </w:r>
                </w:p>
              </w:tc>
            </w:tr>
          </w:tbl>
          <w:p w14:paraId="467B6DCB">
            <w:pPr>
              <w:pStyle w:val="48"/>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eastAsia="宋体"/>
                <w:color w:val="auto"/>
                <w:sz w:val="24"/>
                <w:szCs w:val="24"/>
                <w:lang w:val="en-US" w:eastAsia="zh-CN"/>
              </w:rPr>
            </w:pPr>
            <w:r>
              <w:rPr>
                <w:rFonts w:hint="default" w:eastAsia="宋体"/>
                <w:color w:val="auto"/>
                <w:sz w:val="24"/>
                <w:szCs w:val="24"/>
                <w:lang w:val="en-US" w:eastAsia="zh-CN"/>
              </w:rPr>
              <w:t>注：1.废气中有毒有害污染物指纳入《有毒有害大气污染物名录》的污染物（不包括无排放标准的污染物）。</w:t>
            </w:r>
          </w:p>
          <w:p w14:paraId="1D9C540E">
            <w:pPr>
              <w:pStyle w:val="48"/>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eastAsia="宋体"/>
                <w:color w:val="auto"/>
                <w:sz w:val="24"/>
                <w:szCs w:val="24"/>
                <w:lang w:val="en-US" w:eastAsia="zh-CN"/>
              </w:rPr>
            </w:pPr>
            <w:r>
              <w:rPr>
                <w:rFonts w:hint="default" w:eastAsia="宋体"/>
                <w:color w:val="auto"/>
                <w:sz w:val="24"/>
                <w:szCs w:val="24"/>
                <w:lang w:val="en-US" w:eastAsia="zh-CN"/>
              </w:rPr>
              <w:t>2.环境空气保护目标指自然保护区、风景名胜区、居住区、文化区和农村地区中人群较集中的区域。</w:t>
            </w:r>
          </w:p>
          <w:p w14:paraId="3367F0D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color w:val="000000" w:themeColor="text1"/>
                <w:kern w:val="0"/>
                <w:u w:val="none" w:color="auto"/>
                <w14:textFill>
                  <w14:solidFill>
                    <w14:schemeClr w14:val="tx1"/>
                  </w14:solidFill>
                </w14:textFill>
              </w:rPr>
            </w:pPr>
            <w:r>
              <w:rPr>
                <w:rFonts w:hint="default" w:eastAsia="宋体"/>
                <w:color w:val="auto"/>
                <w:sz w:val="24"/>
                <w:szCs w:val="24"/>
                <w:lang w:val="en-US" w:eastAsia="zh-CN"/>
              </w:rPr>
              <w:t>3.临界量及其计算方法可参考《建设项目环境风险评价技术导则》（HJ169）附录B、附录C。</w:t>
            </w:r>
          </w:p>
        </w:tc>
      </w:tr>
      <w:tr w14:paraId="1B4A06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554" w:hRule="atLeast"/>
          <w:jc w:val="center"/>
        </w:trPr>
        <w:tc>
          <w:tcPr>
            <w:tcW w:w="538" w:type="pct"/>
            <w:vAlign w:val="center"/>
          </w:tcPr>
          <w:p w14:paraId="5811BD68">
            <w:pPr>
              <w:autoSpaceDE w:val="0"/>
              <w:autoSpaceDN w:val="0"/>
              <w:adjustRightInd w:val="0"/>
              <w:snapToGrid w:val="0"/>
              <w:jc w:val="center"/>
              <w:rPr>
                <w:color w:val="000000" w:themeColor="text1"/>
                <w:kern w:val="0"/>
                <w:u w:val="none" w:color="auto"/>
                <w14:textFill>
                  <w14:solidFill>
                    <w14:schemeClr w14:val="tx1"/>
                  </w14:solidFill>
                </w14:textFill>
              </w:rPr>
            </w:pPr>
            <w:r>
              <w:rPr>
                <w:color w:val="000000" w:themeColor="text1"/>
                <w:u w:val="none" w:color="auto"/>
                <w14:textFill>
                  <w14:solidFill>
                    <w14:schemeClr w14:val="tx1"/>
                  </w14:solidFill>
                </w14:textFill>
              </w:rPr>
              <w:t>规划情况</w:t>
            </w:r>
          </w:p>
        </w:tc>
        <w:tc>
          <w:tcPr>
            <w:tcW w:w="4443" w:type="pct"/>
            <w:gridSpan w:val="3"/>
            <w:vAlign w:val="center"/>
          </w:tcPr>
          <w:p w14:paraId="6EA2A115">
            <w:pPr>
              <w:pStyle w:val="49"/>
              <w:bidi w:val="0"/>
              <w:ind w:left="0" w:leftChars="0" w:firstLine="0" w:firstLineChars="0"/>
              <w:jc w:val="left"/>
              <w:rPr>
                <w:rFonts w:hint="default"/>
                <w:color w:val="000000" w:themeColor="text1"/>
                <w:kern w:val="0"/>
                <w:u w:val="none" w:color="auto"/>
                <w:lang w:val="en-US" w:eastAsia="zh-CN"/>
                <w14:textFill>
                  <w14:solidFill>
                    <w14:schemeClr w14:val="tx1"/>
                  </w14:solidFill>
                </w14:textFill>
              </w:rPr>
            </w:pPr>
            <w:r>
              <w:rPr>
                <w:rFonts w:hint="eastAsia"/>
                <w:sz w:val="24"/>
                <w:lang w:val="en-US" w:eastAsia="zh-CN"/>
              </w:rPr>
              <w:t>规划名称:《中方工业集中区总体规划》(2020-2035) 》</w:t>
            </w:r>
          </w:p>
        </w:tc>
      </w:tr>
      <w:tr w14:paraId="2C548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623" w:hRule="atLeast"/>
          <w:jc w:val="center"/>
        </w:trPr>
        <w:tc>
          <w:tcPr>
            <w:tcW w:w="538" w:type="pct"/>
            <w:vAlign w:val="center"/>
          </w:tcPr>
          <w:p w14:paraId="2B9F8ABC">
            <w:pPr>
              <w:adjustRightInd w:val="0"/>
              <w:snapToGrid w:val="0"/>
              <w:jc w:val="center"/>
              <w:rPr>
                <w:color w:val="000000" w:themeColor="text1"/>
                <w:kern w:val="0"/>
                <w:u w:val="none" w:color="auto"/>
                <w14:textFill>
                  <w14:solidFill>
                    <w14:schemeClr w14:val="tx1"/>
                  </w14:solidFill>
                </w14:textFill>
              </w:rPr>
            </w:pPr>
            <w:r>
              <w:rPr>
                <w:color w:val="000000" w:themeColor="text1"/>
                <w:u w:val="none" w:color="auto"/>
                <w14:textFill>
                  <w14:solidFill>
                    <w14:schemeClr w14:val="tx1"/>
                  </w14:solidFill>
                </w14:textFill>
              </w:rPr>
              <w:t>规划环境影响评价情况</w:t>
            </w:r>
          </w:p>
        </w:tc>
        <w:tc>
          <w:tcPr>
            <w:tcW w:w="4443" w:type="pct"/>
            <w:gridSpan w:val="3"/>
            <w:vAlign w:val="center"/>
          </w:tcPr>
          <w:p w14:paraId="290CC735">
            <w:pPr>
              <w:pStyle w:val="49"/>
              <w:bidi w:val="0"/>
              <w:ind w:left="0" w:leftChars="0" w:firstLine="0" w:firstLineChars="0"/>
              <w:jc w:val="both"/>
              <w:rPr>
                <w:rFonts w:hint="eastAsia"/>
                <w:sz w:val="24"/>
                <w:lang w:val="en-US" w:eastAsia="zh-CN"/>
              </w:rPr>
            </w:pPr>
            <w:r>
              <w:rPr>
                <w:rFonts w:hint="eastAsia"/>
                <w:sz w:val="24"/>
                <w:lang w:val="en-US" w:eastAsia="zh-CN"/>
              </w:rPr>
              <w:t>规划环境影响评价文件名称:《中方工业集中区总体规划环境影响报告书》</w:t>
            </w:r>
          </w:p>
          <w:p w14:paraId="11C536E2">
            <w:pPr>
              <w:pStyle w:val="49"/>
              <w:bidi w:val="0"/>
              <w:ind w:left="0" w:leftChars="0" w:firstLine="0" w:firstLineChars="0"/>
              <w:jc w:val="both"/>
              <w:rPr>
                <w:rFonts w:hint="eastAsia"/>
                <w:sz w:val="24"/>
                <w:lang w:val="en-US" w:eastAsia="zh-CN"/>
              </w:rPr>
            </w:pPr>
            <w:r>
              <w:rPr>
                <w:rFonts w:hint="eastAsia"/>
                <w:sz w:val="24"/>
                <w:lang w:val="en-US" w:eastAsia="zh-CN"/>
              </w:rPr>
              <w:t>审查机关:湖南省生态环境厅</w:t>
            </w:r>
          </w:p>
          <w:p w14:paraId="07310AE3">
            <w:pPr>
              <w:pStyle w:val="49"/>
              <w:bidi w:val="0"/>
              <w:ind w:left="0" w:leftChars="0" w:firstLine="0" w:firstLineChars="0"/>
              <w:jc w:val="both"/>
              <w:rPr>
                <w:color w:val="000000" w:themeColor="text1"/>
                <w:kern w:val="0"/>
                <w:u w:val="none" w:color="auto"/>
                <w14:textFill>
                  <w14:solidFill>
                    <w14:schemeClr w14:val="tx1"/>
                  </w14:solidFill>
                </w14:textFill>
              </w:rPr>
            </w:pPr>
            <w:r>
              <w:rPr>
                <w:rFonts w:hint="eastAsia"/>
                <w:sz w:val="24"/>
                <w:lang w:val="en-US" w:eastAsia="zh-CN"/>
              </w:rPr>
              <w:t>审查文件名称及文号:《湖南省生态环境厅&lt;关于中方工业集中区总体规划环境影响报告书审查意见的函&gt;》(湘环评函[2021]10号)</w:t>
            </w:r>
          </w:p>
        </w:tc>
      </w:tr>
      <w:tr w14:paraId="28652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501" w:hRule="atLeast"/>
          <w:jc w:val="center"/>
        </w:trPr>
        <w:tc>
          <w:tcPr>
            <w:tcW w:w="538" w:type="pct"/>
            <w:vAlign w:val="center"/>
          </w:tcPr>
          <w:p w14:paraId="6D1AA01A">
            <w:pPr>
              <w:autoSpaceDE w:val="0"/>
              <w:autoSpaceDN w:val="0"/>
              <w:adjustRightInd w:val="0"/>
              <w:snapToGrid w:val="0"/>
              <w:jc w:val="center"/>
              <w:rPr>
                <w:color w:val="000000" w:themeColor="text1"/>
                <w:kern w:val="0"/>
                <w:u w:val="none" w:color="auto"/>
                <w14:textFill>
                  <w14:solidFill>
                    <w14:schemeClr w14:val="tx1"/>
                  </w14:solidFill>
                </w14:textFill>
              </w:rPr>
            </w:pPr>
            <w:r>
              <w:rPr>
                <w:color w:val="000000" w:themeColor="text1"/>
                <w:kern w:val="0"/>
                <w:u w:val="none" w:color="auto"/>
                <w14:textFill>
                  <w14:solidFill>
                    <w14:schemeClr w14:val="tx1"/>
                  </w14:solidFill>
                </w14:textFill>
              </w:rPr>
              <w:t>规划及规划环境影响评价符合性分析</w:t>
            </w:r>
          </w:p>
        </w:tc>
        <w:tc>
          <w:tcPr>
            <w:tcW w:w="4443" w:type="pct"/>
            <w:gridSpan w:val="3"/>
            <w:vAlign w:val="center"/>
          </w:tcPr>
          <w:p w14:paraId="0241A0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b/>
                <w:bCs/>
                <w:sz w:val="24"/>
                <w:szCs w:val="24"/>
                <w:lang w:val="en-US" w:eastAsia="zh-CN"/>
              </w:rPr>
              <w:t>1、与中方工业集中区(现更名为中方产业开发区)总体规划符合性分析</w:t>
            </w:r>
          </w:p>
          <w:p w14:paraId="2E0607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根据《中方工业集中区总体规划(2020-2035)》，中方产业开发区为“一园两区”的空间格局，即泸阳片区和中方片区，规划区范围面积共计约9.0897平方公里。泸阳片区位于泸阳镇，范围北至环北路以南、南至怀化东高速互通口、东至兴泸大道，西至怀泸干线(铁西路)，规划面积约为609.47公顷。中方片区位于县城西北部，范围北至如意大道、南至枫香路、东至环城东路，西至中方大道，规划面积约为299.50公顷。</w:t>
            </w:r>
          </w:p>
          <w:p w14:paraId="754C5F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lang w:val="en-US" w:eastAsia="zh-CN"/>
              </w:rPr>
            </w:pPr>
            <w:r>
              <w:rPr>
                <w:rFonts w:hint="default" w:ascii="Times New Roman" w:hAnsi="Times New Roman" w:cs="Times New Roman"/>
                <w:sz w:val="24"/>
                <w:szCs w:val="24"/>
                <w:lang w:val="en-US" w:eastAsia="zh-CN"/>
              </w:rPr>
              <w:t>本项目位于</w:t>
            </w:r>
            <w:r>
              <w:rPr>
                <w:rFonts w:hint="eastAsia" w:cs="Times New Roman"/>
                <w:color w:val="000000" w:themeColor="text1"/>
                <w:sz w:val="24"/>
                <w:szCs w:val="24"/>
                <w:u w:val="none"/>
                <w:lang w:val="en-US" w:eastAsia="zh-CN"/>
                <w14:textFill>
                  <w14:solidFill>
                    <w14:schemeClr w14:val="tx1"/>
                  </w14:solidFill>
                </w14:textFill>
              </w:rPr>
              <w:t>怀化市高新技术产业开发区管理委员会中方片区管理办公室泸阳片区（众力创新园1栋南区第2层）</w:t>
            </w:r>
            <w:r>
              <w:rPr>
                <w:rFonts w:hint="default" w:ascii="Times New Roman" w:hAnsi="Times New Roman" w:cs="Times New Roman"/>
                <w:sz w:val="24"/>
                <w:szCs w:val="24"/>
                <w:lang w:val="en-US" w:eastAsia="zh-CN"/>
              </w:rPr>
              <w:t>，用地面积1387.5m</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，属于中方产业开发区泸阳片区范围，</w:t>
            </w:r>
            <w:r>
              <w:rPr>
                <w:rFonts w:hint="default" w:ascii="Times New Roman" w:hAnsi="Times New Roman" w:cs="Times New Roman"/>
                <w:color w:val="auto"/>
                <w:sz w:val="24"/>
                <w:szCs w:val="24"/>
                <w:lang w:val="en-US" w:eastAsia="zh-CN"/>
              </w:rPr>
              <w:t>对照中方工业集中区总体规划(2020-2035)--泸阳片区土地利用规划图</w:t>
            </w:r>
            <w:r>
              <w:rPr>
                <w:rFonts w:hint="eastAsia" w:cs="Times New Roman"/>
                <w:color w:val="auto"/>
                <w:sz w:val="24"/>
                <w:szCs w:val="24"/>
                <w:lang w:val="en-US" w:eastAsia="zh-CN"/>
              </w:rPr>
              <w:t>（见附图8）</w:t>
            </w:r>
            <w:r>
              <w:rPr>
                <w:rFonts w:hint="default"/>
                <w:color w:val="auto"/>
                <w:sz w:val="24"/>
                <w:szCs w:val="24"/>
                <w:lang w:val="en-US" w:eastAsia="zh-CN"/>
              </w:rPr>
              <w:t>，本项目位于中方产业开发区</w:t>
            </w:r>
            <w:r>
              <w:rPr>
                <w:rFonts w:hint="eastAsia"/>
                <w:color w:val="auto"/>
                <w:sz w:val="24"/>
                <w:szCs w:val="24"/>
                <w:lang w:val="en-US" w:eastAsia="zh-CN"/>
              </w:rPr>
              <w:t>泸阳片区</w:t>
            </w:r>
            <w:r>
              <w:rPr>
                <w:rFonts w:hint="default"/>
                <w:color w:val="auto"/>
                <w:sz w:val="24"/>
                <w:szCs w:val="24"/>
                <w:lang w:val="en-US" w:eastAsia="zh-CN"/>
              </w:rPr>
              <w:t>，</w:t>
            </w:r>
            <w:r>
              <w:rPr>
                <w:rFonts w:hint="eastAsia"/>
                <w:color w:val="auto"/>
                <w:sz w:val="24"/>
                <w:szCs w:val="24"/>
                <w:lang w:val="en-US" w:eastAsia="zh-CN"/>
              </w:rPr>
              <w:t>用地为二类工业用地，</w:t>
            </w:r>
            <w:r>
              <w:rPr>
                <w:rFonts w:hint="default"/>
                <w:color w:val="auto"/>
                <w:sz w:val="24"/>
                <w:szCs w:val="24"/>
                <w:lang w:val="en-US" w:eastAsia="zh-CN"/>
              </w:rPr>
              <w:t>因此项目符合中方产业开发区总体规划。</w:t>
            </w:r>
          </w:p>
          <w:p w14:paraId="3A583B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b/>
                <w:bCs/>
                <w:sz w:val="24"/>
                <w:szCs w:val="24"/>
                <w:lang w:val="en-US" w:eastAsia="zh-CN"/>
              </w:rPr>
              <w:t>2、与园区产业定位符合性分析</w:t>
            </w:r>
          </w:p>
          <w:p w14:paraId="7E9795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lang w:val="en-US" w:eastAsia="zh-CN"/>
              </w:rPr>
              <w:t>环境准入行业正面清单</w:t>
            </w:r>
          </w:p>
          <w:p w14:paraId="117A8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根据《中方工业集中区总体规划环境影响报告书》</w:t>
            </w:r>
            <w:r>
              <w:rPr>
                <w:rFonts w:hint="eastAsia" w:cs="Times New Roman"/>
                <w:sz w:val="24"/>
                <w:szCs w:val="24"/>
                <w:lang w:val="en-US" w:eastAsia="zh-CN"/>
              </w:rPr>
              <w:t>中要求，环境准入行业正面清单详见下表。</w:t>
            </w:r>
          </w:p>
          <w:p w14:paraId="2CF03722">
            <w:pPr>
              <w:pStyle w:val="50"/>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表1-2环境准入行业正面清单</w:t>
            </w:r>
          </w:p>
          <w:tbl>
            <w:tblPr>
              <w:tblStyle w:val="34"/>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1"/>
              <w:gridCol w:w="842"/>
              <w:gridCol w:w="5937"/>
              <w:gridCol w:w="755"/>
            </w:tblGrid>
            <w:tr w14:paraId="620F0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34" w:type="pct"/>
                  <w:tcBorders>
                    <w:tl2br w:val="nil"/>
                    <w:tr2bl w:val="nil"/>
                  </w:tcBorders>
                  <w:vAlign w:val="center"/>
                </w:tcPr>
                <w:p w14:paraId="5ACD565C">
                  <w:pPr>
                    <w:jc w:val="center"/>
                    <w:rPr>
                      <w:rFonts w:hint="default"/>
                      <w:sz w:val="21"/>
                      <w:szCs w:val="21"/>
                      <w:vertAlign w:val="baseline"/>
                      <w:lang w:val="en-US" w:eastAsia="zh-CN"/>
                    </w:rPr>
                  </w:pPr>
                  <w:r>
                    <w:rPr>
                      <w:rFonts w:hint="eastAsia"/>
                      <w:sz w:val="21"/>
                      <w:szCs w:val="21"/>
                      <w:vertAlign w:val="baseline"/>
                      <w:lang w:val="en-US" w:eastAsia="zh-CN"/>
                    </w:rPr>
                    <w:t>片区</w:t>
                  </w:r>
                </w:p>
              </w:tc>
              <w:tc>
                <w:tcPr>
                  <w:tcW w:w="499" w:type="pct"/>
                  <w:tcBorders>
                    <w:tl2br w:val="nil"/>
                    <w:tr2bl w:val="nil"/>
                  </w:tcBorders>
                  <w:vAlign w:val="center"/>
                </w:tcPr>
                <w:p w14:paraId="459C975D">
                  <w:pPr>
                    <w:jc w:val="center"/>
                    <w:rPr>
                      <w:rFonts w:hint="default"/>
                      <w:sz w:val="21"/>
                      <w:szCs w:val="21"/>
                      <w:vertAlign w:val="baseline"/>
                      <w:lang w:val="en-US" w:eastAsia="zh-CN"/>
                    </w:rPr>
                  </w:pPr>
                  <w:r>
                    <w:rPr>
                      <w:rFonts w:hint="eastAsia"/>
                      <w:sz w:val="21"/>
                      <w:szCs w:val="21"/>
                      <w:vertAlign w:val="baseline"/>
                      <w:lang w:val="en-US" w:eastAsia="zh-CN"/>
                    </w:rPr>
                    <w:t>产业类别</w:t>
                  </w:r>
                </w:p>
              </w:tc>
              <w:tc>
                <w:tcPr>
                  <w:tcW w:w="3518" w:type="pct"/>
                  <w:tcBorders>
                    <w:tl2br w:val="nil"/>
                    <w:tr2bl w:val="nil"/>
                  </w:tcBorders>
                  <w:vAlign w:val="center"/>
                </w:tcPr>
                <w:p w14:paraId="59C62C1F">
                  <w:pPr>
                    <w:jc w:val="center"/>
                    <w:rPr>
                      <w:rFonts w:hint="default"/>
                      <w:sz w:val="21"/>
                      <w:szCs w:val="21"/>
                      <w:vertAlign w:val="baseline"/>
                      <w:lang w:val="en-US" w:eastAsia="zh-CN"/>
                    </w:rPr>
                  </w:pPr>
                  <w:r>
                    <w:rPr>
                      <w:rFonts w:hint="eastAsia"/>
                      <w:sz w:val="21"/>
                      <w:szCs w:val="21"/>
                      <w:vertAlign w:val="baseline"/>
                      <w:lang w:val="en-US" w:eastAsia="zh-CN"/>
                    </w:rPr>
                    <w:t>行业类别</w:t>
                  </w:r>
                </w:p>
              </w:tc>
              <w:tc>
                <w:tcPr>
                  <w:tcW w:w="447" w:type="pct"/>
                  <w:tcBorders>
                    <w:tl2br w:val="nil"/>
                    <w:tr2bl w:val="nil"/>
                  </w:tcBorders>
                  <w:vAlign w:val="center"/>
                </w:tcPr>
                <w:p w14:paraId="56D80254">
                  <w:pPr>
                    <w:jc w:val="center"/>
                    <w:rPr>
                      <w:rFonts w:hint="default"/>
                      <w:sz w:val="21"/>
                      <w:szCs w:val="21"/>
                      <w:vertAlign w:val="baseline"/>
                      <w:lang w:val="en-US" w:eastAsia="zh-CN"/>
                    </w:rPr>
                  </w:pPr>
                  <w:r>
                    <w:rPr>
                      <w:rFonts w:hint="eastAsia"/>
                      <w:sz w:val="21"/>
                      <w:szCs w:val="21"/>
                      <w:vertAlign w:val="baseline"/>
                      <w:lang w:val="en-US" w:eastAsia="zh-CN"/>
                    </w:rPr>
                    <w:t>依据</w:t>
                  </w:r>
                </w:p>
              </w:tc>
            </w:tr>
            <w:tr w14:paraId="6024B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34" w:type="pct"/>
                  <w:vMerge w:val="restart"/>
                  <w:tcBorders>
                    <w:tl2br w:val="nil"/>
                    <w:tr2bl w:val="nil"/>
                  </w:tcBorders>
                  <w:vAlign w:val="center"/>
                </w:tcPr>
                <w:p w14:paraId="699B7D06">
                  <w:pPr>
                    <w:jc w:val="center"/>
                    <w:rPr>
                      <w:rFonts w:hint="default"/>
                      <w:sz w:val="21"/>
                      <w:szCs w:val="21"/>
                      <w:vertAlign w:val="baseline"/>
                      <w:lang w:val="en-US" w:eastAsia="zh-CN"/>
                    </w:rPr>
                  </w:pPr>
                  <w:r>
                    <w:rPr>
                      <w:rFonts w:hint="eastAsia"/>
                      <w:sz w:val="21"/>
                      <w:szCs w:val="21"/>
                      <w:vertAlign w:val="baseline"/>
                      <w:lang w:val="en-US" w:eastAsia="zh-CN"/>
                    </w:rPr>
                    <w:t>泸阳片区</w:t>
                  </w:r>
                </w:p>
              </w:tc>
              <w:tc>
                <w:tcPr>
                  <w:tcW w:w="499" w:type="pct"/>
                  <w:tcBorders>
                    <w:tl2br w:val="nil"/>
                    <w:tr2bl w:val="nil"/>
                  </w:tcBorders>
                  <w:vAlign w:val="center"/>
                </w:tcPr>
                <w:p w14:paraId="15CA5727">
                  <w:pPr>
                    <w:jc w:val="center"/>
                    <w:rPr>
                      <w:rFonts w:hint="default"/>
                      <w:sz w:val="21"/>
                      <w:szCs w:val="21"/>
                      <w:vertAlign w:val="baseline"/>
                      <w:lang w:val="en-US" w:eastAsia="zh-CN"/>
                    </w:rPr>
                  </w:pPr>
                  <w:r>
                    <w:rPr>
                      <w:rFonts w:hint="eastAsia"/>
                      <w:sz w:val="21"/>
                      <w:szCs w:val="21"/>
                      <w:vertAlign w:val="baseline"/>
                      <w:lang w:val="en-US" w:eastAsia="zh-CN"/>
                    </w:rPr>
                    <w:t>农副产品加工</w:t>
                  </w:r>
                </w:p>
              </w:tc>
              <w:tc>
                <w:tcPr>
                  <w:tcW w:w="3518" w:type="pct"/>
                  <w:tcBorders>
                    <w:tl2br w:val="nil"/>
                    <w:tr2bl w:val="nil"/>
                  </w:tcBorders>
                  <w:vAlign w:val="center"/>
                </w:tcPr>
                <w:p w14:paraId="7AD632A3">
                  <w:pPr>
                    <w:jc w:val="left"/>
                    <w:rPr>
                      <w:rFonts w:hint="default"/>
                      <w:sz w:val="21"/>
                      <w:szCs w:val="21"/>
                      <w:vertAlign w:val="baseline"/>
                      <w:lang w:val="en-US" w:eastAsia="zh-CN"/>
                    </w:rPr>
                  </w:pPr>
                  <w:r>
                    <w:rPr>
                      <w:rFonts w:hint="default"/>
                      <w:sz w:val="21"/>
                      <w:szCs w:val="21"/>
                      <w:vertAlign w:val="baseline"/>
                      <w:lang w:val="en-US" w:eastAsia="zh-CN"/>
                    </w:rPr>
                    <w:t>《国民经济行业分类》（GB/T 4754-2017）中：</w:t>
                  </w:r>
                </w:p>
                <w:p w14:paraId="7E9024CF">
                  <w:pPr>
                    <w:jc w:val="left"/>
                    <w:rPr>
                      <w:rFonts w:hint="default"/>
                      <w:sz w:val="21"/>
                      <w:szCs w:val="21"/>
                      <w:vertAlign w:val="baseline"/>
                      <w:lang w:val="en-US" w:eastAsia="zh-CN"/>
                    </w:rPr>
                  </w:pPr>
                  <w:r>
                    <w:rPr>
                      <w:rFonts w:hint="default"/>
                      <w:sz w:val="21"/>
                      <w:szCs w:val="21"/>
                      <w:vertAlign w:val="baseline"/>
                      <w:lang w:val="en-US" w:eastAsia="zh-CN"/>
                    </w:rPr>
                    <w:t>1、C13农副食品加工业：C131谷物磨制、C132饲料加工、C133植物油加工、C135屠宰及肉类加工（C1353肉制品及副产品加工）、C137 蔬菜、菌类、水果和坚果加工、C139 其他农副食品加工；</w:t>
                  </w:r>
                </w:p>
                <w:p w14:paraId="18DD3E74">
                  <w:pPr>
                    <w:jc w:val="left"/>
                    <w:rPr>
                      <w:rFonts w:hint="default"/>
                      <w:sz w:val="21"/>
                      <w:szCs w:val="21"/>
                      <w:vertAlign w:val="baseline"/>
                      <w:lang w:val="en-US" w:eastAsia="zh-CN"/>
                    </w:rPr>
                  </w:pPr>
                  <w:r>
                    <w:rPr>
                      <w:rFonts w:hint="default"/>
                      <w:sz w:val="21"/>
                      <w:szCs w:val="21"/>
                      <w:vertAlign w:val="baseline"/>
                      <w:lang w:val="en-US" w:eastAsia="zh-CN"/>
                    </w:rPr>
                    <w:t>2、C14 食品制造业：C141 焙烤食品制造、C142 糖果、巧克力及蜜饯制造、C143 方便食品制造、C145 罐头食品制造、C149其他食品制造；</w:t>
                  </w:r>
                </w:p>
                <w:p w14:paraId="2E441F08">
                  <w:pPr>
                    <w:jc w:val="left"/>
                    <w:rPr>
                      <w:rFonts w:hint="default"/>
                      <w:sz w:val="21"/>
                      <w:szCs w:val="21"/>
                      <w:vertAlign w:val="baseline"/>
                      <w:lang w:val="en-US" w:eastAsia="zh-CN"/>
                    </w:rPr>
                  </w:pPr>
                  <w:r>
                    <w:rPr>
                      <w:rFonts w:hint="default"/>
                      <w:sz w:val="21"/>
                      <w:szCs w:val="21"/>
                      <w:vertAlign w:val="baseline"/>
                      <w:lang w:val="en-US" w:eastAsia="zh-CN"/>
                    </w:rPr>
                    <w:t>3、C15 酒、饮料和精制茶制造业：151 酒的制造中 1515 葡萄酒制造、C152 饮料制造、C153 精制茶加工。</w:t>
                  </w:r>
                </w:p>
              </w:tc>
              <w:tc>
                <w:tcPr>
                  <w:tcW w:w="447" w:type="pct"/>
                  <w:vMerge w:val="restart"/>
                  <w:tcBorders>
                    <w:tl2br w:val="nil"/>
                    <w:tr2bl w:val="nil"/>
                  </w:tcBorders>
                  <w:vAlign w:val="center"/>
                </w:tcPr>
                <w:p w14:paraId="12B3FB83">
                  <w:pPr>
                    <w:jc w:val="center"/>
                    <w:rPr>
                      <w:rFonts w:hint="default"/>
                      <w:sz w:val="21"/>
                      <w:szCs w:val="21"/>
                      <w:vertAlign w:val="baseline"/>
                      <w:lang w:val="en-US" w:eastAsia="zh-CN"/>
                    </w:rPr>
                  </w:pPr>
                  <w:r>
                    <w:rPr>
                      <w:rFonts w:hint="eastAsia"/>
                      <w:sz w:val="21"/>
                      <w:szCs w:val="21"/>
                      <w:vertAlign w:val="baseline"/>
                      <w:lang w:val="en-US" w:eastAsia="zh-CN"/>
                    </w:rPr>
                    <w:t>园区产业定位。</w:t>
                  </w:r>
                </w:p>
              </w:tc>
            </w:tr>
            <w:tr w14:paraId="5D8E4C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34" w:type="pct"/>
                  <w:vMerge w:val="continue"/>
                  <w:tcBorders>
                    <w:tl2br w:val="nil"/>
                    <w:tr2bl w:val="nil"/>
                  </w:tcBorders>
                  <w:vAlign w:val="center"/>
                </w:tcPr>
                <w:p w14:paraId="06B6AA9B">
                  <w:pPr>
                    <w:jc w:val="center"/>
                    <w:rPr>
                      <w:rFonts w:hint="default"/>
                      <w:sz w:val="21"/>
                      <w:szCs w:val="21"/>
                      <w:vertAlign w:val="baseline"/>
                      <w:lang w:val="en-US" w:eastAsia="zh-CN"/>
                    </w:rPr>
                  </w:pPr>
                </w:p>
              </w:tc>
              <w:tc>
                <w:tcPr>
                  <w:tcW w:w="499" w:type="pct"/>
                  <w:tcBorders>
                    <w:tl2br w:val="nil"/>
                    <w:tr2bl w:val="nil"/>
                  </w:tcBorders>
                  <w:vAlign w:val="center"/>
                </w:tcPr>
                <w:p w14:paraId="635F5C65">
                  <w:pPr>
                    <w:jc w:val="center"/>
                    <w:rPr>
                      <w:rFonts w:hint="default"/>
                      <w:sz w:val="21"/>
                      <w:szCs w:val="21"/>
                      <w:vertAlign w:val="baseline"/>
                      <w:lang w:val="en-US" w:eastAsia="zh-CN"/>
                    </w:rPr>
                  </w:pPr>
                  <w:r>
                    <w:rPr>
                      <w:rFonts w:hint="eastAsia"/>
                      <w:sz w:val="21"/>
                      <w:szCs w:val="21"/>
                      <w:vertAlign w:val="baseline"/>
                      <w:lang w:val="en-US" w:eastAsia="zh-CN"/>
                    </w:rPr>
                    <w:t>新型建材</w:t>
                  </w:r>
                </w:p>
              </w:tc>
              <w:tc>
                <w:tcPr>
                  <w:tcW w:w="3518" w:type="pct"/>
                  <w:tcBorders>
                    <w:tl2br w:val="nil"/>
                    <w:tr2bl w:val="nil"/>
                  </w:tcBorders>
                  <w:vAlign w:val="center"/>
                </w:tcPr>
                <w:p w14:paraId="3382B5FD">
                  <w:pPr>
                    <w:jc w:val="left"/>
                    <w:rPr>
                      <w:rFonts w:hint="default"/>
                      <w:sz w:val="21"/>
                      <w:szCs w:val="21"/>
                      <w:vertAlign w:val="baseline"/>
                      <w:lang w:val="en-US" w:eastAsia="zh-CN"/>
                    </w:rPr>
                  </w:pPr>
                  <w:r>
                    <w:rPr>
                      <w:rFonts w:hint="default"/>
                      <w:sz w:val="21"/>
                      <w:szCs w:val="21"/>
                      <w:vertAlign w:val="baseline"/>
                      <w:lang w:val="en-US" w:eastAsia="zh-CN"/>
                    </w:rPr>
                    <w:t>《国民经济行业分类》 (GB/T4754-2017)中:</w:t>
                  </w:r>
                </w:p>
                <w:p w14:paraId="33738315">
                  <w:pPr>
                    <w:jc w:val="left"/>
                    <w:rPr>
                      <w:rFonts w:hint="default"/>
                      <w:sz w:val="21"/>
                      <w:szCs w:val="21"/>
                      <w:vertAlign w:val="baseline"/>
                      <w:lang w:val="en-US" w:eastAsia="zh-CN"/>
                    </w:rPr>
                  </w:pPr>
                  <w:r>
                    <w:rPr>
                      <w:rFonts w:hint="default"/>
                      <w:sz w:val="21"/>
                      <w:szCs w:val="21"/>
                      <w:vertAlign w:val="baseline"/>
                      <w:lang w:val="en-US" w:eastAsia="zh-CN"/>
                    </w:rPr>
                    <w:t>1、C30非金属矿物制品业:C301水泥、石灰和石膏制造、C302石膏、水泥制品及类似制品制造、C303砖瓦、石材等建筑材料制造、305玻璃制品制造(3051技术玻璃制品制造、3052光学玻璃制造、3053玻璃仪器制造、3054日用玻璃制品制造、3055玻璃包装容器制造)、C306玻璃纤维和玻璃纤维增强塑料制品制造、C308耐火材料制品制造。</w:t>
                  </w:r>
                </w:p>
              </w:tc>
              <w:tc>
                <w:tcPr>
                  <w:tcW w:w="447" w:type="pct"/>
                  <w:vMerge w:val="continue"/>
                  <w:tcBorders>
                    <w:tl2br w:val="nil"/>
                    <w:tr2bl w:val="nil"/>
                  </w:tcBorders>
                  <w:vAlign w:val="center"/>
                </w:tcPr>
                <w:p w14:paraId="61ECC028">
                  <w:pPr>
                    <w:jc w:val="center"/>
                    <w:rPr>
                      <w:rFonts w:hint="default"/>
                      <w:sz w:val="21"/>
                      <w:szCs w:val="21"/>
                      <w:vertAlign w:val="baseline"/>
                      <w:lang w:val="en-US" w:eastAsia="zh-CN"/>
                    </w:rPr>
                  </w:pPr>
                </w:p>
              </w:tc>
            </w:tr>
          </w:tbl>
          <w:p w14:paraId="66A400AF">
            <w:pPr>
              <w:pStyle w:val="50"/>
              <w:rPr>
                <w:rFonts w:hint="default"/>
                <w:lang w:val="en-US" w:eastAsia="zh-CN"/>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lang w:val="en-US" w:eastAsia="zh-CN"/>
              </w:rPr>
              <w:t>环境准入行业</w:t>
            </w:r>
            <w:r>
              <w:rPr>
                <w:rFonts w:hint="eastAsia" w:ascii="Times New Roman" w:hAnsi="Times New Roman" w:eastAsia="宋体" w:cs="Times New Roman"/>
                <w:sz w:val="24"/>
                <w:szCs w:val="24"/>
                <w:lang w:val="en-US" w:eastAsia="zh-CN"/>
              </w:rPr>
              <w:t>负</w:t>
            </w:r>
            <w:r>
              <w:rPr>
                <w:rFonts w:hint="default" w:ascii="Times New Roman" w:hAnsi="Times New Roman" w:eastAsia="宋体" w:cs="Times New Roman"/>
                <w:sz w:val="24"/>
                <w:szCs w:val="24"/>
                <w:lang w:val="en-US" w:eastAsia="zh-CN"/>
              </w:rPr>
              <w:t>面清单</w:t>
            </w:r>
          </w:p>
          <w:p w14:paraId="3C8E86B2">
            <w:pPr>
              <w:pStyle w:val="50"/>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表1-3环境准入行业负面清单</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1"/>
              <w:gridCol w:w="842"/>
              <w:gridCol w:w="5163"/>
              <w:gridCol w:w="1528"/>
            </w:tblGrid>
            <w:tr w14:paraId="6F6B7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34" w:type="pct"/>
                  <w:tcBorders>
                    <w:tl2br w:val="nil"/>
                    <w:tr2bl w:val="nil"/>
                  </w:tcBorders>
                  <w:vAlign w:val="center"/>
                </w:tcPr>
                <w:p w14:paraId="799B86E2">
                  <w:pPr>
                    <w:jc w:val="center"/>
                    <w:rPr>
                      <w:rFonts w:hint="default"/>
                      <w:sz w:val="21"/>
                      <w:szCs w:val="21"/>
                      <w:vertAlign w:val="baseline"/>
                      <w:lang w:val="en-US" w:eastAsia="zh-CN"/>
                    </w:rPr>
                  </w:pPr>
                  <w:r>
                    <w:rPr>
                      <w:rFonts w:hint="eastAsia"/>
                      <w:sz w:val="21"/>
                      <w:szCs w:val="21"/>
                      <w:vertAlign w:val="baseline"/>
                      <w:lang w:val="en-US" w:eastAsia="zh-CN"/>
                    </w:rPr>
                    <w:t>片区</w:t>
                  </w:r>
                </w:p>
              </w:tc>
              <w:tc>
                <w:tcPr>
                  <w:tcW w:w="499" w:type="pct"/>
                  <w:tcBorders>
                    <w:tl2br w:val="nil"/>
                    <w:tr2bl w:val="nil"/>
                  </w:tcBorders>
                  <w:vAlign w:val="center"/>
                </w:tcPr>
                <w:p w14:paraId="4474802E">
                  <w:pPr>
                    <w:jc w:val="center"/>
                    <w:rPr>
                      <w:rFonts w:hint="default"/>
                      <w:sz w:val="21"/>
                      <w:szCs w:val="21"/>
                      <w:vertAlign w:val="baseline"/>
                      <w:lang w:val="en-US" w:eastAsia="zh-CN"/>
                    </w:rPr>
                  </w:pPr>
                  <w:r>
                    <w:rPr>
                      <w:rFonts w:hint="eastAsia"/>
                      <w:sz w:val="21"/>
                      <w:szCs w:val="21"/>
                      <w:vertAlign w:val="baseline"/>
                      <w:lang w:val="en-US" w:eastAsia="zh-CN"/>
                    </w:rPr>
                    <w:t>类别</w:t>
                  </w:r>
                </w:p>
              </w:tc>
              <w:tc>
                <w:tcPr>
                  <w:tcW w:w="3060" w:type="pct"/>
                  <w:tcBorders>
                    <w:tl2br w:val="nil"/>
                    <w:tr2bl w:val="nil"/>
                  </w:tcBorders>
                  <w:vAlign w:val="center"/>
                </w:tcPr>
                <w:p w14:paraId="05E72B46">
                  <w:pPr>
                    <w:jc w:val="center"/>
                    <w:rPr>
                      <w:rFonts w:hint="default"/>
                      <w:sz w:val="21"/>
                      <w:szCs w:val="21"/>
                      <w:vertAlign w:val="baseline"/>
                      <w:lang w:val="en-US" w:eastAsia="zh-CN"/>
                    </w:rPr>
                  </w:pPr>
                  <w:r>
                    <w:rPr>
                      <w:rFonts w:hint="eastAsia"/>
                      <w:sz w:val="21"/>
                      <w:szCs w:val="21"/>
                      <w:vertAlign w:val="baseline"/>
                      <w:lang w:val="en-US" w:eastAsia="zh-CN"/>
                    </w:rPr>
                    <w:t>行业类别</w:t>
                  </w:r>
                </w:p>
              </w:tc>
              <w:tc>
                <w:tcPr>
                  <w:tcW w:w="905" w:type="pct"/>
                  <w:tcBorders>
                    <w:tl2br w:val="nil"/>
                    <w:tr2bl w:val="nil"/>
                  </w:tcBorders>
                  <w:vAlign w:val="center"/>
                </w:tcPr>
                <w:p w14:paraId="27C357D1">
                  <w:pPr>
                    <w:jc w:val="center"/>
                    <w:rPr>
                      <w:rFonts w:hint="default"/>
                      <w:sz w:val="21"/>
                      <w:szCs w:val="21"/>
                      <w:vertAlign w:val="baseline"/>
                      <w:lang w:val="en-US" w:eastAsia="zh-CN"/>
                    </w:rPr>
                  </w:pPr>
                  <w:r>
                    <w:rPr>
                      <w:rFonts w:hint="eastAsia"/>
                      <w:sz w:val="21"/>
                      <w:szCs w:val="21"/>
                      <w:vertAlign w:val="baseline"/>
                      <w:lang w:val="en-US" w:eastAsia="zh-CN"/>
                    </w:rPr>
                    <w:t>依据</w:t>
                  </w:r>
                </w:p>
              </w:tc>
            </w:tr>
            <w:tr w14:paraId="525BC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3" w:hRule="atLeast"/>
              </w:trPr>
              <w:tc>
                <w:tcPr>
                  <w:tcW w:w="534" w:type="pct"/>
                  <w:vMerge w:val="restart"/>
                  <w:tcBorders>
                    <w:tl2br w:val="nil"/>
                    <w:tr2bl w:val="nil"/>
                  </w:tcBorders>
                  <w:vAlign w:val="center"/>
                </w:tcPr>
                <w:p w14:paraId="2A04682A">
                  <w:pPr>
                    <w:jc w:val="center"/>
                    <w:rPr>
                      <w:rFonts w:hint="default"/>
                      <w:sz w:val="21"/>
                      <w:szCs w:val="21"/>
                      <w:vertAlign w:val="baseline"/>
                      <w:lang w:val="en-US" w:eastAsia="zh-CN"/>
                    </w:rPr>
                  </w:pPr>
                  <w:r>
                    <w:rPr>
                      <w:rFonts w:hint="eastAsia"/>
                      <w:sz w:val="21"/>
                      <w:szCs w:val="21"/>
                      <w:vertAlign w:val="baseline"/>
                      <w:lang w:val="en-US" w:eastAsia="zh-CN"/>
                    </w:rPr>
                    <w:t>泸阳片区</w:t>
                  </w:r>
                </w:p>
              </w:tc>
              <w:tc>
                <w:tcPr>
                  <w:tcW w:w="499" w:type="pct"/>
                  <w:vMerge w:val="restart"/>
                  <w:tcBorders>
                    <w:tl2br w:val="nil"/>
                    <w:tr2bl w:val="nil"/>
                  </w:tcBorders>
                  <w:vAlign w:val="center"/>
                </w:tcPr>
                <w:p w14:paraId="400954F9">
                  <w:pPr>
                    <w:jc w:val="center"/>
                    <w:rPr>
                      <w:rFonts w:hint="default"/>
                      <w:sz w:val="21"/>
                      <w:szCs w:val="21"/>
                      <w:vertAlign w:val="baseline"/>
                      <w:lang w:val="en-US" w:eastAsia="zh-CN"/>
                    </w:rPr>
                  </w:pPr>
                  <w:r>
                    <w:rPr>
                      <w:rFonts w:hint="eastAsia"/>
                      <w:sz w:val="21"/>
                      <w:szCs w:val="21"/>
                      <w:vertAlign w:val="baseline"/>
                      <w:lang w:val="en-US" w:eastAsia="zh-CN"/>
                    </w:rPr>
                    <w:t>禁止类</w:t>
                  </w:r>
                </w:p>
              </w:tc>
              <w:tc>
                <w:tcPr>
                  <w:tcW w:w="3060" w:type="pct"/>
                  <w:tcBorders>
                    <w:tl2br w:val="nil"/>
                    <w:tr2bl w:val="nil"/>
                  </w:tcBorders>
                  <w:vAlign w:val="center"/>
                </w:tcPr>
                <w:p w14:paraId="4CEEECFC">
                  <w:pPr>
                    <w:jc w:val="left"/>
                    <w:rPr>
                      <w:rFonts w:hint="default"/>
                      <w:sz w:val="21"/>
                      <w:szCs w:val="21"/>
                      <w:vertAlign w:val="baseline"/>
                      <w:lang w:val="en-US" w:eastAsia="zh-CN"/>
                    </w:rPr>
                  </w:pPr>
                  <w:r>
                    <w:rPr>
                      <w:rFonts w:hint="default"/>
                      <w:sz w:val="21"/>
                      <w:szCs w:val="21"/>
                      <w:vertAlign w:val="baseline"/>
                      <w:lang w:val="en-US" w:eastAsia="zh-CN"/>
                    </w:rPr>
                    <w:t>主导产业中禁止类:</w:t>
                  </w:r>
                </w:p>
                <w:p w14:paraId="2964ADCB">
                  <w:pPr>
                    <w:jc w:val="left"/>
                    <w:rPr>
                      <w:rFonts w:hint="default"/>
                      <w:sz w:val="21"/>
                      <w:szCs w:val="21"/>
                      <w:vertAlign w:val="baseline"/>
                      <w:lang w:val="en-US" w:eastAsia="zh-CN"/>
                    </w:rPr>
                  </w:pPr>
                  <w:r>
                    <w:rPr>
                      <w:rFonts w:hint="default"/>
                      <w:sz w:val="21"/>
                      <w:szCs w:val="21"/>
                      <w:vertAlign w:val="baseline"/>
                      <w:lang w:val="en-US" w:eastAsia="zh-CN"/>
                    </w:rPr>
                    <w:t>1、新型建材:禁止新引进C3011水泥制造(水泥熟料制造)，台泥水泥维持现状，C304玻璃制造、C305玻璃制品制造中C3057制镜及类似品加工。</w:t>
                  </w:r>
                </w:p>
                <w:p w14:paraId="7AFF83CB">
                  <w:pPr>
                    <w:jc w:val="left"/>
                    <w:rPr>
                      <w:rFonts w:hint="default"/>
                      <w:sz w:val="21"/>
                      <w:szCs w:val="21"/>
                      <w:vertAlign w:val="baseline"/>
                      <w:lang w:val="en-US" w:eastAsia="zh-CN"/>
                    </w:rPr>
                  </w:pPr>
                  <w:r>
                    <w:rPr>
                      <w:rFonts w:hint="default"/>
                      <w:sz w:val="21"/>
                      <w:szCs w:val="21"/>
                      <w:vertAlign w:val="baseline"/>
                      <w:lang w:val="en-US" w:eastAsia="zh-CN"/>
                    </w:rPr>
                    <w:t>2、主导产业中其余废气或废水中外排第一类重金属和持久性有机污染物的行业。</w:t>
                  </w:r>
                </w:p>
              </w:tc>
              <w:tc>
                <w:tcPr>
                  <w:tcW w:w="905" w:type="pct"/>
                  <w:vMerge w:val="restart"/>
                  <w:tcBorders>
                    <w:tl2br w:val="nil"/>
                    <w:tr2bl w:val="nil"/>
                  </w:tcBorders>
                  <w:vAlign w:val="center"/>
                </w:tcPr>
                <w:p w14:paraId="7B814A14">
                  <w:pPr>
                    <w:jc w:val="center"/>
                    <w:rPr>
                      <w:rFonts w:hint="default"/>
                      <w:sz w:val="21"/>
                      <w:szCs w:val="21"/>
                      <w:vertAlign w:val="baseline"/>
                      <w:lang w:val="en-US" w:eastAsia="zh-CN"/>
                    </w:rPr>
                  </w:pPr>
                  <w:r>
                    <w:rPr>
                      <w:rFonts w:hint="eastAsia"/>
                      <w:sz w:val="21"/>
                      <w:szCs w:val="21"/>
                      <w:vertAlign w:val="baseline"/>
                      <w:lang w:val="en-US" w:eastAsia="zh-CN"/>
                    </w:rPr>
                    <w:t>园区产业定位、泸阳片区位于泸阳镇与怀化城区的上风向、目前泸阳片区纳污水体太平溪水环境容量有限。</w:t>
                  </w:r>
                </w:p>
              </w:tc>
            </w:tr>
            <w:tr w14:paraId="414CA6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3" w:hRule="atLeast"/>
              </w:trPr>
              <w:tc>
                <w:tcPr>
                  <w:tcW w:w="534" w:type="pct"/>
                  <w:vMerge w:val="continue"/>
                  <w:tcBorders>
                    <w:tl2br w:val="nil"/>
                    <w:tr2bl w:val="nil"/>
                  </w:tcBorders>
                  <w:vAlign w:val="center"/>
                </w:tcPr>
                <w:p w14:paraId="576A2BD8">
                  <w:pPr>
                    <w:jc w:val="left"/>
                    <w:rPr>
                      <w:sz w:val="21"/>
                      <w:szCs w:val="21"/>
                    </w:rPr>
                  </w:pPr>
                </w:p>
              </w:tc>
              <w:tc>
                <w:tcPr>
                  <w:tcW w:w="499" w:type="pct"/>
                  <w:vMerge w:val="continue"/>
                  <w:tcBorders>
                    <w:tl2br w:val="nil"/>
                    <w:tr2bl w:val="nil"/>
                  </w:tcBorders>
                  <w:vAlign w:val="center"/>
                </w:tcPr>
                <w:p w14:paraId="03F1A9C9">
                  <w:pPr>
                    <w:jc w:val="left"/>
                    <w:rPr>
                      <w:sz w:val="21"/>
                      <w:szCs w:val="21"/>
                    </w:rPr>
                  </w:pPr>
                </w:p>
              </w:tc>
              <w:tc>
                <w:tcPr>
                  <w:tcW w:w="3060" w:type="pct"/>
                  <w:tcBorders>
                    <w:tl2br w:val="nil"/>
                    <w:tr2bl w:val="nil"/>
                  </w:tcBorders>
                  <w:vAlign w:val="center"/>
                </w:tcPr>
                <w:p w14:paraId="2A894550">
                  <w:pPr>
                    <w:jc w:val="both"/>
                    <w:rPr>
                      <w:rFonts w:hint="default"/>
                      <w:sz w:val="21"/>
                      <w:szCs w:val="21"/>
                      <w:vertAlign w:val="baseline"/>
                      <w:lang w:val="en-US" w:eastAsia="zh-CN"/>
                    </w:rPr>
                  </w:pPr>
                  <w:r>
                    <w:rPr>
                      <w:rFonts w:hint="default"/>
                      <w:sz w:val="21"/>
                      <w:szCs w:val="21"/>
                      <w:u w:val="single"/>
                      <w:vertAlign w:val="baseline"/>
                      <w:lang w:val="en-US" w:eastAsia="zh-CN"/>
                    </w:rPr>
                    <w:t>规划的主导产业以外:《国民经济行业分类》(GB/T4754-2017)中:农、林、牧、渔业:采矿业;纺织业中涉及染整工艺的项目;造纸和纸制品业中纸浆制造和造纸项目;石油、煤炭及其他燃料加工业(煤制合成气生产、生物质燃料加工除外);皮革、毛皮、羽毛及其制品和制鞋业中涉及制革、羽毛(绒)初加工的项目;化学药品原料药制造、化学药品制剂制造;橡胶和塑料制品业中轮胎制造;黑色金属冶炼、有色金属冶炼;禁止新建废气、废水污染物中涉及重金属排放项目。</w:t>
                  </w:r>
                </w:p>
              </w:tc>
              <w:tc>
                <w:tcPr>
                  <w:tcW w:w="905" w:type="pct"/>
                  <w:vMerge w:val="continue"/>
                  <w:tcBorders>
                    <w:tl2br w:val="nil"/>
                    <w:tr2bl w:val="nil"/>
                  </w:tcBorders>
                  <w:vAlign w:val="center"/>
                </w:tcPr>
                <w:p w14:paraId="23E22731">
                  <w:pPr>
                    <w:jc w:val="left"/>
                    <w:rPr>
                      <w:rFonts w:hint="default"/>
                      <w:sz w:val="21"/>
                      <w:szCs w:val="21"/>
                      <w:vertAlign w:val="baseline"/>
                      <w:lang w:val="en-US" w:eastAsia="zh-CN"/>
                    </w:rPr>
                  </w:pPr>
                </w:p>
              </w:tc>
            </w:tr>
            <w:tr w14:paraId="5896B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34" w:type="pct"/>
                  <w:vMerge w:val="continue"/>
                  <w:tcBorders>
                    <w:tl2br w:val="nil"/>
                    <w:tr2bl w:val="nil"/>
                  </w:tcBorders>
                  <w:vAlign w:val="center"/>
                </w:tcPr>
                <w:p w14:paraId="2B4BBD21">
                  <w:pPr>
                    <w:jc w:val="center"/>
                    <w:rPr>
                      <w:rFonts w:hint="default"/>
                      <w:sz w:val="21"/>
                      <w:szCs w:val="21"/>
                      <w:vertAlign w:val="baseline"/>
                      <w:lang w:val="en-US" w:eastAsia="zh-CN"/>
                    </w:rPr>
                  </w:pPr>
                </w:p>
              </w:tc>
              <w:tc>
                <w:tcPr>
                  <w:tcW w:w="499" w:type="pct"/>
                  <w:tcBorders>
                    <w:tl2br w:val="nil"/>
                    <w:tr2bl w:val="nil"/>
                  </w:tcBorders>
                  <w:vAlign w:val="center"/>
                </w:tcPr>
                <w:p w14:paraId="51D6ACF8">
                  <w:pPr>
                    <w:jc w:val="center"/>
                    <w:rPr>
                      <w:rFonts w:hint="default"/>
                      <w:sz w:val="21"/>
                      <w:szCs w:val="21"/>
                      <w:vertAlign w:val="baseline"/>
                      <w:lang w:val="en-US" w:eastAsia="zh-CN"/>
                    </w:rPr>
                  </w:pPr>
                  <w:r>
                    <w:rPr>
                      <w:rFonts w:hint="eastAsia"/>
                      <w:sz w:val="21"/>
                      <w:szCs w:val="21"/>
                      <w:vertAlign w:val="baseline"/>
                      <w:lang w:val="en-US" w:eastAsia="zh-CN"/>
                    </w:rPr>
                    <w:t>限制类</w:t>
                  </w:r>
                </w:p>
              </w:tc>
              <w:tc>
                <w:tcPr>
                  <w:tcW w:w="3060" w:type="pct"/>
                  <w:tcBorders>
                    <w:tl2br w:val="nil"/>
                    <w:tr2bl w:val="nil"/>
                  </w:tcBorders>
                  <w:vAlign w:val="center"/>
                </w:tcPr>
                <w:p w14:paraId="0F6A4521">
                  <w:pPr>
                    <w:jc w:val="left"/>
                    <w:rPr>
                      <w:rFonts w:hint="default"/>
                      <w:sz w:val="21"/>
                      <w:szCs w:val="21"/>
                      <w:vertAlign w:val="baseline"/>
                      <w:lang w:val="en-US" w:eastAsia="zh-CN"/>
                    </w:rPr>
                  </w:pPr>
                  <w:r>
                    <w:rPr>
                      <w:rFonts w:hint="default"/>
                      <w:sz w:val="21"/>
                      <w:szCs w:val="21"/>
                      <w:vertAlign w:val="baseline"/>
                      <w:lang w:val="en-US" w:eastAsia="zh-CN"/>
                    </w:rPr>
                    <w:t>主导产业中限制类:</w:t>
                  </w:r>
                </w:p>
                <w:p w14:paraId="7A8DE3A7">
                  <w:pPr>
                    <w:jc w:val="left"/>
                    <w:rPr>
                      <w:rFonts w:hint="default"/>
                      <w:sz w:val="21"/>
                      <w:szCs w:val="21"/>
                      <w:vertAlign w:val="baseline"/>
                      <w:lang w:val="en-US" w:eastAsia="zh-CN"/>
                    </w:rPr>
                  </w:pPr>
                  <w:r>
                    <w:rPr>
                      <w:rFonts w:hint="default"/>
                      <w:sz w:val="21"/>
                      <w:szCs w:val="21"/>
                      <w:vertAlign w:val="baseline"/>
                      <w:lang w:val="en-US" w:eastAsia="zh-CN"/>
                    </w:rPr>
                    <w:t>1、农副产品深加工限制引进:C135屠宰及肉类加工(C1351牲畜屠宰、C1352禽类屠宰)、C146调味品、发酵制品制造(C1461味精制造、C1462酱油、食醋及类似制品制造)、C151酒的制造(1511酒精制造、1512白酒制造、1513啤酒制造、1514黄酒制造)</w:t>
                  </w:r>
                  <w:r>
                    <w:rPr>
                      <w:rFonts w:hint="eastAsia"/>
                      <w:sz w:val="21"/>
                      <w:szCs w:val="21"/>
                      <w:vertAlign w:val="baseline"/>
                      <w:lang w:val="en-US" w:eastAsia="zh-CN"/>
                    </w:rPr>
                    <w:t>。</w:t>
                  </w:r>
                </w:p>
                <w:p w14:paraId="2E3D4131">
                  <w:pPr>
                    <w:jc w:val="left"/>
                    <w:rPr>
                      <w:rFonts w:hint="default"/>
                      <w:sz w:val="21"/>
                      <w:szCs w:val="21"/>
                      <w:lang w:val="en-US" w:eastAsia="zh-CN"/>
                    </w:rPr>
                  </w:pPr>
                  <w:r>
                    <w:rPr>
                      <w:rFonts w:hint="default"/>
                      <w:sz w:val="21"/>
                      <w:szCs w:val="21"/>
                      <w:vertAlign w:val="baseline"/>
                      <w:lang w:val="en-US" w:eastAsia="zh-CN"/>
                    </w:rPr>
                    <w:t>2、新型建材限制引进:C307陶瓷制品制造。</w:t>
                  </w:r>
                </w:p>
              </w:tc>
              <w:tc>
                <w:tcPr>
                  <w:tcW w:w="905" w:type="pct"/>
                  <w:vMerge w:val="continue"/>
                  <w:tcBorders>
                    <w:tl2br w:val="nil"/>
                    <w:tr2bl w:val="nil"/>
                  </w:tcBorders>
                  <w:vAlign w:val="center"/>
                </w:tcPr>
                <w:p w14:paraId="35E242AB">
                  <w:pPr>
                    <w:jc w:val="center"/>
                    <w:rPr>
                      <w:rFonts w:hint="default"/>
                      <w:sz w:val="21"/>
                      <w:szCs w:val="21"/>
                      <w:vertAlign w:val="baseline"/>
                      <w:lang w:val="en-US" w:eastAsia="zh-CN"/>
                    </w:rPr>
                  </w:pPr>
                </w:p>
              </w:tc>
            </w:tr>
          </w:tbl>
          <w:p w14:paraId="51A9C1DA">
            <w:pPr>
              <w:pStyle w:val="50"/>
              <w:rPr>
                <w:rFonts w:hint="default"/>
                <w:lang w:val="en-US" w:eastAsia="zh-CN"/>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val="en-US" w:eastAsia="zh-CN"/>
              </w:rPr>
              <w:t>环境准入工艺和产品负面清单</w:t>
            </w:r>
          </w:p>
          <w:p w14:paraId="31100040">
            <w:pPr>
              <w:pStyle w:val="50"/>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eastAsia" w:ascii="Times New Roman" w:hAnsi="Times New Roman" w:eastAsia="宋体" w:cs="Times New Roman"/>
                <w:b/>
                <w:bCs/>
                <w:color w:val="auto"/>
                <w:kern w:val="2"/>
                <w:sz w:val="21"/>
                <w:szCs w:val="21"/>
                <w:lang w:val="en-US" w:eastAsia="zh-CN" w:bidi="ar-SA"/>
              </w:rPr>
              <w:t>表1-4环境准入工艺和产品负面清单</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4"/>
              <w:gridCol w:w="768"/>
              <w:gridCol w:w="829"/>
              <w:gridCol w:w="3820"/>
              <w:gridCol w:w="2163"/>
            </w:tblGrid>
            <w:tr w14:paraId="24016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6" w:type="pct"/>
                  <w:tcBorders>
                    <w:tl2br w:val="nil"/>
                    <w:tr2bl w:val="nil"/>
                  </w:tcBorders>
                  <w:vAlign w:val="center"/>
                </w:tcPr>
                <w:p w14:paraId="0719B9A2">
                  <w:pPr>
                    <w:jc w:val="center"/>
                    <w:rPr>
                      <w:rFonts w:hint="default"/>
                      <w:sz w:val="21"/>
                      <w:szCs w:val="21"/>
                      <w:vertAlign w:val="baseline"/>
                      <w:lang w:val="en-US" w:eastAsia="zh-CN"/>
                    </w:rPr>
                  </w:pPr>
                  <w:r>
                    <w:rPr>
                      <w:rFonts w:hint="eastAsia"/>
                      <w:sz w:val="21"/>
                      <w:szCs w:val="21"/>
                      <w:vertAlign w:val="baseline"/>
                      <w:lang w:val="en-US" w:eastAsia="zh-CN"/>
                    </w:rPr>
                    <w:t>园区</w:t>
                  </w:r>
                </w:p>
              </w:tc>
              <w:tc>
                <w:tcPr>
                  <w:tcW w:w="455" w:type="pct"/>
                  <w:tcBorders>
                    <w:tl2br w:val="nil"/>
                    <w:tr2bl w:val="nil"/>
                  </w:tcBorders>
                  <w:vAlign w:val="center"/>
                </w:tcPr>
                <w:p w14:paraId="0ABE50F0">
                  <w:pPr>
                    <w:jc w:val="center"/>
                    <w:rPr>
                      <w:rFonts w:hint="default"/>
                      <w:sz w:val="21"/>
                      <w:szCs w:val="21"/>
                      <w:vertAlign w:val="baseline"/>
                      <w:lang w:val="en-US" w:eastAsia="zh-CN"/>
                    </w:rPr>
                  </w:pPr>
                  <w:r>
                    <w:rPr>
                      <w:rFonts w:hint="eastAsia"/>
                      <w:sz w:val="21"/>
                      <w:szCs w:val="21"/>
                      <w:vertAlign w:val="baseline"/>
                      <w:lang w:val="en-US" w:eastAsia="zh-CN"/>
                    </w:rPr>
                    <w:t>类别</w:t>
                  </w:r>
                </w:p>
              </w:tc>
              <w:tc>
                <w:tcPr>
                  <w:tcW w:w="491" w:type="pct"/>
                  <w:tcBorders>
                    <w:tl2br w:val="nil"/>
                    <w:tr2bl w:val="nil"/>
                  </w:tcBorders>
                  <w:vAlign w:val="center"/>
                </w:tcPr>
                <w:p w14:paraId="56C43A08">
                  <w:pPr>
                    <w:jc w:val="center"/>
                    <w:rPr>
                      <w:rFonts w:hint="eastAsia"/>
                      <w:sz w:val="21"/>
                      <w:szCs w:val="21"/>
                      <w:vertAlign w:val="baseline"/>
                      <w:lang w:val="en-US" w:eastAsia="zh-CN"/>
                    </w:rPr>
                  </w:pPr>
                  <w:r>
                    <w:rPr>
                      <w:rFonts w:hint="eastAsia"/>
                      <w:sz w:val="21"/>
                      <w:szCs w:val="21"/>
                      <w:vertAlign w:val="baseline"/>
                      <w:lang w:val="en-US" w:eastAsia="zh-CN"/>
                    </w:rPr>
                    <w:t>行业</w:t>
                  </w:r>
                </w:p>
              </w:tc>
              <w:tc>
                <w:tcPr>
                  <w:tcW w:w="2264" w:type="pct"/>
                  <w:tcBorders>
                    <w:tl2br w:val="nil"/>
                    <w:tr2bl w:val="nil"/>
                  </w:tcBorders>
                  <w:vAlign w:val="center"/>
                </w:tcPr>
                <w:p w14:paraId="6B4C15D4">
                  <w:pPr>
                    <w:jc w:val="center"/>
                    <w:rPr>
                      <w:rFonts w:hint="default"/>
                      <w:sz w:val="21"/>
                      <w:szCs w:val="21"/>
                      <w:vertAlign w:val="baseline"/>
                      <w:lang w:val="en-US" w:eastAsia="zh-CN"/>
                    </w:rPr>
                  </w:pPr>
                  <w:r>
                    <w:rPr>
                      <w:rFonts w:hint="eastAsia"/>
                      <w:sz w:val="21"/>
                      <w:szCs w:val="21"/>
                      <w:vertAlign w:val="baseline"/>
                      <w:lang w:val="en-US" w:eastAsia="zh-CN"/>
                    </w:rPr>
                    <w:t>工艺和产品</w:t>
                  </w:r>
                </w:p>
              </w:tc>
              <w:tc>
                <w:tcPr>
                  <w:tcW w:w="1282" w:type="pct"/>
                  <w:tcBorders>
                    <w:tl2br w:val="nil"/>
                    <w:tr2bl w:val="nil"/>
                  </w:tcBorders>
                  <w:vAlign w:val="center"/>
                </w:tcPr>
                <w:p w14:paraId="0452D3E3">
                  <w:pPr>
                    <w:jc w:val="center"/>
                    <w:rPr>
                      <w:rFonts w:hint="default"/>
                      <w:sz w:val="21"/>
                      <w:szCs w:val="21"/>
                      <w:vertAlign w:val="baseline"/>
                      <w:lang w:val="en-US" w:eastAsia="zh-CN"/>
                    </w:rPr>
                  </w:pPr>
                  <w:r>
                    <w:rPr>
                      <w:rFonts w:hint="eastAsia"/>
                      <w:sz w:val="21"/>
                      <w:szCs w:val="21"/>
                      <w:vertAlign w:val="baseline"/>
                      <w:lang w:val="en-US" w:eastAsia="zh-CN"/>
                    </w:rPr>
                    <w:t>依据</w:t>
                  </w:r>
                </w:p>
              </w:tc>
            </w:tr>
            <w:tr w14:paraId="5FAA07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 w:hRule="atLeast"/>
              </w:trPr>
              <w:tc>
                <w:tcPr>
                  <w:tcW w:w="506" w:type="pct"/>
                  <w:vMerge w:val="restart"/>
                  <w:tcBorders>
                    <w:tl2br w:val="nil"/>
                    <w:tr2bl w:val="nil"/>
                  </w:tcBorders>
                  <w:vAlign w:val="center"/>
                </w:tcPr>
                <w:p w14:paraId="7FF9A906">
                  <w:pPr>
                    <w:jc w:val="center"/>
                    <w:rPr>
                      <w:rFonts w:hint="default"/>
                      <w:sz w:val="21"/>
                      <w:szCs w:val="21"/>
                      <w:vertAlign w:val="baseline"/>
                      <w:lang w:val="en-US" w:eastAsia="zh-CN"/>
                    </w:rPr>
                  </w:pPr>
                  <w:r>
                    <w:rPr>
                      <w:rFonts w:hint="eastAsia"/>
                      <w:sz w:val="21"/>
                      <w:szCs w:val="21"/>
                      <w:vertAlign w:val="baseline"/>
                      <w:lang w:val="en-US" w:eastAsia="zh-CN"/>
                    </w:rPr>
                    <w:t>中方工业集中区</w:t>
                  </w:r>
                </w:p>
              </w:tc>
              <w:tc>
                <w:tcPr>
                  <w:tcW w:w="455" w:type="pct"/>
                  <w:vMerge w:val="restart"/>
                  <w:tcBorders>
                    <w:tl2br w:val="nil"/>
                    <w:tr2bl w:val="nil"/>
                  </w:tcBorders>
                  <w:vAlign w:val="center"/>
                </w:tcPr>
                <w:p w14:paraId="07777F0E">
                  <w:pPr>
                    <w:jc w:val="center"/>
                    <w:rPr>
                      <w:rFonts w:hint="default"/>
                      <w:sz w:val="21"/>
                      <w:szCs w:val="21"/>
                      <w:vertAlign w:val="baseline"/>
                      <w:lang w:val="en-US" w:eastAsia="zh-CN"/>
                    </w:rPr>
                  </w:pPr>
                  <w:r>
                    <w:rPr>
                      <w:rFonts w:hint="eastAsia"/>
                      <w:sz w:val="21"/>
                      <w:szCs w:val="21"/>
                      <w:vertAlign w:val="baseline"/>
                      <w:lang w:val="en-US" w:eastAsia="zh-CN"/>
                    </w:rPr>
                    <w:t>禁止类</w:t>
                  </w:r>
                </w:p>
              </w:tc>
              <w:tc>
                <w:tcPr>
                  <w:tcW w:w="491" w:type="pct"/>
                  <w:tcBorders>
                    <w:tl2br w:val="nil"/>
                    <w:tr2bl w:val="nil"/>
                  </w:tcBorders>
                  <w:vAlign w:val="center"/>
                </w:tcPr>
                <w:p w14:paraId="2E3502F8">
                  <w:pPr>
                    <w:jc w:val="center"/>
                    <w:rPr>
                      <w:rFonts w:hint="default"/>
                      <w:sz w:val="21"/>
                      <w:szCs w:val="21"/>
                      <w:vertAlign w:val="baseline"/>
                      <w:lang w:val="en-US" w:eastAsia="zh-CN"/>
                    </w:rPr>
                  </w:pPr>
                  <w:r>
                    <w:rPr>
                      <w:rFonts w:hint="eastAsia"/>
                      <w:sz w:val="21"/>
                      <w:szCs w:val="21"/>
                      <w:vertAlign w:val="baseline"/>
                      <w:lang w:val="en-US" w:eastAsia="zh-CN"/>
                    </w:rPr>
                    <w:t>新型建材</w:t>
                  </w:r>
                </w:p>
              </w:tc>
              <w:tc>
                <w:tcPr>
                  <w:tcW w:w="2264" w:type="pct"/>
                  <w:tcBorders>
                    <w:tl2br w:val="nil"/>
                    <w:tr2bl w:val="nil"/>
                  </w:tcBorders>
                  <w:vAlign w:val="center"/>
                </w:tcPr>
                <w:p w14:paraId="111293F4">
                  <w:pPr>
                    <w:jc w:val="left"/>
                    <w:rPr>
                      <w:rFonts w:hint="default"/>
                      <w:sz w:val="21"/>
                      <w:szCs w:val="21"/>
                      <w:vertAlign w:val="baseline"/>
                      <w:lang w:val="en-US" w:eastAsia="zh-CN"/>
                    </w:rPr>
                  </w:pPr>
                  <w:r>
                    <w:rPr>
                      <w:rFonts w:hint="default"/>
                      <w:sz w:val="21"/>
                      <w:szCs w:val="21"/>
                      <w:vertAlign w:val="baseline"/>
                      <w:lang w:val="en-US" w:eastAsia="zh-CN"/>
                    </w:rPr>
                    <w:t>1、新型建材禁止引进《建材行业淘汰落后产能指导目录(2019版)》中的淘汰落后产能。</w:t>
                  </w:r>
                </w:p>
                <w:p w14:paraId="2032D626">
                  <w:pPr>
                    <w:jc w:val="left"/>
                    <w:rPr>
                      <w:rFonts w:hint="default"/>
                      <w:sz w:val="21"/>
                      <w:szCs w:val="21"/>
                      <w:vertAlign w:val="baseline"/>
                      <w:lang w:val="en-US" w:eastAsia="zh-CN"/>
                    </w:rPr>
                  </w:pPr>
                  <w:r>
                    <w:rPr>
                      <w:rFonts w:hint="default"/>
                      <w:sz w:val="21"/>
                      <w:szCs w:val="21"/>
                      <w:vertAlign w:val="baseline"/>
                      <w:lang w:val="en-US" w:eastAsia="zh-CN"/>
                    </w:rPr>
                    <w:t>2、非烧结、非蒸压粉煤灰砖生产线等17项属于《产业结构调整指导目录(2024年本)》</w:t>
                  </w:r>
                  <w:r>
                    <w:rPr>
                      <w:rFonts w:hint="eastAsia"/>
                      <w:sz w:val="21"/>
                      <w:szCs w:val="21"/>
                      <w:vertAlign w:val="baseline"/>
                      <w:lang w:val="en-US" w:eastAsia="zh-CN"/>
                    </w:rPr>
                    <w:t>。</w:t>
                  </w:r>
                </w:p>
              </w:tc>
              <w:tc>
                <w:tcPr>
                  <w:tcW w:w="1282" w:type="pct"/>
                  <w:vMerge w:val="restart"/>
                  <w:tcBorders>
                    <w:tl2br w:val="nil"/>
                    <w:tr2bl w:val="nil"/>
                  </w:tcBorders>
                  <w:vAlign w:val="center"/>
                </w:tcPr>
                <w:p w14:paraId="00791D21">
                  <w:pPr>
                    <w:jc w:val="left"/>
                    <w:rPr>
                      <w:rFonts w:hint="default"/>
                      <w:sz w:val="21"/>
                      <w:szCs w:val="21"/>
                      <w:vertAlign w:val="baseline"/>
                      <w:lang w:val="en-US" w:eastAsia="zh-CN"/>
                    </w:rPr>
                  </w:pPr>
                  <w:r>
                    <w:rPr>
                      <w:rFonts w:hint="default"/>
                      <w:sz w:val="21"/>
                      <w:szCs w:val="21"/>
                      <w:vertAlign w:val="baseline"/>
                      <w:lang w:val="en-US" w:eastAsia="zh-CN"/>
                    </w:rPr>
                    <w:t>1、《产业结构调整指导目录(2024年本)》</w:t>
                  </w:r>
                  <w:r>
                    <w:rPr>
                      <w:rFonts w:hint="eastAsia"/>
                      <w:sz w:val="21"/>
                      <w:szCs w:val="21"/>
                      <w:vertAlign w:val="baseline"/>
                      <w:lang w:val="en-US" w:eastAsia="zh-CN"/>
                    </w:rPr>
                    <w:t>。</w:t>
                  </w:r>
                </w:p>
                <w:p w14:paraId="06606E39">
                  <w:pPr>
                    <w:jc w:val="left"/>
                    <w:rPr>
                      <w:rFonts w:hint="eastAsia"/>
                      <w:sz w:val="21"/>
                      <w:szCs w:val="21"/>
                      <w:vertAlign w:val="baseline"/>
                      <w:lang w:val="en-US" w:eastAsia="zh-CN"/>
                    </w:rPr>
                  </w:pPr>
                  <w:r>
                    <w:rPr>
                      <w:rFonts w:hint="default"/>
                      <w:sz w:val="21"/>
                      <w:szCs w:val="21"/>
                      <w:vertAlign w:val="baseline"/>
                      <w:lang w:val="en-US" w:eastAsia="zh-CN"/>
                    </w:rPr>
                    <w:t>2、国家工业和信息化部《部分工业行业淘汰落后生产工艺装备和产品指导目录(2010年本)》(工产业(2010)第122号)</w:t>
                  </w:r>
                  <w:r>
                    <w:rPr>
                      <w:rFonts w:hint="eastAsia"/>
                      <w:sz w:val="21"/>
                      <w:szCs w:val="21"/>
                      <w:vertAlign w:val="baseline"/>
                      <w:lang w:val="en-US" w:eastAsia="zh-CN"/>
                    </w:rPr>
                    <w:t>。</w:t>
                  </w:r>
                </w:p>
                <w:p w14:paraId="56B817DE">
                  <w:pPr>
                    <w:jc w:val="left"/>
                    <w:rPr>
                      <w:rFonts w:hint="eastAsia"/>
                      <w:sz w:val="21"/>
                      <w:szCs w:val="21"/>
                      <w:vertAlign w:val="baseline"/>
                      <w:lang w:val="en-US" w:eastAsia="zh-CN"/>
                    </w:rPr>
                  </w:pPr>
                  <w:r>
                    <w:rPr>
                      <w:rFonts w:hint="default"/>
                      <w:sz w:val="21"/>
                      <w:szCs w:val="21"/>
                      <w:vertAlign w:val="baseline"/>
                      <w:lang w:val="en-US" w:eastAsia="zh-CN"/>
                    </w:rPr>
                    <w:t>3、国土资源部、国家发改委关于发布实施《限制用地项目目录(2012年本)》和《禁止用地项目目录(2012年本)》的通知(国土资发(2012)98号)</w:t>
                  </w:r>
                  <w:r>
                    <w:rPr>
                      <w:rFonts w:hint="eastAsia"/>
                      <w:sz w:val="21"/>
                      <w:szCs w:val="21"/>
                      <w:vertAlign w:val="baseline"/>
                      <w:lang w:val="en-US" w:eastAsia="zh-CN"/>
                    </w:rPr>
                    <w:t>。</w:t>
                  </w:r>
                </w:p>
                <w:p w14:paraId="4BC2D5DF">
                  <w:pPr>
                    <w:jc w:val="left"/>
                    <w:rPr>
                      <w:rFonts w:hint="default"/>
                      <w:sz w:val="21"/>
                      <w:szCs w:val="21"/>
                      <w:vertAlign w:val="baseline"/>
                      <w:lang w:val="en-US" w:eastAsia="zh-CN"/>
                    </w:rPr>
                  </w:pPr>
                  <w:r>
                    <w:rPr>
                      <w:rFonts w:hint="default"/>
                      <w:sz w:val="21"/>
                      <w:szCs w:val="21"/>
                      <w:vertAlign w:val="baseline"/>
                      <w:lang w:val="en-US" w:eastAsia="zh-CN"/>
                    </w:rPr>
                    <w:t>4、《湖南省长江经济带发展负面清单实施细则(试行)》的通知</w:t>
                  </w:r>
                  <w:r>
                    <w:rPr>
                      <w:rFonts w:hint="eastAsia"/>
                      <w:sz w:val="21"/>
                      <w:szCs w:val="21"/>
                      <w:vertAlign w:val="baseline"/>
                      <w:lang w:val="en-US" w:eastAsia="zh-CN"/>
                    </w:rPr>
                    <w:t>。</w:t>
                  </w:r>
                </w:p>
                <w:p w14:paraId="61ACBB45">
                  <w:pPr>
                    <w:jc w:val="left"/>
                    <w:rPr>
                      <w:rFonts w:hint="default"/>
                      <w:sz w:val="21"/>
                      <w:szCs w:val="21"/>
                      <w:vertAlign w:val="baseline"/>
                      <w:lang w:val="en-US" w:eastAsia="zh-CN"/>
                    </w:rPr>
                  </w:pPr>
                  <w:r>
                    <w:rPr>
                      <w:rFonts w:hint="default"/>
                      <w:sz w:val="21"/>
                      <w:szCs w:val="21"/>
                      <w:vertAlign w:val="baseline"/>
                      <w:lang w:val="en-US" w:eastAsia="zh-CN"/>
                    </w:rPr>
                    <w:t>5、《建材行业淘汰落后产能指导目录(2019版)》</w:t>
                  </w:r>
                  <w:r>
                    <w:rPr>
                      <w:rFonts w:hint="eastAsia"/>
                      <w:sz w:val="21"/>
                      <w:szCs w:val="21"/>
                      <w:vertAlign w:val="baseline"/>
                      <w:lang w:val="en-US" w:eastAsia="zh-CN"/>
                    </w:rPr>
                    <w:t>。</w:t>
                  </w:r>
                </w:p>
              </w:tc>
            </w:tr>
            <w:tr w14:paraId="6C0871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 w:hRule="atLeast"/>
              </w:trPr>
              <w:tc>
                <w:tcPr>
                  <w:tcW w:w="506" w:type="pct"/>
                  <w:vMerge w:val="continue"/>
                  <w:tcBorders>
                    <w:tl2br w:val="nil"/>
                    <w:tr2bl w:val="nil"/>
                  </w:tcBorders>
                  <w:vAlign w:val="center"/>
                </w:tcPr>
                <w:p w14:paraId="7C12DA80">
                  <w:pPr>
                    <w:jc w:val="center"/>
                    <w:rPr>
                      <w:sz w:val="21"/>
                      <w:szCs w:val="21"/>
                    </w:rPr>
                  </w:pPr>
                </w:p>
              </w:tc>
              <w:tc>
                <w:tcPr>
                  <w:tcW w:w="455" w:type="pct"/>
                  <w:vMerge w:val="continue"/>
                  <w:tcBorders>
                    <w:tl2br w:val="nil"/>
                    <w:tr2bl w:val="nil"/>
                  </w:tcBorders>
                  <w:vAlign w:val="center"/>
                </w:tcPr>
                <w:p w14:paraId="1CD2597C">
                  <w:pPr>
                    <w:jc w:val="center"/>
                    <w:rPr>
                      <w:sz w:val="21"/>
                      <w:szCs w:val="21"/>
                    </w:rPr>
                  </w:pPr>
                </w:p>
              </w:tc>
              <w:tc>
                <w:tcPr>
                  <w:tcW w:w="491" w:type="pct"/>
                  <w:tcBorders>
                    <w:tl2br w:val="nil"/>
                    <w:tr2bl w:val="nil"/>
                  </w:tcBorders>
                  <w:vAlign w:val="center"/>
                </w:tcPr>
                <w:p w14:paraId="3A3A013C">
                  <w:pPr>
                    <w:jc w:val="center"/>
                    <w:rPr>
                      <w:rFonts w:hint="default"/>
                      <w:sz w:val="21"/>
                      <w:szCs w:val="21"/>
                      <w:vertAlign w:val="baseline"/>
                      <w:lang w:val="en-US" w:eastAsia="zh-CN"/>
                    </w:rPr>
                  </w:pPr>
                  <w:r>
                    <w:rPr>
                      <w:rFonts w:hint="eastAsia"/>
                      <w:sz w:val="21"/>
                      <w:szCs w:val="21"/>
                      <w:vertAlign w:val="baseline"/>
                      <w:lang w:val="en-US" w:eastAsia="zh-CN"/>
                    </w:rPr>
                    <w:t>农副产品加工</w:t>
                  </w:r>
                </w:p>
              </w:tc>
              <w:tc>
                <w:tcPr>
                  <w:tcW w:w="2264" w:type="pct"/>
                  <w:tcBorders>
                    <w:tl2br w:val="nil"/>
                    <w:tr2bl w:val="nil"/>
                  </w:tcBorders>
                  <w:vAlign w:val="center"/>
                </w:tcPr>
                <w:p w14:paraId="5B442A54">
                  <w:pPr>
                    <w:jc w:val="left"/>
                    <w:rPr>
                      <w:rFonts w:hint="default"/>
                      <w:sz w:val="21"/>
                      <w:szCs w:val="21"/>
                      <w:vertAlign w:val="baseline"/>
                      <w:lang w:val="en-US" w:eastAsia="zh-CN"/>
                    </w:rPr>
                  </w:pPr>
                  <w:r>
                    <w:rPr>
                      <w:rFonts w:hint="default"/>
                      <w:sz w:val="21"/>
                      <w:szCs w:val="21"/>
                      <w:vertAlign w:val="baseline"/>
                      <w:lang w:val="en-US" w:eastAsia="zh-CN"/>
                    </w:rPr>
                    <w:t>1、桥式劈半锯、敞式生猪烫毛机等生猪屠宰设备</w:t>
                  </w:r>
                  <w:r>
                    <w:rPr>
                      <w:rFonts w:hint="eastAsia"/>
                      <w:sz w:val="21"/>
                      <w:szCs w:val="21"/>
                      <w:vertAlign w:val="baseline"/>
                      <w:lang w:val="en-US" w:eastAsia="zh-CN"/>
                    </w:rPr>
                    <w:t>。</w:t>
                  </w:r>
                </w:p>
                <w:p w14:paraId="6E4FA148">
                  <w:pPr>
                    <w:jc w:val="left"/>
                    <w:rPr>
                      <w:rFonts w:hint="default"/>
                      <w:sz w:val="21"/>
                      <w:szCs w:val="21"/>
                      <w:vertAlign w:val="baseline"/>
                      <w:lang w:val="en-US" w:eastAsia="zh-CN"/>
                    </w:rPr>
                  </w:pPr>
                  <w:r>
                    <w:rPr>
                      <w:rFonts w:hint="default"/>
                      <w:sz w:val="21"/>
                      <w:szCs w:val="21"/>
                      <w:vertAlign w:val="baseline"/>
                      <w:lang w:val="en-US" w:eastAsia="zh-CN"/>
                    </w:rPr>
                    <w:t>2、猪、牛、羊、禽手工屠宰工艺</w:t>
                  </w:r>
                  <w:r>
                    <w:rPr>
                      <w:rFonts w:hint="eastAsia"/>
                      <w:sz w:val="21"/>
                      <w:szCs w:val="21"/>
                      <w:vertAlign w:val="baseline"/>
                      <w:lang w:val="en-US" w:eastAsia="zh-CN"/>
                    </w:rPr>
                    <w:t>。</w:t>
                  </w:r>
                </w:p>
              </w:tc>
              <w:tc>
                <w:tcPr>
                  <w:tcW w:w="1282" w:type="pct"/>
                  <w:vMerge w:val="continue"/>
                  <w:tcBorders>
                    <w:tl2br w:val="nil"/>
                    <w:tr2bl w:val="nil"/>
                  </w:tcBorders>
                  <w:vAlign w:val="center"/>
                </w:tcPr>
                <w:p w14:paraId="05274592">
                  <w:pPr>
                    <w:jc w:val="center"/>
                    <w:rPr>
                      <w:rFonts w:hint="default"/>
                      <w:sz w:val="21"/>
                      <w:szCs w:val="21"/>
                      <w:vertAlign w:val="baseline"/>
                      <w:lang w:val="en-US" w:eastAsia="zh-CN"/>
                    </w:rPr>
                  </w:pPr>
                </w:p>
              </w:tc>
            </w:tr>
            <w:tr w14:paraId="7A1C76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 w:hRule="atLeast"/>
              </w:trPr>
              <w:tc>
                <w:tcPr>
                  <w:tcW w:w="506" w:type="pct"/>
                  <w:vMerge w:val="continue"/>
                  <w:tcBorders>
                    <w:tl2br w:val="nil"/>
                    <w:tr2bl w:val="nil"/>
                  </w:tcBorders>
                  <w:vAlign w:val="center"/>
                </w:tcPr>
                <w:p w14:paraId="08CF48C0">
                  <w:pPr>
                    <w:jc w:val="center"/>
                    <w:rPr>
                      <w:rFonts w:hint="default"/>
                      <w:sz w:val="21"/>
                      <w:szCs w:val="21"/>
                      <w:vertAlign w:val="baseline"/>
                      <w:lang w:val="en-US" w:eastAsia="zh-CN"/>
                    </w:rPr>
                  </w:pPr>
                </w:p>
              </w:tc>
              <w:tc>
                <w:tcPr>
                  <w:tcW w:w="455" w:type="pct"/>
                  <w:vMerge w:val="continue"/>
                  <w:tcBorders>
                    <w:tl2br w:val="nil"/>
                    <w:tr2bl w:val="nil"/>
                  </w:tcBorders>
                  <w:vAlign w:val="center"/>
                </w:tcPr>
                <w:p w14:paraId="287AEF75">
                  <w:pPr>
                    <w:jc w:val="center"/>
                    <w:rPr>
                      <w:rFonts w:hint="default"/>
                      <w:sz w:val="21"/>
                      <w:szCs w:val="21"/>
                      <w:vertAlign w:val="baseline"/>
                      <w:lang w:val="en-US" w:eastAsia="zh-CN"/>
                    </w:rPr>
                  </w:pPr>
                </w:p>
              </w:tc>
              <w:tc>
                <w:tcPr>
                  <w:tcW w:w="491" w:type="pct"/>
                  <w:tcBorders>
                    <w:tl2br w:val="nil"/>
                    <w:tr2bl w:val="nil"/>
                  </w:tcBorders>
                  <w:vAlign w:val="center"/>
                </w:tcPr>
                <w:p w14:paraId="6428E8E7">
                  <w:pPr>
                    <w:jc w:val="center"/>
                    <w:rPr>
                      <w:rFonts w:hint="default"/>
                      <w:sz w:val="21"/>
                      <w:szCs w:val="21"/>
                      <w:vertAlign w:val="baseline"/>
                      <w:lang w:val="en-US" w:eastAsia="zh-CN"/>
                    </w:rPr>
                  </w:pPr>
                  <w:r>
                    <w:rPr>
                      <w:rFonts w:hint="eastAsia"/>
                      <w:sz w:val="21"/>
                      <w:szCs w:val="21"/>
                      <w:vertAlign w:val="baseline"/>
                      <w:lang w:val="en-US" w:eastAsia="zh-CN"/>
                    </w:rPr>
                    <w:t>装备制造</w:t>
                  </w:r>
                </w:p>
              </w:tc>
              <w:tc>
                <w:tcPr>
                  <w:tcW w:w="2264" w:type="pct"/>
                  <w:tcBorders>
                    <w:tl2br w:val="nil"/>
                    <w:tr2bl w:val="nil"/>
                  </w:tcBorders>
                  <w:vAlign w:val="center"/>
                </w:tcPr>
                <w:p w14:paraId="0503E278">
                  <w:pPr>
                    <w:jc w:val="left"/>
                    <w:rPr>
                      <w:rFonts w:hint="default"/>
                      <w:sz w:val="21"/>
                      <w:szCs w:val="21"/>
                      <w:vertAlign w:val="baseline"/>
                      <w:lang w:val="en-US" w:eastAsia="zh-CN"/>
                    </w:rPr>
                  </w:pPr>
                  <w:r>
                    <w:rPr>
                      <w:rFonts w:hint="default"/>
                      <w:sz w:val="21"/>
                      <w:szCs w:val="21"/>
                      <w:vertAlign w:val="baseline"/>
                      <w:lang w:val="en-US" w:eastAsia="zh-CN"/>
                    </w:rPr>
                    <w:t>1、热处理铅浴炉等26项属于《产业结构调整指导目录(2024年本)》淘汰类(十)机械行业工艺和设备。</w:t>
                  </w:r>
                </w:p>
              </w:tc>
              <w:tc>
                <w:tcPr>
                  <w:tcW w:w="1282" w:type="pct"/>
                  <w:vMerge w:val="continue"/>
                  <w:tcBorders>
                    <w:tl2br w:val="nil"/>
                    <w:tr2bl w:val="nil"/>
                  </w:tcBorders>
                  <w:vAlign w:val="center"/>
                </w:tcPr>
                <w:p w14:paraId="48ACE330">
                  <w:pPr>
                    <w:jc w:val="center"/>
                    <w:rPr>
                      <w:rFonts w:hint="default"/>
                      <w:sz w:val="21"/>
                      <w:szCs w:val="21"/>
                      <w:vertAlign w:val="baseline"/>
                      <w:lang w:val="en-US" w:eastAsia="zh-CN"/>
                    </w:rPr>
                  </w:pPr>
                </w:p>
              </w:tc>
            </w:tr>
            <w:tr w14:paraId="2B6F0E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 w:hRule="atLeast"/>
              </w:trPr>
              <w:tc>
                <w:tcPr>
                  <w:tcW w:w="506" w:type="pct"/>
                  <w:vMerge w:val="continue"/>
                  <w:tcBorders>
                    <w:tl2br w:val="nil"/>
                    <w:tr2bl w:val="nil"/>
                  </w:tcBorders>
                  <w:vAlign w:val="center"/>
                </w:tcPr>
                <w:p w14:paraId="66B32A6E">
                  <w:pPr>
                    <w:jc w:val="center"/>
                    <w:rPr>
                      <w:rFonts w:hint="default"/>
                      <w:sz w:val="21"/>
                      <w:szCs w:val="21"/>
                      <w:vertAlign w:val="baseline"/>
                      <w:lang w:val="en-US" w:eastAsia="zh-CN"/>
                    </w:rPr>
                  </w:pPr>
                </w:p>
              </w:tc>
              <w:tc>
                <w:tcPr>
                  <w:tcW w:w="455" w:type="pct"/>
                  <w:vMerge w:val="continue"/>
                  <w:tcBorders>
                    <w:tl2br w:val="nil"/>
                    <w:tr2bl w:val="nil"/>
                  </w:tcBorders>
                  <w:vAlign w:val="center"/>
                </w:tcPr>
                <w:p w14:paraId="528847F4">
                  <w:pPr>
                    <w:jc w:val="center"/>
                    <w:rPr>
                      <w:rFonts w:hint="default"/>
                      <w:sz w:val="21"/>
                      <w:szCs w:val="21"/>
                      <w:vertAlign w:val="baseline"/>
                      <w:lang w:val="en-US" w:eastAsia="zh-CN"/>
                    </w:rPr>
                  </w:pPr>
                </w:p>
              </w:tc>
              <w:tc>
                <w:tcPr>
                  <w:tcW w:w="491" w:type="pct"/>
                  <w:tcBorders>
                    <w:tl2br w:val="nil"/>
                    <w:tr2bl w:val="nil"/>
                  </w:tcBorders>
                  <w:vAlign w:val="center"/>
                </w:tcPr>
                <w:p w14:paraId="46C8FA45">
                  <w:pPr>
                    <w:jc w:val="center"/>
                    <w:rPr>
                      <w:rFonts w:hint="default"/>
                      <w:sz w:val="21"/>
                      <w:szCs w:val="21"/>
                      <w:vertAlign w:val="baseline"/>
                      <w:lang w:val="en-US" w:eastAsia="zh-CN"/>
                    </w:rPr>
                  </w:pPr>
                  <w:r>
                    <w:rPr>
                      <w:rFonts w:hint="eastAsia"/>
                      <w:sz w:val="21"/>
                      <w:szCs w:val="21"/>
                      <w:vertAlign w:val="baseline"/>
                      <w:lang w:val="en-US" w:eastAsia="zh-CN"/>
                    </w:rPr>
                    <w:t>商贸物流</w:t>
                  </w:r>
                </w:p>
              </w:tc>
              <w:tc>
                <w:tcPr>
                  <w:tcW w:w="2264" w:type="pct"/>
                  <w:tcBorders>
                    <w:tl2br w:val="nil"/>
                    <w:tr2bl w:val="nil"/>
                  </w:tcBorders>
                  <w:vAlign w:val="center"/>
                </w:tcPr>
                <w:p w14:paraId="342A834F">
                  <w:pPr>
                    <w:jc w:val="left"/>
                    <w:rPr>
                      <w:rFonts w:hint="default"/>
                      <w:sz w:val="21"/>
                      <w:szCs w:val="21"/>
                      <w:vertAlign w:val="baseline"/>
                      <w:lang w:val="en-US" w:eastAsia="zh-CN"/>
                    </w:rPr>
                  </w:pPr>
                  <w:r>
                    <w:rPr>
                      <w:rFonts w:hint="eastAsia"/>
                      <w:sz w:val="21"/>
                      <w:szCs w:val="21"/>
                      <w:vertAlign w:val="baseline"/>
                      <w:lang w:val="en-US" w:eastAsia="zh-CN"/>
                    </w:rPr>
                    <w:t>危险化学品仓储。</w:t>
                  </w:r>
                </w:p>
              </w:tc>
              <w:tc>
                <w:tcPr>
                  <w:tcW w:w="1282" w:type="pct"/>
                  <w:vMerge w:val="continue"/>
                  <w:tcBorders>
                    <w:tl2br w:val="nil"/>
                    <w:tr2bl w:val="nil"/>
                  </w:tcBorders>
                  <w:vAlign w:val="center"/>
                </w:tcPr>
                <w:p w14:paraId="67DE6AC1">
                  <w:pPr>
                    <w:jc w:val="center"/>
                    <w:rPr>
                      <w:rFonts w:hint="default"/>
                      <w:sz w:val="21"/>
                      <w:szCs w:val="21"/>
                      <w:vertAlign w:val="baseline"/>
                      <w:lang w:val="en-US" w:eastAsia="zh-CN"/>
                    </w:rPr>
                  </w:pPr>
                </w:p>
              </w:tc>
            </w:tr>
            <w:tr w14:paraId="19A490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 w:hRule="atLeast"/>
              </w:trPr>
              <w:tc>
                <w:tcPr>
                  <w:tcW w:w="506" w:type="pct"/>
                  <w:vMerge w:val="continue"/>
                  <w:tcBorders>
                    <w:tl2br w:val="nil"/>
                    <w:tr2bl w:val="nil"/>
                  </w:tcBorders>
                  <w:vAlign w:val="center"/>
                </w:tcPr>
                <w:p w14:paraId="2ADB98F2">
                  <w:pPr>
                    <w:jc w:val="center"/>
                    <w:rPr>
                      <w:rFonts w:hint="default"/>
                      <w:sz w:val="21"/>
                      <w:szCs w:val="21"/>
                      <w:vertAlign w:val="baseline"/>
                      <w:lang w:val="en-US" w:eastAsia="zh-CN"/>
                    </w:rPr>
                  </w:pPr>
                </w:p>
              </w:tc>
              <w:tc>
                <w:tcPr>
                  <w:tcW w:w="455" w:type="pct"/>
                  <w:vMerge w:val="continue"/>
                  <w:tcBorders>
                    <w:tl2br w:val="nil"/>
                    <w:tr2bl w:val="nil"/>
                  </w:tcBorders>
                  <w:vAlign w:val="center"/>
                </w:tcPr>
                <w:p w14:paraId="169BD5D0">
                  <w:pPr>
                    <w:jc w:val="center"/>
                    <w:rPr>
                      <w:rFonts w:hint="default"/>
                      <w:sz w:val="21"/>
                      <w:szCs w:val="21"/>
                      <w:vertAlign w:val="baseline"/>
                      <w:lang w:val="en-US" w:eastAsia="zh-CN"/>
                    </w:rPr>
                  </w:pPr>
                </w:p>
              </w:tc>
              <w:tc>
                <w:tcPr>
                  <w:tcW w:w="491" w:type="pct"/>
                  <w:tcBorders>
                    <w:tl2br w:val="nil"/>
                    <w:tr2bl w:val="nil"/>
                  </w:tcBorders>
                  <w:vAlign w:val="center"/>
                </w:tcPr>
                <w:p w14:paraId="334616FF">
                  <w:pPr>
                    <w:jc w:val="center"/>
                    <w:rPr>
                      <w:rFonts w:hint="default"/>
                      <w:sz w:val="21"/>
                      <w:szCs w:val="21"/>
                      <w:vertAlign w:val="baseline"/>
                      <w:lang w:val="en-US" w:eastAsia="zh-CN"/>
                    </w:rPr>
                  </w:pPr>
                  <w:r>
                    <w:rPr>
                      <w:rFonts w:hint="eastAsia"/>
                      <w:sz w:val="21"/>
                      <w:szCs w:val="21"/>
                      <w:vertAlign w:val="baseline"/>
                      <w:lang w:val="en-US" w:eastAsia="zh-CN"/>
                    </w:rPr>
                    <w:t>其他行业</w:t>
                  </w:r>
                </w:p>
              </w:tc>
              <w:tc>
                <w:tcPr>
                  <w:tcW w:w="2264" w:type="pct"/>
                  <w:tcBorders>
                    <w:tl2br w:val="nil"/>
                    <w:tr2bl w:val="nil"/>
                  </w:tcBorders>
                  <w:vAlign w:val="center"/>
                </w:tcPr>
                <w:p w14:paraId="1F2AF438">
                  <w:pPr>
                    <w:jc w:val="left"/>
                    <w:rPr>
                      <w:rFonts w:hint="default"/>
                      <w:sz w:val="21"/>
                      <w:szCs w:val="21"/>
                      <w:vertAlign w:val="baseline"/>
                      <w:lang w:val="en-US" w:eastAsia="zh-CN"/>
                    </w:rPr>
                  </w:pPr>
                  <w:r>
                    <w:rPr>
                      <w:rFonts w:hint="default"/>
                      <w:sz w:val="21"/>
                      <w:szCs w:val="21"/>
                      <w:vertAlign w:val="baseline"/>
                      <w:lang w:val="en-US" w:eastAsia="zh-CN"/>
                    </w:rPr>
                    <w:t>不符合《大气污染防治法》《水污染防治法》《固体废物污染环境防治法》《节约能源法》《安全生产法》《产品质量法》《土地管理法》《职业病防治法》等国家法律法规，不符合国家安全、环保、能耗、质量方面强制性标准，不符合国际环境公约等要求的工艺、技术、产品、装备。</w:t>
                  </w:r>
                </w:p>
              </w:tc>
              <w:tc>
                <w:tcPr>
                  <w:tcW w:w="1282" w:type="pct"/>
                  <w:vMerge w:val="continue"/>
                  <w:tcBorders>
                    <w:tl2br w:val="nil"/>
                    <w:tr2bl w:val="nil"/>
                  </w:tcBorders>
                  <w:vAlign w:val="center"/>
                </w:tcPr>
                <w:p w14:paraId="1F786DE3">
                  <w:pPr>
                    <w:jc w:val="center"/>
                    <w:rPr>
                      <w:rFonts w:hint="default"/>
                      <w:sz w:val="21"/>
                      <w:szCs w:val="21"/>
                      <w:vertAlign w:val="baseline"/>
                      <w:lang w:val="en-US" w:eastAsia="zh-CN"/>
                    </w:rPr>
                  </w:pPr>
                </w:p>
              </w:tc>
            </w:tr>
            <w:tr w14:paraId="37FE69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06" w:type="pct"/>
                  <w:vMerge w:val="continue"/>
                  <w:tcBorders>
                    <w:tl2br w:val="nil"/>
                    <w:tr2bl w:val="nil"/>
                  </w:tcBorders>
                  <w:vAlign w:val="center"/>
                </w:tcPr>
                <w:p w14:paraId="4B118553">
                  <w:pPr>
                    <w:jc w:val="center"/>
                    <w:rPr>
                      <w:rFonts w:hint="default"/>
                      <w:sz w:val="21"/>
                      <w:szCs w:val="21"/>
                      <w:vertAlign w:val="baseline"/>
                      <w:lang w:val="en-US" w:eastAsia="zh-CN"/>
                    </w:rPr>
                  </w:pPr>
                </w:p>
              </w:tc>
              <w:tc>
                <w:tcPr>
                  <w:tcW w:w="455" w:type="pct"/>
                  <w:tcBorders>
                    <w:tl2br w:val="nil"/>
                    <w:tr2bl w:val="nil"/>
                  </w:tcBorders>
                  <w:vAlign w:val="center"/>
                </w:tcPr>
                <w:p w14:paraId="6ADB7134">
                  <w:pPr>
                    <w:jc w:val="center"/>
                    <w:rPr>
                      <w:rFonts w:hint="default"/>
                      <w:sz w:val="21"/>
                      <w:szCs w:val="21"/>
                      <w:vertAlign w:val="baseline"/>
                      <w:lang w:val="en-US" w:eastAsia="zh-CN"/>
                    </w:rPr>
                  </w:pPr>
                  <w:r>
                    <w:rPr>
                      <w:rFonts w:hint="eastAsia"/>
                      <w:sz w:val="21"/>
                      <w:szCs w:val="21"/>
                      <w:vertAlign w:val="baseline"/>
                      <w:lang w:val="en-US" w:eastAsia="zh-CN"/>
                    </w:rPr>
                    <w:t>限制类</w:t>
                  </w:r>
                </w:p>
              </w:tc>
              <w:tc>
                <w:tcPr>
                  <w:tcW w:w="491" w:type="pct"/>
                  <w:tcBorders>
                    <w:tl2br w:val="nil"/>
                    <w:tr2bl w:val="nil"/>
                  </w:tcBorders>
                  <w:vAlign w:val="center"/>
                </w:tcPr>
                <w:p w14:paraId="0F561831">
                  <w:pPr>
                    <w:jc w:val="center"/>
                    <w:rPr>
                      <w:rFonts w:hint="default"/>
                      <w:sz w:val="21"/>
                      <w:szCs w:val="21"/>
                      <w:vertAlign w:val="baseline"/>
                      <w:lang w:val="en-US" w:eastAsia="zh-CN"/>
                    </w:rPr>
                  </w:pPr>
                  <w:r>
                    <w:rPr>
                      <w:rFonts w:hint="eastAsia"/>
                      <w:sz w:val="21"/>
                      <w:szCs w:val="21"/>
                      <w:vertAlign w:val="baseline"/>
                      <w:lang w:val="en-US" w:eastAsia="zh-CN"/>
                    </w:rPr>
                    <w:t>其他行业</w:t>
                  </w:r>
                </w:p>
              </w:tc>
              <w:tc>
                <w:tcPr>
                  <w:tcW w:w="2264" w:type="pct"/>
                  <w:tcBorders>
                    <w:tl2br w:val="nil"/>
                    <w:tr2bl w:val="nil"/>
                  </w:tcBorders>
                  <w:vAlign w:val="center"/>
                </w:tcPr>
                <w:p w14:paraId="5529873B">
                  <w:pPr>
                    <w:jc w:val="left"/>
                    <w:rPr>
                      <w:rFonts w:hint="default"/>
                      <w:sz w:val="21"/>
                      <w:szCs w:val="21"/>
                      <w:vertAlign w:val="baseline"/>
                      <w:lang w:val="en-US" w:eastAsia="zh-CN"/>
                    </w:rPr>
                  </w:pPr>
                  <w:r>
                    <w:rPr>
                      <w:rFonts w:hint="default"/>
                      <w:sz w:val="21"/>
                      <w:szCs w:val="21"/>
                      <w:vertAlign w:val="baseline"/>
                      <w:lang w:val="en-US" w:eastAsia="zh-CN"/>
                    </w:rPr>
                    <w:t>1、用地红线宽度(包括绿化带)超过下列标准的城市主干道路项目:小城市和重点镇40米，中等城市55米，大城市70米(200万人口以上特大城市主干道路确需超过70米的);2、用地面积超过下列标准的城市游憩集会广场项目:小城市和重点镇1公顷，中等城市2公顷，大城市3公顷，200万人口以99上特大城市5公顷:3、别墅类房地产开发项目:</w:t>
                  </w:r>
                </w:p>
                <w:p w14:paraId="672E8C44">
                  <w:pPr>
                    <w:jc w:val="left"/>
                    <w:rPr>
                      <w:rFonts w:hint="default"/>
                      <w:sz w:val="21"/>
                      <w:szCs w:val="21"/>
                      <w:vertAlign w:val="baseline"/>
                      <w:lang w:val="en-US" w:eastAsia="zh-CN"/>
                    </w:rPr>
                  </w:pPr>
                  <w:r>
                    <w:rPr>
                      <w:rFonts w:hint="default"/>
                      <w:sz w:val="21"/>
                      <w:szCs w:val="21"/>
                      <w:vertAlign w:val="baseline"/>
                      <w:lang w:val="en-US" w:eastAsia="zh-CN"/>
                    </w:rPr>
                    <w:t>4、其他不符合国家法律法规、国家安全、环保、能耗、质量方面强制性标准，不符合国际环境公约等要求的工艺、技术、产品、装备。</w:t>
                  </w:r>
                </w:p>
              </w:tc>
              <w:tc>
                <w:tcPr>
                  <w:tcW w:w="1282" w:type="pct"/>
                  <w:vMerge w:val="continue"/>
                  <w:tcBorders>
                    <w:tl2br w:val="nil"/>
                    <w:tr2bl w:val="nil"/>
                  </w:tcBorders>
                  <w:vAlign w:val="center"/>
                </w:tcPr>
                <w:p w14:paraId="6850A6D0">
                  <w:pPr>
                    <w:jc w:val="center"/>
                    <w:rPr>
                      <w:rFonts w:hint="default"/>
                      <w:sz w:val="21"/>
                      <w:szCs w:val="21"/>
                      <w:vertAlign w:val="baseline"/>
                      <w:lang w:val="en-US" w:eastAsia="zh-CN"/>
                    </w:rPr>
                  </w:pPr>
                </w:p>
              </w:tc>
            </w:tr>
          </w:tbl>
          <w:p w14:paraId="04A2F8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本项目产品为</w:t>
            </w:r>
            <w:r>
              <w:rPr>
                <w:rFonts w:hint="eastAsia"/>
                <w:sz w:val="24"/>
                <w:szCs w:val="24"/>
                <w:lang w:val="en-US" w:eastAsia="zh-CN"/>
              </w:rPr>
              <w:t>电子变压器</w:t>
            </w:r>
            <w:r>
              <w:rPr>
                <w:rFonts w:hint="default"/>
                <w:sz w:val="24"/>
                <w:szCs w:val="24"/>
                <w:lang w:val="en-US" w:eastAsia="zh-CN"/>
              </w:rPr>
              <w:t>，属于计算机、通信和其他电子设备制造业;属于</w:t>
            </w:r>
            <w:r>
              <w:rPr>
                <w:rFonts w:hint="default" w:ascii="Times New Roman" w:hAnsi="Times New Roman" w:cs="Times New Roman"/>
                <w:color w:val="auto"/>
                <w:sz w:val="24"/>
              </w:rPr>
              <w:t>C</w:t>
            </w:r>
            <w:r>
              <w:rPr>
                <w:rFonts w:hint="eastAsia" w:cs="Times New Roman"/>
                <w:color w:val="auto"/>
                <w:sz w:val="24"/>
                <w:lang w:val="en-US" w:eastAsia="zh-CN"/>
              </w:rPr>
              <w:t>3981</w:t>
            </w:r>
            <w:r>
              <w:rPr>
                <w:rFonts w:hint="default" w:ascii="Times New Roman" w:hAnsi="Times New Roman" w:cs="Times New Roman"/>
                <w:color w:val="auto"/>
                <w:sz w:val="24"/>
                <w:lang w:val="en-US" w:eastAsia="zh-CN"/>
              </w:rPr>
              <w:t>电阻电容电感元件制造</w:t>
            </w:r>
            <w:r>
              <w:rPr>
                <w:rFonts w:hint="default"/>
                <w:sz w:val="24"/>
                <w:szCs w:val="24"/>
                <w:lang w:val="en-US" w:eastAsia="zh-CN"/>
              </w:rPr>
              <w:t>。对照中方产业开发区泸阳片区的环境准入行业负面清单、环境准入工艺和产品负面清单，本项目不涉及第一类重金属和持久性有机污染物，不属于上述两种负面清单中的禁止类、限制类，故本项目视为允许类入园项目，符合园区规划环评的总体要求。</w:t>
            </w:r>
          </w:p>
          <w:p w14:paraId="1C1ABCFE">
            <w:pPr>
              <w:pStyle w:val="50"/>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（4）与中方工业集中区总体规划环境影响报告书审查意见的符合性分析</w:t>
            </w:r>
          </w:p>
          <w:p w14:paraId="50AC2B3A">
            <w:pPr>
              <w:pStyle w:val="50"/>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eastAsia" w:ascii="Times New Roman" w:hAnsi="Times New Roman" w:eastAsia="宋体" w:cs="Times New Roman"/>
                <w:b/>
                <w:bCs/>
                <w:color w:val="auto"/>
                <w:kern w:val="2"/>
                <w:sz w:val="21"/>
                <w:szCs w:val="21"/>
                <w:lang w:val="en-US" w:eastAsia="zh-CN" w:bidi="ar-SA"/>
              </w:rPr>
              <w:t>表1-5与中方工业集中区总体规划环境影响报告书审查意见的符合性分析</w:t>
            </w:r>
          </w:p>
          <w:tbl>
            <w:tblPr>
              <w:tblStyle w:val="34"/>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503"/>
              <w:gridCol w:w="2985"/>
              <w:gridCol w:w="947"/>
            </w:tblGrid>
            <w:tr w14:paraId="42287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68" w:type="pct"/>
                  <w:tcBorders>
                    <w:tl2br w:val="nil"/>
                    <w:tr2bl w:val="nil"/>
                  </w:tcBorders>
                </w:tcPr>
                <w:p w14:paraId="4DAC3B2C">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kern w:val="0"/>
                      <w:sz w:val="21"/>
                      <w:szCs w:val="21"/>
                      <w:u w:val="none" w:color="auto"/>
                      <w:vertAlign w:val="baseline"/>
                      <w:lang w:val="en-US" w:eastAsia="zh-CN"/>
                    </w:rPr>
                  </w:pPr>
                  <w:r>
                    <w:rPr>
                      <w:rFonts w:hint="eastAsia" w:ascii="Times New Roman" w:hAnsi="Times New Roman" w:cs="Times New Roman"/>
                      <w:b/>
                      <w:bCs w:val="0"/>
                      <w:color w:val="auto"/>
                      <w:kern w:val="0"/>
                      <w:sz w:val="21"/>
                      <w:szCs w:val="21"/>
                      <w:u w:val="none" w:color="auto"/>
                      <w:vertAlign w:val="baseline"/>
                      <w:lang w:val="en-US" w:eastAsia="zh-CN"/>
                    </w:rPr>
                    <w:t>规划环评批复要求</w:t>
                  </w:r>
                </w:p>
              </w:tc>
              <w:tc>
                <w:tcPr>
                  <w:tcW w:w="1769" w:type="pct"/>
                  <w:tcBorders>
                    <w:tl2br w:val="nil"/>
                    <w:tr2bl w:val="nil"/>
                  </w:tcBorders>
                </w:tcPr>
                <w:p w14:paraId="08549F7C">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kern w:val="0"/>
                      <w:sz w:val="21"/>
                      <w:szCs w:val="21"/>
                      <w:u w:val="none" w:color="auto"/>
                      <w:vertAlign w:val="baseline"/>
                      <w:lang w:val="en-US" w:eastAsia="zh-CN"/>
                    </w:rPr>
                  </w:pPr>
                  <w:r>
                    <w:rPr>
                      <w:rFonts w:hint="eastAsia" w:ascii="Times New Roman" w:hAnsi="Times New Roman" w:cs="Times New Roman"/>
                      <w:b/>
                      <w:bCs w:val="0"/>
                      <w:color w:val="auto"/>
                      <w:kern w:val="0"/>
                      <w:sz w:val="21"/>
                      <w:szCs w:val="21"/>
                      <w:u w:val="none" w:color="auto"/>
                      <w:vertAlign w:val="baseline"/>
                      <w:lang w:val="en-US" w:eastAsia="zh-CN"/>
                    </w:rPr>
                    <w:t>本项目实际情况</w:t>
                  </w:r>
                </w:p>
              </w:tc>
              <w:tc>
                <w:tcPr>
                  <w:tcW w:w="561" w:type="pct"/>
                  <w:tcBorders>
                    <w:tl2br w:val="nil"/>
                    <w:tr2bl w:val="nil"/>
                  </w:tcBorders>
                </w:tcPr>
                <w:p w14:paraId="5C4093A4">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kern w:val="0"/>
                      <w:sz w:val="21"/>
                      <w:szCs w:val="21"/>
                      <w:u w:val="none" w:color="auto"/>
                      <w:vertAlign w:val="baseline"/>
                      <w:lang w:val="en-US" w:eastAsia="zh-CN"/>
                    </w:rPr>
                  </w:pPr>
                  <w:r>
                    <w:rPr>
                      <w:rFonts w:hint="eastAsia" w:ascii="Times New Roman" w:hAnsi="Times New Roman" w:cs="Times New Roman"/>
                      <w:b/>
                      <w:bCs w:val="0"/>
                      <w:color w:val="auto"/>
                      <w:kern w:val="0"/>
                      <w:sz w:val="21"/>
                      <w:szCs w:val="21"/>
                      <w:u w:val="none" w:color="auto"/>
                      <w:vertAlign w:val="baseline"/>
                      <w:lang w:val="en-US" w:eastAsia="zh-CN"/>
                    </w:rPr>
                    <w:t>符合性</w:t>
                  </w:r>
                </w:p>
              </w:tc>
            </w:tr>
            <w:tr w14:paraId="78E1CC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68" w:type="pct"/>
                  <w:tcBorders>
                    <w:tl2br w:val="nil"/>
                    <w:tr2bl w:val="nil"/>
                  </w:tcBorders>
                </w:tcPr>
                <w:p w14:paraId="3C345485">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cs="Times New Roman"/>
                      <w:b/>
                      <w:bCs w:val="0"/>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一)严格依规开发，优化空间功能布局。按照最新的国土空间规划，科学开展空间发展布局，将空间管制融入园区规划实施全过程，规划用地不得涉及各类法定保护用地，严格按照经核准的规划范围开展园区建设。泸阳片区位于泸阳镇区和怀化城区的上风向，应通过设置绿化隔离带做好与泸阳镇区和怀化城区的功能分区。中方片区南部组团规划用地紧邻湖南中方舞水国家湿地公园保育区毛利溪的岸线，在开发过程中应严格遵守《报告书》提出的空间布局约束要求，严格按照园区规划边界控制开发范围，严禁侵占湿地公园用地。</w:t>
                  </w:r>
                </w:p>
              </w:tc>
              <w:tc>
                <w:tcPr>
                  <w:tcW w:w="1769" w:type="pct"/>
                  <w:tcBorders>
                    <w:tl2br w:val="nil"/>
                    <w:tr2bl w:val="nil"/>
                  </w:tcBorders>
                  <w:vAlign w:val="center"/>
                </w:tcPr>
                <w:p w14:paraId="1F7DE432">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bCs w:val="0"/>
                      <w:color w:val="auto"/>
                      <w:kern w:val="0"/>
                      <w:sz w:val="21"/>
                      <w:szCs w:val="21"/>
                      <w:u w:val="none" w:color="auto"/>
                      <w:vertAlign w:val="baseline"/>
                      <w:lang w:val="en-US" w:eastAsia="zh-CN"/>
                    </w:rPr>
                  </w:pPr>
                  <w:r>
                    <w:rPr>
                      <w:rFonts w:hint="default" w:ascii="Times New Roman" w:hAnsi="Times New Roman" w:cs="Times New Roman"/>
                      <w:b w:val="0"/>
                      <w:bCs/>
                      <w:color w:val="auto"/>
                      <w:kern w:val="0"/>
                      <w:sz w:val="21"/>
                      <w:szCs w:val="21"/>
                      <w:u w:val="none" w:color="auto"/>
                      <w:vertAlign w:val="baseline"/>
                      <w:lang w:val="en-US" w:eastAsia="zh-CN"/>
                    </w:rPr>
                    <w:t>本项目位于怀化市高新技术产业开发区管理委员会中方片区管理办公室泸阳片区（众力创新园1栋南区第2层），项目建设符合园区规划要求，项目</w:t>
                  </w:r>
                  <w:r>
                    <w:rPr>
                      <w:rFonts w:hint="eastAsia" w:ascii="Times New Roman" w:hAnsi="Times New Roman" w:cs="Times New Roman"/>
                      <w:b w:val="0"/>
                      <w:bCs/>
                      <w:color w:val="auto"/>
                      <w:kern w:val="0"/>
                      <w:sz w:val="21"/>
                      <w:szCs w:val="21"/>
                      <w:u w:val="none" w:color="auto"/>
                      <w:vertAlign w:val="baseline"/>
                      <w:lang w:val="en-US" w:eastAsia="zh-CN"/>
                    </w:rPr>
                    <w:t>所在地</w:t>
                  </w:r>
                  <w:r>
                    <w:rPr>
                      <w:rFonts w:hint="default" w:ascii="Times New Roman" w:hAnsi="Times New Roman" w:cs="Times New Roman"/>
                      <w:b w:val="0"/>
                      <w:bCs/>
                      <w:color w:val="auto"/>
                      <w:kern w:val="0"/>
                      <w:sz w:val="21"/>
                      <w:szCs w:val="21"/>
                      <w:u w:val="none" w:color="auto"/>
                      <w:vertAlign w:val="baseline"/>
                      <w:lang w:val="en-US" w:eastAsia="zh-CN"/>
                    </w:rPr>
                    <w:t>为</w:t>
                  </w:r>
                  <w:r>
                    <w:rPr>
                      <w:rFonts w:hint="eastAsia" w:ascii="Times New Roman" w:hAnsi="Times New Roman" w:cs="Times New Roman"/>
                      <w:b w:val="0"/>
                      <w:bCs/>
                      <w:color w:val="auto"/>
                      <w:kern w:val="0"/>
                      <w:sz w:val="21"/>
                      <w:szCs w:val="21"/>
                      <w:u w:val="none" w:color="auto"/>
                      <w:vertAlign w:val="baseline"/>
                      <w:lang w:val="en-US" w:eastAsia="zh-CN"/>
                    </w:rPr>
                    <w:t>二类</w:t>
                  </w:r>
                  <w:r>
                    <w:rPr>
                      <w:rFonts w:hint="default" w:ascii="Times New Roman" w:hAnsi="Times New Roman" w:cs="Times New Roman"/>
                      <w:b w:val="0"/>
                      <w:bCs/>
                      <w:color w:val="auto"/>
                      <w:kern w:val="0"/>
                      <w:sz w:val="21"/>
                      <w:szCs w:val="21"/>
                      <w:u w:val="none" w:color="auto"/>
                      <w:vertAlign w:val="baseline"/>
                      <w:lang w:val="en-US" w:eastAsia="zh-CN"/>
                    </w:rPr>
                    <w:t>工业工地</w:t>
                  </w:r>
                  <w:r>
                    <w:rPr>
                      <w:rFonts w:hint="eastAsia" w:ascii="Times New Roman" w:hAnsi="Times New Roman" w:cs="Times New Roman"/>
                      <w:b w:val="0"/>
                      <w:bCs/>
                      <w:color w:val="auto"/>
                      <w:kern w:val="0"/>
                      <w:sz w:val="21"/>
                      <w:szCs w:val="21"/>
                      <w:u w:val="none" w:color="auto"/>
                      <w:vertAlign w:val="baseline"/>
                      <w:lang w:val="en-US" w:eastAsia="zh-CN"/>
                    </w:rPr>
                    <w:t>。项目严格按照功能分区进行生产和管理。</w:t>
                  </w:r>
                </w:p>
              </w:tc>
              <w:tc>
                <w:tcPr>
                  <w:tcW w:w="561" w:type="pct"/>
                  <w:tcBorders>
                    <w:tl2br w:val="nil"/>
                    <w:tr2bl w:val="nil"/>
                  </w:tcBorders>
                  <w:vAlign w:val="center"/>
                </w:tcPr>
                <w:p w14:paraId="04A27B5E">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符合</w:t>
                  </w:r>
                </w:p>
              </w:tc>
            </w:tr>
            <w:tr w14:paraId="0A93A5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68" w:type="pct"/>
                  <w:tcBorders>
                    <w:tl2br w:val="nil"/>
                    <w:tr2bl w:val="nil"/>
                  </w:tcBorders>
                  <w:vAlign w:val="center"/>
                </w:tcPr>
                <w:p w14:paraId="030C8A48">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cs="Times New Roman"/>
                      <w:b w:val="0"/>
                      <w:bCs/>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二)严格环境准入，优化园区产业结构。落实园区“三线一单”环境准入要求。泸阳片区南部组团应限制引进以气型污染物为主的企业，水泥熟料生产不得扩大生产规模:泸阳片区农副产品深加工产业应限制引进酿造、屠宰等排水量大的企业。中方片区装备制造禁止新引进电镀工艺企业;商贸物流禁止引进危险化学品仓储。</w:t>
                  </w:r>
                </w:p>
              </w:tc>
              <w:tc>
                <w:tcPr>
                  <w:tcW w:w="1769" w:type="pct"/>
                  <w:tcBorders>
                    <w:tl2br w:val="nil"/>
                    <w:tr2bl w:val="nil"/>
                  </w:tcBorders>
                  <w:vAlign w:val="center"/>
                </w:tcPr>
                <w:p w14:paraId="28D6C119">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bCs/>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本项目符合园区生态环境分区管控要求，本项目位于泸阳片区，与园区“三线一单"环境准入要求不冲突，具体见表1-6，项目属于</w:t>
                  </w:r>
                  <w:r>
                    <w:rPr>
                      <w:rFonts w:hint="default" w:ascii="Times New Roman" w:hAnsi="Times New Roman" w:cs="Times New Roman"/>
                      <w:color w:val="auto"/>
                      <w:sz w:val="21"/>
                      <w:szCs w:val="21"/>
                    </w:rPr>
                    <w:t>C3981电阻电容电感元件制造</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生产产品为电子变压器，</w:t>
                  </w:r>
                  <w:r>
                    <w:rPr>
                      <w:rFonts w:hint="eastAsia" w:ascii="Times New Roman" w:hAnsi="Times New Roman" w:cs="Times New Roman"/>
                      <w:b w:val="0"/>
                      <w:bCs/>
                      <w:color w:val="auto"/>
                      <w:kern w:val="0"/>
                      <w:sz w:val="21"/>
                      <w:szCs w:val="21"/>
                      <w:u w:val="none" w:color="auto"/>
                      <w:vertAlign w:val="baseline"/>
                      <w:lang w:val="en-US" w:eastAsia="zh-CN"/>
                    </w:rPr>
                    <w:t>项目不属于重化工、农药、橡胶、制药、造纸、金属冶炼、火电站、采矿、玻璃、石棉、水泥、耐火材料等工业企业，且项目排放的挥发性有机废气排放量小，不属于酿造、屠宰项目，为园区允许类入园项目。</w:t>
                  </w:r>
                </w:p>
              </w:tc>
              <w:tc>
                <w:tcPr>
                  <w:tcW w:w="561" w:type="pct"/>
                  <w:tcBorders>
                    <w:tl2br w:val="nil"/>
                    <w:tr2bl w:val="nil"/>
                  </w:tcBorders>
                  <w:vAlign w:val="center"/>
                </w:tcPr>
                <w:p w14:paraId="030E62D7">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符合</w:t>
                  </w:r>
                </w:p>
              </w:tc>
            </w:tr>
            <w:tr w14:paraId="0E6226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68" w:type="pct"/>
                  <w:tcBorders>
                    <w:tl2br w:val="nil"/>
                    <w:tr2bl w:val="nil"/>
                  </w:tcBorders>
                </w:tcPr>
                <w:p w14:paraId="54B73931">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cs="Times New Roman"/>
                      <w:b w:val="0"/>
                      <w:bCs/>
                      <w:color w:val="auto"/>
                      <w:kern w:val="0"/>
                      <w:sz w:val="21"/>
                      <w:szCs w:val="21"/>
                      <w:u w:val="none" w:color="auto"/>
                      <w:vertAlign w:val="baseline"/>
                      <w:lang w:val="en-US" w:eastAsia="zh-CN"/>
                    </w:rPr>
                  </w:pPr>
                  <w:r>
                    <w:rPr>
                      <w:rFonts w:hint="default" w:ascii="Times New Roman" w:hAnsi="Times New Roman" w:cs="Times New Roman"/>
                      <w:sz w:val="21"/>
                      <w:szCs w:val="21"/>
                    </w:rPr>
                    <w:t>(三)落实管控措施，加强园区排污管理。园区应完善污水管网建设，实行雨污分流，确保园区各片区生产生活废水应收尽收，集中纳入污水处理厂处理。泸阳片区南部组团企业未纳管废水应在2021年6月30日前完成接入园区污水管网，新建涉及废水排放企业未接入园区污水管网前不得投产。鉴于中方片区依托的怀化天源污水处理厂一期工程接近设计处理规模，中方片区不得超污水处理厂处理能力引进废水排放项目。怀化天源污水处理厂现有排污口位于湖南中方舞水国家湿地公园保育区，该排污口早于湿地公园前设置，在该排污口扩容论证审批手续完成之前，天源污水处理厂处理规模不得扩大。园区应推广使用清洁能源，进一步优化园区能源结构，加快泸阳片区燃气管网及供应工程建设，加工园区大气污染防治，加强对废气重点排放企业的监管，采取有效措施减少污染物排放总量，严格控制无组织排放。建立园区固废规范化管理体系，做好工业固体废物和生活垃圾的分类收集、转运、综合利用和无害无处理，对各类工业企业产生的固体废物特别是危险固废应严格国家有关规定综合利用或妥善处置，对危险废物产生企业，强化日常环境监管。园区企业严格落实排污许可制度和污染物排放总量控制，推动重点污染企业完成清洁生产审核，限期要求区内企业完善相应环保手续。</w:t>
                  </w:r>
                </w:p>
              </w:tc>
              <w:tc>
                <w:tcPr>
                  <w:tcW w:w="1769" w:type="pct"/>
                  <w:tcBorders>
                    <w:tl2br w:val="nil"/>
                    <w:tr2bl w:val="nil"/>
                  </w:tcBorders>
                  <w:vAlign w:val="center"/>
                </w:tcPr>
                <w:p w14:paraId="3F9D385C">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bCs/>
                      <w:color w:val="auto"/>
                      <w:kern w:val="0"/>
                      <w:sz w:val="21"/>
                      <w:szCs w:val="21"/>
                      <w:u w:val="none" w:color="auto"/>
                      <w:vertAlign w:val="baseline"/>
                      <w:lang w:val="en-US" w:eastAsia="zh-CN"/>
                    </w:rPr>
                  </w:pPr>
                  <w:r>
                    <w:rPr>
                      <w:rFonts w:hint="default" w:ascii="Times New Roman" w:hAnsi="Times New Roman" w:cs="Times New Roman"/>
                      <w:b w:val="0"/>
                      <w:bCs/>
                      <w:color w:val="auto"/>
                      <w:kern w:val="0"/>
                      <w:sz w:val="21"/>
                      <w:szCs w:val="21"/>
                      <w:u w:val="none" w:color="auto"/>
                      <w:vertAlign w:val="baseline"/>
                      <w:lang w:val="en-US" w:eastAsia="zh-CN"/>
                    </w:rPr>
                    <w:t>本项目位于泸阳片区，项目生活污水经化粪池处理后排入中方产业开发区（泸阳镇）污水处理厂处理。</w:t>
                  </w:r>
                </w:p>
                <w:p w14:paraId="13E9E6B7">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u w:val="none"/>
                      <w:lang w:val="en-US" w:eastAsia="zh-CN" w:bidi="ar-SA"/>
                      <w14:textFill>
                        <w14:solidFill>
                          <w14:schemeClr w14:val="tx1"/>
                        </w14:solidFill>
                      </w14:textFill>
                    </w:rPr>
                    <w:t>焊锡</w:t>
                  </w:r>
                  <w:r>
                    <w:rPr>
                      <w:rFonts w:hint="default" w:ascii="Times New Roman" w:hAnsi="Times New Roman" w:cs="Times New Roman"/>
                      <w:color w:val="000000" w:themeColor="text1"/>
                      <w:kern w:val="2"/>
                      <w:sz w:val="21"/>
                      <w:szCs w:val="21"/>
                      <w:u w:val="none"/>
                      <w:lang w:val="en-US" w:eastAsia="zh-CN" w:bidi="ar-SA"/>
                      <w14:textFill>
                        <w14:solidFill>
                          <w14:schemeClr w14:val="tx1"/>
                        </w14:solidFill>
                      </w14:textFill>
                    </w:rPr>
                    <w:t>工序废气</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由集气罩收集</w:t>
                  </w:r>
                  <w:r>
                    <w:rPr>
                      <w:rFonts w:hint="eastAsia" w:ascii="Times New Roman" w:hAnsi="Times New Roman" w:cs="Times New Roman"/>
                      <w:color w:val="000000" w:themeColor="text1"/>
                      <w:kern w:val="2"/>
                      <w:sz w:val="21"/>
                      <w:szCs w:val="21"/>
                      <w:u w:val="none"/>
                      <w:lang w:val="en-US" w:eastAsia="zh-CN" w:bidi="ar-SA"/>
                      <w14:textFill>
                        <w14:solidFill>
                          <w14:schemeClr w14:val="tx1"/>
                        </w14:solidFill>
                      </w14:textFill>
                    </w:rPr>
                    <w:t>+干式过滤器预处理</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后与</w:t>
                  </w:r>
                  <w:r>
                    <w:rPr>
                      <w:rFonts w:hint="eastAsia" w:ascii="Times New Roman" w:hAnsi="Times New Roman" w:cs="Times New Roman"/>
                      <w:color w:val="000000" w:themeColor="text1"/>
                      <w:kern w:val="2"/>
                      <w:sz w:val="21"/>
                      <w:szCs w:val="21"/>
                      <w:u w:val="none"/>
                      <w:lang w:val="en-US" w:eastAsia="zh-CN" w:bidi="ar-SA"/>
                      <w14:textFill>
                        <w14:solidFill>
                          <w14:schemeClr w14:val="tx1"/>
                        </w14:solidFill>
                      </w14:textFill>
                    </w:rPr>
                    <w:t>调漆、浸漆</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、烘干工序产生的有机废气集中收集经</w:t>
                  </w:r>
                  <w:r>
                    <w:rPr>
                      <w:rFonts w:hint="eastAsia" w:ascii="Times New Roman" w:hAnsi="Times New Roman" w:cs="Times New Roman"/>
                      <w:color w:val="000000" w:themeColor="text1"/>
                      <w:kern w:val="2"/>
                      <w:sz w:val="21"/>
                      <w:szCs w:val="21"/>
                      <w:u w:val="none"/>
                      <w:lang w:val="en-US" w:eastAsia="zh-CN" w:bidi="ar-SA"/>
                      <w14:textFill>
                        <w14:solidFill>
                          <w14:schemeClr w14:val="tx1"/>
                        </w14:solidFill>
                      </w14:textFill>
                    </w:rPr>
                    <w:t>二级</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活性炭吸附装置处理后，</w:t>
                  </w:r>
                  <w:r>
                    <w:rPr>
                      <w:rFonts w:hint="default" w:ascii="Times New Roman" w:hAnsi="Times New Roman" w:cs="Times New Roman"/>
                      <w:color w:val="000000" w:themeColor="text1"/>
                      <w:kern w:val="2"/>
                      <w:sz w:val="21"/>
                      <w:szCs w:val="21"/>
                      <w:u w:val="none"/>
                      <w:lang w:val="en-US" w:eastAsia="zh-CN" w:bidi="ar-SA"/>
                      <w14:textFill>
                        <w14:solidFill>
                          <w14:schemeClr w14:val="tx1"/>
                        </w14:solidFill>
                      </w14:textFill>
                    </w:rPr>
                    <w:t>经</w:t>
                  </w:r>
                  <w:r>
                    <w:rPr>
                      <w:rFonts w:hint="eastAsia" w:ascii="Times New Roman" w:hAnsi="Times New Roman" w:cs="Times New Roman"/>
                      <w:color w:val="000000" w:themeColor="text1"/>
                      <w:kern w:val="2"/>
                      <w:sz w:val="21"/>
                      <w:szCs w:val="21"/>
                      <w:u w:val="none"/>
                      <w:lang w:val="en-US" w:eastAsia="zh-CN" w:bidi="ar-SA"/>
                      <w14:textFill>
                        <w14:solidFill>
                          <w14:schemeClr w14:val="tx1"/>
                        </w14:solidFill>
                      </w14:textFill>
                    </w:rPr>
                    <w:t>23m排气筒</w:t>
                  </w:r>
                  <w:r>
                    <w:rPr>
                      <w:rFonts w:hint="default" w:ascii="Times New Roman" w:hAnsi="Times New Roman" w:cs="Times New Roman"/>
                      <w:color w:val="000000" w:themeColor="text1"/>
                      <w:kern w:val="2"/>
                      <w:sz w:val="21"/>
                      <w:szCs w:val="21"/>
                      <w:u w:val="none"/>
                      <w:lang w:val="en-US" w:eastAsia="zh-CN" w:bidi="ar-SA"/>
                      <w14:textFill>
                        <w14:solidFill>
                          <w14:schemeClr w14:val="tx1"/>
                        </w14:solidFill>
                      </w14:textFill>
                    </w:rPr>
                    <w:t>DA001</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外排</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w:t>
                  </w:r>
                </w:p>
                <w:p w14:paraId="78728712">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项目</w:t>
                  </w:r>
                  <w:r>
                    <w:rPr>
                      <w:rFonts w:hint="eastAsia" w:ascii="Times New Roman" w:hAnsi="Times New Roman" w:cs="Times New Roman"/>
                      <w:color w:val="000000" w:themeColor="text1"/>
                      <w:kern w:val="2"/>
                      <w:sz w:val="21"/>
                      <w:szCs w:val="21"/>
                      <w:u w:val="none"/>
                      <w:lang w:val="en-US" w:eastAsia="zh-CN" w:bidi="ar-SA"/>
                      <w14:textFill>
                        <w14:solidFill>
                          <w14:schemeClr w14:val="tx1"/>
                        </w14:solidFill>
                      </w14:textFill>
                    </w:rPr>
                    <w:t>废铜线边角料</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和不合格品收集后外售废品回收公司；锡渣收集后交由厂</w:t>
                  </w:r>
                  <w:r>
                    <w:rPr>
                      <w:rFonts w:hint="eastAsia" w:ascii="Times New Roman" w:hAnsi="Times New Roman" w:cs="Times New Roman"/>
                      <w:color w:val="000000" w:themeColor="text1"/>
                      <w:kern w:val="2"/>
                      <w:sz w:val="21"/>
                      <w:szCs w:val="21"/>
                      <w:u w:val="none"/>
                      <w:lang w:val="en-US" w:eastAsia="zh-CN" w:bidi="ar-SA"/>
                      <w14:textFill>
                        <w14:solidFill>
                          <w14:schemeClr w14:val="tx1"/>
                        </w14:solidFill>
                      </w14:textFill>
                    </w:rPr>
                    <w:t>家</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回收利用；废原料桶、废活性炭收集后分类暂存于危废暂存间，委托有资质单位处置。</w:t>
                  </w:r>
                </w:p>
                <w:p w14:paraId="0DE9534C">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企业后续将办理排污许可，完善相应环保手续。项目不涉及水污染物总量指标:涉及排放VOCs，该指标暂无需通过排污权交易平台购买，后续根据主管部门政策要求进行控制</w:t>
                  </w:r>
                  <w:r>
                    <w:rPr>
                      <w:rFonts w:hint="eastAsia" w:ascii="Times New Roman" w:hAnsi="Times New Roman" w:cs="Times New Roman"/>
                      <w:color w:val="000000" w:themeColor="text1"/>
                      <w:kern w:val="2"/>
                      <w:sz w:val="21"/>
                      <w:szCs w:val="21"/>
                      <w:u w:val="none"/>
                      <w:lang w:val="en-US" w:eastAsia="zh-CN" w:bidi="ar-SA"/>
                      <w14:textFill>
                        <w14:solidFill>
                          <w14:schemeClr w14:val="tx1"/>
                        </w14:solidFill>
                      </w14:textFill>
                    </w:rPr>
                    <w:t>。</w:t>
                  </w:r>
                </w:p>
              </w:tc>
              <w:tc>
                <w:tcPr>
                  <w:tcW w:w="561" w:type="pct"/>
                  <w:tcBorders>
                    <w:tl2br w:val="nil"/>
                    <w:tr2bl w:val="nil"/>
                  </w:tcBorders>
                  <w:vAlign w:val="center"/>
                </w:tcPr>
                <w:p w14:paraId="35CC3F15">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符合</w:t>
                  </w:r>
                </w:p>
              </w:tc>
            </w:tr>
            <w:tr w14:paraId="521E6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68" w:type="pct"/>
                  <w:tcBorders>
                    <w:tl2br w:val="nil"/>
                    <w:tr2bl w:val="nil"/>
                  </w:tcBorders>
                </w:tcPr>
                <w:p w14:paraId="16D91A2F">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cs="Times New Roman"/>
                      <w:b w:val="0"/>
                      <w:bCs/>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四)完善监测体系，监控环境质量变化状况。园区应落实《报告书》提出的监测方案，结合园区规划的功能分区、产业布局、重点企业分布、特征污染物的排放种类和状况、环境敏感目标分布等，建立健全环境空气、地表水、地下水、土壤等环境要素的监控体系，重点监控园区周边的环境空气、地表水环境质量现状，并涵盖相关特征污染物监测。</w:t>
                  </w:r>
                </w:p>
              </w:tc>
              <w:tc>
                <w:tcPr>
                  <w:tcW w:w="1769" w:type="pct"/>
                  <w:tcBorders>
                    <w:tl2br w:val="nil"/>
                    <w:tr2bl w:val="nil"/>
                  </w:tcBorders>
                  <w:vAlign w:val="center"/>
                </w:tcPr>
                <w:p w14:paraId="1F86D9FF">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bCs/>
                      <w:color w:val="auto"/>
                      <w:kern w:val="0"/>
                      <w:sz w:val="21"/>
                      <w:szCs w:val="21"/>
                      <w:u w:val="none" w:color="auto"/>
                      <w:vertAlign w:val="baseline"/>
                      <w:lang w:val="en-US" w:eastAsia="zh-CN"/>
                    </w:rPr>
                  </w:pPr>
                  <w:r>
                    <w:rPr>
                      <w:rFonts w:hint="eastAsia" w:ascii="Times New Roman" w:hAnsi="Times New Roman" w:cs="Times New Roman"/>
                      <w:color w:val="auto"/>
                      <w:sz w:val="21"/>
                      <w:szCs w:val="21"/>
                      <w:lang w:val="en-US" w:eastAsia="zh-CN"/>
                    </w:rPr>
                    <w:t>根据</w:t>
                  </w:r>
                  <w:r>
                    <w:rPr>
                      <w:rFonts w:hint="default" w:ascii="Times New Roman" w:hAnsi="Times New Roman" w:cs="Times New Roman"/>
                      <w:color w:val="auto"/>
                      <w:sz w:val="21"/>
                      <w:szCs w:val="21"/>
                      <w:lang w:val="en-US" w:eastAsia="zh-CN"/>
                    </w:rPr>
                    <w:t>《2025年12月环境空气质量月报》和《中方产业开发区2025年环境质量现状监测(年度)》中特征因子（TSP）的监测数据可知，本项目所在区域为环境空气质量达标区；参照《中方产业开发区2025年环境质量现状监测项目土壤、地表水委托监测》可知本项目所在区域地表水环境质量达标。</w:t>
                  </w:r>
                </w:p>
              </w:tc>
              <w:tc>
                <w:tcPr>
                  <w:tcW w:w="561" w:type="pct"/>
                  <w:tcBorders>
                    <w:tl2br w:val="nil"/>
                    <w:tr2bl w:val="nil"/>
                  </w:tcBorders>
                  <w:vAlign w:val="center"/>
                </w:tcPr>
                <w:p w14:paraId="35E67D7D">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符合</w:t>
                  </w:r>
                </w:p>
              </w:tc>
            </w:tr>
            <w:tr w14:paraId="78E4A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68" w:type="pct"/>
                  <w:tcBorders>
                    <w:tl2br w:val="nil"/>
                    <w:tr2bl w:val="nil"/>
                  </w:tcBorders>
                </w:tcPr>
                <w:p w14:paraId="1AC9736D">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cs="Times New Roman"/>
                      <w:b w:val="0"/>
                      <w:bCs/>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五)强化风险管控，严防园区环境事故。加强园区环境风险防控、预警和应急体系建设。建立健全园区环境风险管理工作长效机制，园区管理机构应建立环境监督管理机构;落实环境风险防控措施，制定突发环境事件应急预案，加强应急救援队伍、装备和设施建设，储备必要的应急物资，有计划地组织应急培训和演练，全面提升园区风险防控和事故应急处置能力。</w:t>
                  </w:r>
                </w:p>
              </w:tc>
              <w:tc>
                <w:tcPr>
                  <w:tcW w:w="1769" w:type="pct"/>
                  <w:tcBorders>
                    <w:tl2br w:val="nil"/>
                    <w:tr2bl w:val="nil"/>
                  </w:tcBorders>
                  <w:vAlign w:val="center"/>
                </w:tcPr>
                <w:p w14:paraId="3197FD92">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bCs/>
                      <w:color w:val="auto"/>
                      <w:kern w:val="0"/>
                      <w:sz w:val="21"/>
                      <w:szCs w:val="21"/>
                      <w:u w:val="none" w:color="auto"/>
                      <w:vertAlign w:val="baseline"/>
                      <w:lang w:val="en-US" w:eastAsia="zh-CN"/>
                    </w:rPr>
                  </w:pPr>
                  <w:r>
                    <w:rPr>
                      <w:rFonts w:hint="default" w:ascii="Times New Roman" w:hAnsi="Times New Roman" w:cs="Times New Roman"/>
                      <w:sz w:val="21"/>
                      <w:szCs w:val="21"/>
                      <w:lang w:val="en-US" w:eastAsia="zh-CN"/>
                    </w:rPr>
                    <w:t>本项目建成后将按照《建设项目环境风险评价技术导则》（HJ169-2018）和《湖南省突发环境事件应急预案管理办法（修订版）》中要求确定对突发环境事件应急预案的编制工作；运营期间建立健全环境风险事故防范措施和应急预案，严防环境风险事故发生。</w:t>
                  </w:r>
                </w:p>
              </w:tc>
              <w:tc>
                <w:tcPr>
                  <w:tcW w:w="561" w:type="pct"/>
                  <w:tcBorders>
                    <w:tl2br w:val="nil"/>
                    <w:tr2bl w:val="nil"/>
                  </w:tcBorders>
                  <w:vAlign w:val="center"/>
                </w:tcPr>
                <w:p w14:paraId="549F7573">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符合</w:t>
                  </w:r>
                </w:p>
              </w:tc>
            </w:tr>
            <w:tr w14:paraId="35EA0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68" w:type="pct"/>
                  <w:tcBorders>
                    <w:tl2br w:val="nil"/>
                    <w:tr2bl w:val="nil"/>
                  </w:tcBorders>
                </w:tcPr>
                <w:p w14:paraId="479AA5B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cs="Times New Roman"/>
                      <w:b w:val="0"/>
                      <w:bCs/>
                      <w:color w:val="auto"/>
                      <w:kern w:val="0"/>
                      <w:sz w:val="21"/>
                      <w:szCs w:val="21"/>
                      <w:u w:val="none" w:color="auto"/>
                      <w:vertAlign w:val="baseline"/>
                      <w:lang w:val="en-US" w:eastAsia="zh-CN" w:bidi="ar-SA"/>
                    </w:rPr>
                  </w:pPr>
                  <w:r>
                    <w:rPr>
                      <w:rFonts w:hint="eastAsia" w:ascii="Times New Roman" w:hAnsi="Times New Roman" w:eastAsia="宋体" w:cs="Times New Roman"/>
                      <w:b w:val="0"/>
                      <w:bCs/>
                      <w:color w:val="auto"/>
                      <w:kern w:val="0"/>
                      <w:sz w:val="21"/>
                      <w:szCs w:val="21"/>
                      <w:u w:val="none" w:color="auto"/>
                      <w:vertAlign w:val="baseline"/>
                      <w:lang w:val="en-US" w:eastAsia="zh-CN" w:bidi="ar-SA"/>
                    </w:rPr>
                    <w:t>(六)做好周边控规，落实拆迁安置计划。严格做好控规，杜绝在规划的工业用地上新增环境敏感目标，确保园区开发过程中的居民拆迁安置到位，防止发生居民在此安置和次生环境问题。对于具体项目环评提出防护距离和拆迁要求的，要严格予以落实。</w:t>
                  </w:r>
                </w:p>
              </w:tc>
              <w:tc>
                <w:tcPr>
                  <w:tcW w:w="1769" w:type="pct"/>
                  <w:vMerge w:val="restart"/>
                  <w:tcBorders>
                    <w:tl2br w:val="nil"/>
                    <w:tr2bl w:val="nil"/>
                  </w:tcBorders>
                  <w:vAlign w:val="center"/>
                </w:tcPr>
                <w:p w14:paraId="2D0580ED">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bCs/>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本项目租赁</w:t>
                  </w:r>
                  <w:r>
                    <w:rPr>
                      <w:rFonts w:hint="default" w:ascii="Times New Roman" w:hAnsi="Times New Roman" w:cs="Times New Roman"/>
                      <w:b w:val="0"/>
                      <w:bCs/>
                      <w:color w:val="auto"/>
                      <w:kern w:val="0"/>
                      <w:sz w:val="21"/>
                      <w:szCs w:val="21"/>
                      <w:u w:val="none" w:color="auto"/>
                      <w:vertAlign w:val="baseline"/>
                      <w:lang w:val="en-US" w:eastAsia="zh-CN"/>
                    </w:rPr>
                    <w:t>中方产业开发区泸阳片区</w:t>
                  </w: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众力创新园1栋</w:t>
                  </w:r>
                  <w:r>
                    <w:rPr>
                      <w:rFonts w:hint="default" w:ascii="Times New Roman" w:hAnsi="Times New Roman" w:cs="Times New Roman"/>
                      <w:color w:val="000000" w:themeColor="text1"/>
                      <w:sz w:val="21"/>
                      <w:szCs w:val="21"/>
                      <w:u w:val="none"/>
                      <w:lang w:val="en-US" w:eastAsia="zh-CN"/>
                      <w14:textFill>
                        <w14:solidFill>
                          <w14:schemeClr w14:val="tx1"/>
                        </w14:solidFill>
                      </w14:textFill>
                    </w:rPr>
                    <w:t>（南区第2层）</w:t>
                  </w:r>
                  <w:r>
                    <w:rPr>
                      <w:rFonts w:hint="eastAsia" w:ascii="Times New Roman" w:hAnsi="Times New Roman" w:cs="Times New Roman"/>
                      <w:color w:val="000000" w:themeColor="text1"/>
                      <w:sz w:val="21"/>
                      <w:szCs w:val="21"/>
                      <w:u w:val="none"/>
                      <w:lang w:val="en-US" w:eastAsia="zh-CN"/>
                      <w14:textFill>
                        <w14:solidFill>
                          <w14:schemeClr w14:val="tx1"/>
                        </w14:solidFill>
                      </w14:textFill>
                    </w:rPr>
                    <w:t>现有</w:t>
                  </w:r>
                  <w:r>
                    <w:rPr>
                      <w:rFonts w:hint="eastAsia" w:ascii="Times New Roman" w:hAnsi="Times New Roman" w:cs="Times New Roman"/>
                      <w:b w:val="0"/>
                      <w:bCs/>
                      <w:color w:val="auto"/>
                      <w:kern w:val="0"/>
                      <w:sz w:val="21"/>
                      <w:szCs w:val="21"/>
                      <w:u w:val="none" w:color="auto"/>
                      <w:vertAlign w:val="baseline"/>
                      <w:lang w:val="en-US" w:eastAsia="zh-CN"/>
                    </w:rPr>
                    <w:t>厂房进行生产，仅需对厂房进行装修，不涉及土石方开挖回填、不涉及拆迁，对周围生态环境影响不大。</w:t>
                  </w:r>
                </w:p>
              </w:tc>
              <w:tc>
                <w:tcPr>
                  <w:tcW w:w="561" w:type="pct"/>
                  <w:vMerge w:val="restart"/>
                  <w:tcBorders>
                    <w:tl2br w:val="nil"/>
                    <w:tr2bl w:val="nil"/>
                  </w:tcBorders>
                  <w:vAlign w:val="center"/>
                </w:tcPr>
                <w:p w14:paraId="55A92469">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kern w:val="0"/>
                      <w:sz w:val="21"/>
                      <w:szCs w:val="21"/>
                      <w:u w:val="none" w:color="auto"/>
                      <w:vertAlign w:val="baseline"/>
                      <w:lang w:val="en-US" w:eastAsia="zh-CN"/>
                    </w:rPr>
                  </w:pPr>
                  <w:r>
                    <w:rPr>
                      <w:rFonts w:hint="eastAsia" w:ascii="Times New Roman" w:hAnsi="Times New Roman" w:cs="Times New Roman"/>
                      <w:b w:val="0"/>
                      <w:bCs/>
                      <w:color w:val="auto"/>
                      <w:kern w:val="0"/>
                      <w:sz w:val="21"/>
                      <w:szCs w:val="21"/>
                      <w:u w:val="none" w:color="auto"/>
                      <w:vertAlign w:val="baseline"/>
                      <w:lang w:val="en-US" w:eastAsia="zh-CN"/>
                    </w:rPr>
                    <w:t>符合</w:t>
                  </w:r>
                </w:p>
              </w:tc>
            </w:tr>
            <w:tr w14:paraId="5920FF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68" w:type="pct"/>
                  <w:tcBorders>
                    <w:tl2br w:val="nil"/>
                    <w:tr2bl w:val="nil"/>
                  </w:tcBorders>
                </w:tcPr>
                <w:p w14:paraId="05FE9D2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cs="Times New Roman"/>
                      <w:b w:val="0"/>
                      <w:bCs/>
                      <w:color w:val="auto"/>
                      <w:kern w:val="0"/>
                      <w:sz w:val="21"/>
                      <w:szCs w:val="21"/>
                      <w:u w:val="none" w:color="auto"/>
                      <w:vertAlign w:val="baseline"/>
                      <w:lang w:val="en-US" w:eastAsia="zh-CN" w:bidi="ar-SA"/>
                    </w:rPr>
                  </w:pPr>
                  <w:r>
                    <w:rPr>
                      <w:rFonts w:hint="eastAsia" w:ascii="Times New Roman" w:hAnsi="Times New Roman" w:eastAsia="宋体" w:cs="Times New Roman"/>
                      <w:b w:val="0"/>
                      <w:bCs/>
                      <w:color w:val="auto"/>
                      <w:kern w:val="0"/>
                      <w:sz w:val="21"/>
                      <w:szCs w:val="21"/>
                      <w:u w:val="none" w:color="auto"/>
                      <w:vertAlign w:val="baseline"/>
                      <w:lang w:val="en-US" w:eastAsia="zh-CN" w:bidi="ar-SA"/>
                    </w:rPr>
                    <w:t>(七)做好园区建设期生态保护和水土保持。园区开发建设过程中尽可能保留自然山体、水体，施工期对土石方开挖、堆存及回填要实施围挡、护坡等措施，裸露地及时恢复植被，防止水土流失，杜绝施工建设对地表水体的污染。</w:t>
                  </w:r>
                </w:p>
              </w:tc>
              <w:tc>
                <w:tcPr>
                  <w:tcW w:w="1769" w:type="pct"/>
                  <w:vMerge w:val="continue"/>
                  <w:tcBorders>
                    <w:tl2br w:val="nil"/>
                    <w:tr2bl w:val="nil"/>
                  </w:tcBorders>
                  <w:vAlign w:val="center"/>
                </w:tcPr>
                <w:p w14:paraId="5D85BE36">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val="0"/>
                      <w:bCs/>
                      <w:color w:val="auto"/>
                      <w:kern w:val="0"/>
                      <w:sz w:val="21"/>
                      <w:szCs w:val="21"/>
                      <w:u w:val="none" w:color="auto"/>
                      <w:vertAlign w:val="baseline"/>
                      <w:lang w:val="en-US" w:eastAsia="zh-CN"/>
                    </w:rPr>
                  </w:pPr>
                </w:p>
              </w:tc>
              <w:tc>
                <w:tcPr>
                  <w:tcW w:w="561" w:type="pct"/>
                  <w:vMerge w:val="continue"/>
                  <w:tcBorders>
                    <w:tl2br w:val="nil"/>
                    <w:tr2bl w:val="nil"/>
                  </w:tcBorders>
                  <w:vAlign w:val="center"/>
                </w:tcPr>
                <w:p w14:paraId="100DF04F">
                  <w:pPr>
                    <w:pStyle w:val="5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val="0"/>
                      <w:bCs/>
                      <w:color w:val="auto"/>
                      <w:kern w:val="0"/>
                      <w:sz w:val="21"/>
                      <w:szCs w:val="21"/>
                      <w:u w:val="none" w:color="auto"/>
                      <w:vertAlign w:val="baseline"/>
                      <w:lang w:val="en-US" w:eastAsia="zh-CN"/>
                    </w:rPr>
                  </w:pPr>
                </w:p>
              </w:tc>
            </w:tr>
          </w:tbl>
          <w:p w14:paraId="26147927">
            <w:pPr>
              <w:pStyle w:val="50"/>
              <w:ind w:left="0" w:leftChars="0" w:right="0" w:rightChars="0" w:firstLine="480" w:firstLineChars="200"/>
              <w:rPr>
                <w:rFonts w:hint="eastAsia"/>
                <w:color w:val="000000" w:themeColor="text1"/>
                <w:kern w:val="0"/>
                <w:u w:val="none" w:color="auto"/>
                <w:lang w:val="en-US" w:eastAsia="zh-CN"/>
                <w14:textFill>
                  <w14:solidFill>
                    <w14:schemeClr w14:val="tx1"/>
                  </w14:solidFill>
                </w14:textFill>
              </w:rPr>
            </w:pPr>
          </w:p>
        </w:tc>
      </w:tr>
      <w:tr w14:paraId="570F8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538" w:type="pct"/>
            <w:vAlign w:val="center"/>
          </w:tcPr>
          <w:p w14:paraId="30392E3B">
            <w:pPr>
              <w:autoSpaceDE w:val="0"/>
              <w:autoSpaceDN w:val="0"/>
              <w:adjustRightInd w:val="0"/>
              <w:snapToGrid w:val="0"/>
              <w:jc w:val="center"/>
              <w:rPr>
                <w:color w:val="000000" w:themeColor="text1"/>
                <w:kern w:val="0"/>
                <w:u w:val="none" w:color="auto"/>
                <w14:textFill>
                  <w14:solidFill>
                    <w14:schemeClr w14:val="tx1"/>
                  </w14:solidFill>
                </w14:textFill>
              </w:rPr>
            </w:pPr>
            <w:r>
              <w:rPr>
                <w:color w:val="000000" w:themeColor="text1"/>
                <w:kern w:val="0"/>
                <w:u w:val="none" w:color="auto"/>
                <w14:textFill>
                  <w14:solidFill>
                    <w14:schemeClr w14:val="tx1"/>
                  </w14:solidFill>
                </w14:textFill>
              </w:rPr>
              <w:t>其他符合性分析</w:t>
            </w:r>
          </w:p>
        </w:tc>
        <w:tc>
          <w:tcPr>
            <w:tcW w:w="4461" w:type="pct"/>
            <w:gridSpan w:val="4"/>
            <w:vAlign w:val="center"/>
          </w:tcPr>
          <w:p w14:paraId="5A10E060">
            <w:pPr>
              <w:pStyle w:val="49"/>
              <w:bidi w:val="0"/>
              <w:rPr>
                <w:b/>
                <w:bCs/>
                <w:sz w:val="24"/>
                <w:szCs w:val="24"/>
              </w:rPr>
            </w:pPr>
            <w:r>
              <w:rPr>
                <w:rFonts w:hint="eastAsia"/>
                <w:b/>
                <w:bCs/>
                <w:sz w:val="24"/>
                <w:szCs w:val="24"/>
                <w:lang w:val="en-US" w:eastAsia="zh-CN"/>
              </w:rPr>
              <w:t>1、产业政策</w:t>
            </w:r>
            <w:r>
              <w:rPr>
                <w:b/>
                <w:bCs/>
                <w:sz w:val="24"/>
                <w:szCs w:val="24"/>
              </w:rPr>
              <w:t>符合性分析</w:t>
            </w:r>
          </w:p>
          <w:p w14:paraId="4B4C4043">
            <w:pPr>
              <w:pStyle w:val="49"/>
              <w:bidi w:val="0"/>
              <w:rPr>
                <w:rFonts w:hint="eastAsia"/>
                <w:sz w:val="24"/>
                <w:szCs w:val="24"/>
                <w:lang w:val="en-US" w:eastAsia="zh-CN"/>
              </w:rPr>
            </w:pPr>
            <w:r>
              <w:rPr>
                <w:rFonts w:hint="eastAsia"/>
                <w:sz w:val="24"/>
                <w:szCs w:val="24"/>
              </w:rPr>
              <w:t>本项目为</w:t>
            </w:r>
            <w:r>
              <w:rPr>
                <w:rFonts w:hint="default" w:ascii="Times New Roman" w:hAnsi="Times New Roman" w:cs="Times New Roman"/>
                <w:color w:val="auto"/>
                <w:sz w:val="24"/>
              </w:rPr>
              <w:t>C3981电阻电容电感元件制造</w:t>
            </w:r>
            <w:r>
              <w:rPr>
                <w:rFonts w:hint="eastAsia" w:cs="Times New Roman"/>
                <w:color w:val="auto"/>
                <w:sz w:val="24"/>
                <w:lang w:val="en-US" w:eastAsia="zh-CN"/>
              </w:rPr>
              <w:t>项目</w:t>
            </w:r>
            <w:r>
              <w:rPr>
                <w:rFonts w:hint="eastAsia"/>
                <w:sz w:val="24"/>
                <w:szCs w:val="24"/>
              </w:rPr>
              <w:t>，根据《产业结构调整指导目录（20</w:t>
            </w:r>
            <w:r>
              <w:rPr>
                <w:rFonts w:hint="eastAsia"/>
                <w:sz w:val="24"/>
                <w:szCs w:val="24"/>
                <w:lang w:val="en-US" w:eastAsia="zh-CN"/>
              </w:rPr>
              <w:t>24</w:t>
            </w:r>
            <w:r>
              <w:rPr>
                <w:rFonts w:hint="eastAsia"/>
                <w:sz w:val="24"/>
                <w:szCs w:val="24"/>
              </w:rPr>
              <w:t>年本）》中</w:t>
            </w:r>
            <w:r>
              <w:rPr>
                <w:rFonts w:hint="eastAsia"/>
                <w:sz w:val="24"/>
                <w:szCs w:val="24"/>
                <w:lang w:val="en-US" w:eastAsia="zh-CN"/>
              </w:rPr>
              <w:t>内容</w:t>
            </w:r>
            <w:r>
              <w:rPr>
                <w:rFonts w:hint="eastAsia"/>
                <w:sz w:val="24"/>
                <w:szCs w:val="24"/>
              </w:rPr>
              <w:t>，</w:t>
            </w:r>
            <w:r>
              <w:rPr>
                <w:rFonts w:hint="eastAsia"/>
                <w:sz w:val="24"/>
                <w:szCs w:val="24"/>
                <w:lang w:val="en-US" w:eastAsia="zh-CN"/>
              </w:rPr>
              <w:t>本项目不属于</w:t>
            </w:r>
            <w:r>
              <w:rPr>
                <w:rFonts w:hint="eastAsia"/>
                <w:sz w:val="24"/>
                <w:szCs w:val="24"/>
              </w:rPr>
              <w:t>鼓励类</w:t>
            </w:r>
            <w:r>
              <w:rPr>
                <w:rFonts w:hint="eastAsia"/>
                <w:sz w:val="24"/>
                <w:szCs w:val="24"/>
                <w:lang w:eastAsia="zh-CN"/>
              </w:rPr>
              <w:t>、</w:t>
            </w:r>
            <w:r>
              <w:rPr>
                <w:rFonts w:hint="eastAsia"/>
                <w:sz w:val="24"/>
                <w:szCs w:val="24"/>
                <w:lang w:val="en-US" w:eastAsia="zh-CN"/>
              </w:rPr>
              <w:t>限制类、淘汰类</w:t>
            </w:r>
            <w:r>
              <w:rPr>
                <w:rFonts w:hint="eastAsia"/>
                <w:sz w:val="24"/>
                <w:szCs w:val="24"/>
              </w:rPr>
              <w:t>项目。</w:t>
            </w:r>
            <w:r>
              <w:rPr>
                <w:rFonts w:hint="eastAsia"/>
                <w:sz w:val="24"/>
                <w:szCs w:val="24"/>
                <w:lang w:val="en-US" w:eastAsia="zh-CN"/>
              </w:rPr>
              <w:t>根据国家发展改革委、商务部关于印发《市场准入负面清单（</w:t>
            </w:r>
            <w:r>
              <w:rPr>
                <w:rFonts w:hint="default"/>
                <w:sz w:val="24"/>
                <w:szCs w:val="24"/>
                <w:lang w:val="en-US" w:eastAsia="zh-CN"/>
              </w:rPr>
              <w:t>202</w:t>
            </w:r>
            <w:r>
              <w:rPr>
                <w:rFonts w:hint="eastAsia"/>
                <w:sz w:val="24"/>
                <w:szCs w:val="24"/>
                <w:lang w:val="en-US" w:eastAsia="zh-CN"/>
              </w:rPr>
              <w:t>5年版）》的通知（发改体改规〔</w:t>
            </w:r>
            <w:r>
              <w:rPr>
                <w:rFonts w:hint="default"/>
                <w:sz w:val="24"/>
                <w:szCs w:val="24"/>
                <w:lang w:val="en-US" w:eastAsia="zh-CN"/>
              </w:rPr>
              <w:t>202</w:t>
            </w:r>
            <w:r>
              <w:rPr>
                <w:rFonts w:hint="eastAsia"/>
                <w:sz w:val="24"/>
                <w:szCs w:val="24"/>
                <w:lang w:val="en-US" w:eastAsia="zh-CN"/>
              </w:rPr>
              <w:t>5〕466号），本项目不属于文件中禁止和需许可的行业，属于“允许类”，符合其要求。</w:t>
            </w:r>
          </w:p>
          <w:p w14:paraId="0C512C6A">
            <w:pPr>
              <w:pStyle w:val="49"/>
              <w:bidi w:val="0"/>
              <w:rPr>
                <w:rFonts w:hint="eastAsia"/>
                <w:sz w:val="24"/>
                <w:szCs w:val="24"/>
              </w:rPr>
            </w:pPr>
            <w:r>
              <w:rPr>
                <w:rFonts w:hint="eastAsia"/>
                <w:sz w:val="24"/>
                <w:szCs w:val="24"/>
                <w:lang w:val="en-US" w:eastAsia="zh-CN"/>
              </w:rPr>
              <w:t>因此，本项目建设符合国家相关产业政策的要求。</w:t>
            </w:r>
          </w:p>
          <w:p w14:paraId="7B1589D8">
            <w:pPr>
              <w:pStyle w:val="49"/>
              <w:bidi w:val="0"/>
              <w:rPr>
                <w:b/>
                <w:bCs/>
                <w:sz w:val="24"/>
                <w:szCs w:val="24"/>
              </w:rPr>
            </w:pPr>
            <w:r>
              <w:rPr>
                <w:rFonts w:hint="eastAsia"/>
                <w:b/>
                <w:bCs/>
                <w:sz w:val="24"/>
                <w:szCs w:val="24"/>
                <w:lang w:val="en-US" w:eastAsia="zh-CN"/>
              </w:rPr>
              <w:t>2、</w:t>
            </w:r>
            <w:r>
              <w:rPr>
                <w:rFonts w:hint="eastAsia"/>
                <w:b/>
                <w:bCs/>
                <w:sz w:val="24"/>
                <w:szCs w:val="24"/>
              </w:rPr>
              <w:t>项目与生态环境分区管控符合性分析</w:t>
            </w:r>
          </w:p>
          <w:p w14:paraId="14A19317">
            <w:pPr>
              <w:pStyle w:val="49"/>
              <w:bidi w:val="0"/>
              <w:rPr>
                <w:rFonts w:hint="default"/>
                <w:sz w:val="24"/>
                <w:szCs w:val="24"/>
                <w:highlight w:val="none"/>
              </w:rPr>
            </w:pPr>
            <w:r>
              <w:rPr>
                <w:rFonts w:hint="eastAsia"/>
                <w:sz w:val="24"/>
                <w:szCs w:val="24"/>
                <w:highlight w:val="none"/>
                <w:lang w:val="en-US" w:eastAsia="zh-CN"/>
              </w:rPr>
              <w:t>（1）</w:t>
            </w:r>
            <w:r>
              <w:rPr>
                <w:rFonts w:hint="default"/>
                <w:sz w:val="24"/>
                <w:szCs w:val="24"/>
                <w:highlight w:val="none"/>
              </w:rPr>
              <w:t>生态保护红线</w:t>
            </w:r>
          </w:p>
          <w:p w14:paraId="1117FE87">
            <w:pPr>
              <w:pStyle w:val="49"/>
              <w:bidi w:val="0"/>
              <w:rPr>
                <w:rFonts w:hint="eastAsia"/>
                <w:sz w:val="24"/>
                <w:szCs w:val="24"/>
                <w:highlight w:val="none"/>
                <w:lang w:val="en-US" w:eastAsia="zh-CN"/>
              </w:rPr>
            </w:pPr>
            <w:r>
              <w:rPr>
                <w:rFonts w:hint="eastAsia"/>
                <w:sz w:val="24"/>
                <w:szCs w:val="24"/>
                <w:highlight w:val="none"/>
                <w:lang w:val="en-US" w:eastAsia="zh-CN"/>
              </w:rPr>
              <w:t>本项目位于怀化市高新技术产业开发区管理委员会中方片区管理办公室泸阳片区（众力创新园1栋南区第2层），租赁现有厂房，周边无自然保护区、饮用水源保护区、基本农田、公益林等生态保护目标。根据《湖南省人民政府关于印发&lt;湖南省生态保护红线&gt;的通知》(湘政发(2018)20号)和《湖南省生态环境分区管控总体管控要求暨省级以上产业园区生态环境准入清单》</w:t>
            </w:r>
            <w:r>
              <w:rPr>
                <w:rFonts w:hint="eastAsia"/>
                <w:lang w:eastAsia="zh-CN"/>
              </w:rPr>
              <w:t>（湘环函〔2024〕26号）</w:t>
            </w:r>
            <w:r>
              <w:rPr>
                <w:rFonts w:hint="eastAsia"/>
                <w:sz w:val="24"/>
                <w:szCs w:val="24"/>
                <w:highlight w:val="none"/>
                <w:lang w:val="en-US" w:eastAsia="zh-CN"/>
              </w:rPr>
              <w:t>中相关生态保护红线要求，本项目不在生态保护红线范围内，符合生态保护红线的要求。</w:t>
            </w:r>
          </w:p>
          <w:p w14:paraId="0CCE6C65">
            <w:pPr>
              <w:pStyle w:val="49"/>
              <w:bidi w:val="0"/>
              <w:rPr>
                <w:rFonts w:hint="eastAsia"/>
                <w:sz w:val="24"/>
                <w:szCs w:val="24"/>
                <w:highlight w:val="none"/>
                <w:lang w:val="en-US" w:eastAsia="zh-CN"/>
              </w:rPr>
            </w:pPr>
            <w:r>
              <w:rPr>
                <w:rFonts w:hint="eastAsia"/>
                <w:sz w:val="24"/>
                <w:szCs w:val="24"/>
                <w:highlight w:val="none"/>
                <w:lang w:val="en-US" w:eastAsia="zh-CN"/>
              </w:rPr>
              <w:t>（2）</w:t>
            </w:r>
            <w:r>
              <w:rPr>
                <w:rFonts w:hint="eastAsia"/>
                <w:sz w:val="24"/>
                <w:szCs w:val="24"/>
                <w:highlight w:val="none"/>
                <w:lang w:eastAsia="zh-CN"/>
              </w:rPr>
              <w:t>环境质量底线</w:t>
            </w:r>
          </w:p>
          <w:p w14:paraId="11144174">
            <w:pPr>
              <w:pStyle w:val="49"/>
              <w:bidi w:val="0"/>
              <w:rPr>
                <w:rFonts w:hint="default" w:ascii="Times New Roman" w:hAnsi="Times New Roman" w:cs="Times New Roman"/>
                <w:sz w:val="24"/>
                <w:szCs w:val="24"/>
                <w:lang w:val="en-US" w:eastAsia="zh-CN"/>
              </w:rPr>
            </w:pPr>
            <w:r>
              <w:rPr>
                <w:rFonts w:hint="default" w:ascii="Times New Roman" w:hAnsi="Times New Roman" w:cs="Times New Roman"/>
                <w:sz w:val="24"/>
                <w:szCs w:val="24"/>
                <w:highlight w:val="none"/>
              </w:rPr>
              <w:t>根据环境功能区划，项目所在区域环境空气执行《环</w:t>
            </w:r>
            <w:r>
              <w:rPr>
                <w:rFonts w:hint="default" w:ascii="Times New Roman" w:hAnsi="Times New Roman" w:cs="Times New Roman"/>
                <w:sz w:val="24"/>
                <w:szCs w:val="24"/>
              </w:rPr>
              <w:t>境空气质量标准》（GB3095-20</w:t>
            </w:r>
            <w:r>
              <w:rPr>
                <w:rFonts w:hint="default" w:ascii="Times New Roman" w:hAnsi="Times New Roman" w:cs="Times New Roman"/>
                <w:sz w:val="24"/>
                <w:szCs w:val="24"/>
                <w:lang w:val="en-US" w:eastAsia="zh-CN"/>
              </w:rPr>
              <w:t>26</w:t>
            </w:r>
            <w:r>
              <w:rPr>
                <w:rFonts w:hint="default" w:ascii="Times New Roman" w:hAnsi="Times New Roman" w:cs="Times New Roman"/>
                <w:sz w:val="24"/>
                <w:szCs w:val="24"/>
              </w:rPr>
              <w:t>），地表水执行《地表水环境质量标准》（GB3838-2002）中的Ⅲ类水质标准，</w:t>
            </w:r>
            <w:r>
              <w:rPr>
                <w:rFonts w:hint="default" w:ascii="Times New Roman" w:hAnsi="Times New Roman" w:cs="Times New Roman"/>
                <w:sz w:val="24"/>
                <w:szCs w:val="24"/>
                <w:lang w:val="en-US" w:eastAsia="zh-CN"/>
              </w:rPr>
              <w:t>所在区域</w:t>
            </w:r>
            <w:r>
              <w:rPr>
                <w:rFonts w:hint="default" w:ascii="Times New Roman" w:hAnsi="Times New Roman" w:cs="Times New Roman"/>
                <w:sz w:val="24"/>
                <w:szCs w:val="24"/>
              </w:rPr>
              <w:t>厂界执行《声环境质量标准》（GB3096-2008）中的</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类标准。项目对废水、废气、噪声能做到达标处理，固废可做到无害化处置。采取本环评提出的相关防治措施后，项目排放的污染物不会突破区域环境质量底线。</w:t>
            </w:r>
          </w:p>
          <w:p w14:paraId="3A67B31B">
            <w:pPr>
              <w:pStyle w:val="49"/>
              <w:bidi w:val="0"/>
              <w:rPr>
                <w:rFonts w:hint="default"/>
                <w:sz w:val="24"/>
                <w:szCs w:val="24"/>
                <w:lang w:val="en-US" w:eastAsia="zh-CN"/>
              </w:rPr>
            </w:pPr>
            <w:r>
              <w:rPr>
                <w:rFonts w:hint="eastAsia"/>
                <w:sz w:val="24"/>
                <w:szCs w:val="24"/>
                <w:lang w:val="en-US" w:eastAsia="zh-CN"/>
              </w:rPr>
              <w:t>（3）</w:t>
            </w:r>
            <w:r>
              <w:rPr>
                <w:rFonts w:hint="eastAsia"/>
                <w:sz w:val="24"/>
                <w:szCs w:val="24"/>
                <w:lang w:eastAsia="zh-CN"/>
              </w:rPr>
              <w:t>资源利用上线</w:t>
            </w:r>
          </w:p>
          <w:p w14:paraId="18091E90">
            <w:pPr>
              <w:pStyle w:val="49"/>
              <w:bidi w:val="0"/>
              <w:rPr>
                <w:sz w:val="24"/>
                <w:szCs w:val="24"/>
              </w:rPr>
            </w:pPr>
            <w:r>
              <w:rPr>
                <w:rFonts w:hint="eastAsia"/>
                <w:sz w:val="24"/>
                <w:szCs w:val="24"/>
                <w:lang w:val="en-US" w:eastAsia="zh-CN"/>
              </w:rPr>
              <w:t>根据生产计划，运营期间主要以电、水为生产生活能源，项目为</w:t>
            </w:r>
            <w:r>
              <w:rPr>
                <w:rFonts w:hint="default" w:ascii="Times New Roman" w:hAnsi="Times New Roman" w:cs="Times New Roman"/>
                <w:color w:val="auto"/>
                <w:sz w:val="24"/>
              </w:rPr>
              <w:t>C3981电阻电容电感元件制造</w:t>
            </w:r>
            <w:r>
              <w:rPr>
                <w:rFonts w:hint="eastAsia"/>
                <w:sz w:val="24"/>
                <w:szCs w:val="24"/>
              </w:rPr>
              <w:t>项目</w:t>
            </w:r>
            <w:r>
              <w:rPr>
                <w:rFonts w:hint="eastAsia"/>
                <w:sz w:val="24"/>
                <w:szCs w:val="24"/>
                <w:lang w:val="en-US" w:eastAsia="zh-CN"/>
              </w:rPr>
              <w:t>，</w:t>
            </w:r>
            <w:r>
              <w:rPr>
                <w:sz w:val="24"/>
                <w:szCs w:val="24"/>
              </w:rPr>
              <w:t>不属于高耗能资源消耗型企业</w:t>
            </w:r>
            <w:r>
              <w:rPr>
                <w:rFonts w:hint="eastAsia"/>
                <w:sz w:val="24"/>
                <w:szCs w:val="24"/>
                <w:lang w:eastAsia="zh-CN"/>
              </w:rPr>
              <w:t>，</w:t>
            </w:r>
            <w:r>
              <w:rPr>
                <w:rFonts w:hint="eastAsia"/>
                <w:sz w:val="24"/>
                <w:szCs w:val="24"/>
                <w:lang w:val="en-US" w:eastAsia="zh-CN"/>
              </w:rPr>
              <w:t>项目营运过程中将消耗一定量的电能、水资源等资源，项目资源消耗相对区域资料利用总量较少，符合资源利用上线要求。</w:t>
            </w:r>
          </w:p>
          <w:p w14:paraId="4F812B9C">
            <w:pPr>
              <w:pStyle w:val="49"/>
              <w:bidi w:val="0"/>
              <w:rPr>
                <w:rFonts w:hint="default" w:eastAsia="宋体"/>
                <w:sz w:val="24"/>
                <w:szCs w:val="24"/>
                <w:lang w:val="en-US" w:eastAsia="zh-CN"/>
              </w:rPr>
            </w:pPr>
            <w:r>
              <w:rPr>
                <w:rFonts w:hint="eastAsia"/>
                <w:sz w:val="24"/>
                <w:szCs w:val="24"/>
                <w:lang w:val="en-US" w:eastAsia="zh-CN"/>
              </w:rPr>
              <w:t>（4）生态环境准入清单</w:t>
            </w:r>
          </w:p>
          <w:p w14:paraId="003770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u w:val="single" w:color="auto"/>
                <w:lang w:val="en-US" w:eastAsia="zh-CN"/>
              </w:rPr>
            </w:pPr>
            <w:r>
              <w:rPr>
                <w:rFonts w:hint="eastAsia"/>
                <w:sz w:val="24"/>
                <w:szCs w:val="24"/>
                <w:u w:val="single" w:color="auto"/>
                <w:lang w:val="en-US" w:eastAsia="zh-CN"/>
              </w:rPr>
              <w:t>①本项目与</w:t>
            </w:r>
            <w:r>
              <w:rPr>
                <w:rFonts w:hint="eastAsia" w:ascii="TimesNewRomanPSMT" w:hAnsi="TimesNewRomanPSMT" w:eastAsia="TimesNewRomanPSMT" w:cs="Times New Roman"/>
                <w:sz w:val="24"/>
                <w:szCs w:val="24"/>
                <w:u w:val="single" w:color="auto"/>
              </w:rPr>
              <w:t>《湖南省生态环境分区管控总体管控要求暨省级以上产业园区生态环境准入清单》</w:t>
            </w:r>
            <w:r>
              <w:rPr>
                <w:rFonts w:hint="default" w:ascii="Times New Roman" w:hAnsi="Times New Roman" w:eastAsia="宋体" w:cs="Times New Roman"/>
                <w:b w:val="0"/>
                <w:bCs w:val="0"/>
                <w:color w:val="auto"/>
                <w:sz w:val="24"/>
                <w:szCs w:val="24"/>
                <w:u w:val="single" w:color="auto"/>
                <w:lang w:val="en-US" w:eastAsia="zh-CN"/>
              </w:rPr>
              <w:t>（湘环函〔2024〕26号）</w:t>
            </w:r>
            <w:r>
              <w:rPr>
                <w:rFonts w:hint="eastAsia"/>
                <w:sz w:val="24"/>
                <w:szCs w:val="24"/>
                <w:u w:val="single" w:color="auto"/>
                <w:lang w:val="en-US" w:eastAsia="zh-CN"/>
              </w:rPr>
              <w:t>的符合性分析详见下表。</w:t>
            </w:r>
          </w:p>
          <w:p w14:paraId="64AB7ADD">
            <w:pPr>
              <w:pStyle w:val="2"/>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default"/>
                <w:sz w:val="24"/>
                <w:szCs w:val="24"/>
                <w:u w:val="single" w:color="auto"/>
                <w:lang w:val="en-US" w:eastAsia="zh-CN"/>
              </w:rPr>
            </w:pPr>
            <w:r>
              <w:rPr>
                <w:rFonts w:hint="eastAsia"/>
                <w:sz w:val="24"/>
                <w:szCs w:val="24"/>
                <w:u w:val="single" w:color="auto"/>
                <w:lang w:val="en-US" w:eastAsia="zh-CN"/>
              </w:rPr>
              <w:t>项目选址于</w:t>
            </w:r>
            <w:r>
              <w:rPr>
                <w:rFonts w:hint="eastAsia"/>
                <w:sz w:val="24"/>
                <w:szCs w:val="24"/>
                <w:highlight w:val="none"/>
                <w:u w:val="single" w:color="auto"/>
                <w:lang w:val="en-US" w:eastAsia="zh-CN"/>
              </w:rPr>
              <w:t>怀化市高新技术产业开发区管理委员会中方片区管理办公室泸阳片区（众力创新园1栋南区第2层）</w:t>
            </w:r>
            <w:r>
              <w:rPr>
                <w:rFonts w:hint="eastAsia"/>
                <w:sz w:val="24"/>
                <w:szCs w:val="24"/>
                <w:u w:val="single" w:color="auto"/>
                <w:lang w:val="en-US" w:eastAsia="zh-CN"/>
              </w:rPr>
              <w:t>，所在地位于中方产业开发区泸阳片区内，根据</w:t>
            </w:r>
            <w:r>
              <w:rPr>
                <w:rFonts w:hint="eastAsia" w:ascii="TimesNewRomanPSMT" w:hAnsi="TimesNewRomanPSMT" w:eastAsia="TimesNewRomanPSMT" w:cs="Times New Roman"/>
                <w:sz w:val="24"/>
                <w:szCs w:val="24"/>
                <w:u w:val="single" w:color="auto"/>
              </w:rPr>
              <w:t>《湖南省生态环境分区管控总体管控要求暨省级以上产业园区生态环境准入清单》</w:t>
            </w:r>
            <w:r>
              <w:rPr>
                <w:rFonts w:hint="default" w:ascii="Times New Roman" w:hAnsi="Times New Roman" w:eastAsia="宋体" w:cs="Times New Roman"/>
                <w:b w:val="0"/>
                <w:bCs w:val="0"/>
                <w:color w:val="auto"/>
                <w:sz w:val="24"/>
                <w:szCs w:val="24"/>
                <w:u w:val="single" w:color="auto"/>
                <w:lang w:val="en-US" w:eastAsia="zh-CN"/>
              </w:rPr>
              <w:t>（湘环函〔2024〕26号）</w:t>
            </w:r>
            <w:r>
              <w:rPr>
                <w:rFonts w:hint="eastAsia" w:eastAsia="宋体" w:cs="Times New Roman"/>
                <w:b w:val="0"/>
                <w:bCs w:val="0"/>
                <w:color w:val="auto"/>
                <w:sz w:val="24"/>
                <w:szCs w:val="24"/>
                <w:u w:val="single" w:color="auto"/>
                <w:lang w:val="en-US" w:eastAsia="zh-CN"/>
              </w:rPr>
              <w:t>可知本项目属于重点管控单元，管控单元编码为</w:t>
            </w:r>
            <w:r>
              <w:rPr>
                <w:rFonts w:hint="default" w:ascii="Times New Roman" w:hAnsi="Times New Roman" w:eastAsia="宋体" w:cs="Times New Roman"/>
                <w:sz w:val="24"/>
                <w:szCs w:val="24"/>
                <w:u w:val="single" w:color="auto"/>
                <w:lang w:val="en-US" w:eastAsia="zh-CN"/>
              </w:rPr>
              <w:t>ZH43122120003</w:t>
            </w:r>
            <w:r>
              <w:rPr>
                <w:rFonts w:hint="eastAsia" w:eastAsia="宋体" w:cs="Times New Roman"/>
                <w:sz w:val="24"/>
                <w:szCs w:val="24"/>
                <w:u w:val="single" w:color="auto"/>
                <w:lang w:val="en-US" w:eastAsia="zh-CN"/>
              </w:rPr>
              <w:t>。</w:t>
            </w:r>
          </w:p>
          <w:p w14:paraId="5B3E988F">
            <w:pPr>
              <w:spacing w:line="240" w:lineRule="auto"/>
              <w:jc w:val="center"/>
              <w:rPr>
                <w:rFonts w:hint="default" w:ascii="Times New Roman" w:hAnsi="Times New Roman" w:eastAsia="宋体" w:cs="Times New Roman"/>
                <w:b/>
                <w:bCs/>
                <w:color w:val="auto"/>
                <w:kern w:val="2"/>
                <w:sz w:val="21"/>
                <w:szCs w:val="21"/>
                <w:u w:val="single" w:color="auto"/>
                <w:lang w:val="en-US" w:eastAsia="zh-CN" w:bidi="ar-SA"/>
              </w:rPr>
            </w:pPr>
            <w:r>
              <w:rPr>
                <w:rFonts w:hint="default" w:ascii="Times New Roman" w:hAnsi="Times New Roman" w:eastAsia="宋体" w:cs="Times New Roman"/>
                <w:b/>
                <w:bCs/>
                <w:color w:val="auto"/>
                <w:kern w:val="2"/>
                <w:sz w:val="21"/>
                <w:szCs w:val="21"/>
                <w:u w:val="single" w:color="auto"/>
                <w:lang w:val="en-US" w:eastAsia="zh-CN" w:bidi="ar-SA"/>
              </w:rPr>
              <w:t>表1-</w:t>
            </w:r>
            <w:r>
              <w:rPr>
                <w:rFonts w:hint="eastAsia" w:cs="Times New Roman"/>
                <w:b/>
                <w:bCs/>
                <w:color w:val="auto"/>
                <w:kern w:val="2"/>
                <w:sz w:val="21"/>
                <w:szCs w:val="21"/>
                <w:u w:val="single" w:color="auto"/>
                <w:lang w:val="en-US" w:eastAsia="zh-CN" w:bidi="ar-SA"/>
              </w:rPr>
              <w:t xml:space="preserve">6  </w:t>
            </w:r>
            <w:r>
              <w:rPr>
                <w:rFonts w:hint="default" w:ascii="Times New Roman" w:hAnsi="Times New Roman" w:eastAsia="宋体" w:cs="Times New Roman"/>
                <w:b/>
                <w:bCs/>
                <w:color w:val="auto"/>
                <w:kern w:val="2"/>
                <w:sz w:val="21"/>
                <w:szCs w:val="21"/>
                <w:u w:val="single" w:color="auto"/>
                <w:lang w:val="en-US" w:eastAsia="zh-CN" w:bidi="ar-SA"/>
              </w:rPr>
              <w:t>与</w:t>
            </w:r>
            <w:r>
              <w:rPr>
                <w:rFonts w:hint="eastAsia" w:ascii="Times New Roman" w:hAnsi="Times New Roman" w:eastAsia="宋体" w:cs="Times New Roman"/>
                <w:b/>
                <w:bCs/>
                <w:color w:val="auto"/>
                <w:kern w:val="2"/>
                <w:sz w:val="21"/>
                <w:szCs w:val="21"/>
                <w:u w:val="single" w:color="auto"/>
                <w:lang w:val="en-US" w:eastAsia="zh-CN" w:bidi="ar-SA"/>
              </w:rPr>
              <w:t>《湖南省生态环境分区管控总体管控要求暨省级以上产业园区生态环境准入清单》（湘环函〔2024〕26号）</w:t>
            </w:r>
            <w:r>
              <w:rPr>
                <w:rFonts w:hint="default" w:ascii="Times New Roman" w:hAnsi="Times New Roman" w:eastAsia="宋体" w:cs="Times New Roman"/>
                <w:b/>
                <w:bCs/>
                <w:color w:val="auto"/>
                <w:kern w:val="2"/>
                <w:sz w:val="21"/>
                <w:szCs w:val="21"/>
                <w:u w:val="single" w:color="auto"/>
                <w:lang w:val="en-US" w:eastAsia="zh-CN" w:bidi="ar-SA"/>
              </w:rPr>
              <w:t>符合性</w:t>
            </w:r>
          </w:p>
          <w:tbl>
            <w:tblPr>
              <w:tblStyle w:val="33"/>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8"/>
              <w:gridCol w:w="3"/>
              <w:gridCol w:w="941"/>
              <w:gridCol w:w="313"/>
              <w:gridCol w:w="313"/>
              <w:gridCol w:w="315"/>
              <w:gridCol w:w="685"/>
              <w:gridCol w:w="795"/>
              <w:gridCol w:w="314"/>
              <w:gridCol w:w="1029"/>
              <w:gridCol w:w="941"/>
              <w:gridCol w:w="941"/>
              <w:gridCol w:w="137"/>
              <w:gridCol w:w="805"/>
            </w:tblGrid>
            <w:tr w14:paraId="0F9FD1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5" w:type="pct"/>
                  <w:gridSpan w:val="2"/>
                  <w:vMerge w:val="restart"/>
                  <w:tcBorders>
                    <w:tl2br w:val="nil"/>
                    <w:tr2bl w:val="nil"/>
                  </w:tcBorders>
                  <w:noWrap w:val="0"/>
                  <w:vAlign w:val="center"/>
                </w:tcPr>
                <w:p w14:paraId="03DB8A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环境管控单元编码</w:t>
                  </w:r>
                </w:p>
              </w:tc>
              <w:tc>
                <w:tcPr>
                  <w:tcW w:w="555" w:type="pct"/>
                  <w:vMerge w:val="restart"/>
                  <w:tcBorders>
                    <w:tl2br w:val="nil"/>
                    <w:tr2bl w:val="nil"/>
                  </w:tcBorders>
                  <w:noWrap w:val="0"/>
                  <w:vAlign w:val="center"/>
                </w:tcPr>
                <w:p w14:paraId="46E163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单元名称</w:t>
                  </w:r>
                </w:p>
              </w:tc>
              <w:tc>
                <w:tcPr>
                  <w:tcW w:w="555" w:type="pct"/>
                  <w:gridSpan w:val="3"/>
                  <w:tcBorders>
                    <w:tl2br w:val="nil"/>
                    <w:tr2bl w:val="nil"/>
                  </w:tcBorders>
                  <w:noWrap w:val="0"/>
                  <w:vAlign w:val="center"/>
                </w:tcPr>
                <w:p w14:paraId="7C9435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行政区划</w:t>
                  </w:r>
                </w:p>
              </w:tc>
              <w:tc>
                <w:tcPr>
                  <w:tcW w:w="404" w:type="pct"/>
                  <w:vMerge w:val="restart"/>
                  <w:tcBorders>
                    <w:tl2br w:val="nil"/>
                    <w:tr2bl w:val="nil"/>
                  </w:tcBorders>
                  <w:noWrap w:val="0"/>
                  <w:vAlign w:val="center"/>
                </w:tcPr>
                <w:p w14:paraId="3A990B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单元分类</w:t>
                  </w:r>
                </w:p>
              </w:tc>
              <w:tc>
                <w:tcPr>
                  <w:tcW w:w="469" w:type="pct"/>
                  <w:vMerge w:val="restart"/>
                  <w:tcBorders>
                    <w:tl2br w:val="nil"/>
                    <w:tr2bl w:val="nil"/>
                  </w:tcBorders>
                  <w:noWrap w:val="0"/>
                  <w:vAlign w:val="center"/>
                </w:tcPr>
                <w:p w14:paraId="75DD2A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单元面积（km</w:t>
                  </w:r>
                  <w:r>
                    <w:rPr>
                      <w:rFonts w:hint="eastAsia" w:cs="Times New Roman"/>
                      <w:sz w:val="21"/>
                      <w:szCs w:val="21"/>
                      <w:u w:val="single" w:color="auto"/>
                      <w:vertAlign w:val="superscript"/>
                      <w:lang w:val="en-US" w:eastAsia="zh-CN"/>
                    </w:rPr>
                    <w:t>2</w:t>
                  </w:r>
                  <w:r>
                    <w:rPr>
                      <w:rFonts w:hint="eastAsia" w:cs="Times New Roman"/>
                      <w:sz w:val="21"/>
                      <w:szCs w:val="21"/>
                      <w:u w:val="single" w:color="auto"/>
                      <w:lang w:val="en-US" w:eastAsia="zh-CN"/>
                    </w:rPr>
                    <w:t>）</w:t>
                  </w:r>
                </w:p>
              </w:tc>
              <w:tc>
                <w:tcPr>
                  <w:tcW w:w="792" w:type="pct"/>
                  <w:gridSpan w:val="2"/>
                  <w:vMerge w:val="restart"/>
                  <w:tcBorders>
                    <w:tl2br w:val="nil"/>
                    <w:tr2bl w:val="nil"/>
                  </w:tcBorders>
                  <w:noWrap w:val="0"/>
                  <w:vAlign w:val="center"/>
                </w:tcPr>
                <w:p w14:paraId="0127E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涉及乡镇街道</w:t>
                  </w:r>
                </w:p>
              </w:tc>
              <w:tc>
                <w:tcPr>
                  <w:tcW w:w="555" w:type="pct"/>
                  <w:vMerge w:val="restart"/>
                  <w:tcBorders>
                    <w:tl2br w:val="nil"/>
                    <w:tr2bl w:val="nil"/>
                  </w:tcBorders>
                  <w:noWrap w:val="0"/>
                  <w:vAlign w:val="center"/>
                </w:tcPr>
                <w:p w14:paraId="569E9E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主要功能定位</w:t>
                  </w:r>
                </w:p>
              </w:tc>
              <w:tc>
                <w:tcPr>
                  <w:tcW w:w="555" w:type="pct"/>
                  <w:vMerge w:val="restart"/>
                  <w:tcBorders>
                    <w:tl2br w:val="nil"/>
                    <w:tr2bl w:val="nil"/>
                  </w:tcBorders>
                  <w:noWrap w:val="0"/>
                  <w:vAlign w:val="center"/>
                </w:tcPr>
                <w:p w14:paraId="5823DA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主导产业</w:t>
                  </w:r>
                </w:p>
              </w:tc>
              <w:tc>
                <w:tcPr>
                  <w:tcW w:w="556" w:type="pct"/>
                  <w:gridSpan w:val="2"/>
                  <w:vMerge w:val="restart"/>
                  <w:tcBorders>
                    <w:tl2br w:val="nil"/>
                    <w:tr2bl w:val="nil"/>
                  </w:tcBorders>
                  <w:noWrap w:val="0"/>
                  <w:vAlign w:val="center"/>
                </w:tcPr>
                <w:p w14:paraId="10ADBF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主要环境问题</w:t>
                  </w:r>
                </w:p>
              </w:tc>
            </w:tr>
            <w:tr w14:paraId="4DF1A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555" w:type="pct"/>
                  <w:gridSpan w:val="2"/>
                  <w:vMerge w:val="continue"/>
                  <w:tcBorders>
                    <w:tl2br w:val="nil"/>
                    <w:tr2bl w:val="nil"/>
                  </w:tcBorders>
                  <w:noWrap w:val="0"/>
                  <w:vAlign w:val="center"/>
                </w:tcPr>
                <w:p w14:paraId="5BCA65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u w:val="single" w:color="auto"/>
                    </w:rPr>
                  </w:pPr>
                </w:p>
              </w:tc>
              <w:tc>
                <w:tcPr>
                  <w:tcW w:w="555" w:type="pct"/>
                  <w:vMerge w:val="continue"/>
                  <w:tcBorders>
                    <w:tl2br w:val="nil"/>
                    <w:tr2bl w:val="nil"/>
                  </w:tcBorders>
                  <w:noWrap w:val="0"/>
                  <w:vAlign w:val="center"/>
                </w:tcPr>
                <w:p w14:paraId="4310D8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u w:val="single" w:color="auto"/>
                    </w:rPr>
                  </w:pPr>
                </w:p>
              </w:tc>
              <w:tc>
                <w:tcPr>
                  <w:tcW w:w="184" w:type="pct"/>
                  <w:tcBorders>
                    <w:tl2br w:val="nil"/>
                    <w:tr2bl w:val="nil"/>
                  </w:tcBorders>
                  <w:noWrap w:val="0"/>
                  <w:vAlign w:val="center"/>
                </w:tcPr>
                <w:p w14:paraId="77BE16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省</w:t>
                  </w:r>
                </w:p>
              </w:tc>
              <w:tc>
                <w:tcPr>
                  <w:tcW w:w="184" w:type="pct"/>
                  <w:tcBorders>
                    <w:tl2br w:val="nil"/>
                    <w:tr2bl w:val="nil"/>
                  </w:tcBorders>
                  <w:noWrap w:val="0"/>
                  <w:vAlign w:val="center"/>
                </w:tcPr>
                <w:p w14:paraId="2BB14E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市</w:t>
                  </w:r>
                </w:p>
              </w:tc>
              <w:tc>
                <w:tcPr>
                  <w:tcW w:w="185" w:type="pct"/>
                  <w:tcBorders>
                    <w:tl2br w:val="nil"/>
                    <w:tr2bl w:val="nil"/>
                  </w:tcBorders>
                  <w:noWrap w:val="0"/>
                  <w:vAlign w:val="center"/>
                </w:tcPr>
                <w:p w14:paraId="760BD5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县</w:t>
                  </w:r>
                </w:p>
              </w:tc>
              <w:tc>
                <w:tcPr>
                  <w:tcW w:w="404" w:type="pct"/>
                  <w:vMerge w:val="continue"/>
                  <w:tcBorders>
                    <w:tl2br w:val="nil"/>
                    <w:tr2bl w:val="nil"/>
                  </w:tcBorders>
                  <w:noWrap w:val="0"/>
                  <w:vAlign w:val="center"/>
                </w:tcPr>
                <w:p w14:paraId="2B07E2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p>
              </w:tc>
              <w:tc>
                <w:tcPr>
                  <w:tcW w:w="469" w:type="pct"/>
                  <w:vMerge w:val="continue"/>
                  <w:tcBorders>
                    <w:tl2br w:val="nil"/>
                    <w:tr2bl w:val="nil"/>
                  </w:tcBorders>
                  <w:noWrap w:val="0"/>
                  <w:vAlign w:val="center"/>
                </w:tcPr>
                <w:p w14:paraId="6D7193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p>
              </w:tc>
              <w:tc>
                <w:tcPr>
                  <w:tcW w:w="792" w:type="pct"/>
                  <w:gridSpan w:val="2"/>
                  <w:vMerge w:val="continue"/>
                  <w:tcBorders>
                    <w:tl2br w:val="nil"/>
                    <w:tr2bl w:val="nil"/>
                  </w:tcBorders>
                  <w:noWrap w:val="0"/>
                  <w:vAlign w:val="center"/>
                </w:tcPr>
                <w:p w14:paraId="40F6C7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p>
              </w:tc>
              <w:tc>
                <w:tcPr>
                  <w:tcW w:w="555" w:type="pct"/>
                  <w:vMerge w:val="continue"/>
                  <w:tcBorders>
                    <w:tl2br w:val="nil"/>
                    <w:tr2bl w:val="nil"/>
                  </w:tcBorders>
                  <w:noWrap w:val="0"/>
                  <w:vAlign w:val="center"/>
                </w:tcPr>
                <w:p w14:paraId="7DBDA4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p>
              </w:tc>
              <w:tc>
                <w:tcPr>
                  <w:tcW w:w="555" w:type="pct"/>
                  <w:vMerge w:val="continue"/>
                  <w:tcBorders>
                    <w:tl2br w:val="nil"/>
                    <w:tr2bl w:val="nil"/>
                  </w:tcBorders>
                  <w:noWrap w:val="0"/>
                  <w:vAlign w:val="center"/>
                </w:tcPr>
                <w:p w14:paraId="39EA53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p>
              </w:tc>
              <w:tc>
                <w:tcPr>
                  <w:tcW w:w="556" w:type="pct"/>
                  <w:gridSpan w:val="2"/>
                  <w:vMerge w:val="continue"/>
                  <w:tcBorders>
                    <w:tl2br w:val="nil"/>
                    <w:tr2bl w:val="nil"/>
                  </w:tcBorders>
                  <w:noWrap w:val="0"/>
                  <w:vAlign w:val="center"/>
                </w:tcPr>
                <w:p w14:paraId="35389F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p>
              </w:tc>
            </w:tr>
            <w:tr w14:paraId="55D498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55" w:type="pct"/>
                  <w:gridSpan w:val="2"/>
                  <w:tcBorders>
                    <w:tl2br w:val="nil"/>
                    <w:tr2bl w:val="nil"/>
                  </w:tcBorders>
                  <w:noWrap w:val="0"/>
                  <w:vAlign w:val="center"/>
                </w:tcPr>
                <w:p w14:paraId="3CC86E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default" w:ascii="Times New Roman" w:hAnsi="Times New Roman" w:eastAsia="宋体" w:cs="Times New Roman"/>
                      <w:sz w:val="21"/>
                      <w:szCs w:val="21"/>
                      <w:u w:val="single" w:color="auto"/>
                      <w:lang w:val="en-US" w:eastAsia="zh-CN"/>
                    </w:rPr>
                    <w:t>ZH43122120003</w:t>
                  </w:r>
                </w:p>
              </w:tc>
              <w:tc>
                <w:tcPr>
                  <w:tcW w:w="555" w:type="pct"/>
                  <w:tcBorders>
                    <w:tl2br w:val="nil"/>
                    <w:tr2bl w:val="nil"/>
                  </w:tcBorders>
                  <w:noWrap w:val="0"/>
                  <w:vAlign w:val="center"/>
                </w:tcPr>
                <w:p w14:paraId="4A2186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中方产业开发区</w:t>
                  </w:r>
                </w:p>
              </w:tc>
              <w:tc>
                <w:tcPr>
                  <w:tcW w:w="184" w:type="pct"/>
                  <w:tcBorders>
                    <w:tl2br w:val="nil"/>
                    <w:tr2bl w:val="nil"/>
                  </w:tcBorders>
                  <w:noWrap w:val="0"/>
                  <w:vAlign w:val="center"/>
                </w:tcPr>
                <w:p w14:paraId="459A4F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湖南省</w:t>
                  </w:r>
                </w:p>
              </w:tc>
              <w:tc>
                <w:tcPr>
                  <w:tcW w:w="184" w:type="pct"/>
                  <w:tcBorders>
                    <w:tl2br w:val="nil"/>
                    <w:tr2bl w:val="nil"/>
                  </w:tcBorders>
                  <w:noWrap w:val="0"/>
                  <w:vAlign w:val="center"/>
                </w:tcPr>
                <w:p w14:paraId="1A41A3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怀化市</w:t>
                  </w:r>
                </w:p>
              </w:tc>
              <w:tc>
                <w:tcPr>
                  <w:tcW w:w="185" w:type="pct"/>
                  <w:tcBorders>
                    <w:tl2br w:val="nil"/>
                    <w:tr2bl w:val="nil"/>
                  </w:tcBorders>
                  <w:noWrap w:val="0"/>
                  <w:vAlign w:val="center"/>
                </w:tcPr>
                <w:p w14:paraId="102904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中方县</w:t>
                  </w:r>
                </w:p>
              </w:tc>
              <w:tc>
                <w:tcPr>
                  <w:tcW w:w="404" w:type="pct"/>
                  <w:tcBorders>
                    <w:tl2br w:val="nil"/>
                    <w:tr2bl w:val="nil"/>
                  </w:tcBorders>
                  <w:noWrap w:val="0"/>
                  <w:vAlign w:val="center"/>
                </w:tcPr>
                <w:p w14:paraId="0FA3DB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重点管控单元</w:t>
                  </w:r>
                </w:p>
              </w:tc>
              <w:tc>
                <w:tcPr>
                  <w:tcW w:w="469" w:type="pct"/>
                  <w:tcBorders>
                    <w:tl2br w:val="nil"/>
                    <w:tr2bl w:val="nil"/>
                  </w:tcBorders>
                  <w:noWrap w:val="0"/>
                  <w:vAlign w:val="center"/>
                </w:tcPr>
                <w:p w14:paraId="3129B7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5.8329</w:t>
                  </w:r>
                </w:p>
              </w:tc>
              <w:tc>
                <w:tcPr>
                  <w:tcW w:w="792" w:type="pct"/>
                  <w:gridSpan w:val="2"/>
                  <w:tcBorders>
                    <w:tl2br w:val="nil"/>
                    <w:tr2bl w:val="nil"/>
                  </w:tcBorders>
                  <w:noWrap w:val="0"/>
                  <w:vAlign w:val="center"/>
                </w:tcPr>
                <w:p w14:paraId="529519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区块一、区块二、区块三（泸阳片区）设计泸阳镇及花桥镇；区块四、区块五、区块六、区块七（中方片区）涉及中方镇。</w:t>
                  </w:r>
                </w:p>
              </w:tc>
              <w:tc>
                <w:tcPr>
                  <w:tcW w:w="555" w:type="pct"/>
                  <w:tcBorders>
                    <w:tl2br w:val="nil"/>
                    <w:tr2bl w:val="nil"/>
                  </w:tcBorders>
                  <w:noWrap w:val="0"/>
                  <w:vAlign w:val="center"/>
                </w:tcPr>
                <w:p w14:paraId="465978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default" w:ascii="Times New Roman" w:hAnsi="Times New Roman" w:eastAsia="宋体" w:cs="Times New Roman"/>
                      <w:sz w:val="21"/>
                      <w:szCs w:val="21"/>
                      <w:u w:val="single" w:color="auto"/>
                      <w:lang w:val="en-US" w:eastAsia="zh-CN"/>
                    </w:rPr>
                    <w:t>泸阳镇:城市化地区;</w:t>
                  </w:r>
                </w:p>
                <w:p w14:paraId="15D934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default" w:ascii="Times New Roman" w:hAnsi="Times New Roman" w:eastAsia="宋体" w:cs="Times New Roman"/>
                      <w:sz w:val="21"/>
                      <w:szCs w:val="21"/>
                      <w:u w:val="single" w:color="auto"/>
                      <w:lang w:val="en-US" w:eastAsia="zh-CN"/>
                    </w:rPr>
                    <w:t>花桥镇:农产品主产区;</w:t>
                  </w:r>
                </w:p>
                <w:p w14:paraId="2CFFB0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default" w:ascii="Times New Roman" w:hAnsi="Times New Roman" w:eastAsia="宋体" w:cs="Times New Roman"/>
                      <w:sz w:val="21"/>
                      <w:szCs w:val="21"/>
                      <w:u w:val="single" w:color="auto"/>
                      <w:lang w:val="en-US" w:eastAsia="zh-CN"/>
                    </w:rPr>
                    <w:t>中方镇:城市化地区。</w:t>
                  </w:r>
                </w:p>
              </w:tc>
              <w:tc>
                <w:tcPr>
                  <w:tcW w:w="555" w:type="pct"/>
                  <w:tcBorders>
                    <w:tl2br w:val="nil"/>
                    <w:tr2bl w:val="nil"/>
                  </w:tcBorders>
                  <w:noWrap w:val="0"/>
                  <w:vAlign w:val="center"/>
                </w:tcPr>
                <w:p w14:paraId="23BB5F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default" w:ascii="Times New Roman" w:hAnsi="Times New Roman" w:eastAsia="宋体" w:cs="Times New Roman"/>
                      <w:sz w:val="21"/>
                      <w:szCs w:val="21"/>
                      <w:u w:val="single" w:color="auto"/>
                      <w:lang w:val="en-US" w:eastAsia="zh-CN"/>
                    </w:rPr>
                    <w:t>湘发改地区〔2021]394号:矿物制品(新型建材);特色产业:农副产品加工(饲料)。湘环评函[2021]10号:泸阳片区加工;中方片区重点发展装备制造、仓储物流。</w:t>
                  </w:r>
                </w:p>
              </w:tc>
              <w:tc>
                <w:tcPr>
                  <w:tcW w:w="556" w:type="pct"/>
                  <w:gridSpan w:val="2"/>
                  <w:tcBorders>
                    <w:tl2br w:val="nil"/>
                    <w:tr2bl w:val="nil"/>
                  </w:tcBorders>
                  <w:noWrap w:val="0"/>
                  <w:vAlign w:val="center"/>
                </w:tcPr>
                <w:p w14:paraId="14FCE7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default" w:ascii="Times New Roman" w:hAnsi="Times New Roman" w:eastAsia="宋体" w:cs="Times New Roman"/>
                      <w:sz w:val="21"/>
                      <w:szCs w:val="21"/>
                      <w:u w:val="single" w:color="auto"/>
                      <w:lang w:val="en-US" w:eastAsia="zh-CN"/>
                    </w:rPr>
                    <w:t>区块一、区块二、区块三(泸阳片区):1.开发区位于怀化市城区常年主导风向的上风向;;2.开发区有一个地下水取水口，作为发区的补充水源</w:t>
                  </w:r>
                  <w:r>
                    <w:rPr>
                      <w:rFonts w:hint="eastAsia" w:eastAsia="宋体" w:cs="Times New Roman"/>
                      <w:sz w:val="21"/>
                      <w:szCs w:val="21"/>
                      <w:u w:val="single" w:color="auto"/>
                      <w:lang w:val="en-US" w:eastAsia="zh-CN"/>
                    </w:rPr>
                    <w:t>；</w:t>
                  </w:r>
                  <w:r>
                    <w:rPr>
                      <w:rFonts w:hint="default" w:ascii="Times New Roman" w:hAnsi="Times New Roman" w:eastAsia="宋体" w:cs="Times New Roman"/>
                      <w:sz w:val="21"/>
                      <w:szCs w:val="21"/>
                      <w:u w:val="single" w:color="auto"/>
                      <w:lang w:val="en-US" w:eastAsia="zh-CN"/>
                    </w:rPr>
                    <w:t>区块四、区块五、区块六、区块七(中</w:t>
                  </w:r>
                  <w:r>
                    <w:rPr>
                      <w:rFonts w:hint="eastAsia" w:cs="Times New Roman"/>
                      <w:sz w:val="21"/>
                      <w:szCs w:val="21"/>
                      <w:u w:val="single" w:color="auto"/>
                      <w:lang w:val="en-US" w:eastAsia="zh-CN"/>
                    </w:rPr>
                    <w:t>方片区）</w:t>
                  </w:r>
                  <w:r>
                    <w:rPr>
                      <w:rFonts w:hint="default" w:ascii="Times New Roman" w:hAnsi="Times New Roman" w:eastAsia="宋体" w:cs="Times New Roman"/>
                      <w:sz w:val="21"/>
                      <w:szCs w:val="21"/>
                      <w:u w:val="single" w:color="auto"/>
                      <w:lang w:val="en-US" w:eastAsia="zh-CN"/>
                    </w:rPr>
                    <w:t>3.南部组团规划边界紧邻湖南中方㵲水国家湿地公园保育区(茅利溪);东部规划边界距离湖南中方帽子坡森林公园边界约110m;4.怀化天源污水处理厂现有排污口位于湖南中方舞水国家湿地公园保育区内。</w:t>
                  </w:r>
                </w:p>
              </w:tc>
            </w:tr>
            <w:tr w14:paraId="01F25A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55" w:type="pct"/>
                  <w:gridSpan w:val="2"/>
                  <w:tcBorders>
                    <w:tl2br w:val="nil"/>
                    <w:tr2bl w:val="nil"/>
                  </w:tcBorders>
                  <w:noWrap w:val="0"/>
                  <w:vAlign w:val="center"/>
                </w:tcPr>
                <w:p w14:paraId="3830DC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区域</w:t>
                  </w:r>
                </w:p>
              </w:tc>
              <w:tc>
                <w:tcPr>
                  <w:tcW w:w="4444" w:type="pct"/>
                  <w:gridSpan w:val="12"/>
                  <w:tcBorders>
                    <w:tl2br w:val="nil"/>
                    <w:tr2bl w:val="nil"/>
                  </w:tcBorders>
                  <w:noWrap w:val="0"/>
                  <w:vAlign w:val="center"/>
                </w:tcPr>
                <w:p w14:paraId="1260CF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泸阳镇</w:t>
                  </w:r>
                </w:p>
              </w:tc>
            </w:tr>
            <w:tr w14:paraId="525D80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53" w:type="pct"/>
                  <w:tcBorders>
                    <w:tl2br w:val="nil"/>
                    <w:tr2bl w:val="nil"/>
                  </w:tcBorders>
                  <w:noWrap w:val="0"/>
                  <w:vAlign w:val="center"/>
                </w:tcPr>
                <w:p w14:paraId="01E00C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rPr>
                  </w:pPr>
                  <w:r>
                    <w:rPr>
                      <w:rFonts w:hint="default" w:ascii="Times New Roman" w:hAnsi="Times New Roman" w:eastAsia="宋体" w:cs="Times New Roman"/>
                      <w:sz w:val="21"/>
                      <w:szCs w:val="21"/>
                      <w:u w:val="single"/>
                      <w:lang w:val="en-US" w:eastAsia="zh-CN"/>
                    </w:rPr>
                    <w:t>管控纬度</w:t>
                  </w:r>
                </w:p>
              </w:tc>
              <w:tc>
                <w:tcPr>
                  <w:tcW w:w="2171" w:type="pct"/>
                  <w:gridSpan w:val="8"/>
                  <w:tcBorders>
                    <w:tl2br w:val="nil"/>
                    <w:tr2bl w:val="nil"/>
                  </w:tcBorders>
                  <w:noWrap w:val="0"/>
                  <w:vAlign w:val="center"/>
                </w:tcPr>
                <w:p w14:paraId="0C4E1B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rPr>
                  </w:pPr>
                  <w:r>
                    <w:rPr>
                      <w:rFonts w:hint="default" w:ascii="Times New Roman" w:hAnsi="Times New Roman" w:eastAsia="宋体" w:cs="Times New Roman"/>
                      <w:sz w:val="21"/>
                      <w:szCs w:val="21"/>
                      <w:u w:val="single"/>
                      <w:lang w:val="en-US" w:eastAsia="zh-CN"/>
                    </w:rPr>
                    <w:t>管控要求</w:t>
                  </w:r>
                </w:p>
              </w:tc>
              <w:tc>
                <w:tcPr>
                  <w:tcW w:w="1799" w:type="pct"/>
                  <w:gridSpan w:val="4"/>
                  <w:tcBorders>
                    <w:tl2br w:val="nil"/>
                    <w:tr2bl w:val="nil"/>
                  </w:tcBorders>
                  <w:noWrap w:val="0"/>
                  <w:vAlign w:val="center"/>
                </w:tcPr>
                <w:p w14:paraId="554E1F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rPr>
                  </w:pPr>
                  <w:r>
                    <w:rPr>
                      <w:rFonts w:hint="default" w:ascii="Times New Roman" w:hAnsi="Times New Roman" w:eastAsia="宋体" w:cs="Times New Roman"/>
                      <w:sz w:val="21"/>
                      <w:szCs w:val="21"/>
                      <w:u w:val="single"/>
                      <w:lang w:val="en-US" w:eastAsia="zh-CN"/>
                    </w:rPr>
                    <w:t>本项目情况</w:t>
                  </w:r>
                </w:p>
              </w:tc>
              <w:tc>
                <w:tcPr>
                  <w:tcW w:w="475" w:type="pct"/>
                  <w:tcBorders>
                    <w:tl2br w:val="nil"/>
                    <w:tr2bl w:val="nil"/>
                  </w:tcBorders>
                  <w:noWrap w:val="0"/>
                  <w:vAlign w:val="center"/>
                </w:tcPr>
                <w:p w14:paraId="4E64E1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是否符合</w:t>
                  </w:r>
                </w:p>
              </w:tc>
            </w:tr>
            <w:tr w14:paraId="480DE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53" w:type="pct"/>
                  <w:tcBorders>
                    <w:tl2br w:val="nil"/>
                    <w:tr2bl w:val="nil"/>
                  </w:tcBorders>
                  <w:noWrap w:val="0"/>
                  <w:vAlign w:val="center"/>
                </w:tcPr>
                <w:p w14:paraId="43FD74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空间布局约束</w:t>
                  </w:r>
                </w:p>
              </w:tc>
              <w:tc>
                <w:tcPr>
                  <w:tcW w:w="2171" w:type="pct"/>
                  <w:gridSpan w:val="8"/>
                  <w:tcBorders>
                    <w:tl2br w:val="nil"/>
                    <w:tr2bl w:val="nil"/>
                  </w:tcBorders>
                  <w:noWrap w:val="0"/>
                  <w:vAlign w:val="center"/>
                </w:tcPr>
                <w:p w14:paraId="04D365A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区块一、区块二、区块三(泸阳片区):</w:t>
                  </w:r>
                </w:p>
                <w:p w14:paraId="685290F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(1.1)南部组团应限制引进以气型污染物为主的企业，水泥熟料生产不得扩大生产规模:农副产品深加工产业应限制引进酿造、屠宰等排水量大的企业。</w:t>
                  </w:r>
                </w:p>
              </w:tc>
              <w:tc>
                <w:tcPr>
                  <w:tcW w:w="1799" w:type="pct"/>
                  <w:gridSpan w:val="4"/>
                  <w:tcBorders>
                    <w:tl2br w:val="nil"/>
                    <w:tr2bl w:val="nil"/>
                  </w:tcBorders>
                  <w:noWrap w:val="0"/>
                  <w:vAlign w:val="center"/>
                </w:tcPr>
                <w:p w14:paraId="3AA1B28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本项目位于</w:t>
                  </w:r>
                  <w:r>
                    <w:rPr>
                      <w:rFonts w:hint="eastAsia" w:cs="Times New Roman"/>
                      <w:sz w:val="21"/>
                      <w:szCs w:val="21"/>
                      <w:u w:val="single"/>
                      <w:lang w:val="en-US" w:eastAsia="zh-CN"/>
                    </w:rPr>
                    <w:t>中方产业开发区</w:t>
                  </w:r>
                  <w:r>
                    <w:rPr>
                      <w:rFonts w:hint="default" w:ascii="Times New Roman" w:hAnsi="Times New Roman" w:eastAsia="宋体" w:cs="Times New Roman"/>
                      <w:sz w:val="21"/>
                      <w:szCs w:val="21"/>
                      <w:u w:val="single"/>
                      <w:lang w:val="en-US" w:eastAsia="zh-CN"/>
                    </w:rPr>
                    <w:t>泸阳片区</w:t>
                  </w:r>
                  <w:r>
                    <w:rPr>
                      <w:rFonts w:hint="eastAsia" w:cs="Times New Roman"/>
                      <w:sz w:val="21"/>
                      <w:szCs w:val="21"/>
                      <w:u w:val="single"/>
                      <w:lang w:val="en-US" w:eastAsia="zh-CN"/>
                    </w:rPr>
                    <w:t>，属于区块三</w:t>
                  </w:r>
                  <w:r>
                    <w:rPr>
                      <w:rFonts w:hint="default" w:ascii="Times New Roman" w:hAnsi="Times New Roman" w:eastAsia="宋体" w:cs="Times New Roman"/>
                      <w:sz w:val="21"/>
                      <w:szCs w:val="21"/>
                      <w:u w:val="single"/>
                      <w:lang w:val="en-US" w:eastAsia="zh-CN"/>
                    </w:rPr>
                    <w:t>，项目属于</w:t>
                  </w:r>
                  <w:r>
                    <w:rPr>
                      <w:rFonts w:hint="default" w:ascii="Times New Roman" w:hAnsi="Times New Roman" w:cs="Times New Roman"/>
                      <w:color w:val="auto"/>
                      <w:sz w:val="21"/>
                      <w:szCs w:val="21"/>
                      <w:u w:val="single"/>
                    </w:rPr>
                    <w:t>C3981电阻电容电感元件制造</w:t>
                  </w:r>
                  <w:r>
                    <w:rPr>
                      <w:rFonts w:hint="eastAsia" w:cs="Times New Roman"/>
                      <w:color w:val="auto"/>
                      <w:sz w:val="21"/>
                      <w:szCs w:val="21"/>
                      <w:u w:val="single"/>
                      <w:lang w:val="en-US" w:eastAsia="zh-CN"/>
                    </w:rPr>
                    <w:t>项目，</w:t>
                  </w:r>
                  <w:r>
                    <w:rPr>
                      <w:rFonts w:hint="eastAsia" w:cs="Times New Roman"/>
                      <w:sz w:val="21"/>
                      <w:szCs w:val="21"/>
                      <w:u w:val="single"/>
                      <w:lang w:val="en-US" w:eastAsia="zh-CN"/>
                    </w:rPr>
                    <w:t>不属于</w:t>
                  </w:r>
                  <w:r>
                    <w:rPr>
                      <w:rFonts w:hint="default" w:ascii="Times New Roman" w:hAnsi="Times New Roman" w:eastAsia="宋体" w:cs="Times New Roman"/>
                      <w:sz w:val="21"/>
                      <w:szCs w:val="21"/>
                      <w:u w:val="single"/>
                      <w:lang w:val="en-US" w:eastAsia="zh-CN"/>
                    </w:rPr>
                    <w:t>园区</w:t>
                  </w:r>
                  <w:r>
                    <w:rPr>
                      <w:rFonts w:hint="eastAsia" w:cs="Times New Roman"/>
                      <w:sz w:val="21"/>
                      <w:szCs w:val="21"/>
                      <w:u w:val="single"/>
                      <w:lang w:val="en-US" w:eastAsia="zh-CN"/>
                    </w:rPr>
                    <w:t>禁止类、限制</w:t>
                  </w:r>
                  <w:r>
                    <w:rPr>
                      <w:rFonts w:hint="default" w:ascii="Times New Roman" w:hAnsi="Times New Roman" w:eastAsia="宋体" w:cs="Times New Roman"/>
                      <w:sz w:val="21"/>
                      <w:szCs w:val="21"/>
                      <w:u w:val="single"/>
                      <w:lang w:val="en-US" w:eastAsia="zh-CN"/>
                    </w:rPr>
                    <w:t>类入园项目。</w:t>
                  </w:r>
                </w:p>
              </w:tc>
              <w:tc>
                <w:tcPr>
                  <w:tcW w:w="475" w:type="pct"/>
                  <w:tcBorders>
                    <w:tl2br w:val="nil"/>
                    <w:tr2bl w:val="nil"/>
                  </w:tcBorders>
                  <w:noWrap w:val="0"/>
                  <w:vAlign w:val="center"/>
                </w:tcPr>
                <w:p w14:paraId="68F792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符合</w:t>
                  </w:r>
                </w:p>
              </w:tc>
            </w:tr>
            <w:tr w14:paraId="5AD694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53" w:type="pct"/>
                  <w:tcBorders>
                    <w:tl2br w:val="nil"/>
                    <w:tr2bl w:val="nil"/>
                  </w:tcBorders>
                  <w:noWrap w:val="0"/>
                  <w:vAlign w:val="center"/>
                </w:tcPr>
                <w:p w14:paraId="49211A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污染物排放管控</w:t>
                  </w:r>
                </w:p>
              </w:tc>
              <w:tc>
                <w:tcPr>
                  <w:tcW w:w="2171" w:type="pct"/>
                  <w:gridSpan w:val="8"/>
                  <w:tcBorders>
                    <w:tl2br w:val="nil"/>
                    <w:tr2bl w:val="nil"/>
                  </w:tcBorders>
                  <w:noWrap w:val="0"/>
                  <w:vAlign w:val="center"/>
                </w:tcPr>
                <w:p w14:paraId="10A7CE8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(2.1)废水:</w:t>
                  </w:r>
                </w:p>
                <w:p w14:paraId="34F2E9B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(2.1.1)实行雨污分流，确保开发区各片区生产生活废水应收尽收，集中纳入污水处理厂处理。</w:t>
                  </w:r>
                </w:p>
                <w:p w14:paraId="23CFE6E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u w:val="single"/>
                      <w:lang w:val="en-US" w:eastAsia="zh-CN"/>
                    </w:rPr>
                  </w:pPr>
                  <w:r>
                    <w:rPr>
                      <w:rFonts w:hint="default" w:ascii="Times New Roman" w:hAnsi="Times New Roman" w:eastAsia="宋体" w:cs="Times New Roman"/>
                      <w:sz w:val="21"/>
                      <w:szCs w:val="21"/>
                      <w:u w:val="single"/>
                      <w:lang w:val="en-US" w:eastAsia="zh-CN"/>
                    </w:rPr>
                    <w:t>(2.1.2)开发区应进行必要的防渗处理</w:t>
                  </w:r>
                  <w:r>
                    <w:rPr>
                      <w:rFonts w:hint="eastAsia" w:ascii="Times New Roman" w:hAnsi="Times New Roman" w:eastAsia="宋体" w:cs="Times New Roman"/>
                      <w:sz w:val="21"/>
                      <w:szCs w:val="21"/>
                      <w:u w:val="single"/>
                      <w:lang w:val="en-US" w:eastAsia="zh-CN"/>
                    </w:rPr>
                    <w:t>，</w:t>
                  </w:r>
                  <w:r>
                    <w:rPr>
                      <w:rFonts w:hint="default" w:ascii="Times New Roman" w:hAnsi="Times New Roman" w:eastAsia="宋体" w:cs="Times New Roman"/>
                      <w:sz w:val="21"/>
                      <w:szCs w:val="21"/>
                      <w:u w:val="single"/>
                      <w:lang w:val="en-US" w:eastAsia="zh-CN"/>
                    </w:rPr>
                    <w:t>防治地下水污染。</w:t>
                  </w:r>
                </w:p>
                <w:p w14:paraId="0BEC498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区块一、区块二、区块三(泸阳片区):</w:t>
                  </w:r>
                </w:p>
                <w:p w14:paraId="2708451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w:t>
                  </w:r>
                  <w:r>
                    <w:rPr>
                      <w:rFonts w:hint="default" w:ascii="Times New Roman" w:hAnsi="Times New Roman" w:eastAsia="宋体" w:cs="Times New Roman"/>
                      <w:sz w:val="21"/>
                      <w:szCs w:val="21"/>
                      <w:u w:val="single"/>
                      <w:lang w:val="en-US" w:eastAsia="zh-CN"/>
                    </w:rPr>
                    <w:t>2.1.3)入园企业废水经中方工业园污水处理厂处理达标后排入太平溪，雨水经雨水管道排放至周边溪沟，最终汇入太平溪。</w:t>
                  </w:r>
                </w:p>
                <w:p w14:paraId="0A982CF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(2.2)废气</w:t>
                  </w:r>
                </w:p>
                <w:p w14:paraId="3D894EC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(2.2.1)开发区应加强大气污染防治，实施VOCs原辅材料替代，开展重点行业、重点企业VOCs治理、污染源监管能力提升、VOCs污染治理达标等重点行动，推进VOCs排放总量持续减少。</w:t>
                  </w:r>
                </w:p>
                <w:p w14:paraId="01C7B25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(2.2.2)开发区内水泥等行业大气污染物排放应满足《湖南省生态环境厅关于执行污染物特别排放限值(第一批)的公告》中的要求。</w:t>
                  </w:r>
                </w:p>
                <w:p w14:paraId="774823D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(2.3)固废:建立开发区固废规范化管理体系，做好工业固体废物和生活垃圾的分类收集、转运、综合利用和无害化处理，对各类工业企业产生的固体废物特别是危险固废应严格按照国家有关规定综合利用或妥善处置，对危险废物产生企业，强化日常环境监管。</w:t>
                  </w:r>
                </w:p>
              </w:tc>
              <w:tc>
                <w:tcPr>
                  <w:tcW w:w="1799" w:type="pct"/>
                  <w:gridSpan w:val="4"/>
                  <w:tcBorders>
                    <w:tl2br w:val="nil"/>
                    <w:tr2bl w:val="nil"/>
                  </w:tcBorders>
                  <w:noWrap w:val="0"/>
                  <w:vAlign w:val="center"/>
                </w:tcPr>
                <w:p w14:paraId="5C2DDBC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1</w:t>
                  </w:r>
                  <w:r>
                    <w:rPr>
                      <w:rFonts w:hint="eastAsia" w:cs="Times New Roman"/>
                      <w:sz w:val="21"/>
                      <w:szCs w:val="21"/>
                      <w:u w:val="single"/>
                      <w:lang w:val="en-US" w:eastAsia="zh-CN"/>
                    </w:rPr>
                    <w:t>、</w:t>
                  </w:r>
                  <w:r>
                    <w:rPr>
                      <w:rFonts w:hint="default" w:ascii="Times New Roman" w:hAnsi="Times New Roman" w:eastAsia="宋体" w:cs="Times New Roman"/>
                      <w:sz w:val="21"/>
                      <w:szCs w:val="21"/>
                      <w:u w:val="single"/>
                      <w:lang w:val="en-US" w:eastAsia="zh-CN"/>
                    </w:rPr>
                    <w:t>本项目实施雨污分流制，雨水排入中方</w:t>
                  </w:r>
                  <w:r>
                    <w:rPr>
                      <w:rFonts w:hint="eastAsia" w:cs="Times New Roman"/>
                      <w:sz w:val="21"/>
                      <w:szCs w:val="21"/>
                      <w:u w:val="single"/>
                      <w:lang w:val="en-US" w:eastAsia="zh-CN"/>
                    </w:rPr>
                    <w:t>产业开发</w:t>
                  </w:r>
                  <w:r>
                    <w:rPr>
                      <w:rFonts w:hint="default" w:ascii="Times New Roman" w:hAnsi="Times New Roman" w:eastAsia="宋体" w:cs="Times New Roman"/>
                      <w:sz w:val="21"/>
                      <w:szCs w:val="21"/>
                      <w:u w:val="single"/>
                      <w:lang w:val="en-US" w:eastAsia="zh-CN"/>
                    </w:rPr>
                    <w:t>区泸阳片区雨水管网:生活污水经化粪池处理。达标后排入中方产业开发区(泸阳镇)污水处理厂处理。</w:t>
                  </w:r>
                </w:p>
                <w:p w14:paraId="3875C05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pPr>
                  <w:r>
                    <w:rPr>
                      <w:rFonts w:hint="default" w:ascii="Times New Roman" w:hAnsi="Times New Roman" w:eastAsia="宋体" w:cs="Times New Roman"/>
                      <w:sz w:val="21"/>
                      <w:szCs w:val="21"/>
                      <w:u w:val="single"/>
                      <w:lang w:val="en-US" w:eastAsia="zh-CN"/>
                    </w:rPr>
                    <w:t>2</w:t>
                  </w:r>
                  <w:r>
                    <w:rPr>
                      <w:rFonts w:hint="eastAsia" w:cs="Times New Roman"/>
                      <w:sz w:val="21"/>
                      <w:szCs w:val="21"/>
                      <w:u w:val="single"/>
                      <w:lang w:val="en-US" w:eastAsia="zh-CN"/>
                    </w:rPr>
                    <w:t>、</w:t>
                  </w:r>
                  <w:r>
                    <w:rPr>
                      <w:rFonts w:hint="eastAsia"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焊</w:t>
                  </w:r>
                  <w:r>
                    <w:rPr>
                      <w:rFonts w:hint="default"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锡</w:t>
                  </w:r>
                  <w:r>
                    <w:rPr>
                      <w:rFonts w:hint="eastAsia" w:cs="Times New Roman"/>
                      <w:color w:val="000000" w:themeColor="text1"/>
                      <w:kern w:val="2"/>
                      <w:sz w:val="21"/>
                      <w:szCs w:val="21"/>
                      <w:u w:val="single"/>
                      <w:lang w:val="en-US" w:eastAsia="zh-CN" w:bidi="ar-SA"/>
                      <w14:textFill>
                        <w14:solidFill>
                          <w14:schemeClr w14:val="tx1"/>
                        </w14:solidFill>
                      </w14:textFill>
                    </w:rPr>
                    <w:t>工序废气</w:t>
                  </w:r>
                  <w:r>
                    <w:rPr>
                      <w:rFonts w:hint="default"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由集气罩收集</w:t>
                  </w:r>
                  <w:r>
                    <w:rPr>
                      <w:rFonts w:hint="eastAsia" w:cs="Times New Roman"/>
                      <w:color w:val="000000" w:themeColor="text1"/>
                      <w:kern w:val="2"/>
                      <w:sz w:val="21"/>
                      <w:szCs w:val="21"/>
                      <w:u w:val="single"/>
                      <w:lang w:val="en-US" w:eastAsia="zh-CN" w:bidi="ar-SA"/>
                      <w14:textFill>
                        <w14:solidFill>
                          <w14:schemeClr w14:val="tx1"/>
                        </w14:solidFill>
                      </w14:textFill>
                    </w:rPr>
                    <w:t>+干式过滤器预处理</w:t>
                  </w:r>
                  <w:r>
                    <w:rPr>
                      <w:rFonts w:hint="default"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后与</w:t>
                  </w:r>
                  <w:r>
                    <w:rPr>
                      <w:rFonts w:hint="eastAsia" w:cs="Times New Roman"/>
                      <w:color w:val="000000" w:themeColor="text1"/>
                      <w:kern w:val="2"/>
                      <w:sz w:val="21"/>
                      <w:szCs w:val="21"/>
                      <w:u w:val="single"/>
                      <w:lang w:val="en-US" w:eastAsia="zh-CN" w:bidi="ar-SA"/>
                      <w14:textFill>
                        <w14:solidFill>
                          <w14:schemeClr w14:val="tx1"/>
                        </w14:solidFill>
                      </w14:textFill>
                    </w:rPr>
                    <w:t>调漆、浸漆</w:t>
                  </w:r>
                  <w:r>
                    <w:rPr>
                      <w:rFonts w:hint="default"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、烘干工序产生的有机废气集中收集经</w:t>
                  </w:r>
                  <w:r>
                    <w:rPr>
                      <w:rFonts w:hint="eastAsia"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二级</w:t>
                  </w:r>
                  <w:r>
                    <w:rPr>
                      <w:rFonts w:hint="default"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活性炭吸附装置处理后，</w:t>
                  </w:r>
                  <w:r>
                    <w:rPr>
                      <w:rFonts w:hint="eastAsia" w:cs="Times New Roman"/>
                      <w:color w:val="000000" w:themeColor="text1"/>
                      <w:kern w:val="2"/>
                      <w:sz w:val="21"/>
                      <w:szCs w:val="21"/>
                      <w:u w:val="single"/>
                      <w:lang w:val="en-US" w:eastAsia="zh-CN" w:bidi="ar-SA"/>
                      <w14:textFill>
                        <w14:solidFill>
                          <w14:schemeClr w14:val="tx1"/>
                        </w14:solidFill>
                      </w14:textFill>
                    </w:rPr>
                    <w:t>经23m排气筒DA001</w:t>
                  </w:r>
                  <w:r>
                    <w:rPr>
                      <w:rFonts w:hint="default"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外排</w:t>
                  </w:r>
                  <w:r>
                    <w:rPr>
                      <w:rFonts w:hint="eastAsia" w:cs="Times New Roman"/>
                      <w:color w:val="000000" w:themeColor="text1"/>
                      <w:kern w:val="2"/>
                      <w:sz w:val="21"/>
                      <w:szCs w:val="21"/>
                      <w:u w:val="single"/>
                      <w:lang w:val="en-US" w:eastAsia="zh-CN" w:bidi="ar-SA"/>
                      <w14:textFill>
                        <w14:solidFill>
                          <w14:schemeClr w14:val="tx1"/>
                        </w14:solidFill>
                      </w14:textFill>
                    </w:rPr>
                    <w:t>。</w:t>
                  </w:r>
                </w:p>
                <w:p w14:paraId="63BAC08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本项目不涉及(2.2.2)中的行业。</w:t>
                  </w:r>
                </w:p>
                <w:p w14:paraId="299E63E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3</w:t>
                  </w:r>
                  <w:r>
                    <w:rPr>
                      <w:rFonts w:hint="eastAsia" w:cs="Times New Roman"/>
                      <w:sz w:val="21"/>
                      <w:szCs w:val="21"/>
                      <w:u w:val="single"/>
                      <w:lang w:val="en-US" w:eastAsia="zh-CN"/>
                    </w:rPr>
                    <w:t>、</w:t>
                  </w:r>
                  <w:r>
                    <w:rPr>
                      <w:rFonts w:hint="eastAsia"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项目</w:t>
                  </w:r>
                  <w:r>
                    <w:rPr>
                      <w:rFonts w:hint="eastAsia" w:cs="Times New Roman"/>
                      <w:color w:val="000000" w:themeColor="text1"/>
                      <w:kern w:val="2"/>
                      <w:sz w:val="21"/>
                      <w:szCs w:val="21"/>
                      <w:u w:val="single"/>
                      <w:lang w:val="en-US" w:eastAsia="zh-CN" w:bidi="ar-SA"/>
                      <w14:textFill>
                        <w14:solidFill>
                          <w14:schemeClr w14:val="tx1"/>
                        </w14:solidFill>
                      </w14:textFill>
                    </w:rPr>
                    <w:t>废铜线边角料</w:t>
                  </w:r>
                  <w:r>
                    <w:rPr>
                      <w:rFonts w:hint="eastAsia"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和不合格品收集后外售废品回收公司；锡渣收集后交由厂</w:t>
                  </w:r>
                  <w:r>
                    <w:rPr>
                      <w:rFonts w:hint="eastAsia" w:cs="Times New Roman"/>
                      <w:color w:val="000000" w:themeColor="text1"/>
                      <w:kern w:val="2"/>
                      <w:sz w:val="21"/>
                      <w:szCs w:val="21"/>
                      <w:u w:val="single"/>
                      <w:lang w:val="en-US" w:eastAsia="zh-CN" w:bidi="ar-SA"/>
                      <w14:textFill>
                        <w14:solidFill>
                          <w14:schemeClr w14:val="tx1"/>
                        </w14:solidFill>
                      </w14:textFill>
                    </w:rPr>
                    <w:t>家</w:t>
                  </w:r>
                  <w:r>
                    <w:rPr>
                      <w:rFonts w:hint="eastAsia"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回收利用；废原料桶、</w:t>
                  </w:r>
                  <w:r>
                    <w:rPr>
                      <w:rFonts w:hint="eastAsia" w:cs="Times New Roman"/>
                      <w:color w:val="000000" w:themeColor="text1"/>
                      <w:kern w:val="2"/>
                      <w:sz w:val="21"/>
                      <w:szCs w:val="21"/>
                      <w:u w:val="single"/>
                      <w:lang w:val="en-US" w:eastAsia="zh-CN" w:bidi="ar-SA"/>
                      <w14:textFill>
                        <w14:solidFill>
                          <w14:schemeClr w14:val="tx1"/>
                        </w14:solidFill>
                      </w14:textFill>
                    </w:rPr>
                    <w:t>废过滤棉</w:t>
                  </w:r>
                  <w:r>
                    <w:rPr>
                      <w:rFonts w:hint="eastAsia"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废活性炭</w:t>
                  </w:r>
                  <w:r>
                    <w:rPr>
                      <w:rFonts w:hint="eastAsia" w:cs="Times New Roman"/>
                      <w:color w:val="000000" w:themeColor="text1"/>
                      <w:kern w:val="2"/>
                      <w:sz w:val="21"/>
                      <w:szCs w:val="21"/>
                      <w:u w:val="single"/>
                      <w:lang w:val="en-US" w:eastAsia="zh-CN" w:bidi="ar-SA"/>
                      <w14:textFill>
                        <w14:solidFill>
                          <w14:schemeClr w14:val="tx1"/>
                        </w14:solidFill>
                      </w14:textFill>
                    </w:rPr>
                    <w:t>、废润滑油、废润滑油桶、废含油抹布和手套</w:t>
                  </w:r>
                  <w:r>
                    <w:rPr>
                      <w:rFonts w:hint="eastAsia" w:ascii="Times New Roman" w:hAnsi="Times New Roman" w:eastAsia="宋体" w:cs="Times New Roman"/>
                      <w:color w:val="000000" w:themeColor="text1"/>
                      <w:kern w:val="2"/>
                      <w:sz w:val="21"/>
                      <w:szCs w:val="21"/>
                      <w:u w:val="single"/>
                      <w:lang w:val="en-US" w:eastAsia="zh-CN" w:bidi="ar-SA"/>
                      <w14:textFill>
                        <w14:solidFill>
                          <w14:schemeClr w14:val="tx1"/>
                        </w14:solidFill>
                      </w14:textFill>
                    </w:rPr>
                    <w:t>收集后分类暂存于危废暂存间，委托有资质单位处置。</w:t>
                  </w:r>
                </w:p>
              </w:tc>
              <w:tc>
                <w:tcPr>
                  <w:tcW w:w="475" w:type="pct"/>
                  <w:tcBorders>
                    <w:tl2br w:val="nil"/>
                    <w:tr2bl w:val="nil"/>
                  </w:tcBorders>
                  <w:noWrap w:val="0"/>
                  <w:vAlign w:val="center"/>
                </w:tcPr>
                <w:p w14:paraId="5167B2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符合</w:t>
                  </w:r>
                </w:p>
              </w:tc>
            </w:tr>
            <w:tr w14:paraId="02A12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53" w:type="pct"/>
                  <w:tcBorders>
                    <w:tl2br w:val="nil"/>
                    <w:tr2bl w:val="nil"/>
                  </w:tcBorders>
                  <w:noWrap w:val="0"/>
                  <w:vAlign w:val="center"/>
                </w:tcPr>
                <w:p w14:paraId="34719F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rPr>
                    <w:t>环境风险防控</w:t>
                  </w:r>
                </w:p>
              </w:tc>
              <w:tc>
                <w:tcPr>
                  <w:tcW w:w="2171" w:type="pct"/>
                  <w:gridSpan w:val="8"/>
                  <w:tcBorders>
                    <w:tl2br w:val="nil"/>
                    <w:tr2bl w:val="nil"/>
                  </w:tcBorders>
                  <w:noWrap w:val="0"/>
                  <w:vAlign w:val="center"/>
                </w:tcPr>
                <w:p w14:paraId="0B15189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(3.1)加强覆盖开发区各区块的环境风险防控、预警和应急体系建设。建立健全开发区环境风险管理工作长效机制，开发区管理机构应建立环境监督管理机构;根据中方产业开发区突发环境事件应急预案要求，落实环境风险防控措施，加强应急救援队伍装备和设施建设，储备必要的应急物资，有计划地组织应急培训和演练，全面提升开发区风险防控和事故应急处置能力。</w:t>
                  </w:r>
                </w:p>
                <w:p w14:paraId="6E90DF1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(3.2)开发区可能发生突发环境事件的污染物排放企业，生产、储存、运输、使用危险化学品的企业，产生、收集、贮存、运输、利用、处置危险废物的企业等应当编制和实施突发环境事件应急预案;鼓励其他企业制定单独的环境应急预案，或在突发事件应急预案中制定环境应急预案专章，并备案。</w:t>
                  </w:r>
                </w:p>
                <w:p w14:paraId="088E48F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(3.3)建设用地土壤风险防控:加强对建设用地土壤环境状况调查、风险评估和污染地块治理与修复活动的监管。</w:t>
                  </w:r>
                </w:p>
              </w:tc>
              <w:tc>
                <w:tcPr>
                  <w:tcW w:w="1799" w:type="pct"/>
                  <w:gridSpan w:val="4"/>
                  <w:tcBorders>
                    <w:tl2br w:val="nil"/>
                    <w:tr2bl w:val="nil"/>
                  </w:tcBorders>
                  <w:noWrap w:val="0"/>
                  <w:vAlign w:val="center"/>
                </w:tcPr>
                <w:p w14:paraId="6D22892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 w:val="21"/>
                      <w:szCs w:val="21"/>
                      <w:u w:val="single"/>
                      <w:lang w:val="en-US" w:eastAsia="zh-CN"/>
                    </w:rPr>
                  </w:pPr>
                  <w:r>
                    <w:rPr>
                      <w:rFonts w:hint="default" w:ascii="Times New Roman" w:hAnsi="Times New Roman" w:cs="Times New Roman"/>
                      <w:sz w:val="21"/>
                      <w:szCs w:val="21"/>
                      <w:u w:val="single"/>
                      <w:lang w:val="en-US" w:eastAsia="zh-CN"/>
                    </w:rPr>
                    <w:t>1、本项目严格落实《湖南中方产业开发区突发环境事件应急预案》的相关要求，严防环境风险事故发生，提高应急处置能力。</w:t>
                  </w:r>
                </w:p>
                <w:p w14:paraId="1742423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 w:val="21"/>
                      <w:szCs w:val="21"/>
                      <w:u w:val="single"/>
                      <w:lang w:val="en-US" w:eastAsia="zh-CN"/>
                    </w:rPr>
                  </w:pPr>
                  <w:r>
                    <w:rPr>
                      <w:rFonts w:hint="default" w:ascii="Times New Roman" w:hAnsi="Times New Roman" w:cs="Times New Roman"/>
                      <w:sz w:val="21"/>
                      <w:szCs w:val="21"/>
                      <w:u w:val="single"/>
                      <w:lang w:val="en-US" w:eastAsia="zh-CN"/>
                    </w:rPr>
                    <w:t>2、本项目建成后将按照《建设项目环境风险评价技术导则》（HJ169-2018）和《湖南省突发环境事件应急预案管理办法（修订版）》中要求确定对突发环境事件应急预案的编制工作；运营期间建立健全环境风险事故防范措施和应急预案，严防环境风险事故发生。</w:t>
                  </w:r>
                </w:p>
                <w:p w14:paraId="3BD20E8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cs="Times New Roman"/>
                      <w:sz w:val="21"/>
                      <w:szCs w:val="21"/>
                      <w:u w:val="single"/>
                      <w:lang w:val="en-US" w:eastAsia="zh-CN"/>
                    </w:rPr>
                    <w:t>3、本项目租赁</w:t>
                  </w:r>
                  <w:r>
                    <w:rPr>
                      <w:rFonts w:hint="default" w:ascii="Times New Roman" w:hAnsi="Times New Roman" w:cs="Times New Roman"/>
                      <w:b w:val="0"/>
                      <w:bCs/>
                      <w:color w:val="auto"/>
                      <w:kern w:val="0"/>
                      <w:sz w:val="21"/>
                      <w:szCs w:val="21"/>
                      <w:u w:val="single" w:color="auto"/>
                      <w:vertAlign w:val="baseline"/>
                      <w:lang w:val="en-US" w:eastAsia="zh-CN"/>
                    </w:rPr>
                    <w:t>中方产业开发区泸阳片区</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众力创新园1栋</w:t>
                  </w:r>
                  <w:r>
                    <w:rPr>
                      <w:rFonts w:hint="default" w:ascii="Times New Roman" w:hAnsi="Times New Roman" w:cs="Times New Roman"/>
                      <w:color w:val="000000" w:themeColor="text1"/>
                      <w:sz w:val="21"/>
                      <w:szCs w:val="21"/>
                      <w:u w:val="single"/>
                      <w:lang w:val="en-US" w:eastAsia="zh-CN"/>
                      <w14:textFill>
                        <w14:solidFill>
                          <w14:schemeClr w14:val="tx1"/>
                        </w14:solidFill>
                      </w14:textFill>
                    </w:rPr>
                    <w:t>（南区第2层）</w:t>
                  </w:r>
                  <w:r>
                    <w:rPr>
                      <w:rFonts w:hint="default" w:ascii="Times New Roman" w:hAnsi="Times New Roman" w:cs="Times New Roman"/>
                      <w:sz w:val="21"/>
                      <w:szCs w:val="21"/>
                      <w:u w:val="single"/>
                      <w:lang w:val="en-US" w:eastAsia="zh-CN"/>
                    </w:rPr>
                    <w:t>进行生产，项目用地类型为二类工业用地，生产厂房地面已整体硬化，本项目废气、废水、噪声及固废采取相应环保措施后可达标排放或妥善处置，对项目周围土壤环境影响不大。</w:t>
                  </w:r>
                </w:p>
              </w:tc>
              <w:tc>
                <w:tcPr>
                  <w:tcW w:w="475" w:type="pct"/>
                  <w:tcBorders>
                    <w:tl2br w:val="nil"/>
                    <w:tr2bl w:val="nil"/>
                  </w:tcBorders>
                  <w:noWrap w:val="0"/>
                  <w:vAlign w:val="center"/>
                </w:tcPr>
                <w:p w14:paraId="2439C5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rPr>
                    <w:t>符合</w:t>
                  </w:r>
                </w:p>
              </w:tc>
            </w:tr>
            <w:tr w14:paraId="2D6593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53" w:type="pct"/>
                  <w:tcBorders>
                    <w:tl2br w:val="nil"/>
                    <w:tr2bl w:val="nil"/>
                  </w:tcBorders>
                  <w:noWrap w:val="0"/>
                  <w:vAlign w:val="center"/>
                </w:tcPr>
                <w:p w14:paraId="59DB74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rPr>
                    <w:t>资源开发效率要求</w:t>
                  </w:r>
                </w:p>
              </w:tc>
              <w:tc>
                <w:tcPr>
                  <w:tcW w:w="2171" w:type="pct"/>
                  <w:gridSpan w:val="8"/>
                  <w:tcBorders>
                    <w:tl2br w:val="nil"/>
                    <w:tr2bl w:val="nil"/>
                  </w:tcBorders>
                  <w:noWrap w:val="0"/>
                  <w:vAlign w:val="center"/>
                </w:tcPr>
                <w:p w14:paraId="6605082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(4.1)能源</w:t>
                  </w:r>
                </w:p>
                <w:p w14:paraId="5DBE310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(4.1.1)开发区应推广使用清洁能源，进一步优化开发区能源结构，加快泸阳片区燃气管网及供应工程建设。完善能耗双控制度。强化能耗强度降低约束性指标管理，有效增强能源消费总量管理弹性，加强能耗双控政策与碳达峰碳中和目标任务的衔接。</w:t>
                  </w:r>
                </w:p>
                <w:p w14:paraId="4D9CADE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(4.2)水资源</w:t>
                  </w:r>
                </w:p>
                <w:p w14:paraId="7BAE447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(4.2.1)加快水资源高效利用的工艺革新，推进中水回用工程的进展，推广节水项目、再生水利用项目，以节水、治水带动其他水资源利用相关产业发展。</w:t>
                  </w:r>
                </w:p>
                <w:p w14:paraId="627C73B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(4.2.2)加强水资源管理，切实合理开发利用和节约保护水资源。到2025年，中方县用水总量控制在1.395亿立方米以下，万元工业增加值用水量比2020年下降4.3%。</w:t>
                  </w:r>
                </w:p>
                <w:p w14:paraId="79FE678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(4.3)土地资源:在详细规划编制、用地预审与选址、用地报批、土地出让、规划许可、竣工验收等环节，全面推行工业项目建设用地引导指标和工业项目供地负面清单管理，省级园区工业用地固定资产投入强度达到220万元/亩，工业用地地均税收13万元/亩</w:t>
                  </w:r>
                  <w:r>
                    <w:rPr>
                      <w:rFonts w:hint="eastAsia" w:cs="Times New Roman"/>
                      <w:sz w:val="21"/>
                      <w:szCs w:val="21"/>
                      <w:u w:val="single"/>
                      <w:lang w:val="en-US" w:eastAsia="zh-CN"/>
                    </w:rPr>
                    <w:t>。</w:t>
                  </w:r>
                </w:p>
              </w:tc>
              <w:tc>
                <w:tcPr>
                  <w:tcW w:w="1799" w:type="pct"/>
                  <w:gridSpan w:val="4"/>
                  <w:tcBorders>
                    <w:tl2br w:val="nil"/>
                    <w:tr2bl w:val="nil"/>
                  </w:tcBorders>
                  <w:noWrap w:val="0"/>
                  <w:vAlign w:val="center"/>
                </w:tcPr>
                <w:p w14:paraId="692DC43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1</w:t>
                  </w:r>
                  <w:r>
                    <w:rPr>
                      <w:rFonts w:hint="eastAsia" w:cs="Times New Roman"/>
                      <w:sz w:val="21"/>
                      <w:szCs w:val="21"/>
                      <w:u w:val="single"/>
                      <w:lang w:eastAsia="zh-CN"/>
                    </w:rPr>
                    <w:t>、</w:t>
                  </w:r>
                  <w:r>
                    <w:rPr>
                      <w:rFonts w:hint="default" w:ascii="Times New Roman" w:hAnsi="Times New Roman" w:eastAsia="宋体" w:cs="Times New Roman"/>
                      <w:sz w:val="21"/>
                      <w:szCs w:val="21"/>
                      <w:u w:val="single"/>
                    </w:rPr>
                    <w:t>.本项目采用电能为生产供热，不涉及其他能源。</w:t>
                  </w:r>
                </w:p>
                <w:p w14:paraId="1FB7D30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2</w:t>
                  </w:r>
                  <w:r>
                    <w:rPr>
                      <w:rFonts w:hint="eastAsia" w:cs="Times New Roman"/>
                      <w:sz w:val="21"/>
                      <w:szCs w:val="21"/>
                      <w:u w:val="single"/>
                      <w:lang w:eastAsia="zh-CN"/>
                    </w:rPr>
                    <w:t>、</w:t>
                  </w:r>
                  <w:r>
                    <w:rPr>
                      <w:rFonts w:hint="default" w:ascii="Times New Roman" w:hAnsi="Times New Roman" w:eastAsia="宋体" w:cs="Times New Roman"/>
                      <w:sz w:val="21"/>
                      <w:szCs w:val="21"/>
                      <w:u w:val="single"/>
                    </w:rPr>
                    <w:t>项目用水为生活用水，企业项目用水量不大。</w:t>
                  </w:r>
                </w:p>
                <w:p w14:paraId="0B11CED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rPr>
                    <w:t>3</w:t>
                  </w:r>
                  <w:r>
                    <w:rPr>
                      <w:rFonts w:hint="eastAsia" w:cs="Times New Roman"/>
                      <w:sz w:val="21"/>
                      <w:szCs w:val="21"/>
                      <w:u w:val="single"/>
                      <w:lang w:eastAsia="zh-CN"/>
                    </w:rPr>
                    <w:t>、</w:t>
                  </w:r>
                  <w:r>
                    <w:rPr>
                      <w:rFonts w:hint="default" w:ascii="Times New Roman" w:hAnsi="Times New Roman" w:eastAsia="宋体" w:cs="Times New Roman"/>
                      <w:sz w:val="21"/>
                      <w:szCs w:val="21"/>
                      <w:u w:val="single"/>
                    </w:rPr>
                    <w:t>本项目租赁</w:t>
                  </w:r>
                  <w:r>
                    <w:rPr>
                      <w:rFonts w:hint="default" w:ascii="Times New Roman" w:hAnsi="Times New Roman" w:cs="Times New Roman"/>
                      <w:b w:val="0"/>
                      <w:bCs/>
                      <w:color w:val="auto"/>
                      <w:kern w:val="0"/>
                      <w:sz w:val="21"/>
                      <w:szCs w:val="21"/>
                      <w:u w:val="single" w:color="auto"/>
                      <w:vertAlign w:val="baseline"/>
                      <w:lang w:val="en-US" w:eastAsia="zh-CN"/>
                    </w:rPr>
                    <w:t>中方产业开发区泸阳片区</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众力创新园1栋</w:t>
                  </w:r>
                  <w:r>
                    <w:rPr>
                      <w:rFonts w:hint="default" w:ascii="Times New Roman" w:hAnsi="Times New Roman" w:cs="Times New Roman"/>
                      <w:color w:val="000000" w:themeColor="text1"/>
                      <w:sz w:val="21"/>
                      <w:szCs w:val="21"/>
                      <w:u w:val="single"/>
                      <w:lang w:val="en-US" w:eastAsia="zh-CN"/>
                      <w14:textFill>
                        <w14:solidFill>
                          <w14:schemeClr w14:val="tx1"/>
                        </w14:solidFill>
                      </w14:textFill>
                    </w:rPr>
                    <w:t>（南区第2层）</w:t>
                  </w:r>
                  <w:r>
                    <w:rPr>
                      <w:rFonts w:hint="default"/>
                      <w:sz w:val="21"/>
                      <w:szCs w:val="21"/>
                      <w:u w:val="single"/>
                      <w:lang w:val="en-US" w:eastAsia="zh-CN"/>
                    </w:rPr>
                    <w:t>进行生产</w:t>
                  </w:r>
                  <w:r>
                    <w:rPr>
                      <w:rFonts w:hint="default" w:ascii="Times New Roman" w:hAnsi="Times New Roman" w:eastAsia="宋体" w:cs="Times New Roman"/>
                      <w:sz w:val="21"/>
                      <w:szCs w:val="21"/>
                      <w:u w:val="single"/>
                    </w:rPr>
                    <w:t>进行生产，不新增用地。</w:t>
                  </w:r>
                </w:p>
              </w:tc>
              <w:tc>
                <w:tcPr>
                  <w:tcW w:w="475" w:type="pct"/>
                  <w:tcBorders>
                    <w:tl2br w:val="nil"/>
                    <w:tr2bl w:val="nil"/>
                  </w:tcBorders>
                  <w:noWrap w:val="0"/>
                  <w:vAlign w:val="center"/>
                </w:tcPr>
                <w:p w14:paraId="1A4E8B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rPr>
                    <w:t>符合</w:t>
                  </w:r>
                </w:p>
              </w:tc>
            </w:tr>
          </w:tbl>
          <w:p w14:paraId="4C20E7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②与《湖南省生态环境分区管控智慧服务平台》的符合性分析（见附图5）</w:t>
            </w:r>
          </w:p>
          <w:p w14:paraId="159180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本项目位于</w:t>
            </w:r>
            <w:r>
              <w:rPr>
                <w:rFonts w:hint="eastAsia"/>
                <w:sz w:val="24"/>
                <w:szCs w:val="24"/>
                <w:lang w:val="en-US" w:eastAsia="zh-CN"/>
              </w:rPr>
              <w:t>中方产业开发区泸阳片区</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众力创新园1栋</w:t>
            </w:r>
            <w:r>
              <w:rPr>
                <w:rFonts w:hint="default" w:ascii="Times New Roman" w:hAnsi="Times New Roman" w:cs="Times New Roman"/>
                <w:color w:val="000000" w:themeColor="text1"/>
                <w:sz w:val="24"/>
                <w:szCs w:val="24"/>
                <w:u w:val="none"/>
                <w:lang w:val="en-US" w:eastAsia="zh-CN"/>
                <w14:textFill>
                  <w14:solidFill>
                    <w14:schemeClr w14:val="tx1"/>
                  </w14:solidFill>
                </w14:textFill>
              </w:rPr>
              <w:t>（南区第2层）</w:t>
            </w:r>
            <w:r>
              <w:rPr>
                <w:rFonts w:hint="default"/>
                <w:sz w:val="24"/>
                <w:szCs w:val="24"/>
                <w:lang w:val="en-US" w:eastAsia="zh-CN"/>
              </w:rPr>
              <w:t>，环境管控单元编码为ZH43122120003，属于</w:t>
            </w:r>
            <w:r>
              <w:rPr>
                <w:rFonts w:hint="eastAsia"/>
                <w:sz w:val="24"/>
                <w:szCs w:val="24"/>
                <w:lang w:val="en-US" w:eastAsia="zh-CN"/>
              </w:rPr>
              <w:t>重点</w:t>
            </w:r>
            <w:r>
              <w:rPr>
                <w:rFonts w:hint="default"/>
                <w:sz w:val="24"/>
                <w:szCs w:val="24"/>
                <w:lang w:val="en-US" w:eastAsia="zh-CN"/>
              </w:rPr>
              <w:t>保护单元，相符性分析详见下表。</w:t>
            </w:r>
          </w:p>
          <w:p w14:paraId="7CAF4FC7">
            <w:pPr>
              <w:spacing w:line="240" w:lineRule="auto"/>
              <w:jc w:val="center"/>
              <w:rPr>
                <w:rFonts w:hint="default" w:ascii="Times New Roman" w:hAnsi="Times New Roman" w:eastAsia="宋体" w:cs="Times New Roman"/>
                <w:b/>
                <w:bCs/>
                <w:color w:val="auto"/>
                <w:kern w:val="2"/>
                <w:sz w:val="21"/>
                <w:szCs w:val="21"/>
                <w:u w:val="none" w:color="auto"/>
                <w:lang w:val="en-US" w:eastAsia="zh-CN" w:bidi="ar-SA"/>
              </w:rPr>
            </w:pPr>
            <w:r>
              <w:rPr>
                <w:rFonts w:hint="default" w:ascii="Times New Roman" w:hAnsi="Times New Roman" w:eastAsia="宋体" w:cs="Times New Roman"/>
                <w:b/>
                <w:bCs/>
                <w:color w:val="auto"/>
                <w:kern w:val="2"/>
                <w:sz w:val="21"/>
                <w:szCs w:val="21"/>
                <w:u w:val="none" w:color="auto"/>
                <w:lang w:val="en-US" w:eastAsia="zh-CN" w:bidi="ar-SA"/>
              </w:rPr>
              <w:t>表1-</w:t>
            </w:r>
            <w:r>
              <w:rPr>
                <w:rFonts w:hint="eastAsia" w:cs="Times New Roman"/>
                <w:b/>
                <w:bCs/>
                <w:color w:val="auto"/>
                <w:kern w:val="2"/>
                <w:sz w:val="21"/>
                <w:szCs w:val="21"/>
                <w:u w:val="none" w:color="auto"/>
                <w:lang w:val="en-US" w:eastAsia="zh-CN" w:bidi="ar-SA"/>
              </w:rPr>
              <w:t>7</w:t>
            </w:r>
            <w:r>
              <w:rPr>
                <w:rFonts w:hint="default" w:ascii="Times New Roman" w:hAnsi="Times New Roman" w:eastAsia="宋体" w:cs="Times New Roman"/>
                <w:b/>
                <w:bCs/>
                <w:color w:val="auto"/>
                <w:kern w:val="2"/>
                <w:sz w:val="21"/>
                <w:szCs w:val="21"/>
                <w:u w:val="none" w:color="auto"/>
                <w:lang w:val="en-US" w:eastAsia="zh-CN" w:bidi="ar-SA"/>
              </w:rPr>
              <w:t>与《湖南省生态环境分区管控智慧服务平台》符合性分析</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04"/>
              <w:gridCol w:w="3075"/>
              <w:gridCol w:w="2630"/>
              <w:gridCol w:w="861"/>
            </w:tblGrid>
            <w:tr w14:paraId="23BCC0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23" w:type="pct"/>
                  <w:tcBorders>
                    <w:tl2br w:val="nil"/>
                    <w:tr2bl w:val="nil"/>
                  </w:tcBorders>
                  <w:vAlign w:val="center"/>
                </w:tcPr>
                <w:p w14:paraId="7F6141D1">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管控维度</w:t>
                  </w:r>
                </w:p>
              </w:tc>
              <w:tc>
                <w:tcPr>
                  <w:tcW w:w="1815" w:type="pct"/>
                  <w:tcBorders>
                    <w:tl2br w:val="nil"/>
                    <w:tr2bl w:val="nil"/>
                  </w:tcBorders>
                  <w:vAlign w:val="center"/>
                </w:tcPr>
                <w:p w14:paraId="19EA428E">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管控要求</w:t>
                  </w:r>
                </w:p>
              </w:tc>
              <w:tc>
                <w:tcPr>
                  <w:tcW w:w="1552" w:type="pct"/>
                  <w:tcBorders>
                    <w:tl2br w:val="nil"/>
                    <w:tr2bl w:val="nil"/>
                  </w:tcBorders>
                  <w:vAlign w:val="center"/>
                </w:tcPr>
                <w:p w14:paraId="56B3FC63">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本项目情况</w:t>
                  </w:r>
                </w:p>
              </w:tc>
              <w:tc>
                <w:tcPr>
                  <w:tcW w:w="508" w:type="pct"/>
                  <w:tcBorders>
                    <w:tl2br w:val="nil"/>
                    <w:tr2bl w:val="nil"/>
                  </w:tcBorders>
                  <w:vAlign w:val="center"/>
                </w:tcPr>
                <w:p w14:paraId="196BC685">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符合性</w:t>
                  </w:r>
                </w:p>
              </w:tc>
            </w:tr>
            <w:tr w14:paraId="4F6585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23" w:type="pct"/>
                  <w:tcBorders>
                    <w:tl2br w:val="nil"/>
                    <w:tr2bl w:val="nil"/>
                  </w:tcBorders>
                  <w:vAlign w:val="center"/>
                </w:tcPr>
                <w:p w14:paraId="3AF29FCE">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总体管控要求</w:t>
                  </w:r>
                </w:p>
              </w:tc>
              <w:tc>
                <w:tcPr>
                  <w:tcW w:w="1815" w:type="pct"/>
                  <w:tcBorders>
                    <w:tl2br w:val="nil"/>
                    <w:tr2bl w:val="nil"/>
                  </w:tcBorders>
                  <w:vAlign w:val="center"/>
                </w:tcPr>
                <w:p w14:paraId="6F8D0F36">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应优化空间布局，加强污染物排放控制和环境风险防控，不断提升资源利用效率，解决生态环境质量不达标、生态环境风险高等问题。</w:t>
                  </w:r>
                </w:p>
              </w:tc>
              <w:tc>
                <w:tcPr>
                  <w:tcW w:w="1552" w:type="pct"/>
                  <w:tcBorders>
                    <w:tl2br w:val="nil"/>
                    <w:tr2bl w:val="nil"/>
                  </w:tcBorders>
                  <w:vAlign w:val="center"/>
                </w:tcPr>
                <w:p w14:paraId="69F6A45A">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本项目要求企业运营期加强污染物排放控制和环境风险防控，不断提升资源利用效率，解决生态环境质量不达标、生态环境风险高等问题。</w:t>
                  </w:r>
                </w:p>
              </w:tc>
              <w:tc>
                <w:tcPr>
                  <w:tcW w:w="508" w:type="pct"/>
                  <w:tcBorders>
                    <w:tl2br w:val="nil"/>
                    <w:tr2bl w:val="nil"/>
                  </w:tcBorders>
                  <w:vAlign w:val="center"/>
                </w:tcPr>
                <w:p w14:paraId="245397EA">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符合</w:t>
                  </w:r>
                </w:p>
              </w:tc>
            </w:tr>
            <w:tr w14:paraId="483F2E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23" w:type="pct"/>
                  <w:tcBorders>
                    <w:tl2br w:val="nil"/>
                    <w:tr2bl w:val="nil"/>
                  </w:tcBorders>
                  <w:vAlign w:val="center"/>
                </w:tcPr>
                <w:p w14:paraId="388433A4">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空间布局约束</w:t>
                  </w:r>
                </w:p>
              </w:tc>
              <w:tc>
                <w:tcPr>
                  <w:tcW w:w="1815" w:type="pct"/>
                  <w:tcBorders>
                    <w:tl2br w:val="nil"/>
                    <w:tr2bl w:val="nil"/>
                  </w:tcBorders>
                  <w:vAlign w:val="center"/>
                </w:tcPr>
                <w:p w14:paraId="62362BB6">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(1.1)园区主要发展电子机械原件组装产业，不得引进有电镀工艺及电路板制造的生产项目。(1.2)禁止制浆造纸、化工、酿造、金属冶炼等项目入园。鉴于工业园位于怀化市城区常年主导风向的上风向，园区内水泥制造业只允许维持现状，不得扩大规模，且不得引进气型污染物排放量大的企业。</w:t>
                  </w:r>
                </w:p>
              </w:tc>
              <w:tc>
                <w:tcPr>
                  <w:tcW w:w="1552" w:type="pct"/>
                  <w:tcBorders>
                    <w:tl2br w:val="nil"/>
                    <w:tr2bl w:val="nil"/>
                  </w:tcBorders>
                  <w:vAlign w:val="center"/>
                </w:tcPr>
                <w:p w14:paraId="07038F5A">
                  <w:pPr>
                    <w:spacing w:line="240" w:lineRule="auto"/>
                    <w:ind w:left="0" w:leftChars="0" w:firstLine="0" w:firstLineChars="0"/>
                    <w:jc w:val="left"/>
                    <w:rPr>
                      <w:rFonts w:hint="default"/>
                      <w:b w:val="0"/>
                      <w:bCs w:val="0"/>
                      <w:sz w:val="21"/>
                      <w:szCs w:val="21"/>
                      <w:vertAlign w:val="baseline"/>
                      <w:lang w:val="en-US" w:eastAsia="zh-CN"/>
                    </w:rPr>
                  </w:pPr>
                  <w:r>
                    <w:rPr>
                      <w:rFonts w:hint="eastAsia"/>
                      <w:b w:val="0"/>
                      <w:bCs w:val="0"/>
                      <w:sz w:val="21"/>
                      <w:szCs w:val="21"/>
                      <w:vertAlign w:val="baseline"/>
                      <w:lang w:val="en-US" w:eastAsia="zh-CN"/>
                    </w:rPr>
                    <w:t>本项目</w:t>
                  </w:r>
                  <w:r>
                    <w:rPr>
                      <w:rFonts w:hint="default" w:ascii="Times New Roman" w:hAnsi="Times New Roman" w:eastAsia="宋体" w:cs="Times New Roman"/>
                      <w:sz w:val="21"/>
                      <w:szCs w:val="21"/>
                      <w:lang w:val="en-US" w:eastAsia="zh-CN"/>
                    </w:rPr>
                    <w:t>属于</w:t>
                  </w:r>
                  <w:r>
                    <w:rPr>
                      <w:rFonts w:hint="default" w:ascii="Times New Roman" w:hAnsi="Times New Roman" w:cs="Times New Roman"/>
                      <w:color w:val="auto"/>
                      <w:sz w:val="21"/>
                      <w:szCs w:val="21"/>
                    </w:rPr>
                    <w:t>C3981电阻电容电感元件制造</w:t>
                  </w:r>
                  <w:r>
                    <w:rPr>
                      <w:rFonts w:hint="eastAsia" w:cs="Times New Roman"/>
                      <w:color w:val="auto"/>
                      <w:sz w:val="21"/>
                      <w:szCs w:val="21"/>
                      <w:lang w:val="en-US" w:eastAsia="zh-CN"/>
                    </w:rPr>
                    <w:t>项目，不涉及（1.2）中的行业，本项目挥发性有机物</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经</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二级</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活性炭吸附装置处理后</w:t>
                  </w:r>
                  <w:r>
                    <w:rPr>
                      <w:rFonts w:hint="eastAsia" w:cs="Times New Roman"/>
                      <w:color w:val="auto"/>
                      <w:sz w:val="21"/>
                      <w:szCs w:val="21"/>
                      <w:lang w:val="en-US" w:eastAsia="zh-CN"/>
                    </w:rPr>
                    <w:t>排放量不大。</w:t>
                  </w:r>
                </w:p>
              </w:tc>
              <w:tc>
                <w:tcPr>
                  <w:tcW w:w="508" w:type="pct"/>
                  <w:tcBorders>
                    <w:tl2br w:val="nil"/>
                    <w:tr2bl w:val="nil"/>
                  </w:tcBorders>
                  <w:vAlign w:val="center"/>
                </w:tcPr>
                <w:p w14:paraId="0D85297D">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符合</w:t>
                  </w:r>
                </w:p>
              </w:tc>
            </w:tr>
            <w:tr w14:paraId="7CE15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23" w:type="pct"/>
                  <w:tcBorders>
                    <w:tl2br w:val="nil"/>
                    <w:tr2bl w:val="nil"/>
                  </w:tcBorders>
                  <w:vAlign w:val="center"/>
                </w:tcPr>
                <w:p w14:paraId="75196232">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污染物排放管控</w:t>
                  </w:r>
                </w:p>
              </w:tc>
              <w:tc>
                <w:tcPr>
                  <w:tcW w:w="1815" w:type="pct"/>
                  <w:tcBorders>
                    <w:tl2br w:val="nil"/>
                    <w:tr2bl w:val="nil"/>
                  </w:tcBorders>
                  <w:vAlign w:val="center"/>
                </w:tcPr>
                <w:p w14:paraId="0B81EF11">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（2.1）废水：</w:t>
                  </w:r>
                </w:p>
                <w:p w14:paraId="5C061A41">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（2.1.1）园区实施雨污分流，工业废水、生活污水经中方工业园区污水处理厂处理达标后排入太平溪。</w:t>
                  </w:r>
                </w:p>
                <w:p w14:paraId="0AA6F91A">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（2.1.2）工业园区应进行必要的防渗处理，防治地下水污染。</w:t>
                  </w:r>
                </w:p>
                <w:p w14:paraId="7F274E29">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（2.1.3）有序推进化工等行业执行水污染物特别排放限值。</w:t>
                  </w:r>
                </w:p>
                <w:p w14:paraId="533AC52D">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（2.1.4）园区雨水均直接排放至附近溪沟再流至太平溪，未专门设置雨水排水口。</w:t>
                  </w:r>
                </w:p>
                <w:p w14:paraId="465B1A14">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（2.2）废气：</w:t>
                  </w:r>
                </w:p>
                <w:p w14:paraId="69DE49C0">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（2.2.1）加强入园企业环保管理，督促企业配套建设污染防治设施，入园企业各生产装置排放的废气须处理达标方可排放；加强生产工艺研究与技术改进，采取有效措施，减少园区内工艺废气的无组织排放。</w:t>
                  </w:r>
                </w:p>
                <w:p w14:paraId="271648CB">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（2.2.2）加快推进化工、建材、机械电子等行业企业挥发性有机物（VOCs）综合治理。</w:t>
                  </w:r>
                </w:p>
                <w:p w14:paraId="7305D9FF">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（2.2.3）园区内化工等行业及涉锅炉大气污染物排放应满足《湖南省生态环境厅关于执行污染物特别排放限值（第一批）的公告》中的要求。</w:t>
                  </w:r>
                </w:p>
                <w:p w14:paraId="60EF61B7">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（2.3）工业固体废物和生活垃圾的实施分类收集、暂存、转运、综合利用和无害化处理。规范固体废物处理措施，对工业企业产生固体废物特别是危险固废应按国家有关规定综合利用或妥善处置，严防二次污染。</w:t>
                  </w:r>
                </w:p>
              </w:tc>
              <w:tc>
                <w:tcPr>
                  <w:tcW w:w="1552" w:type="pct"/>
                  <w:tcBorders>
                    <w:tl2br w:val="nil"/>
                    <w:tr2bl w:val="nil"/>
                  </w:tcBorders>
                  <w:vAlign w:val="center"/>
                </w:tcPr>
                <w:p w14:paraId="27374B5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r>
                    <w:rPr>
                      <w:rFonts w:hint="eastAsia" w:cs="Times New Roman"/>
                      <w:sz w:val="21"/>
                      <w:szCs w:val="21"/>
                      <w:lang w:val="en-US" w:eastAsia="zh-CN"/>
                    </w:rPr>
                    <w:t>、</w:t>
                  </w:r>
                  <w:r>
                    <w:rPr>
                      <w:rFonts w:hint="default" w:ascii="Times New Roman" w:hAnsi="Times New Roman" w:eastAsia="宋体" w:cs="Times New Roman"/>
                      <w:sz w:val="21"/>
                      <w:szCs w:val="21"/>
                      <w:lang w:val="en-US" w:eastAsia="zh-CN"/>
                    </w:rPr>
                    <w:t>本项目实施雨污分流制，雨水排入中方</w:t>
                  </w:r>
                  <w:r>
                    <w:rPr>
                      <w:rFonts w:hint="eastAsia" w:cs="Times New Roman"/>
                      <w:sz w:val="21"/>
                      <w:szCs w:val="21"/>
                      <w:lang w:val="en-US" w:eastAsia="zh-CN"/>
                    </w:rPr>
                    <w:t>产业开发</w:t>
                  </w:r>
                  <w:r>
                    <w:rPr>
                      <w:rFonts w:hint="default" w:ascii="Times New Roman" w:hAnsi="Times New Roman" w:eastAsia="宋体" w:cs="Times New Roman"/>
                      <w:sz w:val="21"/>
                      <w:szCs w:val="21"/>
                      <w:lang w:val="en-US" w:eastAsia="zh-CN"/>
                    </w:rPr>
                    <w:t>区泸阳片区雨水管网</w:t>
                  </w:r>
                  <w:r>
                    <w:rPr>
                      <w:rFonts w:hint="eastAsia" w:cs="Times New Roman"/>
                      <w:sz w:val="21"/>
                      <w:szCs w:val="21"/>
                      <w:lang w:val="en-US" w:eastAsia="zh-CN"/>
                    </w:rPr>
                    <w:t>；</w:t>
                  </w:r>
                  <w:r>
                    <w:rPr>
                      <w:rFonts w:hint="default" w:ascii="Times New Roman" w:hAnsi="Times New Roman" w:eastAsia="宋体" w:cs="Times New Roman"/>
                      <w:sz w:val="21"/>
                      <w:szCs w:val="21"/>
                      <w:lang w:val="en-US" w:eastAsia="zh-CN"/>
                    </w:rPr>
                    <w:t>生活污水经化粪池处理。达标后排入中方产业开发区(泸阳镇)污水处理厂处理。</w:t>
                  </w:r>
                </w:p>
                <w:p w14:paraId="38C5887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r>
                    <w:rPr>
                      <w:rFonts w:hint="eastAsia" w:cs="Times New Roman"/>
                      <w:sz w:val="21"/>
                      <w:szCs w:val="21"/>
                      <w:lang w:val="en-US" w:eastAsia="zh-CN"/>
                    </w:rPr>
                    <w:t>、本项目</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焊</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锡</w:t>
                  </w:r>
                  <w:r>
                    <w:rPr>
                      <w:rFonts w:hint="eastAsia" w:cs="Times New Roman"/>
                      <w:color w:val="000000" w:themeColor="text1"/>
                      <w:kern w:val="2"/>
                      <w:sz w:val="21"/>
                      <w:szCs w:val="21"/>
                      <w:u w:val="none"/>
                      <w:lang w:val="en-US" w:eastAsia="zh-CN" w:bidi="ar-SA"/>
                      <w14:textFill>
                        <w14:solidFill>
                          <w14:schemeClr w14:val="tx1"/>
                        </w14:solidFill>
                      </w14:textFill>
                    </w:rPr>
                    <w:t>工序废气</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由集气罩收集</w:t>
                  </w:r>
                  <w:r>
                    <w:rPr>
                      <w:rFonts w:hint="eastAsia" w:cs="Times New Roman"/>
                      <w:color w:val="000000" w:themeColor="text1"/>
                      <w:kern w:val="2"/>
                      <w:sz w:val="21"/>
                      <w:szCs w:val="21"/>
                      <w:u w:val="none"/>
                      <w:lang w:val="en-US" w:eastAsia="zh-CN" w:bidi="ar-SA"/>
                      <w14:textFill>
                        <w14:solidFill>
                          <w14:schemeClr w14:val="tx1"/>
                        </w14:solidFill>
                      </w14:textFill>
                    </w:rPr>
                    <w:t>+干式过滤器预处理</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后与</w:t>
                  </w:r>
                  <w:r>
                    <w:rPr>
                      <w:rFonts w:hint="eastAsia" w:cs="Times New Roman"/>
                      <w:color w:val="000000" w:themeColor="text1"/>
                      <w:kern w:val="2"/>
                      <w:sz w:val="21"/>
                      <w:szCs w:val="21"/>
                      <w:u w:val="none"/>
                      <w:lang w:val="en-US" w:eastAsia="zh-CN" w:bidi="ar-SA"/>
                      <w14:textFill>
                        <w14:solidFill>
                          <w14:schemeClr w14:val="tx1"/>
                        </w14:solidFill>
                      </w14:textFill>
                    </w:rPr>
                    <w:t>调漆、浸漆</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、烘干工序产生的有机废气集中收集经</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二级</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活性炭吸附装置处理后，</w:t>
                  </w:r>
                  <w:r>
                    <w:rPr>
                      <w:rFonts w:hint="eastAsia" w:cs="Times New Roman"/>
                      <w:color w:val="000000" w:themeColor="text1"/>
                      <w:kern w:val="2"/>
                      <w:sz w:val="21"/>
                      <w:szCs w:val="21"/>
                      <w:u w:val="none"/>
                      <w:lang w:val="en-US" w:eastAsia="zh-CN" w:bidi="ar-SA"/>
                      <w14:textFill>
                        <w14:solidFill>
                          <w14:schemeClr w14:val="tx1"/>
                        </w14:solidFill>
                      </w14:textFill>
                    </w:rPr>
                    <w:t>经23m排气筒DA001</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外排</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w:t>
                  </w:r>
                  <w:r>
                    <w:rPr>
                      <w:rFonts w:hint="default" w:ascii="Times New Roman" w:hAnsi="Times New Roman" w:eastAsia="宋体" w:cs="Times New Roman"/>
                      <w:sz w:val="21"/>
                      <w:szCs w:val="21"/>
                      <w:lang w:val="en-US" w:eastAsia="zh-CN"/>
                    </w:rPr>
                    <w:t>本项目不涉及(2.2.</w:t>
                  </w:r>
                  <w:r>
                    <w:rPr>
                      <w:rFonts w:hint="eastAsia"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w:t>
                  </w:r>
                </w:p>
                <w:p w14:paraId="03807F81">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b w:val="0"/>
                      <w:bCs w:val="0"/>
                      <w:sz w:val="21"/>
                      <w:szCs w:val="21"/>
                      <w:vertAlign w:val="baseline"/>
                      <w:lang w:val="en-US" w:eastAsia="zh-CN"/>
                    </w:rPr>
                  </w:pPr>
                  <w:r>
                    <w:rPr>
                      <w:rFonts w:hint="default" w:ascii="Times New Roman" w:hAnsi="Times New Roman" w:eastAsia="宋体" w:cs="Times New Roman"/>
                      <w:sz w:val="21"/>
                      <w:szCs w:val="21"/>
                      <w:lang w:val="en-US" w:eastAsia="zh-CN"/>
                    </w:rPr>
                    <w:t>3</w:t>
                  </w:r>
                  <w:r>
                    <w:rPr>
                      <w:rFonts w:hint="eastAsia" w:cs="Times New Roman"/>
                      <w:sz w:val="21"/>
                      <w:szCs w:val="21"/>
                      <w:lang w:val="en-US" w:eastAsia="zh-CN"/>
                    </w:rPr>
                    <w:t>、</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项目</w:t>
                  </w:r>
                  <w:r>
                    <w:rPr>
                      <w:rFonts w:hint="eastAsia" w:cs="Times New Roman"/>
                      <w:color w:val="000000" w:themeColor="text1"/>
                      <w:kern w:val="2"/>
                      <w:sz w:val="21"/>
                      <w:szCs w:val="21"/>
                      <w:u w:val="none"/>
                      <w:lang w:val="en-US" w:eastAsia="zh-CN" w:bidi="ar-SA"/>
                      <w14:textFill>
                        <w14:solidFill>
                          <w14:schemeClr w14:val="tx1"/>
                        </w14:solidFill>
                      </w14:textFill>
                    </w:rPr>
                    <w:t>废铜线边角料</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和不合格品收集后外售废品回收公司；锡渣收集后交由厂</w:t>
                  </w:r>
                  <w:r>
                    <w:rPr>
                      <w:rFonts w:hint="eastAsia" w:cs="Times New Roman"/>
                      <w:color w:val="000000" w:themeColor="text1"/>
                      <w:kern w:val="2"/>
                      <w:sz w:val="21"/>
                      <w:szCs w:val="21"/>
                      <w:u w:val="none"/>
                      <w:lang w:val="en-US" w:eastAsia="zh-CN" w:bidi="ar-SA"/>
                      <w14:textFill>
                        <w14:solidFill>
                          <w14:schemeClr w14:val="tx1"/>
                        </w14:solidFill>
                      </w14:textFill>
                    </w:rPr>
                    <w:t>家</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回收利用；废原料桶、</w:t>
                  </w:r>
                  <w:r>
                    <w:rPr>
                      <w:rFonts w:hint="eastAsia" w:cs="Times New Roman"/>
                      <w:color w:val="000000" w:themeColor="text1"/>
                      <w:kern w:val="2"/>
                      <w:sz w:val="21"/>
                      <w:szCs w:val="21"/>
                      <w:u w:val="none"/>
                      <w:lang w:val="en-US" w:eastAsia="zh-CN" w:bidi="ar-SA"/>
                      <w14:textFill>
                        <w14:solidFill>
                          <w14:schemeClr w14:val="tx1"/>
                        </w14:solidFill>
                      </w14:textFill>
                    </w:rPr>
                    <w:t>废过滤棉、</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废活性炭</w:t>
                  </w:r>
                  <w:r>
                    <w:rPr>
                      <w:rFonts w:hint="eastAsia" w:cs="Times New Roman"/>
                      <w:color w:val="000000" w:themeColor="text1"/>
                      <w:kern w:val="2"/>
                      <w:sz w:val="21"/>
                      <w:szCs w:val="21"/>
                      <w:u w:val="none"/>
                      <w:lang w:val="en-US" w:eastAsia="zh-CN" w:bidi="ar-SA"/>
                      <w14:textFill>
                        <w14:solidFill>
                          <w14:schemeClr w14:val="tx1"/>
                        </w14:solidFill>
                      </w14:textFill>
                    </w:rPr>
                    <w:t>、废润滑油、废润滑油桶|、废含油抹布和手套</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收集后分类暂存于危废暂存间，委托有资质单位处置。</w:t>
                  </w:r>
                </w:p>
              </w:tc>
              <w:tc>
                <w:tcPr>
                  <w:tcW w:w="508" w:type="pct"/>
                  <w:tcBorders>
                    <w:tl2br w:val="nil"/>
                    <w:tr2bl w:val="nil"/>
                  </w:tcBorders>
                  <w:vAlign w:val="center"/>
                </w:tcPr>
                <w:p w14:paraId="381923D1">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符合</w:t>
                  </w:r>
                </w:p>
              </w:tc>
            </w:tr>
            <w:tr w14:paraId="4D8DCD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23" w:type="pct"/>
                  <w:tcBorders>
                    <w:tl2br w:val="nil"/>
                    <w:tr2bl w:val="nil"/>
                  </w:tcBorders>
                  <w:vAlign w:val="center"/>
                </w:tcPr>
                <w:p w14:paraId="54C7DCC6">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环境风险管控</w:t>
                  </w:r>
                </w:p>
              </w:tc>
              <w:tc>
                <w:tcPr>
                  <w:tcW w:w="1815" w:type="pct"/>
                  <w:tcBorders>
                    <w:tl2br w:val="nil"/>
                    <w:tr2bl w:val="nil"/>
                  </w:tcBorders>
                  <w:vAlign w:val="center"/>
                </w:tcPr>
                <w:p w14:paraId="2F45E483">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3.1）园区应建立健全环境风险防控体系，加强区内重要风险源管控。加强园区危险化学品储运的环境风险管理，严格落实应急响应联动机制，确保区域环境安全。强化园区环境监督管理，根据中方县工业园突发环境事件应急预案要求，健全环境风险事故防范措施，严防环境风险事故发生。</w:t>
                  </w:r>
                </w:p>
                <w:p w14:paraId="7DAAE92B">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3.2）园区可能发生突发环境事件的污染物排放企业，生产、储存、运输、使用危险化学品的企业，产生、收集、贮存、运输、利用、处置危险废物的企业等应当编制和实施环境应急预案；鼓励其他企业制定单独的环境应急预案，或在突发事件应急预案中制定环境应急预案专章，并备案。</w:t>
                  </w:r>
                </w:p>
                <w:p w14:paraId="07F024E6">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（3.3）建设用地土壤风险防控：加强对建设用地土壤环境状况调查、风险评估和污染地块治理与修复活动的监管。</w:t>
                  </w:r>
                </w:p>
                <w:p w14:paraId="20EFE5D2">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（3.4）农用地风险防控：防控企业污染，已建成的相关企业应当按照有关标准、规定采取措施，防止对耕地造成污染。</w:t>
                  </w:r>
                </w:p>
              </w:tc>
              <w:tc>
                <w:tcPr>
                  <w:tcW w:w="1552" w:type="pct"/>
                  <w:tcBorders>
                    <w:tl2br w:val="nil"/>
                    <w:tr2bl w:val="nil"/>
                  </w:tcBorders>
                  <w:vAlign w:val="center"/>
                </w:tcPr>
                <w:p w14:paraId="075085D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1、本项目严格落实《湖南中方产业开发区突发环境事件应急预案》的相关要求，严防环境风险事故发生，提高应急处置能力。</w:t>
                  </w:r>
                </w:p>
                <w:p w14:paraId="44ED972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本项目建成后将按照《建设项目环境风险评价技术导则》（HJ169-2018）和《湖南省突发环境事件应急预案管理办法（修订版）》中要求确定对突发环境事件应急预案的编制工作；运营期间建立健全环境风险事故防范措施和应急预案，严防环境风险事故发生。</w:t>
                  </w:r>
                </w:p>
                <w:p w14:paraId="327BF2AC">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default" w:ascii="Times New Roman" w:hAnsi="Times New Roman" w:cs="Times New Roman"/>
                      <w:sz w:val="21"/>
                      <w:szCs w:val="21"/>
                      <w:lang w:val="en-US" w:eastAsia="zh-CN"/>
                    </w:rPr>
                    <w:t>3、本项目租赁</w:t>
                  </w:r>
                  <w:r>
                    <w:rPr>
                      <w:rFonts w:hint="default" w:ascii="Times New Roman" w:hAnsi="Times New Roman" w:cs="Times New Roman"/>
                      <w:b w:val="0"/>
                      <w:bCs/>
                      <w:color w:val="auto"/>
                      <w:kern w:val="0"/>
                      <w:sz w:val="21"/>
                      <w:szCs w:val="21"/>
                      <w:u w:val="none" w:color="auto"/>
                      <w:vertAlign w:val="baseline"/>
                      <w:lang w:val="en-US" w:eastAsia="zh-CN"/>
                    </w:rPr>
                    <w:t>中方产业开发区泸阳片区</w:t>
                  </w: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众力创新园1栋</w:t>
                  </w:r>
                  <w:r>
                    <w:rPr>
                      <w:rFonts w:hint="default" w:ascii="Times New Roman" w:hAnsi="Times New Roman" w:cs="Times New Roman"/>
                      <w:color w:val="000000" w:themeColor="text1"/>
                      <w:sz w:val="21"/>
                      <w:szCs w:val="21"/>
                      <w:u w:val="none"/>
                      <w:lang w:val="en-US" w:eastAsia="zh-CN"/>
                      <w14:textFill>
                        <w14:solidFill>
                          <w14:schemeClr w14:val="tx1"/>
                        </w14:solidFill>
                      </w14:textFill>
                    </w:rPr>
                    <w:t>（南区第2层）</w:t>
                  </w:r>
                  <w:r>
                    <w:rPr>
                      <w:rFonts w:hint="default" w:ascii="Times New Roman" w:hAnsi="Times New Roman" w:cs="Times New Roman"/>
                      <w:sz w:val="21"/>
                      <w:szCs w:val="21"/>
                      <w:lang w:val="en-US" w:eastAsia="zh-CN"/>
                    </w:rPr>
                    <w:t>进行生产，项目用地类型为二类工业用地，生产厂房地面已整体硬化，本项目废气、废水、噪声及固废采取相应环保措施后可达标排放或妥善处置，对项目周围土壤环境影响不大。</w:t>
                  </w:r>
                </w:p>
              </w:tc>
              <w:tc>
                <w:tcPr>
                  <w:tcW w:w="508" w:type="pct"/>
                  <w:tcBorders>
                    <w:tl2br w:val="nil"/>
                    <w:tr2bl w:val="nil"/>
                  </w:tcBorders>
                  <w:vAlign w:val="center"/>
                </w:tcPr>
                <w:p w14:paraId="427FE30D">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符合</w:t>
                  </w:r>
                </w:p>
              </w:tc>
            </w:tr>
            <w:tr w14:paraId="1598D5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123" w:type="pct"/>
                  <w:tcBorders>
                    <w:tl2br w:val="nil"/>
                    <w:tr2bl w:val="nil"/>
                  </w:tcBorders>
                  <w:vAlign w:val="center"/>
                </w:tcPr>
                <w:p w14:paraId="108827B3">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资源开发效率要求</w:t>
                  </w:r>
                </w:p>
              </w:tc>
              <w:tc>
                <w:tcPr>
                  <w:tcW w:w="1815" w:type="pct"/>
                  <w:tcBorders>
                    <w:tl2br w:val="nil"/>
                    <w:tr2bl w:val="nil"/>
                  </w:tcBorders>
                  <w:vAlign w:val="center"/>
                </w:tcPr>
                <w:p w14:paraId="785778C2">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（4.1）能源：</w:t>
                  </w:r>
                </w:p>
                <w:p w14:paraId="7967E6BF">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（4.1.1）园区应做好园区内低硫煤的统一调配和供应，并积极推广清洁能源。</w:t>
                  </w:r>
                </w:p>
                <w:p w14:paraId="07BF737E">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（4.1.2）实施能源消耗总量和强度双控行动，逐步建立用能预算管理体系，编制用能预算管理方案。</w:t>
                  </w:r>
                </w:p>
                <w:p w14:paraId="60A684CB">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（4.1.3）到2020年，单位GDP能耗0.9339吨标准煤/万元，单位增加值能耗1.083吨标准煤/万元。到2025年，单位GDP能耗0.7572吨标准煤/万元，单位增加值能耗0.878吨标准煤/万元。</w:t>
                  </w:r>
                </w:p>
                <w:p w14:paraId="4C9F374A">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（4.2）水资源：</w:t>
                  </w:r>
                </w:p>
                <w:p w14:paraId="46B041EF">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（4.2.1）加快水资源高效利用的工艺革新，推进中水回用工程的进展，推广节水项目、再生水利用项目，以节水、治水带动其他水资源利用相关产业发展。</w:t>
                  </w:r>
                </w:p>
                <w:p w14:paraId="0C3AEDBA">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（4.2.2）加强水资源管理，切实合理开发利用和节约保护水资源。到2020年，中方县水资源开发利用总量控制在1.57亿立方米以下，万元工业增加值用水量控制在70立方米/万元以下。</w:t>
                  </w:r>
                </w:p>
                <w:p w14:paraId="3A7FDFDF">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（4.3）土地资源：</w:t>
                  </w:r>
                </w:p>
                <w:p w14:paraId="482957D9">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（4.3.1）坚持最严格的节约用地制度，盘活存量建设用地，提升土地产出效益，全面实施节约集约用地战略。</w:t>
                  </w:r>
                </w:p>
                <w:p w14:paraId="48766BBB">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（4.3.2）园区项目引进严格运用用地指标，严格节约集约用地，园区工业项目投资强度执行《湖南省建设用地指标》（2020版）13等区域控制指标要求。</w:t>
                  </w:r>
                </w:p>
              </w:tc>
              <w:tc>
                <w:tcPr>
                  <w:tcW w:w="1552" w:type="pct"/>
                  <w:tcBorders>
                    <w:tl2br w:val="nil"/>
                    <w:tr2bl w:val="nil"/>
                  </w:tcBorders>
                  <w:vAlign w:val="center"/>
                </w:tcPr>
                <w:p w14:paraId="7C51182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r>
                    <w:rPr>
                      <w:rFonts w:hint="eastAsia" w:cs="Times New Roman"/>
                      <w:sz w:val="21"/>
                      <w:szCs w:val="21"/>
                      <w:lang w:eastAsia="zh-CN"/>
                    </w:rPr>
                    <w:t>、</w:t>
                  </w:r>
                  <w:r>
                    <w:rPr>
                      <w:rFonts w:hint="default" w:ascii="Times New Roman" w:hAnsi="Times New Roman" w:eastAsia="宋体" w:cs="Times New Roman"/>
                      <w:sz w:val="21"/>
                      <w:szCs w:val="21"/>
                    </w:rPr>
                    <w:t>.本项目采用电能为生产供热，不涉及其他能源。</w:t>
                  </w:r>
                </w:p>
                <w:p w14:paraId="620B4C3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r>
                    <w:rPr>
                      <w:rFonts w:hint="eastAsia" w:cs="Times New Roman"/>
                      <w:sz w:val="21"/>
                      <w:szCs w:val="21"/>
                      <w:lang w:eastAsia="zh-CN"/>
                    </w:rPr>
                    <w:t>、</w:t>
                  </w:r>
                  <w:r>
                    <w:rPr>
                      <w:rFonts w:hint="default" w:ascii="Times New Roman" w:hAnsi="Times New Roman" w:eastAsia="宋体" w:cs="Times New Roman"/>
                      <w:sz w:val="21"/>
                      <w:szCs w:val="21"/>
                    </w:rPr>
                    <w:t>项目用水为生活用水，企业项目用水量不大。</w:t>
                  </w:r>
                </w:p>
                <w:p w14:paraId="445050C2">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b w:val="0"/>
                      <w:bCs w:val="0"/>
                      <w:sz w:val="21"/>
                      <w:szCs w:val="21"/>
                      <w:vertAlign w:val="baseline"/>
                      <w:lang w:val="en-US" w:eastAsia="zh-CN"/>
                    </w:rPr>
                  </w:pPr>
                  <w:r>
                    <w:rPr>
                      <w:rFonts w:hint="default" w:ascii="Times New Roman" w:hAnsi="Times New Roman" w:eastAsia="宋体" w:cs="Times New Roman"/>
                      <w:sz w:val="21"/>
                      <w:szCs w:val="21"/>
                    </w:rPr>
                    <w:t>3</w:t>
                  </w:r>
                  <w:r>
                    <w:rPr>
                      <w:rFonts w:hint="eastAsia" w:cs="Times New Roman"/>
                      <w:sz w:val="21"/>
                      <w:szCs w:val="21"/>
                      <w:lang w:eastAsia="zh-CN"/>
                    </w:rPr>
                    <w:t>、</w:t>
                  </w:r>
                  <w:r>
                    <w:rPr>
                      <w:rFonts w:hint="default" w:ascii="Times New Roman" w:hAnsi="Times New Roman" w:eastAsia="宋体" w:cs="Times New Roman"/>
                      <w:sz w:val="21"/>
                      <w:szCs w:val="21"/>
                    </w:rPr>
                    <w:t>本项目租赁</w:t>
                  </w:r>
                  <w:r>
                    <w:rPr>
                      <w:rFonts w:hint="default" w:ascii="Times New Roman" w:hAnsi="Times New Roman" w:cs="Times New Roman"/>
                      <w:b w:val="0"/>
                      <w:bCs/>
                      <w:color w:val="auto"/>
                      <w:kern w:val="0"/>
                      <w:sz w:val="21"/>
                      <w:szCs w:val="21"/>
                      <w:u w:val="none" w:color="auto"/>
                      <w:vertAlign w:val="baseline"/>
                      <w:lang w:val="en-US" w:eastAsia="zh-CN"/>
                    </w:rPr>
                    <w:t>中方产业开发区泸阳片区</w:t>
                  </w:r>
                  <w:r>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t>众力创新园1栋</w:t>
                  </w:r>
                  <w:r>
                    <w:rPr>
                      <w:rFonts w:hint="default" w:ascii="Times New Roman" w:hAnsi="Times New Roman" w:cs="Times New Roman"/>
                      <w:color w:val="000000" w:themeColor="text1"/>
                      <w:sz w:val="21"/>
                      <w:szCs w:val="21"/>
                      <w:u w:val="none"/>
                      <w:lang w:val="en-US" w:eastAsia="zh-CN"/>
                      <w14:textFill>
                        <w14:solidFill>
                          <w14:schemeClr w14:val="tx1"/>
                        </w14:solidFill>
                      </w14:textFill>
                    </w:rPr>
                    <w:t>（南区第2层）</w:t>
                  </w:r>
                  <w:r>
                    <w:rPr>
                      <w:rFonts w:hint="default"/>
                      <w:sz w:val="21"/>
                      <w:szCs w:val="21"/>
                      <w:lang w:val="en-US" w:eastAsia="zh-CN"/>
                    </w:rPr>
                    <w:t>进行生产</w:t>
                  </w:r>
                  <w:r>
                    <w:rPr>
                      <w:rFonts w:hint="default" w:ascii="Times New Roman" w:hAnsi="Times New Roman" w:eastAsia="宋体" w:cs="Times New Roman"/>
                      <w:sz w:val="21"/>
                      <w:szCs w:val="21"/>
                    </w:rPr>
                    <w:t>进行生产，不新增用地</w:t>
                  </w:r>
                </w:p>
              </w:tc>
              <w:tc>
                <w:tcPr>
                  <w:tcW w:w="508" w:type="pct"/>
                  <w:tcBorders>
                    <w:tl2br w:val="nil"/>
                    <w:tr2bl w:val="nil"/>
                  </w:tcBorders>
                  <w:vAlign w:val="center"/>
                </w:tcPr>
                <w:p w14:paraId="37FB7A4F">
                  <w:pPr>
                    <w:pStyle w:val="49"/>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符合</w:t>
                  </w:r>
                </w:p>
              </w:tc>
            </w:tr>
          </w:tbl>
          <w:p w14:paraId="5E0ED116">
            <w:pPr>
              <w:pStyle w:val="49"/>
              <w:bidi w:val="0"/>
              <w:rPr>
                <w:rFonts w:hint="default"/>
                <w:b/>
                <w:bCs/>
                <w:lang w:val="en-US" w:eastAsia="zh-CN"/>
              </w:rPr>
            </w:pPr>
            <w:r>
              <w:rPr>
                <w:rFonts w:hint="eastAsia"/>
                <w:b/>
                <w:bCs/>
                <w:lang w:val="en-US" w:eastAsia="zh-CN"/>
              </w:rPr>
              <w:t>3、“两高”项目符合性分析</w:t>
            </w:r>
          </w:p>
          <w:p w14:paraId="4BCC9C95">
            <w:pPr>
              <w:pStyle w:val="49"/>
              <w:bidi w:val="0"/>
            </w:pPr>
            <w:r>
              <w:rPr>
                <w:rFonts w:hint="eastAsia"/>
              </w:rPr>
              <w:t>根据《湖南省发展和改革委员会关于印发〈湖南省“两高”项目管理名录〉的通知》（湘发改环资〔2021〕968号）内容，详情见</w:t>
            </w:r>
            <w:r>
              <w:rPr>
                <w:rFonts w:hint="eastAsia"/>
                <w:lang w:val="en-US" w:eastAsia="zh-CN"/>
              </w:rPr>
              <w:t>表1-8</w:t>
            </w:r>
            <w:r>
              <w:rPr>
                <w:rFonts w:hint="eastAsia"/>
              </w:rPr>
              <w:t>。</w:t>
            </w:r>
          </w:p>
          <w:p w14:paraId="2B7A70AE">
            <w:pPr>
              <w:pStyle w:val="53"/>
              <w:bidi w:val="0"/>
              <w:rPr>
                <w:rFonts w:hint="eastAsia"/>
                <w:lang w:val="en-US" w:eastAsia="zh-CN"/>
              </w:rPr>
            </w:pPr>
            <w:r>
              <w:rPr>
                <w:rFonts w:hint="default"/>
                <w:lang w:val="en-US" w:eastAsia="zh-CN"/>
              </w:rPr>
              <w:t>表1-</w:t>
            </w:r>
            <w:r>
              <w:rPr>
                <w:rFonts w:hint="eastAsia"/>
                <w:lang w:val="en-US" w:eastAsia="zh-CN"/>
              </w:rPr>
              <w:t>8</w:t>
            </w:r>
            <w:r>
              <w:rPr>
                <w:rFonts w:hint="default"/>
                <w:lang w:val="en-US" w:eastAsia="zh-CN"/>
              </w:rPr>
              <w:t xml:space="preserve"> 湖南省</w:t>
            </w:r>
            <w:r>
              <w:rPr>
                <w:rFonts w:hint="eastAsia"/>
                <w:lang w:val="en-US" w:eastAsia="zh-CN"/>
              </w:rPr>
              <w:t>“两高”项目管理目录</w:t>
            </w:r>
          </w:p>
          <w:tbl>
            <w:tblPr>
              <w:tblStyle w:val="34"/>
              <w:tblW w:w="4998"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533"/>
              <w:gridCol w:w="544"/>
              <w:gridCol w:w="2626"/>
              <w:gridCol w:w="3076"/>
              <w:gridCol w:w="1691"/>
            </w:tblGrid>
            <w:tr w14:paraId="14DB53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1" w:hRule="atLeast"/>
                <w:jc w:val="center"/>
              </w:trPr>
              <w:tc>
                <w:tcPr>
                  <w:tcW w:w="314" w:type="pct"/>
                  <w:tcBorders>
                    <w:tl2br w:val="nil"/>
                    <w:tr2bl w:val="nil"/>
                  </w:tcBorders>
                  <w:noWrap w:val="0"/>
                  <w:vAlign w:val="center"/>
                </w:tcPr>
                <w:p w14:paraId="1F4270C0">
                  <w:pPr>
                    <w:pStyle w:val="54"/>
                    <w:bidi w:val="0"/>
                    <w:jc w:val="center"/>
                    <w:rPr>
                      <w:rFonts w:hint="eastAsia"/>
                      <w:lang w:val="en-US" w:eastAsia="zh-CN"/>
                    </w:rPr>
                  </w:pPr>
                  <w:r>
                    <w:rPr>
                      <w:rFonts w:hint="eastAsia"/>
                      <w:lang w:val="en-US" w:eastAsia="zh-CN"/>
                    </w:rPr>
                    <w:t>序号</w:t>
                  </w:r>
                </w:p>
              </w:tc>
              <w:tc>
                <w:tcPr>
                  <w:tcW w:w="321" w:type="pct"/>
                  <w:tcBorders>
                    <w:tl2br w:val="nil"/>
                    <w:tr2bl w:val="nil"/>
                  </w:tcBorders>
                  <w:noWrap w:val="0"/>
                  <w:vAlign w:val="center"/>
                </w:tcPr>
                <w:p w14:paraId="098A3CF8">
                  <w:pPr>
                    <w:pStyle w:val="54"/>
                    <w:bidi w:val="0"/>
                    <w:jc w:val="center"/>
                    <w:rPr>
                      <w:rFonts w:hint="eastAsia"/>
                      <w:lang w:val="en-US" w:eastAsia="zh-CN"/>
                    </w:rPr>
                  </w:pPr>
                  <w:r>
                    <w:rPr>
                      <w:rFonts w:hint="eastAsia"/>
                      <w:lang w:val="en-US" w:eastAsia="zh-CN"/>
                    </w:rPr>
                    <w:t>行业</w:t>
                  </w:r>
                </w:p>
              </w:tc>
              <w:tc>
                <w:tcPr>
                  <w:tcW w:w="1550" w:type="pct"/>
                  <w:tcBorders>
                    <w:tl2br w:val="nil"/>
                    <w:tr2bl w:val="nil"/>
                  </w:tcBorders>
                  <w:noWrap w:val="0"/>
                  <w:vAlign w:val="center"/>
                </w:tcPr>
                <w:p w14:paraId="4EDF4541">
                  <w:pPr>
                    <w:pStyle w:val="54"/>
                    <w:bidi w:val="0"/>
                    <w:jc w:val="center"/>
                    <w:rPr>
                      <w:rFonts w:hint="eastAsia"/>
                      <w:lang w:val="en-US" w:eastAsia="zh-CN"/>
                    </w:rPr>
                  </w:pPr>
                  <w:r>
                    <w:rPr>
                      <w:rFonts w:hint="eastAsia"/>
                      <w:lang w:val="en-US" w:eastAsia="zh-CN"/>
                    </w:rPr>
                    <w:t>主要内容</w:t>
                  </w:r>
                </w:p>
              </w:tc>
              <w:tc>
                <w:tcPr>
                  <w:tcW w:w="1815" w:type="pct"/>
                  <w:tcBorders>
                    <w:tl2br w:val="nil"/>
                    <w:tr2bl w:val="nil"/>
                  </w:tcBorders>
                  <w:noWrap w:val="0"/>
                  <w:vAlign w:val="center"/>
                </w:tcPr>
                <w:p w14:paraId="534DEB05">
                  <w:pPr>
                    <w:pStyle w:val="54"/>
                    <w:bidi w:val="0"/>
                    <w:jc w:val="center"/>
                    <w:rPr>
                      <w:rFonts w:hint="eastAsia"/>
                      <w:lang w:val="en-US" w:eastAsia="zh-CN"/>
                    </w:rPr>
                  </w:pPr>
                  <w:r>
                    <w:rPr>
                      <w:rFonts w:hint="eastAsia"/>
                      <w:lang w:val="en-US" w:eastAsia="zh-CN"/>
                    </w:rPr>
                    <w:t>涉及主要产品及工序</w:t>
                  </w:r>
                </w:p>
              </w:tc>
              <w:tc>
                <w:tcPr>
                  <w:tcW w:w="998" w:type="pct"/>
                  <w:tcBorders>
                    <w:tl2br w:val="nil"/>
                    <w:tr2bl w:val="nil"/>
                  </w:tcBorders>
                  <w:noWrap w:val="0"/>
                  <w:vAlign w:val="center"/>
                </w:tcPr>
                <w:p w14:paraId="03CF517F">
                  <w:pPr>
                    <w:pStyle w:val="54"/>
                    <w:bidi w:val="0"/>
                    <w:jc w:val="center"/>
                    <w:rPr>
                      <w:rFonts w:hint="eastAsia"/>
                      <w:lang w:val="en-US" w:eastAsia="zh-CN"/>
                    </w:rPr>
                  </w:pPr>
                  <w:r>
                    <w:rPr>
                      <w:rFonts w:hint="eastAsia"/>
                      <w:lang w:val="en-US" w:eastAsia="zh-CN"/>
                    </w:rPr>
                    <w:t>备注</w:t>
                  </w:r>
                </w:p>
              </w:tc>
            </w:tr>
            <w:tr w14:paraId="085EBC3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3" w:hRule="atLeast"/>
                <w:jc w:val="center"/>
              </w:trPr>
              <w:tc>
                <w:tcPr>
                  <w:tcW w:w="314" w:type="pct"/>
                  <w:tcBorders>
                    <w:tl2br w:val="nil"/>
                    <w:tr2bl w:val="nil"/>
                  </w:tcBorders>
                  <w:noWrap w:val="0"/>
                  <w:vAlign w:val="center"/>
                </w:tcPr>
                <w:p w14:paraId="54ECCBD0">
                  <w:pPr>
                    <w:pStyle w:val="54"/>
                    <w:bidi w:val="0"/>
                    <w:jc w:val="center"/>
                    <w:rPr>
                      <w:rFonts w:hint="eastAsia"/>
                      <w:lang w:val="en-US" w:eastAsia="zh-CN"/>
                    </w:rPr>
                  </w:pPr>
                  <w:r>
                    <w:rPr>
                      <w:rFonts w:hint="eastAsia"/>
                      <w:lang w:val="en-US" w:eastAsia="zh-CN"/>
                    </w:rPr>
                    <w:t>1</w:t>
                  </w:r>
                </w:p>
              </w:tc>
              <w:tc>
                <w:tcPr>
                  <w:tcW w:w="321" w:type="pct"/>
                  <w:tcBorders>
                    <w:tl2br w:val="nil"/>
                    <w:tr2bl w:val="nil"/>
                  </w:tcBorders>
                  <w:noWrap w:val="0"/>
                  <w:vAlign w:val="center"/>
                </w:tcPr>
                <w:p w14:paraId="3B2306B2">
                  <w:pPr>
                    <w:pStyle w:val="54"/>
                    <w:bidi w:val="0"/>
                    <w:jc w:val="center"/>
                    <w:rPr>
                      <w:rFonts w:hint="eastAsia"/>
                      <w:lang w:val="en-US" w:eastAsia="zh-CN"/>
                    </w:rPr>
                  </w:pPr>
                  <w:r>
                    <w:rPr>
                      <w:rFonts w:hint="eastAsia"/>
                      <w:lang w:val="en-US" w:eastAsia="zh-CN"/>
                    </w:rPr>
                    <w:t>石化</w:t>
                  </w:r>
                </w:p>
              </w:tc>
              <w:tc>
                <w:tcPr>
                  <w:tcW w:w="1550" w:type="pct"/>
                  <w:tcBorders>
                    <w:tl2br w:val="nil"/>
                    <w:tr2bl w:val="nil"/>
                  </w:tcBorders>
                  <w:noWrap w:val="0"/>
                  <w:vAlign w:val="center"/>
                </w:tcPr>
                <w:p w14:paraId="22B78E46">
                  <w:pPr>
                    <w:pStyle w:val="54"/>
                    <w:bidi w:val="0"/>
                    <w:jc w:val="center"/>
                    <w:rPr>
                      <w:rFonts w:hint="eastAsia"/>
                      <w:lang w:val="en-US" w:eastAsia="zh-CN"/>
                    </w:rPr>
                  </w:pPr>
                  <w:r>
                    <w:rPr>
                      <w:rFonts w:hint="eastAsia"/>
                      <w:lang w:val="en-US" w:eastAsia="zh-CN"/>
                    </w:rPr>
                    <w:t>原油加工及石油制品制造（2511）</w:t>
                  </w:r>
                </w:p>
              </w:tc>
              <w:tc>
                <w:tcPr>
                  <w:tcW w:w="1815" w:type="pct"/>
                  <w:tcBorders>
                    <w:tl2br w:val="nil"/>
                    <w:tr2bl w:val="nil"/>
                  </w:tcBorders>
                  <w:noWrap w:val="0"/>
                  <w:vAlign w:val="center"/>
                </w:tcPr>
                <w:p w14:paraId="2D5B1A73">
                  <w:pPr>
                    <w:pStyle w:val="54"/>
                    <w:bidi w:val="0"/>
                    <w:jc w:val="center"/>
                    <w:rPr>
                      <w:rFonts w:hint="eastAsia"/>
                      <w:lang w:val="en-US" w:eastAsia="zh-CN"/>
                    </w:rPr>
                  </w:pPr>
                  <w:r>
                    <w:rPr>
                      <w:rFonts w:hint="eastAsia"/>
                      <w:lang w:val="en-US" w:eastAsia="zh-CN"/>
                    </w:rPr>
                    <w:t>炼油、乙烯</w:t>
                  </w:r>
                </w:p>
              </w:tc>
              <w:tc>
                <w:tcPr>
                  <w:tcW w:w="998" w:type="pct"/>
                  <w:tcBorders>
                    <w:tl2br w:val="nil"/>
                    <w:tr2bl w:val="nil"/>
                  </w:tcBorders>
                  <w:noWrap w:val="0"/>
                  <w:vAlign w:val="center"/>
                </w:tcPr>
                <w:p w14:paraId="4E435DEF">
                  <w:pPr>
                    <w:pStyle w:val="54"/>
                    <w:bidi w:val="0"/>
                    <w:jc w:val="center"/>
                    <w:rPr>
                      <w:rFonts w:hint="default"/>
                      <w:lang w:val="en-US" w:eastAsia="zh-CN"/>
                    </w:rPr>
                  </w:pPr>
                  <w:r>
                    <w:rPr>
                      <w:rFonts w:hint="eastAsia"/>
                      <w:lang w:val="en-US" w:eastAsia="zh-CN"/>
                    </w:rPr>
                    <w:t>/</w:t>
                  </w:r>
                </w:p>
              </w:tc>
            </w:tr>
            <w:tr w14:paraId="7416332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501" w:hRule="atLeast"/>
                <w:jc w:val="center"/>
              </w:trPr>
              <w:tc>
                <w:tcPr>
                  <w:tcW w:w="314" w:type="pct"/>
                  <w:tcBorders>
                    <w:tl2br w:val="nil"/>
                    <w:tr2bl w:val="nil"/>
                  </w:tcBorders>
                  <w:noWrap w:val="0"/>
                  <w:vAlign w:val="center"/>
                </w:tcPr>
                <w:p w14:paraId="29820114">
                  <w:pPr>
                    <w:pStyle w:val="54"/>
                    <w:bidi w:val="0"/>
                    <w:jc w:val="center"/>
                    <w:rPr>
                      <w:rFonts w:hint="eastAsia"/>
                      <w:lang w:val="en-US" w:eastAsia="zh-CN"/>
                    </w:rPr>
                  </w:pPr>
                  <w:r>
                    <w:rPr>
                      <w:rFonts w:hint="eastAsia"/>
                      <w:lang w:val="en-US" w:eastAsia="zh-CN"/>
                    </w:rPr>
                    <w:t>2</w:t>
                  </w:r>
                </w:p>
              </w:tc>
              <w:tc>
                <w:tcPr>
                  <w:tcW w:w="321" w:type="pct"/>
                  <w:tcBorders>
                    <w:tl2br w:val="nil"/>
                    <w:tr2bl w:val="nil"/>
                  </w:tcBorders>
                  <w:noWrap w:val="0"/>
                  <w:vAlign w:val="center"/>
                </w:tcPr>
                <w:p w14:paraId="189C6CBD">
                  <w:pPr>
                    <w:pStyle w:val="54"/>
                    <w:bidi w:val="0"/>
                    <w:jc w:val="center"/>
                    <w:rPr>
                      <w:rFonts w:hint="eastAsia"/>
                      <w:lang w:val="en-US" w:eastAsia="zh-CN"/>
                    </w:rPr>
                  </w:pPr>
                  <w:r>
                    <w:rPr>
                      <w:rFonts w:hint="eastAsia"/>
                      <w:lang w:val="en-US" w:eastAsia="zh-CN"/>
                    </w:rPr>
                    <w:t>化工</w:t>
                  </w:r>
                </w:p>
              </w:tc>
              <w:tc>
                <w:tcPr>
                  <w:tcW w:w="1550" w:type="pct"/>
                  <w:tcBorders>
                    <w:tl2br w:val="nil"/>
                    <w:tr2bl w:val="nil"/>
                  </w:tcBorders>
                  <w:noWrap w:val="0"/>
                  <w:vAlign w:val="center"/>
                </w:tcPr>
                <w:p w14:paraId="060B9CEA">
                  <w:pPr>
                    <w:pStyle w:val="54"/>
                    <w:bidi w:val="0"/>
                    <w:jc w:val="center"/>
                    <w:rPr>
                      <w:rFonts w:hint="eastAsia"/>
                      <w:lang w:val="en-US" w:eastAsia="zh-CN"/>
                    </w:rPr>
                  </w:pPr>
                  <w:r>
                    <w:rPr>
                      <w:rFonts w:hint="eastAsia"/>
                      <w:lang w:val="en-US" w:eastAsia="zh-CN"/>
                    </w:rPr>
                    <w:t>无机酸制造（2611）、无机碱制造（2612）、无机盐制造（2613）</w:t>
                  </w:r>
                </w:p>
              </w:tc>
              <w:tc>
                <w:tcPr>
                  <w:tcW w:w="1815" w:type="pct"/>
                  <w:tcBorders>
                    <w:tl2br w:val="nil"/>
                    <w:tr2bl w:val="nil"/>
                  </w:tcBorders>
                  <w:noWrap w:val="0"/>
                  <w:vAlign w:val="center"/>
                </w:tcPr>
                <w:p w14:paraId="4C5F76C1">
                  <w:pPr>
                    <w:pStyle w:val="54"/>
                    <w:bidi w:val="0"/>
                    <w:jc w:val="center"/>
                    <w:rPr>
                      <w:rFonts w:hint="eastAsia"/>
                      <w:lang w:val="en-US" w:eastAsia="zh-CN"/>
                    </w:rPr>
                  </w:pPr>
                  <w:r>
                    <w:rPr>
                      <w:rFonts w:hint="eastAsia"/>
                      <w:lang w:val="en-US" w:eastAsia="zh-CN"/>
                    </w:rPr>
                    <w:t>烧碱、纯碱、工业硫酸、黄磷、合成氨、尿素、磷铵、电石、聚氯乙烯、聚丙烯、精对苯二甲酸、对二甲苯、苯乙烯、乙酸乙烯酯、二苯基甲烷二异氰酸酯、1，4-丁二醇</w:t>
                  </w:r>
                </w:p>
              </w:tc>
              <w:tc>
                <w:tcPr>
                  <w:tcW w:w="998" w:type="pct"/>
                  <w:tcBorders>
                    <w:tl2br w:val="nil"/>
                    <w:tr2bl w:val="nil"/>
                  </w:tcBorders>
                  <w:noWrap w:val="0"/>
                  <w:vAlign w:val="center"/>
                </w:tcPr>
                <w:p w14:paraId="26A2C1B7">
                  <w:pPr>
                    <w:pStyle w:val="54"/>
                    <w:bidi w:val="0"/>
                    <w:jc w:val="center"/>
                    <w:rPr>
                      <w:rFonts w:hint="default"/>
                      <w:lang w:val="en-US" w:eastAsia="zh-CN"/>
                    </w:rPr>
                  </w:pPr>
                  <w:r>
                    <w:rPr>
                      <w:rFonts w:hint="eastAsia"/>
                      <w:lang w:val="en-US" w:eastAsia="zh-CN"/>
                    </w:rPr>
                    <w:t>/</w:t>
                  </w:r>
                </w:p>
              </w:tc>
            </w:tr>
            <w:tr w14:paraId="0D2ED8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2" w:hRule="atLeast"/>
                <w:jc w:val="center"/>
              </w:trPr>
              <w:tc>
                <w:tcPr>
                  <w:tcW w:w="314" w:type="pct"/>
                  <w:tcBorders>
                    <w:tl2br w:val="nil"/>
                    <w:tr2bl w:val="nil"/>
                  </w:tcBorders>
                  <w:noWrap w:val="0"/>
                  <w:vAlign w:val="center"/>
                </w:tcPr>
                <w:p w14:paraId="1E6AC662">
                  <w:pPr>
                    <w:pStyle w:val="54"/>
                    <w:bidi w:val="0"/>
                    <w:jc w:val="center"/>
                    <w:rPr>
                      <w:rFonts w:hint="eastAsia"/>
                      <w:lang w:val="en-US" w:eastAsia="zh-CN"/>
                    </w:rPr>
                  </w:pPr>
                  <w:r>
                    <w:rPr>
                      <w:rFonts w:hint="eastAsia"/>
                      <w:lang w:val="en-US" w:eastAsia="zh-CN"/>
                    </w:rPr>
                    <w:t>3</w:t>
                  </w:r>
                </w:p>
              </w:tc>
              <w:tc>
                <w:tcPr>
                  <w:tcW w:w="321" w:type="pct"/>
                  <w:tcBorders>
                    <w:tl2br w:val="nil"/>
                    <w:tr2bl w:val="nil"/>
                  </w:tcBorders>
                  <w:noWrap w:val="0"/>
                  <w:vAlign w:val="center"/>
                </w:tcPr>
                <w:p w14:paraId="7FE8FA21">
                  <w:pPr>
                    <w:pStyle w:val="54"/>
                    <w:bidi w:val="0"/>
                    <w:jc w:val="center"/>
                    <w:rPr>
                      <w:rFonts w:hint="eastAsia"/>
                      <w:lang w:val="en-US" w:eastAsia="zh-CN"/>
                    </w:rPr>
                  </w:pPr>
                  <w:r>
                    <w:rPr>
                      <w:rFonts w:hint="eastAsia"/>
                      <w:lang w:val="en-US" w:eastAsia="zh-CN"/>
                    </w:rPr>
                    <w:t>煤化工</w:t>
                  </w:r>
                </w:p>
              </w:tc>
              <w:tc>
                <w:tcPr>
                  <w:tcW w:w="1550" w:type="pct"/>
                  <w:tcBorders>
                    <w:tl2br w:val="nil"/>
                    <w:tr2bl w:val="nil"/>
                  </w:tcBorders>
                  <w:noWrap w:val="0"/>
                  <w:vAlign w:val="center"/>
                </w:tcPr>
                <w:p w14:paraId="6286A067">
                  <w:pPr>
                    <w:pStyle w:val="54"/>
                    <w:bidi w:val="0"/>
                    <w:jc w:val="center"/>
                    <w:rPr>
                      <w:rFonts w:hint="eastAsia"/>
                      <w:lang w:val="en-US" w:eastAsia="zh-CN"/>
                    </w:rPr>
                  </w:pPr>
                  <w:r>
                    <w:rPr>
                      <w:rFonts w:hint="eastAsia"/>
                      <w:lang w:val="en-US" w:eastAsia="zh-CN"/>
                    </w:rPr>
                    <w:t>煤制合成气生产（2522）、煤制液体燃料生产（2523）</w:t>
                  </w:r>
                </w:p>
              </w:tc>
              <w:tc>
                <w:tcPr>
                  <w:tcW w:w="1815" w:type="pct"/>
                  <w:tcBorders>
                    <w:tl2br w:val="nil"/>
                    <w:tr2bl w:val="nil"/>
                  </w:tcBorders>
                  <w:noWrap w:val="0"/>
                  <w:vAlign w:val="center"/>
                </w:tcPr>
                <w:p w14:paraId="4AC9362A">
                  <w:pPr>
                    <w:pStyle w:val="54"/>
                    <w:bidi w:val="0"/>
                    <w:jc w:val="center"/>
                    <w:rPr>
                      <w:rFonts w:hint="eastAsia"/>
                      <w:lang w:val="en-US" w:eastAsia="zh-CN"/>
                    </w:rPr>
                  </w:pPr>
                  <w:r>
                    <w:rPr>
                      <w:rFonts w:hint="eastAsia"/>
                      <w:lang w:val="en-US" w:eastAsia="zh-CN"/>
                    </w:rPr>
                    <w:t>一氧化碳、氢气、甲烷及其他煤制合成气；甲醇、二甲醚、乙二醇、汽油、柴油和航空燃料及其他煤制液体燃料</w:t>
                  </w:r>
                </w:p>
              </w:tc>
              <w:tc>
                <w:tcPr>
                  <w:tcW w:w="998" w:type="pct"/>
                  <w:tcBorders>
                    <w:tl2br w:val="nil"/>
                    <w:tr2bl w:val="nil"/>
                  </w:tcBorders>
                  <w:noWrap w:val="0"/>
                  <w:vAlign w:val="center"/>
                </w:tcPr>
                <w:p w14:paraId="4226D71C">
                  <w:pPr>
                    <w:pStyle w:val="54"/>
                    <w:bidi w:val="0"/>
                    <w:jc w:val="center"/>
                    <w:rPr>
                      <w:rFonts w:hint="default"/>
                      <w:lang w:val="en-US" w:eastAsia="zh-CN"/>
                    </w:rPr>
                  </w:pPr>
                  <w:r>
                    <w:rPr>
                      <w:rFonts w:hint="eastAsia"/>
                      <w:lang w:val="en-US" w:eastAsia="zh-CN"/>
                    </w:rPr>
                    <w:t>/</w:t>
                  </w:r>
                </w:p>
              </w:tc>
            </w:tr>
            <w:tr w14:paraId="6B6806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80" w:hRule="atLeast"/>
                <w:jc w:val="center"/>
              </w:trPr>
              <w:tc>
                <w:tcPr>
                  <w:tcW w:w="314" w:type="pct"/>
                  <w:tcBorders>
                    <w:tl2br w:val="nil"/>
                    <w:tr2bl w:val="nil"/>
                  </w:tcBorders>
                  <w:noWrap w:val="0"/>
                  <w:vAlign w:val="center"/>
                </w:tcPr>
                <w:p w14:paraId="4162C9E8">
                  <w:pPr>
                    <w:pStyle w:val="54"/>
                    <w:bidi w:val="0"/>
                    <w:jc w:val="center"/>
                    <w:rPr>
                      <w:rFonts w:hint="eastAsia"/>
                      <w:lang w:val="en-US" w:eastAsia="zh-CN"/>
                    </w:rPr>
                  </w:pPr>
                  <w:r>
                    <w:rPr>
                      <w:rFonts w:hint="eastAsia"/>
                      <w:lang w:val="en-US" w:eastAsia="zh-CN"/>
                    </w:rPr>
                    <w:t>4</w:t>
                  </w:r>
                </w:p>
              </w:tc>
              <w:tc>
                <w:tcPr>
                  <w:tcW w:w="321" w:type="pct"/>
                  <w:tcBorders>
                    <w:tl2br w:val="nil"/>
                    <w:tr2bl w:val="nil"/>
                  </w:tcBorders>
                  <w:noWrap w:val="0"/>
                  <w:vAlign w:val="center"/>
                </w:tcPr>
                <w:p w14:paraId="6DBB278E">
                  <w:pPr>
                    <w:pStyle w:val="54"/>
                    <w:bidi w:val="0"/>
                    <w:jc w:val="center"/>
                    <w:rPr>
                      <w:rFonts w:hint="eastAsia"/>
                      <w:lang w:val="en-US" w:eastAsia="zh-CN"/>
                    </w:rPr>
                  </w:pPr>
                  <w:r>
                    <w:rPr>
                      <w:rFonts w:hint="eastAsia"/>
                      <w:lang w:val="en-US" w:eastAsia="zh-CN"/>
                    </w:rPr>
                    <w:t>焦化</w:t>
                  </w:r>
                </w:p>
              </w:tc>
              <w:tc>
                <w:tcPr>
                  <w:tcW w:w="1550" w:type="pct"/>
                  <w:tcBorders>
                    <w:tl2br w:val="nil"/>
                    <w:tr2bl w:val="nil"/>
                  </w:tcBorders>
                  <w:noWrap w:val="0"/>
                  <w:vAlign w:val="center"/>
                </w:tcPr>
                <w:p w14:paraId="73157BB7">
                  <w:pPr>
                    <w:pStyle w:val="54"/>
                    <w:bidi w:val="0"/>
                    <w:jc w:val="center"/>
                    <w:rPr>
                      <w:rFonts w:hint="eastAsia"/>
                      <w:lang w:val="en-US" w:eastAsia="zh-CN"/>
                    </w:rPr>
                  </w:pPr>
                  <w:r>
                    <w:rPr>
                      <w:rFonts w:hint="eastAsia"/>
                      <w:lang w:val="en-US" w:eastAsia="zh-CN"/>
                    </w:rPr>
                    <w:t>炼焦（2521）</w:t>
                  </w:r>
                </w:p>
              </w:tc>
              <w:tc>
                <w:tcPr>
                  <w:tcW w:w="1815" w:type="pct"/>
                  <w:tcBorders>
                    <w:tl2br w:val="nil"/>
                    <w:tr2bl w:val="nil"/>
                  </w:tcBorders>
                  <w:noWrap w:val="0"/>
                  <w:vAlign w:val="center"/>
                </w:tcPr>
                <w:p w14:paraId="3E933B0B">
                  <w:pPr>
                    <w:pStyle w:val="54"/>
                    <w:bidi w:val="0"/>
                    <w:jc w:val="center"/>
                    <w:rPr>
                      <w:rFonts w:hint="eastAsia"/>
                      <w:lang w:val="en-US" w:eastAsia="zh-CN"/>
                    </w:rPr>
                  </w:pPr>
                  <w:r>
                    <w:rPr>
                      <w:rFonts w:hint="eastAsia"/>
                      <w:lang w:val="en-US" w:eastAsia="zh-CN"/>
                    </w:rPr>
                    <w:t>焦炭、石油焦（焦炭类）、沥青焦、其他原料生产焦炭、机焦、型焦、土焦、半焦炭、针状焦、其他工艺生产焦炭、矿物油焦</w:t>
                  </w:r>
                </w:p>
              </w:tc>
              <w:tc>
                <w:tcPr>
                  <w:tcW w:w="998" w:type="pct"/>
                  <w:tcBorders>
                    <w:tl2br w:val="nil"/>
                    <w:tr2bl w:val="nil"/>
                  </w:tcBorders>
                  <w:noWrap w:val="0"/>
                  <w:vAlign w:val="center"/>
                </w:tcPr>
                <w:p w14:paraId="28C330B4">
                  <w:pPr>
                    <w:pStyle w:val="54"/>
                    <w:bidi w:val="0"/>
                    <w:jc w:val="center"/>
                    <w:rPr>
                      <w:rFonts w:hint="default"/>
                      <w:lang w:val="en-US" w:eastAsia="zh-CN"/>
                    </w:rPr>
                  </w:pPr>
                  <w:r>
                    <w:rPr>
                      <w:rFonts w:hint="eastAsia"/>
                      <w:lang w:val="en-US" w:eastAsia="zh-CN"/>
                    </w:rPr>
                    <w:t>/</w:t>
                  </w:r>
                </w:p>
              </w:tc>
            </w:tr>
            <w:tr w14:paraId="4F9909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615" w:hRule="atLeast"/>
                <w:jc w:val="center"/>
              </w:trPr>
              <w:tc>
                <w:tcPr>
                  <w:tcW w:w="314" w:type="pct"/>
                  <w:tcBorders>
                    <w:tl2br w:val="nil"/>
                    <w:tr2bl w:val="nil"/>
                  </w:tcBorders>
                  <w:noWrap w:val="0"/>
                  <w:vAlign w:val="center"/>
                </w:tcPr>
                <w:p w14:paraId="638A62EE">
                  <w:pPr>
                    <w:pStyle w:val="54"/>
                    <w:bidi w:val="0"/>
                    <w:jc w:val="center"/>
                    <w:rPr>
                      <w:rFonts w:hint="eastAsia"/>
                      <w:lang w:val="en-US" w:eastAsia="zh-CN"/>
                    </w:rPr>
                  </w:pPr>
                  <w:r>
                    <w:rPr>
                      <w:rFonts w:hint="eastAsia"/>
                      <w:lang w:val="en-US" w:eastAsia="zh-CN"/>
                    </w:rPr>
                    <w:t>5</w:t>
                  </w:r>
                </w:p>
              </w:tc>
              <w:tc>
                <w:tcPr>
                  <w:tcW w:w="321" w:type="pct"/>
                  <w:tcBorders>
                    <w:tl2br w:val="nil"/>
                    <w:tr2bl w:val="nil"/>
                  </w:tcBorders>
                  <w:noWrap w:val="0"/>
                  <w:vAlign w:val="center"/>
                </w:tcPr>
                <w:p w14:paraId="3883AC44">
                  <w:pPr>
                    <w:pStyle w:val="54"/>
                    <w:bidi w:val="0"/>
                    <w:jc w:val="center"/>
                    <w:rPr>
                      <w:rFonts w:hint="eastAsia"/>
                      <w:lang w:val="en-US" w:eastAsia="zh-CN"/>
                    </w:rPr>
                  </w:pPr>
                  <w:r>
                    <w:rPr>
                      <w:rFonts w:hint="eastAsia"/>
                      <w:lang w:val="en-US" w:eastAsia="zh-CN"/>
                    </w:rPr>
                    <w:t>钢铁</w:t>
                  </w:r>
                </w:p>
              </w:tc>
              <w:tc>
                <w:tcPr>
                  <w:tcW w:w="1550" w:type="pct"/>
                  <w:tcBorders>
                    <w:tl2br w:val="nil"/>
                    <w:tr2bl w:val="nil"/>
                  </w:tcBorders>
                  <w:noWrap w:val="0"/>
                  <w:vAlign w:val="center"/>
                </w:tcPr>
                <w:p w14:paraId="61C24069">
                  <w:pPr>
                    <w:pStyle w:val="54"/>
                    <w:bidi w:val="0"/>
                    <w:jc w:val="center"/>
                    <w:rPr>
                      <w:rFonts w:hint="eastAsia"/>
                      <w:lang w:val="en-US" w:eastAsia="zh-CN"/>
                    </w:rPr>
                  </w:pPr>
                  <w:r>
                    <w:rPr>
                      <w:rFonts w:hint="eastAsia"/>
                      <w:lang w:val="en-US" w:eastAsia="zh-CN"/>
                    </w:rPr>
                    <w:t>炼铁（3110）、炼钢（3120）、铁合金（3140）</w:t>
                  </w:r>
                </w:p>
              </w:tc>
              <w:tc>
                <w:tcPr>
                  <w:tcW w:w="1815" w:type="pct"/>
                  <w:tcBorders>
                    <w:tl2br w:val="nil"/>
                    <w:tr2bl w:val="nil"/>
                  </w:tcBorders>
                  <w:noWrap w:val="0"/>
                  <w:vAlign w:val="center"/>
                </w:tcPr>
                <w:p w14:paraId="29B47DDF">
                  <w:pPr>
                    <w:pStyle w:val="54"/>
                    <w:bidi w:val="0"/>
                    <w:jc w:val="center"/>
                    <w:rPr>
                      <w:rFonts w:hint="eastAsia"/>
                      <w:lang w:val="en-US" w:eastAsia="zh-CN"/>
                    </w:rPr>
                  </w:pPr>
                  <w:r>
                    <w:rPr>
                      <w:rFonts w:hint="eastAsia"/>
                      <w:lang w:val="en-US" w:eastAsia="zh-CN"/>
                    </w:rPr>
                    <w:t>炼钢用高炉生铁、直接还原铁、熔融还原铁、非合金钢粗钢、低合金钢粗钢、合金钢粗钢、铁合金、电解金属锰</w:t>
                  </w:r>
                </w:p>
              </w:tc>
              <w:tc>
                <w:tcPr>
                  <w:tcW w:w="998" w:type="pct"/>
                  <w:tcBorders>
                    <w:tl2br w:val="nil"/>
                    <w:tr2bl w:val="nil"/>
                  </w:tcBorders>
                  <w:noWrap w:val="0"/>
                  <w:vAlign w:val="center"/>
                </w:tcPr>
                <w:p w14:paraId="070CCC00">
                  <w:pPr>
                    <w:pStyle w:val="54"/>
                    <w:bidi w:val="0"/>
                    <w:jc w:val="center"/>
                    <w:rPr>
                      <w:rFonts w:hint="eastAsia"/>
                      <w:lang w:val="en-US" w:eastAsia="zh-CN"/>
                    </w:rPr>
                  </w:pPr>
                  <w:r>
                    <w:rPr>
                      <w:rFonts w:hint="eastAsia"/>
                      <w:lang w:val="en-US" w:eastAsia="zh-CN"/>
                    </w:rPr>
                    <w:t>不包括以含重金属固体废弃物为原料（≥85%）进行锰资源综合回收项目</w:t>
                  </w:r>
                </w:p>
              </w:tc>
            </w:tr>
            <w:tr w14:paraId="26FD0F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45" w:hRule="atLeast"/>
                <w:jc w:val="center"/>
              </w:trPr>
              <w:tc>
                <w:tcPr>
                  <w:tcW w:w="314" w:type="pct"/>
                  <w:vMerge w:val="restart"/>
                  <w:tcBorders>
                    <w:tl2br w:val="nil"/>
                    <w:tr2bl w:val="nil"/>
                  </w:tcBorders>
                  <w:noWrap w:val="0"/>
                  <w:vAlign w:val="center"/>
                </w:tcPr>
                <w:p w14:paraId="5D2091C0">
                  <w:pPr>
                    <w:pStyle w:val="54"/>
                    <w:bidi w:val="0"/>
                    <w:jc w:val="center"/>
                    <w:rPr>
                      <w:rFonts w:hint="eastAsia"/>
                      <w:lang w:val="en-US" w:eastAsia="zh-CN"/>
                    </w:rPr>
                  </w:pPr>
                  <w:r>
                    <w:rPr>
                      <w:rFonts w:hint="eastAsia"/>
                      <w:lang w:val="en-US" w:eastAsia="zh-CN"/>
                    </w:rPr>
                    <w:t>6</w:t>
                  </w:r>
                </w:p>
              </w:tc>
              <w:tc>
                <w:tcPr>
                  <w:tcW w:w="321" w:type="pct"/>
                  <w:vMerge w:val="restart"/>
                  <w:tcBorders>
                    <w:tl2br w:val="nil"/>
                    <w:tr2bl w:val="nil"/>
                  </w:tcBorders>
                  <w:noWrap w:val="0"/>
                  <w:vAlign w:val="center"/>
                </w:tcPr>
                <w:p w14:paraId="3866655A">
                  <w:pPr>
                    <w:pStyle w:val="54"/>
                    <w:bidi w:val="0"/>
                    <w:jc w:val="center"/>
                    <w:rPr>
                      <w:rFonts w:hint="eastAsia"/>
                      <w:lang w:val="en-US" w:eastAsia="zh-CN"/>
                    </w:rPr>
                  </w:pPr>
                  <w:r>
                    <w:rPr>
                      <w:rFonts w:hint="eastAsia"/>
                      <w:lang w:val="en-US" w:eastAsia="zh-CN"/>
                    </w:rPr>
                    <w:t>建材</w:t>
                  </w:r>
                </w:p>
              </w:tc>
              <w:tc>
                <w:tcPr>
                  <w:tcW w:w="1550" w:type="pct"/>
                  <w:vMerge w:val="restart"/>
                  <w:tcBorders>
                    <w:tl2br w:val="nil"/>
                    <w:tr2bl w:val="nil"/>
                  </w:tcBorders>
                  <w:noWrap w:val="0"/>
                  <w:vAlign w:val="center"/>
                </w:tcPr>
                <w:p w14:paraId="2308B50B">
                  <w:pPr>
                    <w:pStyle w:val="54"/>
                    <w:bidi w:val="0"/>
                    <w:jc w:val="center"/>
                    <w:rPr>
                      <w:rFonts w:hint="eastAsia"/>
                      <w:lang w:val="en-US" w:eastAsia="zh-CN"/>
                    </w:rPr>
                  </w:pPr>
                  <w:r>
                    <w:rPr>
                      <w:rFonts w:hint="eastAsia"/>
                      <w:lang w:val="en-US" w:eastAsia="zh-CN"/>
                    </w:rPr>
                    <w:t>水泥制造（3011）、石灰和石膏制造（3012）、粘土砖瓦及建筑砌块制造（3031）、平板玻璃制造（3041）、建筑陶瓷制品制造（3071）</w:t>
                  </w:r>
                </w:p>
              </w:tc>
              <w:tc>
                <w:tcPr>
                  <w:tcW w:w="1815" w:type="pct"/>
                  <w:tcBorders>
                    <w:tl2br w:val="nil"/>
                    <w:tr2bl w:val="nil"/>
                  </w:tcBorders>
                  <w:noWrap w:val="0"/>
                  <w:vAlign w:val="center"/>
                </w:tcPr>
                <w:p w14:paraId="00793703">
                  <w:pPr>
                    <w:pStyle w:val="54"/>
                    <w:bidi w:val="0"/>
                    <w:jc w:val="center"/>
                    <w:rPr>
                      <w:rFonts w:hint="eastAsia"/>
                      <w:lang w:val="en-US" w:eastAsia="zh-CN"/>
                    </w:rPr>
                  </w:pPr>
                  <w:r>
                    <w:rPr>
                      <w:rFonts w:hint="eastAsia"/>
                      <w:lang w:val="en-US" w:eastAsia="zh-CN"/>
                    </w:rPr>
                    <w:t>石灰、建筑陶瓷、耐火材料、烧结砖瓦</w:t>
                  </w:r>
                </w:p>
              </w:tc>
              <w:tc>
                <w:tcPr>
                  <w:tcW w:w="998" w:type="pct"/>
                  <w:tcBorders>
                    <w:tl2br w:val="nil"/>
                    <w:tr2bl w:val="nil"/>
                  </w:tcBorders>
                  <w:noWrap w:val="0"/>
                  <w:vAlign w:val="center"/>
                </w:tcPr>
                <w:p w14:paraId="028B472B">
                  <w:pPr>
                    <w:pStyle w:val="54"/>
                    <w:bidi w:val="0"/>
                    <w:jc w:val="center"/>
                    <w:rPr>
                      <w:rFonts w:hint="eastAsia"/>
                      <w:lang w:val="en-US" w:eastAsia="zh-CN"/>
                    </w:rPr>
                  </w:pPr>
                  <w:r>
                    <w:rPr>
                      <w:rFonts w:hint="eastAsia"/>
                      <w:lang w:val="en-US" w:eastAsia="zh-CN"/>
                    </w:rPr>
                    <w:t>不包括资源综合利用项目</w:t>
                  </w:r>
                </w:p>
              </w:tc>
            </w:tr>
            <w:tr w14:paraId="330649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18" w:hRule="atLeast"/>
                <w:jc w:val="center"/>
              </w:trPr>
              <w:tc>
                <w:tcPr>
                  <w:tcW w:w="314" w:type="pct"/>
                  <w:vMerge w:val="continue"/>
                  <w:tcBorders>
                    <w:tl2br w:val="nil"/>
                    <w:tr2bl w:val="nil"/>
                  </w:tcBorders>
                  <w:noWrap w:val="0"/>
                  <w:vAlign w:val="center"/>
                </w:tcPr>
                <w:p w14:paraId="6ED12655">
                  <w:pPr>
                    <w:pStyle w:val="54"/>
                    <w:bidi w:val="0"/>
                    <w:jc w:val="center"/>
                    <w:rPr>
                      <w:rFonts w:hint="eastAsia"/>
                      <w:lang w:val="en-US" w:eastAsia="zh-CN"/>
                    </w:rPr>
                  </w:pPr>
                </w:p>
              </w:tc>
              <w:tc>
                <w:tcPr>
                  <w:tcW w:w="321" w:type="pct"/>
                  <w:vMerge w:val="continue"/>
                  <w:tcBorders>
                    <w:tl2br w:val="nil"/>
                    <w:tr2bl w:val="nil"/>
                  </w:tcBorders>
                  <w:noWrap w:val="0"/>
                  <w:vAlign w:val="center"/>
                </w:tcPr>
                <w:p w14:paraId="1EAB0753">
                  <w:pPr>
                    <w:pStyle w:val="54"/>
                    <w:bidi w:val="0"/>
                    <w:jc w:val="center"/>
                    <w:rPr>
                      <w:rFonts w:hint="eastAsia"/>
                      <w:lang w:val="en-US" w:eastAsia="zh-CN"/>
                    </w:rPr>
                  </w:pPr>
                </w:p>
              </w:tc>
              <w:tc>
                <w:tcPr>
                  <w:tcW w:w="1550" w:type="pct"/>
                  <w:vMerge w:val="continue"/>
                  <w:tcBorders>
                    <w:tl2br w:val="nil"/>
                    <w:tr2bl w:val="nil"/>
                  </w:tcBorders>
                  <w:noWrap w:val="0"/>
                  <w:vAlign w:val="center"/>
                </w:tcPr>
                <w:p w14:paraId="27AB2251">
                  <w:pPr>
                    <w:pStyle w:val="54"/>
                    <w:bidi w:val="0"/>
                    <w:jc w:val="center"/>
                    <w:rPr>
                      <w:rFonts w:hint="eastAsia"/>
                      <w:lang w:val="en-US" w:eastAsia="zh-CN"/>
                    </w:rPr>
                  </w:pPr>
                </w:p>
              </w:tc>
              <w:tc>
                <w:tcPr>
                  <w:tcW w:w="1815" w:type="pct"/>
                  <w:tcBorders>
                    <w:tl2br w:val="nil"/>
                    <w:tr2bl w:val="nil"/>
                  </w:tcBorders>
                  <w:noWrap w:val="0"/>
                  <w:vAlign w:val="center"/>
                </w:tcPr>
                <w:p w14:paraId="1542154B">
                  <w:pPr>
                    <w:pStyle w:val="54"/>
                    <w:bidi w:val="0"/>
                    <w:jc w:val="center"/>
                    <w:rPr>
                      <w:rFonts w:hint="eastAsia"/>
                      <w:lang w:val="en-US" w:eastAsia="zh-CN"/>
                    </w:rPr>
                  </w:pPr>
                  <w:r>
                    <w:rPr>
                      <w:rFonts w:hint="eastAsia"/>
                      <w:lang w:val="en-US" w:eastAsia="zh-CN"/>
                    </w:rPr>
                    <w:t>水泥熟料、平板玻璃</w:t>
                  </w:r>
                </w:p>
              </w:tc>
              <w:tc>
                <w:tcPr>
                  <w:tcW w:w="998" w:type="pct"/>
                  <w:tcBorders>
                    <w:tl2br w:val="nil"/>
                    <w:tr2bl w:val="nil"/>
                  </w:tcBorders>
                  <w:noWrap w:val="0"/>
                  <w:vAlign w:val="center"/>
                </w:tcPr>
                <w:p w14:paraId="07F70AFB">
                  <w:pPr>
                    <w:pStyle w:val="54"/>
                    <w:bidi w:val="0"/>
                    <w:jc w:val="center"/>
                    <w:rPr>
                      <w:rFonts w:hint="default"/>
                      <w:lang w:val="en-US" w:eastAsia="zh-CN"/>
                    </w:rPr>
                  </w:pPr>
                  <w:r>
                    <w:rPr>
                      <w:rFonts w:hint="eastAsia"/>
                      <w:lang w:val="en-US" w:eastAsia="zh-CN"/>
                    </w:rPr>
                    <w:t>/</w:t>
                  </w:r>
                </w:p>
              </w:tc>
            </w:tr>
            <w:tr w14:paraId="216B6E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39" w:hRule="atLeast"/>
                <w:jc w:val="center"/>
              </w:trPr>
              <w:tc>
                <w:tcPr>
                  <w:tcW w:w="314" w:type="pct"/>
                  <w:tcBorders>
                    <w:tl2br w:val="nil"/>
                    <w:tr2bl w:val="nil"/>
                  </w:tcBorders>
                  <w:noWrap w:val="0"/>
                  <w:vAlign w:val="center"/>
                </w:tcPr>
                <w:p w14:paraId="24F1E71F">
                  <w:pPr>
                    <w:pStyle w:val="54"/>
                    <w:bidi w:val="0"/>
                    <w:jc w:val="center"/>
                    <w:rPr>
                      <w:rFonts w:hint="eastAsia"/>
                      <w:lang w:val="en-US" w:eastAsia="zh-CN"/>
                    </w:rPr>
                  </w:pPr>
                  <w:r>
                    <w:rPr>
                      <w:rFonts w:hint="eastAsia"/>
                      <w:lang w:val="en-US" w:eastAsia="zh-CN"/>
                    </w:rPr>
                    <w:t>7</w:t>
                  </w:r>
                </w:p>
              </w:tc>
              <w:tc>
                <w:tcPr>
                  <w:tcW w:w="321" w:type="pct"/>
                  <w:tcBorders>
                    <w:tl2br w:val="nil"/>
                    <w:tr2bl w:val="nil"/>
                  </w:tcBorders>
                  <w:noWrap w:val="0"/>
                  <w:vAlign w:val="center"/>
                </w:tcPr>
                <w:p w14:paraId="62E0C656">
                  <w:pPr>
                    <w:pStyle w:val="54"/>
                    <w:bidi w:val="0"/>
                    <w:jc w:val="center"/>
                    <w:rPr>
                      <w:rFonts w:hint="eastAsia"/>
                      <w:lang w:val="en-US" w:eastAsia="zh-CN"/>
                    </w:rPr>
                  </w:pPr>
                  <w:r>
                    <w:rPr>
                      <w:rFonts w:hint="eastAsia"/>
                      <w:lang w:val="en-US" w:eastAsia="zh-CN"/>
                    </w:rPr>
                    <w:t>有色</w:t>
                  </w:r>
                </w:p>
              </w:tc>
              <w:tc>
                <w:tcPr>
                  <w:tcW w:w="1550" w:type="pct"/>
                  <w:tcBorders>
                    <w:tl2br w:val="nil"/>
                    <w:tr2bl w:val="nil"/>
                  </w:tcBorders>
                  <w:noWrap w:val="0"/>
                  <w:vAlign w:val="center"/>
                </w:tcPr>
                <w:p w14:paraId="3402A865">
                  <w:pPr>
                    <w:pStyle w:val="54"/>
                    <w:bidi w:val="0"/>
                    <w:jc w:val="center"/>
                    <w:rPr>
                      <w:rFonts w:hint="eastAsia"/>
                      <w:lang w:val="en-US" w:eastAsia="zh-CN"/>
                    </w:rPr>
                  </w:pPr>
                  <w:r>
                    <w:rPr>
                      <w:rFonts w:hint="eastAsia"/>
                      <w:lang w:val="en-US" w:eastAsia="zh-CN"/>
                    </w:rPr>
                    <w:t>铜冶炼（3211）、铅锌冶炼（3212）、锑冶炼（3215）、铝冶炼（3216）、硅冶炼（3218）</w:t>
                  </w:r>
                </w:p>
              </w:tc>
              <w:tc>
                <w:tcPr>
                  <w:tcW w:w="1815" w:type="pct"/>
                  <w:tcBorders>
                    <w:tl2br w:val="nil"/>
                    <w:tr2bl w:val="nil"/>
                  </w:tcBorders>
                  <w:noWrap w:val="0"/>
                  <w:vAlign w:val="center"/>
                </w:tcPr>
                <w:p w14:paraId="43F0BC3B">
                  <w:pPr>
                    <w:pStyle w:val="54"/>
                    <w:bidi w:val="0"/>
                    <w:jc w:val="center"/>
                    <w:rPr>
                      <w:rFonts w:hint="eastAsia"/>
                      <w:lang w:val="en-US" w:eastAsia="zh-CN"/>
                    </w:rPr>
                  </w:pPr>
                  <w:r>
                    <w:rPr>
                      <w:rFonts w:hint="eastAsia"/>
                      <w:lang w:val="en-US" w:eastAsia="zh-CN"/>
                    </w:rPr>
                    <w:t>铜、铅锌、锑、铝、硅冶炼</w:t>
                  </w:r>
                </w:p>
              </w:tc>
              <w:tc>
                <w:tcPr>
                  <w:tcW w:w="998" w:type="pct"/>
                  <w:tcBorders>
                    <w:tl2br w:val="nil"/>
                    <w:tr2bl w:val="nil"/>
                  </w:tcBorders>
                  <w:noWrap w:val="0"/>
                  <w:vAlign w:val="center"/>
                </w:tcPr>
                <w:p w14:paraId="3F13CF8C">
                  <w:pPr>
                    <w:pStyle w:val="54"/>
                    <w:bidi w:val="0"/>
                    <w:jc w:val="center"/>
                    <w:rPr>
                      <w:rFonts w:hint="eastAsia"/>
                      <w:lang w:val="en-US" w:eastAsia="zh-CN"/>
                    </w:rPr>
                  </w:pPr>
                  <w:r>
                    <w:rPr>
                      <w:rFonts w:hint="eastAsia"/>
                      <w:lang w:val="en-US" w:eastAsia="zh-CN"/>
                    </w:rPr>
                    <w:t>不包括再生有色资源冶炼项目</w:t>
                  </w:r>
                </w:p>
              </w:tc>
            </w:tr>
            <w:tr w14:paraId="72061D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1" w:hRule="atLeast"/>
                <w:jc w:val="center"/>
              </w:trPr>
              <w:tc>
                <w:tcPr>
                  <w:tcW w:w="314" w:type="pct"/>
                  <w:tcBorders>
                    <w:tl2br w:val="nil"/>
                    <w:tr2bl w:val="nil"/>
                  </w:tcBorders>
                  <w:noWrap w:val="0"/>
                  <w:vAlign w:val="center"/>
                </w:tcPr>
                <w:p w14:paraId="25A03300">
                  <w:pPr>
                    <w:pStyle w:val="54"/>
                    <w:bidi w:val="0"/>
                    <w:jc w:val="center"/>
                    <w:rPr>
                      <w:rFonts w:hint="eastAsia"/>
                      <w:lang w:val="en-US" w:eastAsia="zh-CN"/>
                    </w:rPr>
                  </w:pPr>
                  <w:r>
                    <w:rPr>
                      <w:rFonts w:hint="eastAsia"/>
                      <w:lang w:val="en-US" w:eastAsia="zh-CN"/>
                    </w:rPr>
                    <w:t>8</w:t>
                  </w:r>
                </w:p>
              </w:tc>
              <w:tc>
                <w:tcPr>
                  <w:tcW w:w="321" w:type="pct"/>
                  <w:tcBorders>
                    <w:tl2br w:val="nil"/>
                    <w:tr2bl w:val="nil"/>
                  </w:tcBorders>
                  <w:noWrap w:val="0"/>
                  <w:vAlign w:val="center"/>
                </w:tcPr>
                <w:p w14:paraId="177D1A32">
                  <w:pPr>
                    <w:pStyle w:val="54"/>
                    <w:bidi w:val="0"/>
                    <w:jc w:val="center"/>
                    <w:rPr>
                      <w:rFonts w:hint="eastAsia"/>
                      <w:lang w:val="en-US" w:eastAsia="zh-CN"/>
                    </w:rPr>
                  </w:pPr>
                  <w:r>
                    <w:rPr>
                      <w:rFonts w:hint="eastAsia"/>
                      <w:lang w:val="en-US" w:eastAsia="zh-CN"/>
                    </w:rPr>
                    <w:t>煤电</w:t>
                  </w:r>
                </w:p>
              </w:tc>
              <w:tc>
                <w:tcPr>
                  <w:tcW w:w="1550" w:type="pct"/>
                  <w:tcBorders>
                    <w:tl2br w:val="nil"/>
                    <w:tr2bl w:val="nil"/>
                  </w:tcBorders>
                  <w:noWrap w:val="0"/>
                  <w:vAlign w:val="center"/>
                </w:tcPr>
                <w:p w14:paraId="12221493">
                  <w:pPr>
                    <w:pStyle w:val="54"/>
                    <w:bidi w:val="0"/>
                    <w:jc w:val="center"/>
                    <w:rPr>
                      <w:rFonts w:hint="eastAsia"/>
                      <w:lang w:val="en-US" w:eastAsia="zh-CN"/>
                    </w:rPr>
                  </w:pPr>
                  <w:r>
                    <w:rPr>
                      <w:rFonts w:hint="eastAsia"/>
                      <w:lang w:val="en-US" w:eastAsia="zh-CN"/>
                    </w:rPr>
                    <w:t>火力发电（4411）、热电联产（4412）</w:t>
                  </w:r>
                </w:p>
              </w:tc>
              <w:tc>
                <w:tcPr>
                  <w:tcW w:w="1815" w:type="pct"/>
                  <w:tcBorders>
                    <w:tl2br w:val="nil"/>
                    <w:tr2bl w:val="nil"/>
                  </w:tcBorders>
                  <w:noWrap w:val="0"/>
                  <w:vAlign w:val="center"/>
                </w:tcPr>
                <w:p w14:paraId="29CB9D02">
                  <w:pPr>
                    <w:pStyle w:val="54"/>
                    <w:bidi w:val="0"/>
                    <w:jc w:val="center"/>
                    <w:rPr>
                      <w:rFonts w:hint="eastAsia"/>
                      <w:lang w:val="en-US" w:eastAsia="zh-CN"/>
                    </w:rPr>
                  </w:pPr>
                  <w:r>
                    <w:rPr>
                      <w:rFonts w:hint="eastAsia"/>
                      <w:lang w:val="en-US" w:eastAsia="zh-CN"/>
                    </w:rPr>
                    <w:t>燃煤发电、燃煤热电联产</w:t>
                  </w:r>
                </w:p>
              </w:tc>
              <w:tc>
                <w:tcPr>
                  <w:tcW w:w="998" w:type="pct"/>
                  <w:tcBorders>
                    <w:tl2br w:val="nil"/>
                    <w:tr2bl w:val="nil"/>
                  </w:tcBorders>
                  <w:noWrap w:val="0"/>
                  <w:vAlign w:val="center"/>
                </w:tcPr>
                <w:p w14:paraId="54E48248">
                  <w:pPr>
                    <w:pStyle w:val="54"/>
                    <w:bidi w:val="0"/>
                    <w:jc w:val="center"/>
                    <w:rPr>
                      <w:rFonts w:hint="default"/>
                      <w:lang w:val="en-US" w:eastAsia="zh-CN"/>
                    </w:rPr>
                  </w:pPr>
                  <w:r>
                    <w:rPr>
                      <w:rFonts w:hint="eastAsia"/>
                      <w:lang w:val="en-US" w:eastAsia="zh-CN"/>
                    </w:rPr>
                    <w:t>/</w:t>
                  </w:r>
                </w:p>
              </w:tc>
            </w:tr>
            <w:tr w14:paraId="5AA661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9" w:hRule="atLeast"/>
                <w:jc w:val="center"/>
              </w:trPr>
              <w:tc>
                <w:tcPr>
                  <w:tcW w:w="314" w:type="pct"/>
                  <w:tcBorders>
                    <w:tl2br w:val="nil"/>
                    <w:tr2bl w:val="nil"/>
                  </w:tcBorders>
                  <w:noWrap w:val="0"/>
                  <w:vAlign w:val="center"/>
                </w:tcPr>
                <w:p w14:paraId="21D6D289">
                  <w:pPr>
                    <w:pStyle w:val="54"/>
                    <w:bidi w:val="0"/>
                    <w:jc w:val="center"/>
                    <w:rPr>
                      <w:rFonts w:hint="default"/>
                      <w:lang w:val="en-US" w:eastAsia="zh-CN"/>
                    </w:rPr>
                  </w:pPr>
                  <w:r>
                    <w:rPr>
                      <w:rFonts w:hint="eastAsia"/>
                      <w:lang w:val="en-US" w:eastAsia="zh-CN"/>
                    </w:rPr>
                    <w:t>9</w:t>
                  </w:r>
                </w:p>
              </w:tc>
              <w:tc>
                <w:tcPr>
                  <w:tcW w:w="4685" w:type="pct"/>
                  <w:gridSpan w:val="4"/>
                  <w:tcBorders>
                    <w:tl2br w:val="nil"/>
                    <w:tr2bl w:val="nil"/>
                  </w:tcBorders>
                  <w:noWrap w:val="0"/>
                  <w:vAlign w:val="center"/>
                </w:tcPr>
                <w:p w14:paraId="0A832001">
                  <w:pPr>
                    <w:pStyle w:val="54"/>
                    <w:bidi w:val="0"/>
                    <w:jc w:val="center"/>
                    <w:rPr>
                      <w:rFonts w:hint="eastAsia"/>
                      <w:lang w:val="en-US" w:eastAsia="zh-CN"/>
                    </w:rPr>
                  </w:pPr>
                  <w:r>
                    <w:rPr>
                      <w:rFonts w:hint="eastAsia"/>
                      <w:lang w:val="en-US" w:eastAsia="zh-CN"/>
                    </w:rPr>
                    <w:t>涉煤及煤制品、石油焦、渣油、重油等高污染燃料使用工业炉窑、锅炉的项目</w:t>
                  </w:r>
                </w:p>
              </w:tc>
            </w:tr>
          </w:tbl>
          <w:p w14:paraId="6CF4A9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lang w:eastAsia="zh-CN"/>
              </w:rPr>
              <w:t>本项目属于</w:t>
            </w:r>
            <w:r>
              <w:rPr>
                <w:rFonts w:hint="default" w:ascii="Times New Roman" w:hAnsi="Times New Roman" w:cs="Times New Roman"/>
                <w:color w:val="auto"/>
                <w:sz w:val="24"/>
              </w:rPr>
              <w:t>C3981电阻电容电感元件制造</w:t>
            </w:r>
            <w:r>
              <w:rPr>
                <w:rFonts w:hint="eastAsia"/>
                <w:sz w:val="24"/>
                <w:szCs w:val="24"/>
                <w:lang w:val="en-US" w:eastAsia="zh-CN"/>
              </w:rPr>
              <w:t>项目，</w:t>
            </w:r>
            <w:r>
              <w:rPr>
                <w:rFonts w:hint="eastAsia"/>
                <w:sz w:val="24"/>
                <w:szCs w:val="24"/>
                <w:lang w:eastAsia="zh-CN"/>
              </w:rPr>
              <w:t>根据湖南省发展和改革委员会关于印发《湖南省“两高”项目管理目录》的通知（湘发改环资[2021]968号）中湖南省“两高”项目管理目录，本项目不属于“两高”项目。</w:t>
            </w:r>
          </w:p>
          <w:p w14:paraId="7F3113CE">
            <w:pPr>
              <w:pStyle w:val="52"/>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b/>
                <w:bCs w:val="0"/>
                <w:color w:val="auto"/>
                <w:u w:val="none" w:color="auto"/>
                <w:lang w:eastAsia="zh-CN"/>
              </w:rPr>
            </w:pPr>
            <w:r>
              <w:rPr>
                <w:rFonts w:hint="default" w:ascii="Times New Roman" w:hAnsi="Times New Roman" w:cs="Times New Roman"/>
                <w:b/>
                <w:bCs w:val="0"/>
                <w:sz w:val="24"/>
                <w:szCs w:val="24"/>
                <w:lang w:val="en-US" w:eastAsia="zh-CN"/>
              </w:rPr>
              <w:t>4</w:t>
            </w:r>
            <w:r>
              <w:rPr>
                <w:rFonts w:hint="eastAsia"/>
                <w:b/>
                <w:bCs w:val="0"/>
                <w:sz w:val="24"/>
                <w:szCs w:val="24"/>
                <w:lang w:val="en-US" w:eastAsia="zh-CN"/>
              </w:rPr>
              <w:t>、</w:t>
            </w:r>
            <w:r>
              <w:rPr>
                <w:rFonts w:hint="default" w:ascii="Times New Roman" w:hAnsi="Times New Roman" w:cs="Times New Roman"/>
                <w:b/>
                <w:bCs w:val="0"/>
                <w:color w:val="auto"/>
                <w:u w:val="none" w:color="auto"/>
                <w:lang w:eastAsia="zh-CN"/>
              </w:rPr>
              <w:t>与《湖南省长江经济带发展负面清单实施细则(试行，2022年版)》相符性分析</w:t>
            </w:r>
          </w:p>
          <w:p w14:paraId="6021FAF6">
            <w:pPr>
              <w:pStyle w:val="52"/>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000000"/>
                <w:u w:val="none" w:color="auto"/>
              </w:rPr>
            </w:pPr>
            <w:r>
              <w:rPr>
                <w:rFonts w:hint="default" w:ascii="Times New Roman" w:hAnsi="Times New Roman" w:cs="Times New Roman"/>
                <w:b w:val="0"/>
                <w:bCs/>
                <w:color w:val="auto"/>
                <w:u w:val="none" w:color="auto"/>
                <w:lang w:eastAsia="zh-CN"/>
              </w:rPr>
              <w:t>本项目与《湖南省长江经济带发展负面清单实施细则(试行，2022年版)》相关部分的相符性分析如下:</w:t>
            </w:r>
          </w:p>
          <w:p w14:paraId="449497DA">
            <w:pPr>
              <w:pStyle w:val="55"/>
              <w:jc w:val="center"/>
              <w:rPr>
                <w:rFonts w:hint="default" w:ascii="Times New Roman" w:hAnsi="Times New Roman" w:cs="Times New Roman"/>
                <w:color w:val="000000"/>
                <w:u w:val="none" w:color="auto"/>
              </w:rPr>
            </w:pPr>
            <w:r>
              <w:rPr>
                <w:rFonts w:hint="default" w:ascii="Times New Roman" w:hAnsi="Times New Roman" w:cs="Times New Roman"/>
                <w:color w:val="000000"/>
                <w:u w:val="none" w:color="auto"/>
              </w:rPr>
              <w:t>表1-</w:t>
            </w:r>
            <w:r>
              <w:rPr>
                <w:rFonts w:hint="eastAsia" w:ascii="Times New Roman" w:hAnsi="Times New Roman" w:cs="Times New Roman"/>
                <w:color w:val="000000"/>
                <w:u w:val="none" w:color="auto"/>
                <w:lang w:val="en-US" w:eastAsia="zh-CN"/>
              </w:rPr>
              <w:t>9</w:t>
            </w:r>
            <w:r>
              <w:rPr>
                <w:rFonts w:hint="default" w:ascii="Times New Roman" w:hAnsi="Times New Roman" w:cs="Times New Roman"/>
                <w:color w:val="000000"/>
                <w:u w:val="none" w:color="auto"/>
              </w:rPr>
              <w:t xml:space="preserve"> 本项目与湖南省长江经济带发展负面清单符合性分析</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189"/>
              <w:gridCol w:w="3130"/>
              <w:gridCol w:w="1151"/>
            </w:tblGrid>
            <w:tr w14:paraId="6DCCFD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35208A9D">
                  <w:pPr>
                    <w:pStyle w:val="5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auto"/>
                      <w:sz w:val="21"/>
                      <w:szCs w:val="21"/>
                      <w:u w:val="none" w:color="auto"/>
                      <w:vertAlign w:val="baseline"/>
                      <w:lang w:val="en-US" w:eastAsia="zh-CN"/>
                    </w:rPr>
                  </w:pPr>
                  <w:r>
                    <w:rPr>
                      <w:rFonts w:hint="eastAsia" w:ascii="Times New Roman" w:hAnsi="Times New Roman" w:cs="Times New Roman"/>
                      <w:b/>
                      <w:bCs w:val="0"/>
                      <w:color w:val="auto"/>
                      <w:sz w:val="21"/>
                      <w:szCs w:val="21"/>
                      <w:u w:val="none" w:color="auto"/>
                      <w:vertAlign w:val="baseline"/>
                      <w:lang w:val="en-US" w:eastAsia="zh-CN"/>
                    </w:rPr>
                    <w:t>要求</w:t>
                  </w:r>
                </w:p>
              </w:tc>
              <w:tc>
                <w:tcPr>
                  <w:tcW w:w="1847" w:type="pct"/>
                  <w:tcBorders>
                    <w:tl2br w:val="nil"/>
                    <w:tr2bl w:val="nil"/>
                  </w:tcBorders>
                  <w:vAlign w:val="center"/>
                </w:tcPr>
                <w:p w14:paraId="6EE2559A">
                  <w:pPr>
                    <w:pStyle w:val="5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auto"/>
                      <w:sz w:val="21"/>
                      <w:szCs w:val="21"/>
                      <w:u w:val="none" w:color="auto"/>
                      <w:vertAlign w:val="baseline"/>
                      <w:lang w:val="en-US" w:eastAsia="zh-CN"/>
                    </w:rPr>
                  </w:pPr>
                  <w:r>
                    <w:rPr>
                      <w:rFonts w:hint="eastAsia" w:ascii="Times New Roman" w:hAnsi="Times New Roman" w:cs="Times New Roman"/>
                      <w:b/>
                      <w:bCs w:val="0"/>
                      <w:color w:val="auto"/>
                      <w:sz w:val="21"/>
                      <w:szCs w:val="21"/>
                      <w:u w:val="none" w:color="auto"/>
                      <w:vertAlign w:val="baseline"/>
                      <w:lang w:val="en-US" w:eastAsia="zh-CN"/>
                    </w:rPr>
                    <w:t>本项目情况</w:t>
                  </w:r>
                </w:p>
              </w:tc>
              <w:tc>
                <w:tcPr>
                  <w:tcW w:w="679" w:type="pct"/>
                  <w:tcBorders>
                    <w:tl2br w:val="nil"/>
                    <w:tr2bl w:val="nil"/>
                  </w:tcBorders>
                  <w:vAlign w:val="center"/>
                </w:tcPr>
                <w:p w14:paraId="69CDC541">
                  <w:pPr>
                    <w:pStyle w:val="5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auto"/>
                      <w:sz w:val="21"/>
                      <w:szCs w:val="21"/>
                      <w:u w:val="none" w:color="auto"/>
                      <w:vertAlign w:val="baseline"/>
                      <w:lang w:val="en-US" w:eastAsia="zh-CN"/>
                    </w:rPr>
                  </w:pPr>
                  <w:r>
                    <w:rPr>
                      <w:rFonts w:hint="eastAsia" w:ascii="Times New Roman" w:hAnsi="Times New Roman" w:cs="Times New Roman"/>
                      <w:b/>
                      <w:bCs w:val="0"/>
                      <w:color w:val="auto"/>
                      <w:sz w:val="21"/>
                      <w:szCs w:val="21"/>
                      <w:u w:val="none" w:color="auto"/>
                      <w:vertAlign w:val="baseline"/>
                      <w:lang w:val="en-US" w:eastAsia="zh-CN"/>
                    </w:rPr>
                    <w:t>相符性</w:t>
                  </w:r>
                </w:p>
              </w:tc>
            </w:tr>
            <w:tr w14:paraId="07E17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79794177">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干线过江通道布局规划(2020-2035年)》的过长江通道项目</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60D69E86">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本项目不涉及码头建设项目和过长江通道项目</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23444850">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18D7A1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21A31F60">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在自然保护区核心区、缓冲区的岸线和河段范围内投资建设以下旅游和生产经营项目:(一)高尔夫球场开发、房地产开发、索道建设、会所建设等项目;(二)光伏发电、风力发电、火力发电建设项目;(三)社会资金进行商业性探矿勘查，以及不属于国家紧缺矿种资源的基础地质调查和矿产远景调查等公益性工作的设施建设:(四)野生动物驯养繁殖、展览基地建设项目:(五)污染环境、破坏自然资源或自然景观的建设设施:(六)对自然保护区主要保护对象产生重大影响、改变自然生态系统完整性、原真性、破坏自然景观的设施;(七)其他不符合自然保护区主体功能定位和国家禁止的设施</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067EBFD6">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本项目位于</w:t>
                  </w:r>
                  <w:r>
                    <w:rPr>
                      <w:rFonts w:hint="eastAsia" w:ascii="Times New Roman" w:hAnsi="Times New Roman" w:cs="Times New Roman"/>
                      <w:b w:val="0"/>
                      <w:bCs/>
                      <w:color w:val="auto"/>
                      <w:sz w:val="21"/>
                      <w:szCs w:val="21"/>
                      <w:u w:val="none" w:color="auto"/>
                      <w:vertAlign w:val="baseline"/>
                      <w:lang w:val="en-US" w:eastAsia="zh-CN"/>
                    </w:rPr>
                    <w:t>怀化市高新技术产业开发区管理委员会中方片区管理办公室泸阳片区（众力创新园1栋南区第2层）</w:t>
                  </w:r>
                  <w:r>
                    <w:rPr>
                      <w:rFonts w:hint="default" w:ascii="Times New Roman" w:hAnsi="Times New Roman" w:cs="Times New Roman"/>
                      <w:b w:val="0"/>
                      <w:bCs/>
                      <w:color w:val="auto"/>
                      <w:sz w:val="21"/>
                      <w:szCs w:val="21"/>
                      <w:u w:val="none" w:color="auto"/>
                      <w:vertAlign w:val="baseline"/>
                      <w:lang w:val="en-US" w:eastAsia="zh-CN"/>
                    </w:rPr>
                    <w:t>，不属于自然保护区及风景名胜区内</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3789F8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2D29B7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7F18284E">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机场、铁路、公路、水利、围堰等公益性基础设施的选址选线应多方案优化比选。尽量避让相关自然保护区域、野生动物迁徙洄游通道:无法避让的，应当采取修建野生动物通道、过鱼设施等措施，消除或者减少对野生动物的不利影响。</w:t>
                  </w:r>
                </w:p>
              </w:tc>
              <w:tc>
                <w:tcPr>
                  <w:tcW w:w="1847" w:type="pct"/>
                  <w:tcBorders>
                    <w:tl2br w:val="nil"/>
                    <w:tr2bl w:val="nil"/>
                  </w:tcBorders>
                  <w:vAlign w:val="center"/>
                </w:tcPr>
                <w:p w14:paraId="3517E3DF">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本项目不属于机场、铁路、公路、水利、围堰等公益性基础设施建设。且不位于自然保护区内</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459D266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40469F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09" w:hRule="atLeast"/>
              </w:trPr>
              <w:tc>
                <w:tcPr>
                  <w:tcW w:w="2472" w:type="pct"/>
                  <w:tcBorders>
                    <w:tl2br w:val="nil"/>
                    <w:tr2bl w:val="nil"/>
                  </w:tcBorders>
                  <w:vAlign w:val="center"/>
                </w:tcPr>
                <w:p w14:paraId="43DC4A3F">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禁止违反风景名胜区规划，在风景名胜区内设立各类开发区和在核心景区内建设宾馆、招待所、培训中心、疗养院以及与风景名胜资源保护无关的其他建筑物，已经建设的，应当按照风景名胜区规划，逐步迁出</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253835F9">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本项目位于</w:t>
                  </w:r>
                  <w:r>
                    <w:rPr>
                      <w:rFonts w:hint="eastAsia" w:ascii="Times New Roman" w:hAnsi="Times New Roman" w:cs="Times New Roman"/>
                      <w:b w:val="0"/>
                      <w:bCs/>
                      <w:color w:val="auto"/>
                      <w:sz w:val="21"/>
                      <w:szCs w:val="21"/>
                      <w:u w:val="none" w:color="auto"/>
                      <w:vertAlign w:val="baseline"/>
                      <w:lang w:val="en-US" w:eastAsia="zh-CN"/>
                    </w:rPr>
                    <w:t>怀化市高新技术产业开发区管理委员会中方片区管理办公室泸阳片区（众力创新园1栋南区第2层）</w:t>
                  </w:r>
                  <w:r>
                    <w:rPr>
                      <w:rFonts w:hint="default" w:ascii="Times New Roman" w:hAnsi="Times New Roman" w:cs="Times New Roman"/>
                      <w:b w:val="0"/>
                      <w:bCs/>
                      <w:color w:val="auto"/>
                      <w:sz w:val="21"/>
                      <w:szCs w:val="21"/>
                      <w:u w:val="none" w:color="auto"/>
                      <w:vertAlign w:val="baseline"/>
                      <w:lang w:val="en-US" w:eastAsia="zh-CN"/>
                    </w:rPr>
                    <w:t>，不位于风景名胜区内</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7FC4CA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36DDEA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215820E3">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饮用水水源一级保护区内禁止新建、改建、扩建与供水设施和保护水源无关的建设项目，以及网箱养殖、畜禽养殖、旅游等可能污染饮用水水体的投资建设项目，禁止向水域排放污水，已设置的排污口必须拆除;不得设置与供水需要无关的码头，禁止停靠船舶:禁止堆置和存放工业废渣、城市垃圾、粪便和其它废弃物;禁止设置油库:禁止使用含磷洗涤用品</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1574A1BA">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本项目位于</w:t>
                  </w:r>
                  <w:r>
                    <w:rPr>
                      <w:rFonts w:hint="eastAsia" w:ascii="Times New Roman" w:hAnsi="Times New Roman" w:cs="Times New Roman"/>
                      <w:b w:val="0"/>
                      <w:bCs/>
                      <w:color w:val="auto"/>
                      <w:sz w:val="21"/>
                      <w:szCs w:val="21"/>
                      <w:u w:val="none" w:color="auto"/>
                      <w:vertAlign w:val="baseline"/>
                      <w:lang w:val="en-US" w:eastAsia="zh-CN"/>
                    </w:rPr>
                    <w:t>怀化市高新技术产业开发区管理委员会中方片区管理办公室泸阳片区（众力创新园1栋南区第2层）</w:t>
                  </w:r>
                  <w:r>
                    <w:rPr>
                      <w:rFonts w:hint="default" w:ascii="Times New Roman" w:hAnsi="Times New Roman" w:cs="Times New Roman"/>
                      <w:b w:val="0"/>
                      <w:bCs/>
                      <w:color w:val="auto"/>
                      <w:sz w:val="21"/>
                      <w:szCs w:val="21"/>
                      <w:u w:val="none" w:color="auto"/>
                      <w:vertAlign w:val="baseline"/>
                      <w:lang w:val="en-US" w:eastAsia="zh-CN"/>
                    </w:rPr>
                    <w:t>，不属于饮用水水源保护区内</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133F7A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1D8BFE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213F1A41">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饮用水水源二级保护区内禁止新建、改建、扩建向水体排放污染物的投资建设项目。原有排污口依法拆除或关闭。禁止设立装卸垃圾、粪便、油类和有毒物品的码头。</w:t>
                  </w:r>
                </w:p>
              </w:tc>
              <w:tc>
                <w:tcPr>
                  <w:tcW w:w="1847" w:type="pct"/>
                  <w:tcBorders>
                    <w:tl2br w:val="nil"/>
                    <w:tr2bl w:val="nil"/>
                  </w:tcBorders>
                  <w:vAlign w:val="center"/>
                </w:tcPr>
                <w:p w14:paraId="44C10FFB">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本项目位于</w:t>
                  </w:r>
                  <w:r>
                    <w:rPr>
                      <w:rFonts w:hint="eastAsia" w:ascii="Times New Roman" w:hAnsi="Times New Roman" w:cs="Times New Roman"/>
                      <w:b w:val="0"/>
                      <w:bCs/>
                      <w:color w:val="auto"/>
                      <w:sz w:val="21"/>
                      <w:szCs w:val="21"/>
                      <w:u w:val="none" w:color="auto"/>
                      <w:vertAlign w:val="baseline"/>
                      <w:lang w:val="en-US" w:eastAsia="zh-CN"/>
                    </w:rPr>
                    <w:t>怀化市高新技术产业开发区管理委员会中方片区管理办公室泸阳片区（众力创新园1栋南区第2层）</w:t>
                  </w:r>
                  <w:r>
                    <w:rPr>
                      <w:rFonts w:hint="default" w:ascii="Times New Roman" w:hAnsi="Times New Roman" w:cs="Times New Roman"/>
                      <w:b w:val="0"/>
                      <w:bCs/>
                      <w:color w:val="auto"/>
                      <w:sz w:val="21"/>
                      <w:szCs w:val="21"/>
                      <w:u w:val="none" w:color="auto"/>
                      <w:vertAlign w:val="baseline"/>
                      <w:lang w:val="en-US" w:eastAsia="zh-CN"/>
                    </w:rPr>
                    <w:t>，不涉及饮用水水源二级保护区</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4657549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012D28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3B0635EA">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禁止在水产种质资源保护区的岸线和河段范围内新建排污口、实施非法围垦河道和围湖造田造地等投资建设项目</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5AE82A95">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本项目不涉及水产种质资源保护区的岸线和河段</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3F883E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76E0F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5E5D0023">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除《中华人民共和国防洪法》规定的紧急防汛期采取的紧急措施外，禁止在国家湿地公园的岸线和河段范围内挖沙、采矿，以及以下不符合主体功能定位的行为和活动:(一)开(围)垦、填埋或者排干湿地(二)截断湿地水源。(三倾倒有毒有害物质、废弃物、垃圾。(四)从事房地产、度假村、高尔夫球场、风力发电、光伏发电等任何不符合主体功能定位的建设项目和开发活动。(五)破坏野生动物栖息地和迁徒通道、鱼类洄游通道。滥采滥捕野生动植物。(六)引入外来物种。(七)擅自放牧、捕捞、取土、取水、排污、放生。(八)其他破坏湿地及其生态功能的活动</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0E8CA3FE">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本项目位于</w:t>
                  </w:r>
                  <w:r>
                    <w:rPr>
                      <w:rFonts w:hint="eastAsia" w:ascii="Times New Roman" w:hAnsi="Times New Roman" w:cs="Times New Roman"/>
                      <w:b w:val="0"/>
                      <w:bCs/>
                      <w:color w:val="auto"/>
                      <w:sz w:val="21"/>
                      <w:szCs w:val="21"/>
                      <w:u w:val="none" w:color="auto"/>
                      <w:vertAlign w:val="baseline"/>
                      <w:lang w:val="en-US" w:eastAsia="zh-CN"/>
                    </w:rPr>
                    <w:t>怀化市高新技术产业开发区管理委员会中方片区管理办公室泸阳片区（众力创新园1栋南区第2层）</w:t>
                  </w:r>
                  <w:r>
                    <w:rPr>
                      <w:rFonts w:hint="default" w:ascii="Times New Roman" w:hAnsi="Times New Roman" w:cs="Times New Roman"/>
                      <w:b w:val="0"/>
                      <w:bCs/>
                      <w:color w:val="auto"/>
                      <w:sz w:val="21"/>
                      <w:szCs w:val="21"/>
                      <w:u w:val="none" w:color="auto"/>
                      <w:vertAlign w:val="baseline"/>
                      <w:lang w:val="en-US" w:eastAsia="zh-CN"/>
                    </w:rPr>
                    <w:t>，不位于国家湿地公园的岸线和河段范围内</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3999A3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504EAF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4D3A6B6D">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填湖造地、围湖造田及非法围垦河道，禁止非法建设矮围网围、填埋湿地等侵占河湖水域或者违法利用、占用河湖岸线的行为</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5BF46B58">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本项目位于</w:t>
                  </w:r>
                  <w:r>
                    <w:rPr>
                      <w:rFonts w:hint="eastAsia" w:ascii="Times New Roman" w:hAnsi="Times New Roman" w:cs="Times New Roman"/>
                      <w:b w:val="0"/>
                      <w:bCs/>
                      <w:color w:val="auto"/>
                      <w:sz w:val="21"/>
                      <w:szCs w:val="21"/>
                      <w:u w:val="none" w:color="auto"/>
                      <w:vertAlign w:val="baseline"/>
                      <w:lang w:val="en-US" w:eastAsia="zh-CN"/>
                    </w:rPr>
                    <w:t>怀化市高新技术产业开发区管理委员会中方片区管理办公室泸阳片区（众力创新园1栋南区第2层）</w:t>
                  </w:r>
                  <w:r>
                    <w:rPr>
                      <w:rFonts w:hint="default" w:ascii="Times New Roman" w:hAnsi="Times New Roman" w:cs="Times New Roman"/>
                      <w:b w:val="0"/>
                      <w:bCs/>
                      <w:color w:val="auto"/>
                      <w:sz w:val="21"/>
                      <w:szCs w:val="21"/>
                      <w:u w:val="none" w:color="auto"/>
                      <w:vertAlign w:val="baseline"/>
                      <w:lang w:val="en-US" w:eastAsia="zh-CN"/>
                    </w:rPr>
                    <w:t>，不涉及长江流域河湖岸线，不涉及所述禁止行为</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05F76D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45A5A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6CA942F2">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禁止在《全国重要江河湖泊水功能区划》划定的河段及湖泊保护区、保留区内投资建设不利于水资源及自然生态保护的项</w:t>
                  </w:r>
                  <w:r>
                    <w:rPr>
                      <w:rFonts w:hint="eastAsia" w:ascii="Times New Roman" w:hAnsi="Times New Roman" w:cs="Times New Roman"/>
                      <w:b w:val="0"/>
                      <w:bCs/>
                      <w:color w:val="auto"/>
                      <w:sz w:val="21"/>
                      <w:szCs w:val="21"/>
                      <w:u w:val="none" w:color="auto"/>
                      <w:vertAlign w:val="baseline"/>
                      <w:lang w:val="en-US" w:eastAsia="zh-CN"/>
                    </w:rPr>
                    <w:t>目。</w:t>
                  </w:r>
                </w:p>
              </w:tc>
              <w:tc>
                <w:tcPr>
                  <w:tcW w:w="1847" w:type="pct"/>
                  <w:tcBorders>
                    <w:tl2br w:val="nil"/>
                    <w:tr2bl w:val="nil"/>
                  </w:tcBorders>
                  <w:vAlign w:val="center"/>
                </w:tcPr>
                <w:p w14:paraId="4C5FC544">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本项目不位于《全国重要江河湖泊水功能区划》划定的河段及湖泊保护区、保留区内</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39E408D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45CC93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202A9454">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禁止未经许可在长江干支流及湖泊新设、改设或扩大排污口</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00211F2E">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本项目位于</w:t>
                  </w:r>
                  <w:r>
                    <w:rPr>
                      <w:rFonts w:hint="eastAsia" w:ascii="Times New Roman" w:hAnsi="Times New Roman" w:cs="Times New Roman"/>
                      <w:b w:val="0"/>
                      <w:bCs/>
                      <w:color w:val="auto"/>
                      <w:sz w:val="21"/>
                      <w:szCs w:val="21"/>
                      <w:u w:val="none" w:color="auto"/>
                      <w:vertAlign w:val="baseline"/>
                      <w:lang w:val="en-US" w:eastAsia="zh-CN"/>
                    </w:rPr>
                    <w:t>怀化市高新技术产业开发区管理委员会中方片区管理办公室泸阳片区（众力创新园1栋南区第2层）</w:t>
                  </w:r>
                  <w:r>
                    <w:rPr>
                      <w:rFonts w:hint="default" w:ascii="Times New Roman" w:hAnsi="Times New Roman" w:cs="Times New Roman"/>
                      <w:b w:val="0"/>
                      <w:bCs/>
                      <w:color w:val="auto"/>
                      <w:sz w:val="21"/>
                      <w:szCs w:val="21"/>
                      <w:u w:val="none" w:color="auto"/>
                      <w:vertAlign w:val="baseline"/>
                      <w:lang w:val="en-US" w:eastAsia="zh-CN"/>
                    </w:rPr>
                    <w:t>，不涉及在长江干支流及</w:t>
                  </w:r>
                  <w:r>
                    <w:rPr>
                      <w:rFonts w:hint="eastAsia" w:ascii="Times New Roman" w:hAnsi="Times New Roman" w:cs="Times New Roman"/>
                      <w:b w:val="0"/>
                      <w:bCs/>
                      <w:color w:val="auto"/>
                      <w:sz w:val="21"/>
                      <w:szCs w:val="21"/>
                      <w:u w:val="none" w:color="auto"/>
                      <w:vertAlign w:val="baseline"/>
                      <w:lang w:val="en-US" w:eastAsia="zh-CN"/>
                    </w:rPr>
                    <w:t>湖</w:t>
                  </w:r>
                  <w:r>
                    <w:rPr>
                      <w:rFonts w:hint="default" w:ascii="Times New Roman" w:hAnsi="Times New Roman" w:cs="Times New Roman"/>
                      <w:b w:val="0"/>
                      <w:bCs/>
                      <w:color w:val="auto"/>
                      <w:sz w:val="21"/>
                      <w:szCs w:val="21"/>
                      <w:u w:val="none" w:color="auto"/>
                      <w:vertAlign w:val="baseline"/>
                      <w:lang w:val="en-US" w:eastAsia="zh-CN"/>
                    </w:rPr>
                    <w:t>泊新设、改设或扩大排污口</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47549D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0C8C60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263224D0">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在洞庭湖、湘江、资江、沅江、澧水干流和45个水生生物保护区开展生产性捕捞。在相关自然保护区域和禁猎(渔)区、禁猎(渔)期内，禁止猎捕以及其他妨碍野生动物生息繁衍的活动，但法律法规另有规定的除外</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0E6847C7">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本项目不涉及捕捞</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5103B7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2789C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4E03803E">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以提升安全、生态环境保护水平为目的的改建除外</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4363908E">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本项目不属于化工项目。</w:t>
                  </w:r>
                </w:p>
              </w:tc>
              <w:tc>
                <w:tcPr>
                  <w:tcW w:w="679" w:type="pct"/>
                  <w:tcBorders>
                    <w:tl2br w:val="nil"/>
                    <w:tr2bl w:val="nil"/>
                  </w:tcBorders>
                  <w:vAlign w:val="center"/>
                </w:tcPr>
                <w:p w14:paraId="5B12AF4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4E450D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73F63D28">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禁止在合规园区外新建、扩建钢铁、石化、化工、焦化、建材、有色、制浆造纸等高污染项目。高污染项目严格按照生态环境部《环境保护综合名录(2021年版)》有关要求执行</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2E5539A4">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本项目不涉及。</w:t>
                  </w:r>
                </w:p>
              </w:tc>
              <w:tc>
                <w:tcPr>
                  <w:tcW w:w="679" w:type="pct"/>
                  <w:tcBorders>
                    <w:tl2br w:val="nil"/>
                    <w:tr2bl w:val="nil"/>
                  </w:tcBorders>
                  <w:vAlign w:val="center"/>
                </w:tcPr>
                <w:p w14:paraId="7AB94E6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0B2C59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4B94F1DF">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禁止新建、扩建不符合国家石化、现代煤化工等产业布局规划的项目。未通过认定的化工园区，不得新建、改扩建化工项目(安全、环保、节能和智能化改造项目除外)</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7A42F13A">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本项目不属于石化、现代煤化工项目</w:t>
                  </w:r>
                  <w:r>
                    <w:rPr>
                      <w:rFonts w:hint="eastAsia" w:ascii="Times New Roman" w:hAnsi="Times New Roman" w:cs="Times New Roman"/>
                      <w:b w:val="0"/>
                      <w:bCs/>
                      <w:color w:val="auto"/>
                      <w:sz w:val="21"/>
                      <w:szCs w:val="21"/>
                      <w:u w:val="none" w:color="auto"/>
                      <w:vertAlign w:val="baseline"/>
                      <w:lang w:val="en-US" w:eastAsia="zh-CN"/>
                    </w:rPr>
                    <w:t>。</w:t>
                  </w:r>
                </w:p>
              </w:tc>
              <w:tc>
                <w:tcPr>
                  <w:tcW w:w="679" w:type="pct"/>
                  <w:tcBorders>
                    <w:tl2br w:val="nil"/>
                    <w:tr2bl w:val="nil"/>
                  </w:tcBorders>
                  <w:vAlign w:val="center"/>
                </w:tcPr>
                <w:p w14:paraId="38DF2A1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r w14:paraId="3CA68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472" w:type="pct"/>
                  <w:tcBorders>
                    <w:tl2br w:val="nil"/>
                    <w:tr2bl w:val="nil"/>
                  </w:tcBorders>
                  <w:vAlign w:val="center"/>
                </w:tcPr>
                <w:p w14:paraId="5ED225FE">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r>
                    <w:rPr>
                      <w:rFonts w:hint="eastAsia" w:ascii="Times New Roman" w:hAnsi="Times New Roman" w:cs="Times New Roman"/>
                      <w:b w:val="0"/>
                      <w:bCs/>
                      <w:color w:val="auto"/>
                      <w:sz w:val="21"/>
                      <w:szCs w:val="21"/>
                      <w:u w:val="none" w:color="auto"/>
                      <w:vertAlign w:val="baseline"/>
                      <w:lang w:val="en-US" w:eastAsia="zh-CN"/>
                    </w:rPr>
                    <w:t>。</w:t>
                  </w:r>
                </w:p>
              </w:tc>
              <w:tc>
                <w:tcPr>
                  <w:tcW w:w="1847" w:type="pct"/>
                  <w:tcBorders>
                    <w:tl2br w:val="nil"/>
                    <w:tr2bl w:val="nil"/>
                  </w:tcBorders>
                  <w:vAlign w:val="center"/>
                </w:tcPr>
                <w:p w14:paraId="4FBC8B87">
                  <w:pPr>
                    <w:pStyle w:val="5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sz w:val="21"/>
                      <w:szCs w:val="21"/>
                      <w:u w:val="none" w:color="auto"/>
                      <w:vertAlign w:val="baseline"/>
                      <w:lang w:val="en-US" w:eastAsia="zh-CN"/>
                    </w:rPr>
                    <w:t>本项目主要</w:t>
                  </w:r>
                  <w:r>
                    <w:rPr>
                      <w:rFonts w:hint="eastAsia" w:ascii="Times New Roman" w:hAnsi="Times New Roman" w:cs="Times New Roman"/>
                      <w:b w:val="0"/>
                      <w:bCs/>
                      <w:color w:val="auto"/>
                      <w:sz w:val="21"/>
                      <w:szCs w:val="21"/>
                      <w:u w:val="none" w:color="auto"/>
                      <w:vertAlign w:val="baseline"/>
                      <w:lang w:val="en-US" w:eastAsia="zh-CN"/>
                    </w:rPr>
                    <w:t>产</w:t>
                  </w:r>
                  <w:r>
                    <w:rPr>
                      <w:rFonts w:hint="default" w:ascii="Times New Roman" w:hAnsi="Times New Roman" w:cs="Times New Roman"/>
                      <w:b w:val="0"/>
                      <w:bCs/>
                      <w:color w:val="auto"/>
                      <w:sz w:val="21"/>
                      <w:szCs w:val="21"/>
                      <w:u w:val="none" w:color="auto"/>
                      <w:vertAlign w:val="baseline"/>
                      <w:lang w:val="en-US" w:eastAsia="zh-CN"/>
                    </w:rPr>
                    <w:t>品不属于法律法规和相关政策明令禁止的落后产能项目，不属于不符合国家产能置换要求的严重过剩产能行业，不属于高耗能高排放项目。</w:t>
                  </w:r>
                </w:p>
              </w:tc>
              <w:tc>
                <w:tcPr>
                  <w:tcW w:w="679" w:type="pct"/>
                  <w:tcBorders>
                    <w:tl2br w:val="nil"/>
                    <w:tr2bl w:val="nil"/>
                  </w:tcBorders>
                  <w:vAlign w:val="center"/>
                </w:tcPr>
                <w:p w14:paraId="6927AD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符合</w:t>
                  </w:r>
                </w:p>
              </w:tc>
            </w:tr>
          </w:tbl>
          <w:p w14:paraId="35983F25">
            <w:pPr>
              <w:pStyle w:val="16"/>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b/>
                <w:bCs/>
                <w:color w:val="auto"/>
                <w:kern w:val="2"/>
                <w:sz w:val="24"/>
                <w:szCs w:val="24"/>
                <w:u w:val="none" w:color="auto"/>
                <w:lang w:val="en-US" w:eastAsia="zh-CN" w:bidi="ar-SA"/>
              </w:rPr>
            </w:pPr>
            <w:r>
              <w:rPr>
                <w:rFonts w:hint="eastAsia" w:ascii="Times New Roman" w:hAnsi="Times New Roman" w:eastAsia="宋体" w:cs="Times New Roman"/>
                <w:b/>
                <w:bCs/>
                <w:color w:val="auto"/>
                <w:kern w:val="2"/>
                <w:sz w:val="24"/>
                <w:szCs w:val="24"/>
                <w:u w:val="none" w:color="auto"/>
                <w:lang w:val="en-US" w:eastAsia="zh-CN" w:bidi="ar-SA"/>
              </w:rPr>
              <w:t>5、与《湖南省空气质量持续改善行动计划实施方案》的符合性分析</w:t>
            </w:r>
          </w:p>
          <w:p w14:paraId="1E4A69D2">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b/>
                <w:bCs/>
                <w:sz w:val="21"/>
                <w:szCs w:val="21"/>
                <w:lang w:val="en-US" w:eastAsia="zh-CN"/>
              </w:rPr>
            </w:pPr>
            <w:r>
              <w:rPr>
                <w:rFonts w:hint="default"/>
                <w:b/>
                <w:bCs/>
                <w:sz w:val="21"/>
                <w:szCs w:val="21"/>
                <w:lang w:val="en-US" w:eastAsia="zh-CN"/>
              </w:rPr>
              <w:t>表1-</w:t>
            </w:r>
            <w:r>
              <w:rPr>
                <w:rFonts w:hint="eastAsia"/>
                <w:b/>
                <w:bCs/>
                <w:sz w:val="21"/>
                <w:szCs w:val="21"/>
                <w:lang w:val="en-US" w:eastAsia="zh-CN"/>
              </w:rPr>
              <w:t>10</w:t>
            </w:r>
            <w:r>
              <w:rPr>
                <w:rFonts w:hint="default"/>
                <w:b/>
                <w:bCs/>
                <w:sz w:val="21"/>
                <w:szCs w:val="21"/>
                <w:lang w:val="en-US" w:eastAsia="zh-CN"/>
              </w:rPr>
              <w:t>《湖南省空气质量持续改善行动计划实施方案》符合性分析一览表</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40"/>
              <w:gridCol w:w="3094"/>
              <w:gridCol w:w="3022"/>
              <w:gridCol w:w="1214"/>
            </w:tblGrid>
            <w:tr w14:paraId="21ED79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73" w:type="pct"/>
                  <w:tcBorders>
                    <w:tl2br w:val="nil"/>
                    <w:tr2bl w:val="nil"/>
                  </w:tcBorders>
                  <w:vAlign w:val="center"/>
                </w:tcPr>
                <w:p w14:paraId="74A8F765">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序号</w:t>
                  </w:r>
                </w:p>
              </w:tc>
              <w:tc>
                <w:tcPr>
                  <w:tcW w:w="1826" w:type="pct"/>
                  <w:tcBorders>
                    <w:tl2br w:val="nil"/>
                    <w:tr2bl w:val="nil"/>
                  </w:tcBorders>
                  <w:vAlign w:val="center"/>
                </w:tcPr>
                <w:p w14:paraId="7B3E349B">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湖南省空气质量持续改善行动计划实施方案内容</w:t>
                  </w:r>
                </w:p>
              </w:tc>
              <w:tc>
                <w:tcPr>
                  <w:tcW w:w="1783" w:type="pct"/>
                  <w:tcBorders>
                    <w:tl2br w:val="nil"/>
                    <w:tr2bl w:val="nil"/>
                  </w:tcBorders>
                  <w:vAlign w:val="center"/>
                </w:tcPr>
                <w:p w14:paraId="057CEB46">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本项目情况</w:t>
                  </w:r>
                </w:p>
              </w:tc>
              <w:tc>
                <w:tcPr>
                  <w:tcW w:w="716" w:type="pct"/>
                  <w:tcBorders>
                    <w:tl2br w:val="nil"/>
                    <w:tr2bl w:val="nil"/>
                  </w:tcBorders>
                  <w:vAlign w:val="center"/>
                </w:tcPr>
                <w:p w14:paraId="160EDC60">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符合性</w:t>
                  </w:r>
                </w:p>
              </w:tc>
            </w:tr>
            <w:tr w14:paraId="0D548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73" w:type="pct"/>
                  <w:tcBorders>
                    <w:tl2br w:val="nil"/>
                    <w:tr2bl w:val="nil"/>
                  </w:tcBorders>
                  <w:vAlign w:val="center"/>
                </w:tcPr>
                <w:p w14:paraId="7E63462A">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1</w:t>
                  </w:r>
                </w:p>
              </w:tc>
              <w:tc>
                <w:tcPr>
                  <w:tcW w:w="1826" w:type="pct"/>
                  <w:tcBorders>
                    <w:tl2br w:val="nil"/>
                    <w:tr2bl w:val="nil"/>
                  </w:tcBorders>
                  <w:vAlign w:val="center"/>
                </w:tcPr>
                <w:p w14:paraId="5BBE0A2B">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加强“两高”项目管理。</w:t>
                  </w:r>
                </w:p>
              </w:tc>
              <w:tc>
                <w:tcPr>
                  <w:tcW w:w="1783" w:type="pct"/>
                  <w:tcBorders>
                    <w:tl2br w:val="nil"/>
                    <w:tr2bl w:val="nil"/>
                  </w:tcBorders>
                  <w:vAlign w:val="center"/>
                </w:tcPr>
                <w:p w14:paraId="1412B033">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项目不属于“两高项目</w:t>
                  </w:r>
                </w:p>
              </w:tc>
              <w:tc>
                <w:tcPr>
                  <w:tcW w:w="716" w:type="pct"/>
                  <w:tcBorders>
                    <w:tl2br w:val="nil"/>
                    <w:tr2bl w:val="nil"/>
                  </w:tcBorders>
                  <w:vAlign w:val="center"/>
                </w:tcPr>
                <w:p w14:paraId="13436D03">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符合</w:t>
                  </w:r>
                </w:p>
              </w:tc>
            </w:tr>
            <w:tr w14:paraId="7052B6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73" w:type="pct"/>
                  <w:tcBorders>
                    <w:tl2br w:val="nil"/>
                    <w:tr2bl w:val="nil"/>
                  </w:tcBorders>
                  <w:vAlign w:val="center"/>
                </w:tcPr>
                <w:p w14:paraId="61669004">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2</w:t>
                  </w:r>
                </w:p>
              </w:tc>
              <w:tc>
                <w:tcPr>
                  <w:tcW w:w="1826" w:type="pct"/>
                  <w:tcBorders>
                    <w:tl2br w:val="nil"/>
                    <w:tr2bl w:val="nil"/>
                  </w:tcBorders>
                  <w:vAlign w:val="center"/>
                </w:tcPr>
                <w:p w14:paraId="31140BA9">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推动低VOCs含量原辅材料和品源头替代。</w:t>
                  </w:r>
                </w:p>
              </w:tc>
              <w:tc>
                <w:tcPr>
                  <w:tcW w:w="1783" w:type="pct"/>
                  <w:tcBorders>
                    <w:tl2br w:val="nil"/>
                    <w:tr2bl w:val="nil"/>
                  </w:tcBorders>
                  <w:vAlign w:val="center"/>
                </w:tcPr>
                <w:p w14:paraId="2F82098B">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本项目使用的</w:t>
                  </w:r>
                  <w:r>
                    <w:rPr>
                      <w:rFonts w:hint="eastAsia" w:cs="Times New Roman"/>
                      <w:b w:val="0"/>
                      <w:bCs w:val="0"/>
                      <w:color w:val="auto"/>
                      <w:kern w:val="2"/>
                      <w:sz w:val="21"/>
                      <w:szCs w:val="21"/>
                      <w:u w:val="none" w:color="auto"/>
                      <w:vertAlign w:val="baseline"/>
                      <w:lang w:val="en-US" w:eastAsia="zh-CN" w:bidi="ar-SA"/>
                    </w:rPr>
                    <w:t>绝缘漆</w:t>
                  </w:r>
                  <w:r>
                    <w:rPr>
                      <w:rFonts w:hint="eastAsia" w:ascii="Times New Roman" w:hAnsi="Times New Roman" w:eastAsia="宋体" w:cs="Times New Roman"/>
                      <w:b w:val="0"/>
                      <w:bCs w:val="0"/>
                      <w:color w:val="auto"/>
                      <w:kern w:val="2"/>
                      <w:sz w:val="21"/>
                      <w:szCs w:val="21"/>
                      <w:u w:val="none" w:color="auto"/>
                      <w:vertAlign w:val="baseline"/>
                      <w:lang w:val="en-US" w:eastAsia="zh-CN" w:bidi="ar-SA"/>
                    </w:rPr>
                    <w:t>、</w:t>
                  </w:r>
                  <w:r>
                    <w:rPr>
                      <w:rFonts w:hint="eastAsia" w:eastAsia="宋体" w:cs="Times New Roman"/>
                      <w:b w:val="0"/>
                      <w:bCs w:val="0"/>
                      <w:color w:val="auto"/>
                      <w:kern w:val="2"/>
                      <w:sz w:val="21"/>
                      <w:szCs w:val="21"/>
                      <w:u w:val="none" w:color="auto"/>
                      <w:vertAlign w:val="baseline"/>
                      <w:lang w:val="en-US" w:eastAsia="zh-CN" w:bidi="ar-SA"/>
                    </w:rPr>
                    <w:t>稀释剂</w:t>
                  </w:r>
                  <w:r>
                    <w:rPr>
                      <w:rFonts w:hint="eastAsia" w:ascii="Times New Roman" w:hAnsi="Times New Roman" w:eastAsia="宋体" w:cs="Times New Roman"/>
                      <w:b w:val="0"/>
                      <w:bCs w:val="0"/>
                      <w:color w:val="auto"/>
                      <w:kern w:val="2"/>
                      <w:sz w:val="21"/>
                      <w:szCs w:val="21"/>
                      <w:u w:val="none" w:color="auto"/>
                      <w:vertAlign w:val="baseline"/>
                      <w:lang w:val="en-US" w:eastAsia="zh-CN" w:bidi="ar-SA"/>
                    </w:rPr>
                    <w:t>、环氧树脂AB胶</w:t>
                  </w:r>
                  <w:r>
                    <w:rPr>
                      <w:rFonts w:hint="eastAsia" w:cs="Times New Roman"/>
                      <w:b w:val="0"/>
                      <w:bCs w:val="0"/>
                      <w:color w:val="auto"/>
                      <w:kern w:val="2"/>
                      <w:sz w:val="21"/>
                      <w:szCs w:val="21"/>
                      <w:u w:val="none" w:color="auto"/>
                      <w:vertAlign w:val="baseline"/>
                      <w:lang w:val="en-US" w:eastAsia="zh-CN" w:bidi="ar-SA"/>
                    </w:rPr>
                    <w:t>、助焊剂</w:t>
                  </w:r>
                  <w:r>
                    <w:rPr>
                      <w:rFonts w:hint="eastAsia" w:ascii="Times New Roman" w:hAnsi="Times New Roman" w:eastAsia="宋体" w:cs="Times New Roman"/>
                      <w:b w:val="0"/>
                      <w:bCs w:val="0"/>
                      <w:color w:val="auto"/>
                      <w:kern w:val="2"/>
                      <w:sz w:val="21"/>
                      <w:szCs w:val="21"/>
                      <w:u w:val="none" w:color="auto"/>
                      <w:vertAlign w:val="baseline"/>
                      <w:lang w:val="en-US" w:eastAsia="zh-CN" w:bidi="ar-SA"/>
                    </w:rPr>
                    <w:t>较少，工序为</w:t>
                  </w:r>
                  <w:r>
                    <w:rPr>
                      <w:rFonts w:hint="eastAsia" w:cs="Times New Roman"/>
                      <w:b w:val="0"/>
                      <w:bCs w:val="0"/>
                      <w:color w:val="auto"/>
                      <w:kern w:val="2"/>
                      <w:sz w:val="21"/>
                      <w:szCs w:val="21"/>
                      <w:u w:val="none" w:color="auto"/>
                      <w:vertAlign w:val="baseline"/>
                      <w:lang w:val="en-US" w:eastAsia="zh-CN" w:bidi="ar-SA"/>
                    </w:rPr>
                    <w:t>焊锡、点胶、调漆、</w:t>
                  </w:r>
                  <w:r>
                    <w:rPr>
                      <w:rFonts w:hint="eastAsia" w:ascii="Times New Roman" w:hAnsi="Times New Roman" w:eastAsia="宋体" w:cs="Times New Roman"/>
                      <w:b w:val="0"/>
                      <w:bCs w:val="0"/>
                      <w:color w:val="auto"/>
                      <w:kern w:val="2"/>
                      <w:sz w:val="21"/>
                      <w:szCs w:val="21"/>
                      <w:u w:val="none" w:color="auto"/>
                      <w:vertAlign w:val="baseline"/>
                      <w:lang w:val="en-US" w:eastAsia="zh-CN" w:bidi="ar-SA"/>
                    </w:rPr>
                    <w:t>浸漆、烘干，</w:t>
                  </w:r>
                  <w:r>
                    <w:rPr>
                      <w:rFonts w:hint="eastAsia"/>
                      <w:sz w:val="21"/>
                      <w:szCs w:val="21"/>
                      <w:lang w:val="en-US" w:eastAsia="zh-CN"/>
                    </w:rPr>
                    <w:t>焊锡有机废气采用集气罩收集经干式过滤器+二级活性炭吸附后高空排放；调漆、浸漆、烘干有机废气经密闭含浸房微负压收集经二级活性炭吸附后高空排放；点胶有机废气加强车间通风后无组织排放。</w:t>
                  </w:r>
                </w:p>
              </w:tc>
              <w:tc>
                <w:tcPr>
                  <w:tcW w:w="716" w:type="pct"/>
                  <w:tcBorders>
                    <w:tl2br w:val="nil"/>
                    <w:tr2bl w:val="nil"/>
                  </w:tcBorders>
                  <w:vAlign w:val="center"/>
                </w:tcPr>
                <w:p w14:paraId="72FCF412">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符合</w:t>
                  </w:r>
                </w:p>
              </w:tc>
            </w:tr>
            <w:tr w14:paraId="40C9B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73" w:type="pct"/>
                  <w:tcBorders>
                    <w:tl2br w:val="nil"/>
                    <w:tr2bl w:val="nil"/>
                  </w:tcBorders>
                  <w:vAlign w:val="center"/>
                </w:tcPr>
                <w:p w14:paraId="68651CBD">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3</w:t>
                  </w:r>
                </w:p>
              </w:tc>
              <w:tc>
                <w:tcPr>
                  <w:tcW w:w="1826" w:type="pct"/>
                  <w:tcBorders>
                    <w:tl2br w:val="nil"/>
                    <w:tr2bl w:val="nil"/>
                  </w:tcBorders>
                  <w:vAlign w:val="center"/>
                </w:tcPr>
                <w:p w14:paraId="6A4BEA0E">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深化扬尘污染综合治理。</w:t>
                  </w:r>
                </w:p>
              </w:tc>
              <w:tc>
                <w:tcPr>
                  <w:tcW w:w="1783" w:type="pct"/>
                  <w:tcBorders>
                    <w:tl2br w:val="nil"/>
                    <w:tr2bl w:val="nil"/>
                  </w:tcBorders>
                  <w:vAlign w:val="center"/>
                </w:tcPr>
                <w:p w14:paraId="43D518A6">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本项目为租赁已建成的标准化厂房，施工期无土建工程</w:t>
                  </w:r>
                </w:p>
              </w:tc>
              <w:tc>
                <w:tcPr>
                  <w:tcW w:w="716" w:type="pct"/>
                  <w:tcBorders>
                    <w:tl2br w:val="nil"/>
                    <w:tr2bl w:val="nil"/>
                  </w:tcBorders>
                  <w:vAlign w:val="center"/>
                </w:tcPr>
                <w:p w14:paraId="547B9F4E">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none" w:color="auto"/>
                      <w:vertAlign w:val="baseline"/>
                      <w:lang w:val="en-US" w:eastAsia="zh-CN" w:bidi="ar-SA"/>
                    </w:rPr>
                  </w:pPr>
                  <w:r>
                    <w:rPr>
                      <w:rFonts w:hint="eastAsia" w:ascii="Times New Roman" w:hAnsi="Times New Roman" w:eastAsia="宋体" w:cs="Times New Roman"/>
                      <w:b w:val="0"/>
                      <w:bCs w:val="0"/>
                      <w:color w:val="auto"/>
                      <w:kern w:val="2"/>
                      <w:sz w:val="21"/>
                      <w:szCs w:val="21"/>
                      <w:u w:val="none" w:color="auto"/>
                      <w:vertAlign w:val="baseline"/>
                      <w:lang w:val="en-US" w:eastAsia="zh-CN" w:bidi="ar-SA"/>
                    </w:rPr>
                    <w:t>符合</w:t>
                  </w:r>
                </w:p>
              </w:tc>
            </w:tr>
          </w:tbl>
          <w:p w14:paraId="6E74E689">
            <w:pPr>
              <w:pStyle w:val="16"/>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b/>
                <w:bCs/>
                <w:color w:val="auto"/>
                <w:kern w:val="2"/>
                <w:sz w:val="24"/>
                <w:szCs w:val="24"/>
                <w:u w:val="none" w:color="auto"/>
                <w:lang w:val="en-US" w:eastAsia="zh-CN" w:bidi="ar-SA"/>
              </w:rPr>
            </w:pPr>
            <w:r>
              <w:rPr>
                <w:rFonts w:hint="eastAsia" w:ascii="Times New Roman" w:hAnsi="Times New Roman" w:eastAsia="宋体" w:cs="Times New Roman"/>
                <w:b/>
                <w:bCs/>
                <w:color w:val="auto"/>
                <w:kern w:val="2"/>
                <w:sz w:val="24"/>
                <w:szCs w:val="24"/>
                <w:u w:val="none" w:color="auto"/>
                <w:lang w:val="en-US" w:eastAsia="zh-CN" w:bidi="ar-SA"/>
              </w:rPr>
              <w:t>6、项目</w:t>
            </w:r>
            <w:r>
              <w:rPr>
                <w:rFonts w:hint="default" w:ascii="Times New Roman" w:hAnsi="Times New Roman" w:eastAsia="宋体" w:cs="Times New Roman"/>
                <w:b/>
                <w:bCs/>
                <w:color w:val="auto"/>
                <w:kern w:val="2"/>
                <w:sz w:val="24"/>
                <w:szCs w:val="24"/>
                <w:u w:val="none" w:color="auto"/>
                <w:lang w:val="en-US" w:eastAsia="zh-CN" w:bidi="ar-SA"/>
              </w:rPr>
              <w:t>与挥发性有机物污染控制文件相符性</w:t>
            </w:r>
          </w:p>
          <w:p w14:paraId="3CA309C0">
            <w:pPr>
              <w:pStyle w:val="1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kern w:val="0"/>
                <w:sz w:val="21"/>
                <w:szCs w:val="21"/>
                <w:u w:val="none" w:color="auto"/>
                <w:lang w:val="en-US" w:eastAsia="zh-CN"/>
              </w:rPr>
            </w:pPr>
            <w:r>
              <w:rPr>
                <w:rFonts w:hint="default" w:ascii="Times New Roman" w:hAnsi="Times New Roman" w:eastAsia="宋体" w:cs="Times New Roman"/>
                <w:b/>
                <w:bCs/>
                <w:kern w:val="0"/>
                <w:sz w:val="21"/>
                <w:szCs w:val="21"/>
                <w:u w:val="none" w:color="auto"/>
                <w:lang w:val="en-US" w:eastAsia="zh-CN"/>
              </w:rPr>
              <w:t>表1-</w:t>
            </w:r>
            <w:r>
              <w:rPr>
                <w:rFonts w:hint="eastAsia" w:ascii="Times New Roman" w:hAnsi="Times New Roman" w:eastAsia="宋体" w:cs="Times New Roman"/>
                <w:b/>
                <w:bCs/>
                <w:kern w:val="0"/>
                <w:sz w:val="21"/>
                <w:szCs w:val="21"/>
                <w:u w:val="none" w:color="auto"/>
                <w:lang w:val="en-US" w:eastAsia="zh-CN"/>
              </w:rPr>
              <w:t>11</w:t>
            </w:r>
            <w:r>
              <w:rPr>
                <w:rFonts w:hint="default" w:ascii="Times New Roman" w:hAnsi="Times New Roman" w:eastAsia="宋体" w:cs="Times New Roman"/>
                <w:b/>
                <w:bCs/>
                <w:kern w:val="0"/>
                <w:sz w:val="21"/>
                <w:szCs w:val="21"/>
                <w:u w:val="none" w:color="auto"/>
                <w:lang w:val="en-US" w:eastAsia="zh-CN"/>
              </w:rPr>
              <w:t xml:space="preserve"> </w:t>
            </w:r>
            <w:r>
              <w:rPr>
                <w:rFonts w:hint="eastAsia" w:ascii="Times New Roman" w:hAnsi="Times New Roman" w:eastAsia="宋体" w:cs="Times New Roman"/>
                <w:b/>
                <w:bCs/>
                <w:kern w:val="0"/>
                <w:sz w:val="21"/>
                <w:szCs w:val="21"/>
                <w:u w:val="none" w:color="auto"/>
                <w:lang w:val="en-US" w:eastAsia="zh-CN"/>
              </w:rPr>
              <w:t>项目与挥发性有机物污染控制文件相符性</w:t>
            </w:r>
            <w:r>
              <w:rPr>
                <w:rFonts w:hint="default" w:ascii="Times New Roman" w:hAnsi="Times New Roman" w:eastAsia="宋体" w:cs="Times New Roman"/>
                <w:b/>
                <w:bCs/>
                <w:kern w:val="0"/>
                <w:sz w:val="21"/>
                <w:szCs w:val="21"/>
                <w:u w:val="none" w:color="auto"/>
                <w:lang w:val="en-US" w:eastAsia="zh-CN"/>
              </w:rPr>
              <w:t>一览表</w:t>
            </w:r>
          </w:p>
          <w:tbl>
            <w:tblPr>
              <w:tblStyle w:val="33"/>
              <w:tblW w:w="844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59"/>
              <w:gridCol w:w="2888"/>
              <w:gridCol w:w="2664"/>
              <w:gridCol w:w="735"/>
            </w:tblGrid>
            <w:tr w14:paraId="390CDA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29" w:hRule="atLeast"/>
                <w:jc w:val="center"/>
              </w:trPr>
              <w:tc>
                <w:tcPr>
                  <w:tcW w:w="2159" w:type="dxa"/>
                  <w:tcBorders>
                    <w:tl2br w:val="nil"/>
                    <w:tr2bl w:val="nil"/>
                  </w:tcBorders>
                  <w:noWrap/>
                  <w:vAlign w:val="center"/>
                </w:tcPr>
                <w:p w14:paraId="636CEF9A">
                  <w:pPr>
                    <w:keepNext w:val="0"/>
                    <w:keepLines w:val="0"/>
                    <w:pageBreakBefore w:val="0"/>
                    <w:widowControl w:val="0"/>
                    <w:kinsoku/>
                    <w:wordWrap/>
                    <w:overflowPunct/>
                    <w:topLinePunct w:val="0"/>
                    <w:bidi w:val="0"/>
                    <w:spacing w:line="240" w:lineRule="auto"/>
                    <w:ind w:firstLine="0" w:firstLineChars="0"/>
                    <w:jc w:val="center"/>
                    <w:rPr>
                      <w:rFonts w:hint="default" w:ascii="Times New Roman" w:hAnsi="Times New Roman" w:cs="Times New Roman"/>
                      <w:b w:val="0"/>
                      <w:bCs w:val="0"/>
                      <w:sz w:val="21"/>
                      <w:szCs w:val="21"/>
                      <w:u w:val="none" w:color="auto"/>
                      <w:lang w:val="en-US"/>
                    </w:rPr>
                  </w:pPr>
                  <w:r>
                    <w:rPr>
                      <w:rFonts w:hint="default" w:ascii="Times New Roman" w:hAnsi="Times New Roman" w:cs="Times New Roman"/>
                      <w:b w:val="0"/>
                      <w:bCs w:val="0"/>
                      <w:color w:val="auto"/>
                      <w:sz w:val="21"/>
                      <w:szCs w:val="21"/>
                      <w:u w:val="none" w:color="auto"/>
                      <w:lang w:val="en-US" w:eastAsia="zh-CN"/>
                    </w:rPr>
                    <w:t>文件名称</w:t>
                  </w:r>
                </w:p>
              </w:tc>
              <w:tc>
                <w:tcPr>
                  <w:tcW w:w="2888" w:type="dxa"/>
                  <w:tcBorders>
                    <w:tl2br w:val="nil"/>
                    <w:tr2bl w:val="nil"/>
                  </w:tcBorders>
                  <w:noWrap/>
                  <w:vAlign w:val="center"/>
                </w:tcPr>
                <w:p w14:paraId="0F55FC80">
                  <w:pPr>
                    <w:keepNext w:val="0"/>
                    <w:keepLines w:val="0"/>
                    <w:pageBreakBefore w:val="0"/>
                    <w:widowControl w:val="0"/>
                    <w:kinsoku/>
                    <w:wordWrap/>
                    <w:overflowPunct/>
                    <w:topLinePunct w:val="0"/>
                    <w:bidi w:val="0"/>
                    <w:spacing w:line="240" w:lineRule="auto"/>
                    <w:ind w:firstLine="0" w:firstLineChars="0"/>
                    <w:jc w:val="center"/>
                    <w:rPr>
                      <w:rFonts w:hint="default" w:ascii="Times New Roman" w:hAnsi="Times New Roman" w:cs="Times New Roman"/>
                      <w:b w:val="0"/>
                      <w:bCs w:val="0"/>
                      <w:color w:val="auto"/>
                      <w:sz w:val="21"/>
                      <w:szCs w:val="21"/>
                      <w:u w:val="none" w:color="auto"/>
                      <w:lang w:val="en-US" w:eastAsia="zh-CN"/>
                    </w:rPr>
                  </w:pPr>
                  <w:r>
                    <w:rPr>
                      <w:rFonts w:hint="default" w:ascii="Times New Roman" w:hAnsi="Times New Roman" w:cs="Times New Roman"/>
                      <w:b w:val="0"/>
                      <w:bCs w:val="0"/>
                      <w:color w:val="auto"/>
                      <w:sz w:val="21"/>
                      <w:szCs w:val="21"/>
                      <w:u w:val="none" w:color="auto"/>
                      <w:lang w:val="en-US" w:eastAsia="zh-CN"/>
                    </w:rPr>
                    <w:t>要求（与本项目相关的要求）</w:t>
                  </w:r>
                </w:p>
              </w:tc>
              <w:tc>
                <w:tcPr>
                  <w:tcW w:w="2664" w:type="dxa"/>
                  <w:tcBorders>
                    <w:tl2br w:val="nil"/>
                    <w:tr2bl w:val="nil"/>
                  </w:tcBorders>
                  <w:noWrap/>
                  <w:vAlign w:val="center"/>
                </w:tcPr>
                <w:p w14:paraId="78B4973C">
                  <w:pPr>
                    <w:keepNext w:val="0"/>
                    <w:keepLines w:val="0"/>
                    <w:pageBreakBefore w:val="0"/>
                    <w:widowControl w:val="0"/>
                    <w:kinsoku/>
                    <w:wordWrap/>
                    <w:overflowPunct/>
                    <w:topLinePunct w:val="0"/>
                    <w:bidi w:val="0"/>
                    <w:spacing w:line="240" w:lineRule="auto"/>
                    <w:ind w:firstLine="0" w:firstLineChars="0"/>
                    <w:jc w:val="center"/>
                    <w:rPr>
                      <w:rFonts w:hint="default" w:ascii="Times New Roman" w:hAnsi="Times New Roman" w:cs="Times New Roman"/>
                      <w:b w:val="0"/>
                      <w:bCs w:val="0"/>
                      <w:sz w:val="21"/>
                      <w:szCs w:val="21"/>
                      <w:u w:val="none" w:color="auto"/>
                    </w:rPr>
                  </w:pPr>
                  <w:r>
                    <w:rPr>
                      <w:rFonts w:hint="default" w:ascii="Times New Roman" w:hAnsi="Times New Roman" w:cs="Times New Roman"/>
                      <w:b w:val="0"/>
                      <w:bCs w:val="0"/>
                      <w:color w:val="000000"/>
                      <w:sz w:val="21"/>
                      <w:szCs w:val="21"/>
                      <w:u w:val="none" w:color="auto"/>
                    </w:rPr>
                    <w:t>本项目情况</w:t>
                  </w:r>
                </w:p>
              </w:tc>
              <w:tc>
                <w:tcPr>
                  <w:tcW w:w="735" w:type="dxa"/>
                  <w:tcBorders>
                    <w:tl2br w:val="nil"/>
                    <w:tr2bl w:val="nil"/>
                  </w:tcBorders>
                  <w:noWrap/>
                  <w:vAlign w:val="center"/>
                </w:tcPr>
                <w:p w14:paraId="3D112378">
                  <w:pPr>
                    <w:keepNext w:val="0"/>
                    <w:keepLines w:val="0"/>
                    <w:pageBreakBefore w:val="0"/>
                    <w:widowControl w:val="0"/>
                    <w:kinsoku/>
                    <w:wordWrap/>
                    <w:overflowPunct/>
                    <w:topLinePunct w:val="0"/>
                    <w:bidi w:val="0"/>
                    <w:spacing w:line="240" w:lineRule="auto"/>
                    <w:ind w:firstLine="0" w:firstLineChars="0"/>
                    <w:jc w:val="center"/>
                    <w:rPr>
                      <w:rFonts w:hint="default" w:ascii="Times New Roman" w:hAnsi="Times New Roman" w:cs="Times New Roman"/>
                      <w:b w:val="0"/>
                      <w:bCs w:val="0"/>
                      <w:sz w:val="21"/>
                      <w:szCs w:val="21"/>
                      <w:u w:val="none" w:color="auto"/>
                    </w:rPr>
                  </w:pPr>
                  <w:r>
                    <w:rPr>
                      <w:rFonts w:hint="default" w:ascii="Times New Roman" w:hAnsi="Times New Roman" w:cs="Times New Roman"/>
                      <w:b w:val="0"/>
                      <w:bCs w:val="0"/>
                      <w:color w:val="000000"/>
                      <w:sz w:val="21"/>
                      <w:szCs w:val="21"/>
                      <w:u w:val="none" w:color="auto"/>
                    </w:rPr>
                    <w:t>符合性分析</w:t>
                  </w:r>
                </w:p>
              </w:tc>
            </w:tr>
            <w:tr w14:paraId="480C59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43" w:hRule="atLeast"/>
                <w:jc w:val="center"/>
              </w:trPr>
              <w:tc>
                <w:tcPr>
                  <w:tcW w:w="2159" w:type="dxa"/>
                  <w:vMerge w:val="restart"/>
                  <w:tcBorders>
                    <w:tl2br w:val="nil"/>
                    <w:tr2bl w:val="nil"/>
                  </w:tcBorders>
                  <w:noWrap/>
                  <w:vAlign w:val="center"/>
                </w:tcPr>
                <w:p w14:paraId="4B73D4DE">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u w:val="none" w:color="auto"/>
                    </w:rPr>
                  </w:pPr>
                  <w:r>
                    <w:rPr>
                      <w:rFonts w:hint="default" w:ascii="Times New Roman" w:hAnsi="Times New Roman" w:eastAsia="宋体" w:cs="Times New Roman"/>
                      <w:b w:val="0"/>
                      <w:bCs w:val="0"/>
                      <w:kern w:val="0"/>
                      <w:sz w:val="21"/>
                      <w:szCs w:val="21"/>
                      <w:u w:val="none" w:color="auto"/>
                      <w:lang w:val="en-US" w:eastAsia="zh-CN"/>
                    </w:rPr>
                    <w:t>《2020年挥发性有机物治理攻坚方案》（环大气〔2020〕33号）</w:t>
                  </w:r>
                </w:p>
              </w:tc>
              <w:tc>
                <w:tcPr>
                  <w:tcW w:w="2888" w:type="dxa"/>
                  <w:tcBorders>
                    <w:tl2br w:val="nil"/>
                    <w:tr2bl w:val="nil"/>
                  </w:tcBorders>
                  <w:noWrap/>
                  <w:vAlign w:val="center"/>
                </w:tcPr>
                <w:p w14:paraId="65701594">
                  <w:pPr>
                    <w:keepNext w:val="0"/>
                    <w:keepLines w:val="0"/>
                    <w:pageBreakBefore w:val="0"/>
                    <w:widowControl w:val="0"/>
                    <w:numPr>
                      <w:ilvl w:val="0"/>
                      <w:numId w:val="0"/>
                    </w:numPr>
                    <w:kinsoku/>
                    <w:wordWrap/>
                    <w:overflowPunct/>
                    <w:topLinePunct w:val="0"/>
                    <w:bidi w:val="0"/>
                    <w:spacing w:line="240" w:lineRule="auto"/>
                    <w:ind w:firstLine="0" w:firstLineChars="0"/>
                    <w:jc w:val="left"/>
                    <w:rPr>
                      <w:rFonts w:hint="default" w:ascii="Times New Roman" w:hAnsi="Times New Roman" w:cs="Times New Roman"/>
                      <w:b/>
                      <w:bCs/>
                      <w:sz w:val="21"/>
                      <w:szCs w:val="21"/>
                      <w:u w:val="none" w:color="auto"/>
                      <w:lang w:val="en-US" w:eastAsia="zh-CN"/>
                    </w:rPr>
                  </w:pPr>
                  <w:r>
                    <w:rPr>
                      <w:rFonts w:hint="default" w:ascii="Times New Roman" w:hAnsi="Times New Roman" w:cs="Times New Roman"/>
                      <w:b/>
                      <w:bCs/>
                      <w:sz w:val="21"/>
                      <w:szCs w:val="21"/>
                      <w:u w:val="none" w:color="auto"/>
                      <w:lang w:val="en-US" w:eastAsia="zh-CN"/>
                    </w:rPr>
                    <w:t>二、全面落实标准要求，强化无组织排放控制</w:t>
                  </w:r>
                </w:p>
                <w:p w14:paraId="2C7ADBDD">
                  <w:pPr>
                    <w:pStyle w:val="58"/>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firstLine="0" w:firstLineChars="0"/>
                    <w:jc w:val="left"/>
                    <w:textAlignment w:val="auto"/>
                    <w:rPr>
                      <w:rFonts w:hint="default" w:ascii="Times New Roman" w:hAnsi="Times New Roman" w:eastAsia="宋体" w:cs="Times New Roman"/>
                      <w:sz w:val="21"/>
                      <w:szCs w:val="21"/>
                      <w:u w:val="none" w:color="auto"/>
                    </w:rPr>
                  </w:pPr>
                  <w:r>
                    <w:rPr>
                      <w:rFonts w:hint="default" w:ascii="Times New Roman" w:hAnsi="Times New Roman" w:cs="Times New Roman"/>
                      <w:sz w:val="21"/>
                      <w:szCs w:val="21"/>
                      <w:u w:val="none" w:color="auto"/>
                    </w:rPr>
                    <w:t>2020年7月1日起，全面执行《挥发性有机物无组织排放控制标准》，重点区域应落实无组织排放特别控制要求</w:t>
                  </w:r>
                  <w:r>
                    <w:rPr>
                      <w:rFonts w:hint="default" w:ascii="Times New Roman" w:hAnsi="Times New Roman" w:cs="Times New Roman"/>
                      <w:sz w:val="21"/>
                      <w:szCs w:val="21"/>
                      <w:u w:val="none" w:color="auto"/>
                      <w:lang w:eastAsia="zh-CN"/>
                    </w:rPr>
                    <w:t>。</w:t>
                  </w:r>
                  <w:r>
                    <w:rPr>
                      <w:rFonts w:hint="default" w:ascii="Times New Roman" w:hAnsi="Times New Roman" w:eastAsia="宋体" w:cs="Times New Roman"/>
                      <w:sz w:val="21"/>
                      <w:szCs w:val="21"/>
                      <w:u w:val="none" w:color="auto"/>
                    </w:rPr>
                    <w:t>含VOCs物料全方位、全链条、全环节密闭管理。储存环节应采用密闭容器、包装袋，高效密封储罐，封闭式储库、料仓等。装卸、转移和输送环节应采用密闭管道或密闭容器、罐车等。生产和使用环节应采用密闭设备，或在密闭空间中操作并有效收集废气，或进行局部气体收集；非取用状态时容器应密闭。处置环节应将盛装过VOCs物料的包装容器、含VOCs废料（渣、液）、废吸附剂等通过加盖、封装等方式密闭，妥善存放，不得随意丢弃，交有资质的单位处置；处置单位在贮存、清洗、破碎等环节应按要求对VOCs无组织排放废气进行收集、处理。企业中载有气态、液态VOCs物料的设备与管线组件密封点大于等于2000个的，应全面梳理建立台账，及时修复泄漏源；要将VOCs治理设施和储罐的密封点纳入检测计划中。</w:t>
                  </w:r>
                </w:p>
                <w:p w14:paraId="4447D6F8">
                  <w:pPr>
                    <w:rPr>
                      <w:rFonts w:hint="default"/>
                      <w:lang w:val="en-US" w:eastAsia="zh-CN"/>
                    </w:rPr>
                  </w:pPr>
                  <w:r>
                    <w:rPr>
                      <w:rFonts w:hint="eastAsia"/>
                      <w:u w:val="none" w:color="auto"/>
                      <w:lang w:val="en-US" w:eastAsia="zh-CN"/>
                    </w:rPr>
                    <w:t>加</w:t>
                  </w:r>
                  <w:r>
                    <w:rPr>
                      <w:rFonts w:hint="default"/>
                      <w:u w:val="none" w:color="auto"/>
                      <w:lang w:val="en-US" w:eastAsia="zh-CN"/>
                    </w:rPr>
                    <w:t>强非正常工况废气排放管控。石化、化工企业应</w:t>
                  </w:r>
                  <w:r>
                    <w:rPr>
                      <w:rFonts w:hint="default" w:ascii="Times New Roman" w:hAnsi="Times New Roman" w:eastAsia="宋体" w:cs="Times New Roman"/>
                      <w:color w:val="000000"/>
                      <w:kern w:val="0"/>
                      <w:sz w:val="21"/>
                      <w:szCs w:val="21"/>
                      <w:u w:val="none" w:color="auto"/>
                      <w:lang w:val="en-US" w:eastAsia="zh-CN" w:bidi="ar"/>
                    </w:rPr>
                    <w:t>提前向市级生态环境部门报告开停车、检维修计划；制定非正常工况VOCs管控规程，严格按规程操作。火炬、煤气放散管须安装引燃设施，配套建设燃烧温度监控、废气流量计、助燃气体流量计等，排放废气热值达不到要求时应及时补充助燃气体。不得将火炬燃烧装置作为日常大气污染处理设施。</w:t>
                  </w:r>
                </w:p>
              </w:tc>
              <w:tc>
                <w:tcPr>
                  <w:tcW w:w="2664" w:type="dxa"/>
                  <w:tcBorders>
                    <w:tl2br w:val="nil"/>
                    <w:tr2bl w:val="nil"/>
                  </w:tcBorders>
                  <w:noWrap/>
                  <w:vAlign w:val="center"/>
                </w:tcPr>
                <w:p w14:paraId="428817EC">
                  <w:pPr>
                    <w:keepNext w:val="0"/>
                    <w:keepLines w:val="0"/>
                    <w:pageBreakBefore w:val="0"/>
                    <w:widowControl w:val="0"/>
                    <w:numPr>
                      <w:ilvl w:val="0"/>
                      <w:numId w:val="0"/>
                    </w:numPr>
                    <w:kinsoku/>
                    <w:wordWrap/>
                    <w:overflowPunct/>
                    <w:topLinePunct w:val="0"/>
                    <w:bidi w:val="0"/>
                    <w:spacing w:line="240" w:lineRule="auto"/>
                    <w:jc w:val="left"/>
                    <w:rPr>
                      <w:rFonts w:hint="default" w:ascii="Times New Roman" w:hAnsi="Times New Roman" w:cs="Times New Roman"/>
                      <w:sz w:val="21"/>
                      <w:szCs w:val="21"/>
                      <w:u w:val="none" w:color="auto"/>
                      <w:lang w:eastAsia="zh-CN"/>
                    </w:rPr>
                  </w:pPr>
                  <w:r>
                    <w:rPr>
                      <w:rFonts w:hint="eastAsia" w:cs="Times New Roman"/>
                      <w:sz w:val="21"/>
                      <w:szCs w:val="21"/>
                      <w:u w:val="none" w:color="auto"/>
                      <w:lang w:eastAsia="zh-CN"/>
                    </w:rPr>
                    <w:t>（</w:t>
                  </w:r>
                  <w:r>
                    <w:rPr>
                      <w:rFonts w:hint="eastAsia" w:cs="Times New Roman"/>
                      <w:sz w:val="21"/>
                      <w:szCs w:val="21"/>
                      <w:u w:val="none" w:color="auto"/>
                      <w:lang w:val="en-US" w:eastAsia="zh-CN"/>
                    </w:rPr>
                    <w:t>1</w:t>
                  </w:r>
                  <w:r>
                    <w:rPr>
                      <w:rFonts w:hint="eastAsia" w:cs="Times New Roman"/>
                      <w:sz w:val="21"/>
                      <w:szCs w:val="21"/>
                      <w:u w:val="none" w:color="auto"/>
                      <w:lang w:eastAsia="zh-CN"/>
                    </w:rPr>
                    <w:t>）</w:t>
                  </w:r>
                  <w:r>
                    <w:rPr>
                      <w:rFonts w:hint="default" w:ascii="Times New Roman" w:hAnsi="Times New Roman" w:cs="Times New Roman"/>
                      <w:sz w:val="21"/>
                      <w:szCs w:val="21"/>
                      <w:u w:val="none" w:color="auto"/>
                      <w:lang w:eastAsia="zh-CN"/>
                    </w:rPr>
                    <w:t>本项目运营期内厂区</w:t>
                  </w:r>
                  <w:r>
                    <w:rPr>
                      <w:rFonts w:hint="eastAsia" w:ascii="Times New Roman" w:hAnsi="Times New Roman" w:cs="Times New Roman"/>
                      <w:sz w:val="21"/>
                      <w:szCs w:val="21"/>
                      <w:u w:val="none" w:color="auto"/>
                      <w:lang w:val="en-US" w:eastAsia="zh-CN"/>
                    </w:rPr>
                    <w:t>VOCs（以非甲烷总烃计）</w:t>
                  </w:r>
                  <w:r>
                    <w:rPr>
                      <w:rFonts w:hint="eastAsia" w:cs="Times New Roman"/>
                      <w:sz w:val="21"/>
                      <w:szCs w:val="21"/>
                      <w:u w:val="none" w:color="auto"/>
                      <w:lang w:val="en-US" w:eastAsia="zh-CN"/>
                    </w:rPr>
                    <w:t>、苯系物（二甲苯）</w:t>
                  </w:r>
                  <w:r>
                    <w:rPr>
                      <w:rFonts w:hint="default" w:ascii="Times New Roman" w:hAnsi="Times New Roman" w:cs="Times New Roman"/>
                      <w:sz w:val="21"/>
                      <w:szCs w:val="21"/>
                      <w:u w:val="none" w:color="auto"/>
                      <w:lang w:eastAsia="zh-CN"/>
                    </w:rPr>
                    <w:t>执行</w:t>
                  </w:r>
                  <w:r>
                    <w:rPr>
                      <w:rFonts w:hint="eastAsia" w:ascii="Times New Roman" w:hAnsi="Times New Roman" w:cs="Times New Roman"/>
                      <w:sz w:val="21"/>
                      <w:szCs w:val="21"/>
                      <w:u w:val="none" w:color="auto"/>
                      <w:lang w:val="en-US" w:eastAsia="zh-CN"/>
                    </w:rPr>
                    <w:t>湖南省地方标准</w:t>
                  </w:r>
                  <w:r>
                    <w:rPr>
                      <w:rFonts w:hint="eastAsia" w:cs="Times New Roman"/>
                      <w:sz w:val="21"/>
                      <w:szCs w:val="21"/>
                      <w:u w:val="none" w:color="auto"/>
                      <w:lang w:eastAsia="zh-CN"/>
                    </w:rPr>
                    <w:t>《工业企业挥发性有机物排放标准》（DB43/3550-2026）表2中计算机、通信和其他电子设备制造业标准限值</w:t>
                  </w:r>
                  <w:r>
                    <w:rPr>
                      <w:rFonts w:hint="default" w:ascii="Times New Roman" w:hAnsi="Times New Roman" w:cs="Times New Roman"/>
                      <w:sz w:val="21"/>
                      <w:szCs w:val="21"/>
                      <w:u w:val="none" w:color="auto"/>
                      <w:lang w:eastAsia="zh-CN"/>
                    </w:rPr>
                    <w:t>。</w:t>
                  </w:r>
                </w:p>
                <w:p w14:paraId="15EB836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sz w:val="21"/>
                      <w:szCs w:val="21"/>
                      <w:lang w:eastAsia="zh-CN"/>
                    </w:rPr>
                  </w:pPr>
                  <w:r>
                    <w:rPr>
                      <w:rFonts w:hint="default"/>
                      <w:sz w:val="21"/>
                      <w:szCs w:val="21"/>
                      <w:lang w:val="en-US" w:eastAsia="zh-CN"/>
                    </w:rPr>
                    <w:t>（2）</w:t>
                  </w:r>
                  <w:r>
                    <w:rPr>
                      <w:rFonts w:hint="default" w:ascii="Times New Roman" w:hAnsi="Times New Roman" w:cs="Times New Roman"/>
                      <w:sz w:val="21"/>
                      <w:szCs w:val="21"/>
                      <w:lang w:eastAsia="zh-CN"/>
                    </w:rPr>
                    <w:t>本项目使用的</w:t>
                  </w:r>
                  <w:r>
                    <w:rPr>
                      <w:rFonts w:hint="eastAsia" w:cs="Times New Roman"/>
                      <w:sz w:val="21"/>
                      <w:szCs w:val="21"/>
                      <w:u w:val="none" w:color="auto"/>
                      <w:lang w:val="en-US" w:eastAsia="zh-CN"/>
                    </w:rPr>
                    <w:t>绝缘漆</w:t>
                  </w:r>
                  <w:r>
                    <w:rPr>
                      <w:rFonts w:hint="eastAsia" w:ascii="Times New Roman" w:hAnsi="Times New Roman" w:eastAsia="宋体" w:cs="Times New Roman"/>
                      <w:sz w:val="21"/>
                      <w:szCs w:val="21"/>
                      <w:u w:val="none" w:color="auto"/>
                      <w:lang w:val="en-US" w:eastAsia="zh-CN"/>
                    </w:rPr>
                    <w:t>、</w:t>
                  </w:r>
                  <w:r>
                    <w:rPr>
                      <w:rFonts w:hint="eastAsia" w:cs="Times New Roman"/>
                      <w:sz w:val="21"/>
                      <w:szCs w:val="21"/>
                      <w:u w:val="none" w:color="auto"/>
                      <w:lang w:val="en-US" w:eastAsia="zh-CN"/>
                    </w:rPr>
                    <w:t>稀释剂</w:t>
                  </w:r>
                  <w:r>
                    <w:rPr>
                      <w:rFonts w:hint="eastAsia" w:ascii="Times New Roman" w:hAnsi="Times New Roman" w:eastAsia="宋体" w:cs="Times New Roman"/>
                      <w:sz w:val="21"/>
                      <w:szCs w:val="21"/>
                      <w:u w:val="none" w:color="auto"/>
                      <w:lang w:val="en-US" w:eastAsia="zh-CN"/>
                    </w:rPr>
                    <w:t>、</w:t>
                  </w:r>
                  <w:r>
                    <w:rPr>
                      <w:rFonts w:hint="eastAsia" w:cs="Times New Roman"/>
                      <w:sz w:val="21"/>
                      <w:szCs w:val="21"/>
                      <w:u w:val="none" w:color="auto"/>
                      <w:lang w:val="en-US" w:eastAsia="zh-CN"/>
                    </w:rPr>
                    <w:t>环氧树脂AB胶、助焊剂</w:t>
                  </w:r>
                  <w:r>
                    <w:rPr>
                      <w:rFonts w:hint="eastAsia"/>
                      <w:sz w:val="21"/>
                      <w:szCs w:val="21"/>
                      <w:lang w:eastAsia="zh-CN"/>
                    </w:rPr>
                    <w:t>等</w:t>
                  </w:r>
                  <w:r>
                    <w:rPr>
                      <w:rFonts w:hint="eastAsia"/>
                      <w:sz w:val="21"/>
                      <w:szCs w:val="21"/>
                      <w:lang w:val="en-US" w:eastAsia="zh-CN"/>
                    </w:rPr>
                    <w:t>易挥发物料</w:t>
                  </w:r>
                  <w:r>
                    <w:rPr>
                      <w:rFonts w:hint="eastAsia"/>
                      <w:sz w:val="21"/>
                      <w:szCs w:val="21"/>
                      <w:lang w:eastAsia="zh-CN"/>
                    </w:rPr>
                    <w:t>通过密闭储存桶储存。</w:t>
                  </w:r>
                </w:p>
                <w:p w14:paraId="51D7912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lang w:val="en-US" w:eastAsia="zh-CN"/>
                    </w:rPr>
                  </w:pPr>
                  <w:r>
                    <w:rPr>
                      <w:rFonts w:hint="eastAsia" w:cs="Times New Roman"/>
                      <w:b w:val="0"/>
                      <w:bCs w:val="0"/>
                      <w:kern w:val="0"/>
                      <w:sz w:val="21"/>
                      <w:szCs w:val="21"/>
                      <w:u w:val="none" w:color="auto"/>
                      <w:lang w:val="en-US" w:eastAsia="zh-CN"/>
                    </w:rPr>
                    <w:t>焊锡</w:t>
                  </w:r>
                  <w:r>
                    <w:rPr>
                      <w:rFonts w:hint="eastAsia" w:ascii="Times New Roman" w:hAnsi="Times New Roman" w:eastAsia="宋体" w:cs="Times New Roman"/>
                      <w:b w:val="0"/>
                      <w:bCs w:val="0"/>
                      <w:kern w:val="0"/>
                      <w:sz w:val="21"/>
                      <w:szCs w:val="21"/>
                      <w:u w:val="none" w:color="auto"/>
                      <w:lang w:val="en-US" w:eastAsia="zh-CN"/>
                    </w:rPr>
                    <w:t>废气</w:t>
                  </w:r>
                  <w:r>
                    <w:rPr>
                      <w:rFonts w:hint="eastAsia" w:cs="Times New Roman"/>
                      <w:color w:val="000000" w:themeColor="text1"/>
                      <w:kern w:val="2"/>
                      <w:sz w:val="21"/>
                      <w:szCs w:val="21"/>
                      <w:u w:val="none"/>
                      <w:lang w:val="en-US" w:eastAsia="zh-CN" w:bidi="ar-SA"/>
                      <w14:textFill>
                        <w14:solidFill>
                          <w14:schemeClr w14:val="tx1"/>
                        </w14:solidFill>
                      </w14:textFill>
                    </w:rPr>
                    <w:t>通过集气罩收集+干式过滤器预处理后与</w:t>
                  </w:r>
                  <w:r>
                    <w:rPr>
                      <w:rFonts w:hint="eastAsia" w:cs="Times New Roman"/>
                      <w:b w:val="0"/>
                      <w:bCs w:val="0"/>
                      <w:kern w:val="0"/>
                      <w:sz w:val="21"/>
                      <w:szCs w:val="21"/>
                      <w:u w:val="none" w:color="auto"/>
                      <w:lang w:val="en-US" w:eastAsia="zh-CN"/>
                    </w:rPr>
                    <w:t>调漆、浸漆</w:t>
                  </w:r>
                  <w:r>
                    <w:rPr>
                      <w:rFonts w:hint="eastAsia" w:ascii="Times New Roman" w:hAnsi="Times New Roman" w:eastAsia="宋体" w:cs="Times New Roman"/>
                      <w:b w:val="0"/>
                      <w:bCs w:val="0"/>
                      <w:kern w:val="0"/>
                      <w:sz w:val="21"/>
                      <w:szCs w:val="21"/>
                      <w:u w:val="none" w:color="auto"/>
                      <w:lang w:val="en-US" w:eastAsia="zh-CN"/>
                    </w:rPr>
                    <w:t>、烘干</w:t>
                  </w:r>
                  <w:r>
                    <w:rPr>
                      <w:rFonts w:hint="eastAsia" w:cs="Times New Roman"/>
                      <w:b w:val="0"/>
                      <w:bCs w:val="0"/>
                      <w:kern w:val="0"/>
                      <w:sz w:val="21"/>
                      <w:szCs w:val="21"/>
                      <w:u w:val="none" w:color="auto"/>
                      <w:lang w:val="en-US" w:eastAsia="zh-CN"/>
                    </w:rPr>
                    <w:t>，有机废气</w:t>
                  </w:r>
                  <w:r>
                    <w:rPr>
                      <w:rFonts w:hint="eastAsia" w:cs="Times New Roman"/>
                      <w:color w:val="000000" w:themeColor="text1"/>
                      <w:kern w:val="2"/>
                      <w:sz w:val="21"/>
                      <w:szCs w:val="21"/>
                      <w:u w:val="none"/>
                      <w:lang w:val="en-US" w:eastAsia="zh-CN" w:bidi="ar-SA"/>
                      <w14:textFill>
                        <w14:solidFill>
                          <w14:schemeClr w14:val="tx1"/>
                        </w14:solidFill>
                      </w14:textFill>
                    </w:rPr>
                    <w:t>通过密闭含浸房微负压收集一同经</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二级</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活性炭吸附处理后，</w:t>
                  </w:r>
                  <w:r>
                    <w:rPr>
                      <w:rFonts w:hint="eastAsia" w:cs="Times New Roman"/>
                      <w:color w:val="000000" w:themeColor="text1"/>
                      <w:kern w:val="2"/>
                      <w:sz w:val="21"/>
                      <w:szCs w:val="21"/>
                      <w:u w:val="none"/>
                      <w:lang w:val="en-US" w:eastAsia="zh-CN" w:bidi="ar-SA"/>
                      <w14:textFill>
                        <w14:solidFill>
                          <w14:schemeClr w14:val="tx1"/>
                        </w14:solidFill>
                      </w14:textFill>
                    </w:rPr>
                    <w:t>经23m排气筒DA001</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外排</w:t>
                  </w:r>
                  <w:r>
                    <w:rPr>
                      <w:rFonts w:hint="default" w:ascii="Times New Roman" w:hAnsi="Times New Roman" w:cs="Times New Roman"/>
                      <w:sz w:val="21"/>
                      <w:szCs w:val="21"/>
                      <w:lang w:eastAsia="zh-CN"/>
                    </w:rPr>
                    <w:t>；点胶有机废气经加强车间通风后无组织排放</w:t>
                  </w:r>
                  <w:r>
                    <w:rPr>
                      <w:rFonts w:hint="eastAsia" w:ascii="Times New Roman" w:hAnsi="Times New Roman" w:cs="Times New Roman"/>
                      <w:sz w:val="21"/>
                      <w:szCs w:val="21"/>
                      <w:lang w:val="en-US" w:eastAsia="zh-CN"/>
                    </w:rPr>
                    <w:t>本项目</w:t>
                  </w:r>
                  <w:r>
                    <w:rPr>
                      <w:rFonts w:hint="eastAsia" w:ascii="Times New Roman" w:hAnsi="Times New Roman" w:cs="Times New Roman"/>
                      <w:color w:val="000000"/>
                      <w:sz w:val="21"/>
                      <w:szCs w:val="21"/>
                      <w:u w:val="none"/>
                      <w:lang w:val="en-US" w:eastAsia="zh-CN"/>
                    </w:rPr>
                    <w:t>废原料桶</w:t>
                  </w:r>
                  <w:r>
                    <w:rPr>
                      <w:rFonts w:hint="default" w:ascii="Times New Roman" w:hAnsi="Times New Roman" w:cs="Times New Roman"/>
                      <w:color w:val="000000"/>
                      <w:sz w:val="21"/>
                      <w:szCs w:val="21"/>
                      <w:u w:val="none"/>
                    </w:rPr>
                    <w:t>、</w:t>
                  </w:r>
                  <w:r>
                    <w:rPr>
                      <w:rFonts w:hint="eastAsia" w:cs="Times New Roman"/>
                      <w:color w:val="000000"/>
                      <w:sz w:val="21"/>
                      <w:szCs w:val="21"/>
                      <w:u w:val="none"/>
                      <w:lang w:val="en-US" w:eastAsia="zh-CN"/>
                    </w:rPr>
                    <w:t>废过滤棉、</w:t>
                  </w:r>
                  <w:r>
                    <w:rPr>
                      <w:rFonts w:hint="default" w:ascii="Times New Roman" w:hAnsi="Times New Roman" w:cs="Times New Roman"/>
                      <w:color w:val="000000"/>
                      <w:sz w:val="21"/>
                      <w:szCs w:val="21"/>
                      <w:u w:val="none"/>
                    </w:rPr>
                    <w:t>废</w:t>
                  </w:r>
                  <w:r>
                    <w:rPr>
                      <w:rFonts w:hint="eastAsia" w:ascii="Times New Roman" w:hAnsi="Times New Roman" w:cs="Times New Roman"/>
                      <w:color w:val="000000"/>
                      <w:sz w:val="21"/>
                      <w:szCs w:val="21"/>
                      <w:u w:val="none"/>
                      <w:lang w:val="en-US" w:eastAsia="zh-CN"/>
                    </w:rPr>
                    <w:t>活性炭</w:t>
                  </w:r>
                  <w:r>
                    <w:rPr>
                      <w:rFonts w:hint="eastAsia" w:cs="Times New Roman"/>
                      <w:color w:val="000000"/>
                      <w:sz w:val="21"/>
                      <w:szCs w:val="21"/>
                      <w:u w:val="none"/>
                      <w:lang w:val="en-US" w:eastAsia="zh-CN"/>
                    </w:rPr>
                    <w:t>、废润滑油、废润滑油桶、废含油抹布和手套</w:t>
                  </w:r>
                  <w:r>
                    <w:rPr>
                      <w:rFonts w:hint="default" w:ascii="Times New Roman" w:hAnsi="Times New Roman" w:cs="Times New Roman"/>
                      <w:color w:val="000000"/>
                      <w:sz w:val="21"/>
                      <w:szCs w:val="21"/>
                      <w:u w:val="none"/>
                    </w:rPr>
                    <w:t>在危废暂存间将采取加盖封装的方式。</w:t>
                  </w:r>
                  <w:r>
                    <w:rPr>
                      <w:rFonts w:hint="eastAsia" w:ascii="Times New Roman" w:hAnsi="Times New Roman" w:cs="Times New Roman"/>
                      <w:color w:val="000000"/>
                      <w:sz w:val="21"/>
                      <w:szCs w:val="21"/>
                      <w:u w:val="none" w:color="auto"/>
                      <w:lang w:val="en-US" w:eastAsia="zh-CN"/>
                    </w:rPr>
                    <w:t>本项目无</w:t>
                  </w:r>
                  <w:r>
                    <w:rPr>
                      <w:rFonts w:hint="default" w:ascii="Times New Roman" w:hAnsi="Times New Roman" w:cs="Times New Roman"/>
                      <w:color w:val="000000"/>
                      <w:sz w:val="21"/>
                      <w:szCs w:val="21"/>
                      <w:u w:val="none" w:color="auto"/>
                    </w:rPr>
                    <w:t>载有气态、液态VOCs物料的设备</w:t>
                  </w:r>
                  <w:r>
                    <w:rPr>
                      <w:rFonts w:hint="eastAsia" w:ascii="Times New Roman" w:hAnsi="Times New Roman" w:cs="Times New Roman"/>
                      <w:color w:val="000000"/>
                      <w:sz w:val="21"/>
                      <w:szCs w:val="21"/>
                      <w:u w:val="none" w:color="auto"/>
                      <w:lang w:eastAsia="zh-CN"/>
                    </w:rPr>
                    <w:t>。</w:t>
                  </w:r>
                </w:p>
              </w:tc>
              <w:tc>
                <w:tcPr>
                  <w:tcW w:w="735" w:type="dxa"/>
                  <w:tcBorders>
                    <w:tl2br w:val="nil"/>
                    <w:tr2bl w:val="nil"/>
                  </w:tcBorders>
                  <w:noWrap/>
                  <w:vAlign w:val="center"/>
                </w:tcPr>
                <w:p w14:paraId="2FEC8B55">
                  <w:pPr>
                    <w:keepNext w:val="0"/>
                    <w:keepLines w:val="0"/>
                    <w:pageBreakBefore w:val="0"/>
                    <w:widowControl w:val="0"/>
                    <w:kinsoku/>
                    <w:wordWrap/>
                    <w:overflowPunct/>
                    <w:topLinePunct w:val="0"/>
                    <w:bidi w:val="0"/>
                    <w:spacing w:line="240" w:lineRule="auto"/>
                    <w:ind w:firstLine="0" w:firstLineChars="0"/>
                    <w:jc w:val="center"/>
                    <w:rPr>
                      <w:rFonts w:hint="default" w:ascii="Times New Roman" w:hAnsi="Times New Roman" w:cs="Times New Roman"/>
                      <w:b/>
                      <w:bCs/>
                      <w:sz w:val="21"/>
                      <w:szCs w:val="21"/>
                      <w:u w:val="none" w:color="auto"/>
                    </w:rPr>
                  </w:pPr>
                  <w:r>
                    <w:rPr>
                      <w:rFonts w:hint="default" w:ascii="Times New Roman" w:hAnsi="Times New Roman" w:cs="Times New Roman"/>
                      <w:color w:val="000000"/>
                      <w:sz w:val="21"/>
                      <w:szCs w:val="21"/>
                      <w:u w:val="none" w:color="auto"/>
                    </w:rPr>
                    <w:t>符合</w:t>
                  </w:r>
                </w:p>
              </w:tc>
            </w:tr>
            <w:tr w14:paraId="511242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43" w:hRule="atLeast"/>
                <w:jc w:val="center"/>
              </w:trPr>
              <w:tc>
                <w:tcPr>
                  <w:tcW w:w="2159" w:type="dxa"/>
                  <w:vMerge w:val="continue"/>
                  <w:tcBorders>
                    <w:tl2br w:val="nil"/>
                    <w:tr2bl w:val="nil"/>
                  </w:tcBorders>
                  <w:noWrap/>
                  <w:vAlign w:val="center"/>
                </w:tcPr>
                <w:p w14:paraId="4C5F4C07">
                  <w:pPr>
                    <w:keepNext w:val="0"/>
                    <w:keepLines w:val="0"/>
                    <w:pageBreakBefore w:val="0"/>
                    <w:widowControl w:val="0"/>
                    <w:kinsoku/>
                    <w:wordWrap/>
                    <w:overflowPunct/>
                    <w:topLinePunct w:val="0"/>
                    <w:bidi w:val="0"/>
                    <w:spacing w:line="240" w:lineRule="auto"/>
                    <w:ind w:firstLine="0" w:firstLineChars="0"/>
                  </w:pPr>
                </w:p>
              </w:tc>
              <w:tc>
                <w:tcPr>
                  <w:tcW w:w="2888" w:type="dxa"/>
                  <w:tcBorders>
                    <w:tl2br w:val="nil"/>
                    <w:tr2bl w:val="nil"/>
                  </w:tcBorders>
                  <w:noWrap/>
                  <w:vAlign w:val="center"/>
                </w:tcPr>
                <w:p w14:paraId="00218A35">
                  <w:pPr>
                    <w:keepNext w:val="0"/>
                    <w:keepLines w:val="0"/>
                    <w:pageBreakBefore w:val="0"/>
                    <w:widowControl w:val="0"/>
                    <w:numPr>
                      <w:ilvl w:val="0"/>
                      <w:numId w:val="0"/>
                    </w:numPr>
                    <w:kinsoku/>
                    <w:wordWrap/>
                    <w:overflowPunct/>
                    <w:topLinePunct w:val="0"/>
                    <w:bidi w:val="0"/>
                    <w:adjustRightInd/>
                    <w:snapToGrid/>
                    <w:spacing w:line="240" w:lineRule="auto"/>
                    <w:ind w:leftChars="0" w:firstLine="0" w:firstLineChars="0"/>
                    <w:jc w:val="left"/>
                    <w:textAlignment w:val="auto"/>
                    <w:rPr>
                      <w:rFonts w:hint="default" w:ascii="Times New Roman" w:hAnsi="Times New Roman" w:cs="Times New Roman"/>
                      <w:b/>
                      <w:bCs/>
                      <w:sz w:val="21"/>
                      <w:szCs w:val="21"/>
                      <w:u w:val="none" w:color="auto"/>
                      <w:lang w:val="en-US" w:eastAsia="zh-CN"/>
                    </w:rPr>
                  </w:pPr>
                  <w:r>
                    <w:rPr>
                      <w:rFonts w:hint="default" w:ascii="Times New Roman" w:hAnsi="Times New Roman" w:cs="Times New Roman"/>
                      <w:b/>
                      <w:bCs/>
                      <w:sz w:val="21"/>
                      <w:szCs w:val="21"/>
                      <w:u w:val="none" w:color="auto"/>
                      <w:lang w:val="en-US" w:eastAsia="zh-CN"/>
                    </w:rPr>
                    <w:t>三、聚焦治污设施“三率”，提升综合治理效率</w:t>
                  </w:r>
                </w:p>
                <w:p w14:paraId="75FFEAF7">
                  <w:pPr>
                    <w:pStyle w:val="58"/>
                    <w:keepNext w:val="0"/>
                    <w:keepLines w:val="0"/>
                    <w:pageBreakBefore w:val="0"/>
                    <w:widowControl w:val="0"/>
                    <w:numPr>
                      <w:ilvl w:val="0"/>
                      <w:numId w:val="0"/>
                    </w:numPr>
                    <w:kinsoku/>
                    <w:wordWrap/>
                    <w:overflowPunct/>
                    <w:topLinePunct w:val="0"/>
                    <w:bidi w:val="0"/>
                    <w:adjustRightInd/>
                    <w:snapToGrid/>
                    <w:spacing w:before="0" w:after="0" w:line="240" w:lineRule="auto"/>
                    <w:ind w:leftChars="0" w:firstLine="0" w:firstLineChars="0"/>
                    <w:jc w:val="left"/>
                    <w:textAlignment w:val="auto"/>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rPr>
                    <w:t>除恶臭异味治理外，一般不采用低温等离子、光催化、光氧化等技术。行业排放标准中规定特别排放限值和控制要求的，应按相关规定执行；未制定行业标准的应执行大气污染物综合排放标准和挥发性有机物无组织排放控制标准；已制定更严格地方排放标准的，按地方标准执行。</w:t>
                  </w:r>
                </w:p>
                <w:p w14:paraId="0553588D">
                  <w:pPr>
                    <w:keepNext w:val="0"/>
                    <w:keepLines w:val="0"/>
                    <w:pageBreakBefore w:val="0"/>
                    <w:widowControl w:val="0"/>
                    <w:kinsoku/>
                    <w:wordWrap/>
                    <w:overflowPunct/>
                    <w:topLinePunct w:val="0"/>
                    <w:bidi w:val="0"/>
                    <w:spacing w:line="240" w:lineRule="auto"/>
                    <w:ind w:firstLine="0" w:firstLineChars="0"/>
                    <w:jc w:val="left"/>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rPr>
                    <w:t>加强生产车间密闭管理，在符合安全生产、职业卫生相关规定前提下，按照与生产设备“同启同停”的原则提升治理设施运行率。根据处理工艺要求，在处理设施达到正常运行条件后方可启动生产设备，在生产设备停止、残留VOCs废气收集处理完毕后，方可停运处理设施。VOCs废气处理系统发生故障或检修时，对应生产工艺设备应停止运行，待检修完毕后同步投入使用；因安全等因素生产工艺设备不能停止或不能及时停止运行的，应设置废气应急处理设施或采取其他替代措施。按照“适宜高效”的原则提高治理设施去除率，不得稀释排放。企业新建治污设施或对现有治污设施实施改造，应依据排放废气特征、VOCs组分及浓度、生产工况等，合理选择治理技术，对治理难度大、单一治理工艺难以稳定达标的，要采用多种技术的组合工艺。采用活性炭吸附技术的，应选择碘值不低于800毫克/克的活性炭，并按设计要求足量添加、及时更换</w:t>
                  </w:r>
                  <w:r>
                    <w:rPr>
                      <w:rFonts w:hint="default" w:ascii="Times New Roman" w:hAnsi="Times New Roman" w:cs="Times New Roman"/>
                      <w:sz w:val="21"/>
                      <w:szCs w:val="21"/>
                      <w:u w:val="none" w:color="auto"/>
                      <w:lang w:eastAsia="zh-CN"/>
                    </w:rPr>
                    <w:t>。</w:t>
                  </w:r>
                </w:p>
              </w:tc>
              <w:tc>
                <w:tcPr>
                  <w:tcW w:w="2664" w:type="dxa"/>
                  <w:tcBorders>
                    <w:tl2br w:val="nil"/>
                    <w:tr2bl w:val="nil"/>
                  </w:tcBorders>
                  <w:noWrap/>
                  <w:vAlign w:val="center"/>
                </w:tcPr>
                <w:p w14:paraId="7FA1A45A">
                  <w:pPr>
                    <w:keepNext w:val="0"/>
                    <w:keepLines w:val="0"/>
                    <w:pageBreakBefore w:val="0"/>
                    <w:widowControl w:val="0"/>
                    <w:numPr>
                      <w:ilvl w:val="0"/>
                      <w:numId w:val="0"/>
                    </w:numPr>
                    <w:kinsoku/>
                    <w:wordWrap/>
                    <w:overflowPunct/>
                    <w:topLinePunct w:val="0"/>
                    <w:bidi w:val="0"/>
                    <w:spacing w:line="240" w:lineRule="auto"/>
                    <w:ind w:firstLine="0" w:firstLineChars="0"/>
                    <w:jc w:val="left"/>
                    <w:rPr>
                      <w:rFonts w:hint="default" w:ascii="Times New Roman" w:hAnsi="Times New Roman" w:cs="Times New Roman"/>
                      <w:b w:val="0"/>
                      <w:bCs w:val="0"/>
                      <w:sz w:val="21"/>
                      <w:szCs w:val="21"/>
                      <w:lang w:eastAsia="zh-CN"/>
                    </w:rPr>
                  </w:pP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1</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本项目</w:t>
                  </w:r>
                  <w:r>
                    <w:rPr>
                      <w:rFonts w:hint="eastAsia" w:cs="Times New Roman"/>
                      <w:b w:val="0"/>
                      <w:bCs w:val="0"/>
                      <w:kern w:val="0"/>
                      <w:sz w:val="21"/>
                      <w:szCs w:val="21"/>
                      <w:u w:val="none" w:color="auto"/>
                      <w:lang w:val="en-US" w:eastAsia="zh-CN"/>
                    </w:rPr>
                    <w:t>焊锡</w:t>
                  </w:r>
                  <w:r>
                    <w:rPr>
                      <w:rFonts w:hint="eastAsia" w:ascii="Times New Roman" w:hAnsi="Times New Roman" w:eastAsia="宋体" w:cs="Times New Roman"/>
                      <w:b w:val="0"/>
                      <w:bCs w:val="0"/>
                      <w:kern w:val="0"/>
                      <w:sz w:val="21"/>
                      <w:szCs w:val="21"/>
                      <w:u w:val="none" w:color="auto"/>
                      <w:lang w:val="en-US" w:eastAsia="zh-CN"/>
                    </w:rPr>
                    <w:t>废气</w:t>
                  </w:r>
                  <w:r>
                    <w:rPr>
                      <w:rFonts w:hint="eastAsia" w:cs="Times New Roman"/>
                      <w:color w:val="000000" w:themeColor="text1"/>
                      <w:kern w:val="2"/>
                      <w:sz w:val="21"/>
                      <w:szCs w:val="21"/>
                      <w:u w:val="none"/>
                      <w:lang w:val="en-US" w:eastAsia="zh-CN" w:bidi="ar-SA"/>
                      <w14:textFill>
                        <w14:solidFill>
                          <w14:schemeClr w14:val="tx1"/>
                        </w14:solidFill>
                      </w14:textFill>
                    </w:rPr>
                    <w:t>通过集气罩收集+干式过滤器处理后与</w:t>
                  </w:r>
                  <w:r>
                    <w:rPr>
                      <w:rFonts w:hint="eastAsia" w:cs="Times New Roman"/>
                      <w:b w:val="0"/>
                      <w:bCs w:val="0"/>
                      <w:kern w:val="0"/>
                      <w:sz w:val="21"/>
                      <w:szCs w:val="21"/>
                      <w:u w:val="none" w:color="auto"/>
                      <w:lang w:val="en-US" w:eastAsia="zh-CN"/>
                    </w:rPr>
                    <w:t>调漆、浸漆</w:t>
                  </w:r>
                  <w:r>
                    <w:rPr>
                      <w:rFonts w:hint="eastAsia" w:ascii="Times New Roman" w:hAnsi="Times New Roman" w:eastAsia="宋体" w:cs="Times New Roman"/>
                      <w:b w:val="0"/>
                      <w:bCs w:val="0"/>
                      <w:kern w:val="0"/>
                      <w:sz w:val="21"/>
                      <w:szCs w:val="21"/>
                      <w:u w:val="none" w:color="auto"/>
                      <w:lang w:val="en-US" w:eastAsia="zh-CN"/>
                    </w:rPr>
                    <w:t>、烘干</w:t>
                  </w:r>
                  <w:r>
                    <w:rPr>
                      <w:rFonts w:hint="eastAsia" w:cs="Times New Roman"/>
                      <w:b w:val="0"/>
                      <w:bCs w:val="0"/>
                      <w:kern w:val="0"/>
                      <w:sz w:val="21"/>
                      <w:szCs w:val="21"/>
                      <w:u w:val="none" w:color="auto"/>
                      <w:lang w:val="en-US" w:eastAsia="zh-CN"/>
                    </w:rPr>
                    <w:t>，有机废气</w:t>
                  </w:r>
                  <w:r>
                    <w:rPr>
                      <w:rFonts w:hint="eastAsia" w:cs="Times New Roman"/>
                      <w:color w:val="000000" w:themeColor="text1"/>
                      <w:kern w:val="2"/>
                      <w:sz w:val="21"/>
                      <w:szCs w:val="21"/>
                      <w:u w:val="none"/>
                      <w:lang w:val="en-US" w:eastAsia="zh-CN" w:bidi="ar-SA"/>
                      <w14:textFill>
                        <w14:solidFill>
                          <w14:schemeClr w14:val="tx1"/>
                        </w14:solidFill>
                      </w14:textFill>
                    </w:rPr>
                    <w:t>通过密闭含浸房微负压收集一同经</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二级</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活性炭吸附处理后，</w:t>
                  </w:r>
                  <w:r>
                    <w:rPr>
                      <w:rFonts w:hint="eastAsia" w:cs="Times New Roman"/>
                      <w:color w:val="000000" w:themeColor="text1"/>
                      <w:kern w:val="2"/>
                      <w:sz w:val="21"/>
                      <w:szCs w:val="21"/>
                      <w:u w:val="none"/>
                      <w:lang w:val="en-US" w:eastAsia="zh-CN" w:bidi="ar-SA"/>
                      <w14:textFill>
                        <w14:solidFill>
                          <w14:schemeClr w14:val="tx1"/>
                        </w14:solidFill>
                      </w14:textFill>
                    </w:rPr>
                    <w:t>经23m排气筒DA001</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外排</w:t>
                  </w:r>
                  <w:r>
                    <w:rPr>
                      <w:rFonts w:hint="eastAsia" w:cs="Times New Roman"/>
                      <w:color w:val="000000" w:themeColor="text1"/>
                      <w:kern w:val="2"/>
                      <w:sz w:val="21"/>
                      <w:szCs w:val="21"/>
                      <w:u w:val="none"/>
                      <w:lang w:val="en-US" w:eastAsia="zh-CN" w:bidi="ar-SA"/>
                      <w14:textFill>
                        <w14:solidFill>
                          <w14:schemeClr w14:val="tx1"/>
                        </w14:solidFill>
                      </w14:textFill>
                    </w:rPr>
                    <w:t>，</w:t>
                  </w:r>
                  <w:r>
                    <w:rPr>
                      <w:rFonts w:hint="default" w:ascii="Times New Roman" w:hAnsi="Times New Roman" w:cs="Times New Roman"/>
                      <w:b w:val="0"/>
                      <w:bCs w:val="0"/>
                      <w:sz w:val="21"/>
                      <w:szCs w:val="21"/>
                      <w:lang w:val="en-US" w:eastAsia="zh-CN"/>
                    </w:rPr>
                    <w:t>VOCs</w:t>
                  </w:r>
                  <w:r>
                    <w:rPr>
                      <w:rFonts w:hint="eastAsia" w:ascii="Times New Roman" w:hAnsi="Times New Roman" w:cs="Times New Roman"/>
                      <w:b w:val="0"/>
                      <w:bCs w:val="0"/>
                      <w:sz w:val="21"/>
                      <w:szCs w:val="21"/>
                      <w:lang w:val="en-US" w:eastAsia="zh-CN"/>
                    </w:rPr>
                    <w:t>（以非甲烷总烃计）</w:t>
                  </w:r>
                  <w:r>
                    <w:rPr>
                      <w:rFonts w:hint="default" w:ascii="Times New Roman" w:hAnsi="Times New Roman" w:cs="Times New Roman"/>
                      <w:b w:val="0"/>
                      <w:bCs w:val="0"/>
                      <w:sz w:val="21"/>
                      <w:szCs w:val="21"/>
                      <w:lang w:val="en-US" w:eastAsia="zh-CN"/>
                    </w:rPr>
                    <w:t>、</w:t>
                  </w:r>
                  <w:r>
                    <w:rPr>
                      <w:rFonts w:hint="eastAsia" w:ascii="Times New Roman" w:hAnsi="Times New Roman" w:cs="Times New Roman"/>
                      <w:b w:val="0"/>
                      <w:bCs w:val="0"/>
                      <w:sz w:val="21"/>
                      <w:szCs w:val="21"/>
                      <w:lang w:val="en-US" w:eastAsia="zh-CN"/>
                    </w:rPr>
                    <w:t>苯系物</w:t>
                  </w:r>
                  <w:r>
                    <w:rPr>
                      <w:rFonts w:hint="eastAsia" w:cs="Times New Roman"/>
                      <w:b w:val="0"/>
                      <w:bCs w:val="0"/>
                      <w:sz w:val="21"/>
                      <w:szCs w:val="21"/>
                      <w:lang w:val="en-US" w:eastAsia="zh-CN"/>
                    </w:rPr>
                    <w:t>（二甲苯）</w:t>
                  </w:r>
                  <w:r>
                    <w:rPr>
                      <w:rFonts w:hint="default" w:ascii="Times New Roman" w:hAnsi="Times New Roman" w:cs="Times New Roman"/>
                      <w:b w:val="0"/>
                      <w:bCs w:val="0"/>
                      <w:sz w:val="21"/>
                      <w:szCs w:val="21"/>
                      <w:lang w:val="en-US" w:eastAsia="zh-CN"/>
                    </w:rPr>
                    <w:t>执行</w:t>
                  </w:r>
                  <w:r>
                    <w:rPr>
                      <w:rFonts w:hint="default" w:ascii="Times New Roman" w:hAnsi="Times New Roman" w:cs="Times New Roman"/>
                      <w:sz w:val="21"/>
                      <w:szCs w:val="21"/>
                      <w:u w:val="none" w:color="auto"/>
                      <w:lang w:eastAsia="zh-CN"/>
                    </w:rPr>
                    <w:t>执行</w:t>
                  </w:r>
                  <w:r>
                    <w:rPr>
                      <w:rFonts w:hint="eastAsia" w:ascii="Times New Roman" w:hAnsi="Times New Roman" w:cs="Times New Roman"/>
                      <w:sz w:val="21"/>
                      <w:szCs w:val="21"/>
                      <w:u w:val="none" w:color="auto"/>
                      <w:lang w:val="en-US" w:eastAsia="zh-CN"/>
                    </w:rPr>
                    <w:t>湖南省地方标准</w:t>
                  </w:r>
                  <w:r>
                    <w:rPr>
                      <w:rFonts w:hint="default" w:ascii="Times New Roman" w:hAnsi="Times New Roman" w:cs="Times New Roman"/>
                      <w:sz w:val="21"/>
                      <w:szCs w:val="21"/>
                      <w:u w:val="none" w:color="auto"/>
                    </w:rPr>
                    <w:t>《工业企业挥发性有机物排放标准》</w:t>
                  </w:r>
                  <w:r>
                    <w:rPr>
                      <w:rFonts w:hint="eastAsia" w:ascii="Times New Roman" w:hAnsi="Times New Roman" w:cs="Times New Roman"/>
                      <w:sz w:val="21"/>
                      <w:szCs w:val="21"/>
                      <w:u w:val="none" w:color="auto"/>
                      <w:lang w:eastAsia="zh-CN"/>
                    </w:rPr>
                    <w:t>（DB43/3550-2026）</w:t>
                  </w:r>
                  <w:r>
                    <w:rPr>
                      <w:rFonts w:hint="default" w:ascii="Times New Roman" w:hAnsi="Times New Roman" w:cs="Times New Roman"/>
                      <w:b w:val="0"/>
                      <w:bCs w:val="0"/>
                      <w:sz w:val="21"/>
                      <w:szCs w:val="21"/>
                    </w:rPr>
                    <w:t>表1</w:t>
                  </w:r>
                  <w:r>
                    <w:rPr>
                      <w:rFonts w:hint="eastAsia" w:cs="Times New Roman"/>
                      <w:b w:val="0"/>
                      <w:bCs w:val="0"/>
                      <w:sz w:val="21"/>
                      <w:szCs w:val="21"/>
                      <w:lang w:val="en-US" w:eastAsia="zh-CN"/>
                    </w:rPr>
                    <w:t>中计算机、通信和其他电子设备制造业排放标准限值</w:t>
                  </w:r>
                  <w:r>
                    <w:rPr>
                      <w:rFonts w:hint="default" w:ascii="Times New Roman" w:hAnsi="Times New Roman" w:cs="Times New Roman"/>
                      <w:b w:val="0"/>
                      <w:bCs w:val="0"/>
                      <w:sz w:val="21"/>
                      <w:szCs w:val="21"/>
                      <w:lang w:eastAsia="zh-CN"/>
                    </w:rPr>
                    <w:t>。</w:t>
                  </w:r>
                </w:p>
                <w:p w14:paraId="0EE9C13F">
                  <w:pPr>
                    <w:keepNext w:val="0"/>
                    <w:keepLines w:val="0"/>
                    <w:pageBreakBefore w:val="0"/>
                    <w:widowControl w:val="0"/>
                    <w:kinsoku/>
                    <w:wordWrap/>
                    <w:overflowPunct/>
                    <w:topLinePunct w:val="0"/>
                    <w:bidi w:val="0"/>
                    <w:spacing w:line="240" w:lineRule="auto"/>
                    <w:ind w:firstLine="0" w:firstLineChars="0"/>
                    <w:jc w:val="left"/>
                    <w:rPr>
                      <w:rFonts w:hint="default" w:ascii="Times New Roman" w:hAnsi="Times New Roman" w:cs="Times New Roman"/>
                      <w:sz w:val="21"/>
                      <w:szCs w:val="21"/>
                      <w:u w:val="none" w:color="auto"/>
                    </w:rPr>
                  </w:pPr>
                  <w:r>
                    <w:rPr>
                      <w:rFonts w:hint="eastAsia" w:ascii="Times New Roman" w:hAnsi="Times New Roman" w:cs="Times New Roman"/>
                      <w:sz w:val="21"/>
                      <w:szCs w:val="21"/>
                      <w:lang w:val="en-US" w:eastAsia="zh-CN"/>
                    </w:rPr>
                    <w:t>（2）</w:t>
                  </w:r>
                  <w:r>
                    <w:rPr>
                      <w:rFonts w:hint="default" w:ascii="Times New Roman" w:hAnsi="Times New Roman" w:cs="Times New Roman"/>
                      <w:sz w:val="21"/>
                      <w:szCs w:val="21"/>
                      <w:lang w:val="en-US" w:eastAsia="zh-CN"/>
                    </w:rPr>
                    <w:t>本项目</w:t>
                  </w:r>
                  <w:r>
                    <w:rPr>
                      <w:rFonts w:hint="eastAsia" w:ascii="Times New Roman" w:hAnsi="Times New Roman" w:cs="Times New Roman"/>
                      <w:sz w:val="21"/>
                      <w:szCs w:val="21"/>
                      <w:lang w:val="en-US" w:eastAsia="zh-CN"/>
                    </w:rPr>
                    <w:t>含浸</w:t>
                  </w:r>
                  <w:r>
                    <w:rPr>
                      <w:rFonts w:hint="default" w:ascii="Times New Roman" w:hAnsi="Times New Roman" w:cs="Times New Roman"/>
                      <w:sz w:val="21"/>
                      <w:szCs w:val="21"/>
                      <w:lang w:val="en-US" w:eastAsia="zh-CN"/>
                    </w:rPr>
                    <w:t>房</w:t>
                  </w:r>
                  <w:r>
                    <w:rPr>
                      <w:rFonts w:hint="eastAsia" w:ascii="Times New Roman" w:hAnsi="Times New Roman" w:cs="Times New Roman"/>
                      <w:sz w:val="21"/>
                      <w:szCs w:val="21"/>
                      <w:lang w:val="en-US" w:eastAsia="zh-CN"/>
                    </w:rPr>
                    <w:t>在非必要时保持关闭。</w:t>
                  </w:r>
                  <w:r>
                    <w:rPr>
                      <w:rFonts w:hint="default" w:ascii="Times New Roman" w:hAnsi="Times New Roman" w:cs="Times New Roman"/>
                      <w:sz w:val="21"/>
                      <w:szCs w:val="21"/>
                      <w:lang w:val="en-US" w:eastAsia="zh-CN"/>
                    </w:rPr>
                    <w:t>本项目生产过程中VOCs收集处理系统执行“生产前先启动，停车后后关闭”的工作模式。</w:t>
                  </w:r>
                  <w:r>
                    <w:rPr>
                      <w:rFonts w:hint="default" w:ascii="Times New Roman" w:hAnsi="Times New Roman" w:eastAsia="宋体" w:cs="Times New Roman"/>
                      <w:sz w:val="21"/>
                      <w:szCs w:val="21"/>
                      <w:lang w:eastAsia="zh-CN"/>
                    </w:rPr>
                    <w:t>当</w:t>
                  </w:r>
                  <w:r>
                    <w:rPr>
                      <w:rFonts w:hint="eastAsia" w:ascii="Times New Roman" w:hAnsi="Times New Roman" w:eastAsia="宋体" w:cs="Times New Roman"/>
                      <w:sz w:val="21"/>
                      <w:szCs w:val="21"/>
                      <w:lang w:val="en-US" w:eastAsia="zh-CN"/>
                    </w:rPr>
                    <w:t>有机</w:t>
                  </w:r>
                  <w:r>
                    <w:rPr>
                      <w:rFonts w:hint="default" w:ascii="Times New Roman" w:hAnsi="Times New Roman" w:eastAsia="宋体" w:cs="Times New Roman"/>
                      <w:sz w:val="21"/>
                      <w:szCs w:val="21"/>
                      <w:lang w:eastAsia="zh-CN"/>
                    </w:rPr>
                    <w:t>废气处理系统发生故障或进行检修时，应当停止工艺生产，待检修完成后再投入使用。本次环评要求企业选择符合要求的活性炭，</w:t>
                  </w:r>
                  <w:r>
                    <w:rPr>
                      <w:rFonts w:hint="eastAsia" w:ascii="Times New Roman" w:hAnsi="Times New Roman" w:eastAsia="宋体" w:cs="Times New Roman"/>
                      <w:sz w:val="21"/>
                      <w:szCs w:val="21"/>
                      <w:lang w:eastAsia="zh-CN"/>
                    </w:rPr>
                    <w:t>足量添加</w:t>
                  </w:r>
                  <w:r>
                    <w:rPr>
                      <w:rFonts w:hint="default" w:ascii="Times New Roman" w:hAnsi="Times New Roman" w:eastAsia="宋体" w:cs="Times New Roman"/>
                      <w:sz w:val="21"/>
                      <w:szCs w:val="21"/>
                      <w:lang w:eastAsia="zh-CN"/>
                    </w:rPr>
                    <w:t>并定期更换活性炭。</w:t>
                  </w:r>
                </w:p>
              </w:tc>
              <w:tc>
                <w:tcPr>
                  <w:tcW w:w="735" w:type="dxa"/>
                  <w:tcBorders>
                    <w:tl2br w:val="nil"/>
                    <w:tr2bl w:val="nil"/>
                  </w:tcBorders>
                  <w:noWrap/>
                  <w:vAlign w:val="center"/>
                </w:tcPr>
                <w:p w14:paraId="6FAB59E0">
                  <w:pPr>
                    <w:keepNext w:val="0"/>
                    <w:keepLines w:val="0"/>
                    <w:pageBreakBefore w:val="0"/>
                    <w:widowControl w:val="0"/>
                    <w:kinsoku/>
                    <w:wordWrap/>
                    <w:overflowPunct/>
                    <w:topLinePunct w:val="0"/>
                    <w:bidi w:val="0"/>
                    <w:spacing w:line="240" w:lineRule="auto"/>
                    <w:ind w:firstLine="0" w:firstLineChars="0"/>
                    <w:jc w:val="center"/>
                    <w:rPr>
                      <w:rFonts w:hint="default" w:ascii="Times New Roman" w:hAnsi="Times New Roman" w:eastAsia="宋体"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符合</w:t>
                  </w:r>
                </w:p>
              </w:tc>
            </w:tr>
            <w:tr w14:paraId="221505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80" w:hRule="atLeast"/>
                <w:jc w:val="center"/>
              </w:trPr>
              <w:tc>
                <w:tcPr>
                  <w:tcW w:w="2159" w:type="dxa"/>
                  <w:tcBorders>
                    <w:tl2br w:val="nil"/>
                    <w:tr2bl w:val="nil"/>
                  </w:tcBorders>
                  <w:noWrap/>
                  <w:vAlign w:val="center"/>
                </w:tcPr>
                <w:p w14:paraId="00EA5F43">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0"/>
                      <w:sz w:val="21"/>
                      <w:szCs w:val="21"/>
                      <w:u w:val="none" w:color="auto"/>
                      <w:lang w:val="en-US" w:eastAsia="zh-CN"/>
                    </w:rPr>
                  </w:pPr>
                  <w:r>
                    <w:rPr>
                      <w:rFonts w:hint="default" w:ascii="Times New Roman" w:hAnsi="Times New Roman" w:eastAsia="宋体" w:cs="Times New Roman"/>
                      <w:b w:val="0"/>
                      <w:bCs w:val="0"/>
                      <w:kern w:val="0"/>
                      <w:sz w:val="21"/>
                      <w:szCs w:val="21"/>
                      <w:u w:val="none" w:color="auto"/>
                      <w:lang w:val="en-US" w:eastAsia="zh-CN"/>
                    </w:rPr>
                    <w:t>《重点行业挥发性有机物综合治理方案》(环大气[2019]53号)</w:t>
                  </w:r>
                </w:p>
              </w:tc>
              <w:tc>
                <w:tcPr>
                  <w:tcW w:w="2888" w:type="dxa"/>
                  <w:tcBorders>
                    <w:tl2br w:val="nil"/>
                    <w:tr2bl w:val="nil"/>
                  </w:tcBorders>
                  <w:noWrap/>
                  <w:vAlign w:val="center"/>
                </w:tcPr>
                <w:p w14:paraId="3D431670">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bCs w:val="0"/>
                      <w:kern w:val="0"/>
                      <w:sz w:val="21"/>
                      <w:szCs w:val="21"/>
                      <w:u w:val="none" w:color="auto"/>
                      <w:lang w:val="en-US" w:eastAsia="zh-CN"/>
                    </w:rPr>
                  </w:pPr>
                  <w:r>
                    <w:rPr>
                      <w:rFonts w:hint="default" w:ascii="Times New Roman" w:hAnsi="Times New Roman" w:eastAsia="宋体" w:cs="Times New Roman"/>
                      <w:b w:val="0"/>
                      <w:bCs w:val="0"/>
                      <w:kern w:val="0"/>
                      <w:sz w:val="21"/>
                      <w:szCs w:val="21"/>
                      <w:u w:val="none" w:color="auto"/>
                      <w:lang w:val="en-US" w:eastAsia="zh-CN"/>
                    </w:rPr>
                    <w:t>(二)全面加强无组织排放控制。</w:t>
                  </w:r>
                </w:p>
                <w:p w14:paraId="563BDCB4">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bCs w:val="0"/>
                      <w:kern w:val="0"/>
                      <w:sz w:val="21"/>
                      <w:szCs w:val="21"/>
                      <w:u w:val="none" w:color="auto"/>
                      <w:lang w:val="en-US" w:eastAsia="zh-CN"/>
                    </w:rPr>
                  </w:pPr>
                  <w:r>
                    <w:rPr>
                      <w:rFonts w:hint="default" w:ascii="Times New Roman" w:hAnsi="Times New Roman" w:eastAsia="宋体" w:cs="Times New Roman"/>
                      <w:b w:val="0"/>
                      <w:bCs w:val="0"/>
                      <w:kern w:val="0"/>
                      <w:sz w:val="21"/>
                      <w:szCs w:val="21"/>
                      <w:u w:val="none" w:color="auto"/>
                      <w:lang w:val="en-US" w:eastAsia="zh-CN"/>
                    </w:rPr>
                    <w:t>重点对含VOCs物料(包括含VOCs原辅材料、含VOCs产品、含VOCs废料以及有机聚合物材料等)储存、转移和输送、设备与管线组件泄漏、敞开液而逸散以及工艺过程等五类排放源实施管控，通过采取设备与场所密闭、工艺改进、废气有效收集等措施，削减VOCs无组织排放。</w:t>
                  </w:r>
                </w:p>
                <w:p w14:paraId="1D13F2E7">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sz w:val="21"/>
                      <w:szCs w:val="21"/>
                      <w:lang w:val="en-US" w:eastAsia="zh-CN"/>
                    </w:rPr>
                  </w:pPr>
                  <w:r>
                    <w:rPr>
                      <w:rFonts w:hint="eastAsia" w:ascii="Times New Roman" w:hAnsi="Times New Roman" w:eastAsia="宋体" w:cs="Times New Roman"/>
                      <w:b w:val="0"/>
                      <w:bCs w:val="0"/>
                      <w:kern w:val="0"/>
                      <w:sz w:val="21"/>
                      <w:szCs w:val="21"/>
                      <w:u w:val="none" w:color="auto"/>
                      <w:lang w:val="en-US" w:eastAsia="zh-CN"/>
                    </w:rPr>
                    <w:t>（三）</w:t>
                  </w:r>
                  <w:r>
                    <w:rPr>
                      <w:rFonts w:hint="eastAsia"/>
                      <w:sz w:val="21"/>
                      <w:szCs w:val="21"/>
                      <w:lang w:eastAsia="zh-CN"/>
                    </w:rPr>
                    <w:t>推进建设适宜高效的治污设施。</w:t>
                  </w:r>
                  <w:r>
                    <w:rPr>
                      <w:rFonts w:hint="default" w:eastAsia="宋体"/>
                      <w:sz w:val="21"/>
                      <w:szCs w:val="21"/>
                      <w:highlight w:val="none"/>
                      <w:lang w:val="en-US" w:eastAsia="zh-CN"/>
                    </w:rPr>
                    <w:t>企业新建治污设施或对现有治污设施实施改造，应依据排放废气的浓度、组分、风量，温度、湿度、压力，以及生产工况等，合理选择治理技术。鼓励企业采用多种技术的组合工艺，提高VOCs治理效率。低浓度、大风量废气，宜采用沸石转轮吸附、活性炭吸附、减风增浓等浓缩技术，提高VOCs浓度后净化处理；高浓度废气，优先进行溶剂回收，难以回收的，宜采用高温焚烧、催化燃烧等技术。油气（溶剂）回收宜采用冷凝+吸附、吸附+吸收、膜分离+吸附等技术。低温等离子、光催化、光氧化技术主要适用于恶臭异味等治理；生物法主要适用于低浓度VOCs废气治理和恶臭异味治理。非水溶性的VOCs废气禁止采用水或水溶液喷淋吸收处理。采用一次性活性炭吸附技术的，应定期更换活性炭，废旧活性炭应再生或处理处置。</w:t>
                  </w:r>
                </w:p>
              </w:tc>
              <w:tc>
                <w:tcPr>
                  <w:tcW w:w="2664" w:type="dxa"/>
                  <w:tcBorders>
                    <w:tl2br w:val="nil"/>
                    <w:tr2bl w:val="nil"/>
                  </w:tcBorders>
                  <w:noWrap/>
                  <w:vAlign w:val="center"/>
                </w:tcPr>
                <w:p w14:paraId="5718562D">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bCs w:val="0"/>
                      <w:kern w:val="0"/>
                      <w:sz w:val="21"/>
                      <w:szCs w:val="21"/>
                      <w:u w:val="none" w:color="auto"/>
                      <w:lang w:val="en-US" w:eastAsia="zh-CN"/>
                    </w:rPr>
                  </w:pPr>
                  <w:r>
                    <w:rPr>
                      <w:rFonts w:hint="default" w:ascii="Times New Roman" w:hAnsi="Times New Roman" w:eastAsia="宋体" w:cs="Times New Roman"/>
                      <w:b w:val="0"/>
                      <w:bCs w:val="0"/>
                      <w:kern w:val="0"/>
                      <w:sz w:val="21"/>
                      <w:szCs w:val="21"/>
                      <w:u w:val="none" w:color="auto"/>
                      <w:lang w:val="en-US" w:eastAsia="zh-CN"/>
                    </w:rPr>
                    <w:t>本项目含有VOCs的物料均密闭存放，运输时用容器密闭。本项目</w:t>
                  </w:r>
                  <w:r>
                    <w:rPr>
                      <w:rFonts w:hint="eastAsia" w:cs="Times New Roman"/>
                      <w:b w:val="0"/>
                      <w:bCs w:val="0"/>
                      <w:kern w:val="0"/>
                      <w:sz w:val="21"/>
                      <w:szCs w:val="21"/>
                      <w:u w:val="none" w:color="auto"/>
                      <w:lang w:val="en-US" w:eastAsia="zh-CN"/>
                    </w:rPr>
                    <w:t>焊锡</w:t>
                  </w:r>
                  <w:r>
                    <w:rPr>
                      <w:rFonts w:hint="eastAsia" w:ascii="Times New Roman" w:hAnsi="Times New Roman" w:eastAsia="宋体" w:cs="Times New Roman"/>
                      <w:b w:val="0"/>
                      <w:bCs w:val="0"/>
                      <w:kern w:val="0"/>
                      <w:sz w:val="21"/>
                      <w:szCs w:val="21"/>
                      <w:u w:val="none" w:color="auto"/>
                      <w:lang w:val="en-US" w:eastAsia="zh-CN"/>
                    </w:rPr>
                    <w:t>废气</w:t>
                  </w:r>
                  <w:r>
                    <w:rPr>
                      <w:rFonts w:hint="eastAsia" w:cs="Times New Roman"/>
                      <w:color w:val="000000" w:themeColor="text1"/>
                      <w:kern w:val="2"/>
                      <w:sz w:val="21"/>
                      <w:szCs w:val="21"/>
                      <w:u w:val="none"/>
                      <w:lang w:val="en-US" w:eastAsia="zh-CN" w:bidi="ar-SA"/>
                      <w14:textFill>
                        <w14:solidFill>
                          <w14:schemeClr w14:val="tx1"/>
                        </w14:solidFill>
                      </w14:textFill>
                    </w:rPr>
                    <w:t>通过集气罩收集+干式过滤器处理后与</w:t>
                  </w:r>
                  <w:r>
                    <w:rPr>
                      <w:rFonts w:hint="eastAsia" w:cs="Times New Roman"/>
                      <w:b w:val="0"/>
                      <w:bCs w:val="0"/>
                      <w:kern w:val="0"/>
                      <w:sz w:val="21"/>
                      <w:szCs w:val="21"/>
                      <w:u w:val="none" w:color="auto"/>
                      <w:lang w:val="en-US" w:eastAsia="zh-CN"/>
                    </w:rPr>
                    <w:t>调漆、浸漆</w:t>
                  </w:r>
                  <w:r>
                    <w:rPr>
                      <w:rFonts w:hint="eastAsia" w:ascii="Times New Roman" w:hAnsi="Times New Roman" w:eastAsia="宋体" w:cs="Times New Roman"/>
                      <w:b w:val="0"/>
                      <w:bCs w:val="0"/>
                      <w:kern w:val="0"/>
                      <w:sz w:val="21"/>
                      <w:szCs w:val="21"/>
                      <w:u w:val="none" w:color="auto"/>
                      <w:lang w:val="en-US" w:eastAsia="zh-CN"/>
                    </w:rPr>
                    <w:t>、烘干</w:t>
                  </w:r>
                  <w:r>
                    <w:rPr>
                      <w:rFonts w:hint="eastAsia" w:cs="Times New Roman"/>
                      <w:b w:val="0"/>
                      <w:bCs w:val="0"/>
                      <w:kern w:val="0"/>
                      <w:sz w:val="21"/>
                      <w:szCs w:val="21"/>
                      <w:u w:val="none" w:color="auto"/>
                      <w:lang w:val="en-US" w:eastAsia="zh-CN"/>
                    </w:rPr>
                    <w:t>，有机废气</w:t>
                  </w:r>
                  <w:r>
                    <w:rPr>
                      <w:rFonts w:hint="eastAsia" w:cs="Times New Roman"/>
                      <w:color w:val="000000" w:themeColor="text1"/>
                      <w:kern w:val="2"/>
                      <w:sz w:val="21"/>
                      <w:szCs w:val="21"/>
                      <w:u w:val="none"/>
                      <w:lang w:val="en-US" w:eastAsia="zh-CN" w:bidi="ar-SA"/>
                      <w14:textFill>
                        <w14:solidFill>
                          <w14:schemeClr w14:val="tx1"/>
                        </w14:solidFill>
                      </w14:textFill>
                    </w:rPr>
                    <w:t>通过密闭含浸房微负压收集一同经</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二级</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活性炭吸附处理后，</w:t>
                  </w:r>
                  <w:r>
                    <w:rPr>
                      <w:rFonts w:hint="eastAsia" w:cs="Times New Roman"/>
                      <w:color w:val="000000" w:themeColor="text1"/>
                      <w:kern w:val="2"/>
                      <w:sz w:val="21"/>
                      <w:szCs w:val="21"/>
                      <w:u w:val="none"/>
                      <w:lang w:val="en-US" w:eastAsia="zh-CN" w:bidi="ar-SA"/>
                      <w14:textFill>
                        <w14:solidFill>
                          <w14:schemeClr w14:val="tx1"/>
                        </w14:solidFill>
                      </w14:textFill>
                    </w:rPr>
                    <w:t>经23m排气筒DA001</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外排</w:t>
                  </w:r>
                  <w:r>
                    <w:rPr>
                      <w:rFonts w:hint="default" w:ascii="Times New Roman" w:hAnsi="Times New Roman" w:eastAsia="宋体" w:cs="Times New Roman"/>
                      <w:b w:val="0"/>
                      <w:bCs w:val="0"/>
                      <w:kern w:val="0"/>
                      <w:sz w:val="21"/>
                      <w:szCs w:val="21"/>
                      <w:u w:val="none" w:color="auto"/>
                      <w:lang w:val="en-US" w:eastAsia="zh-CN"/>
                    </w:rPr>
                    <w:t>，符合</w:t>
                  </w:r>
                  <w:r>
                    <w:rPr>
                      <w:rFonts w:hint="eastAsia" w:ascii="Times New Roman" w:hAnsi="Times New Roman" w:eastAsia="宋体" w:cs="Times New Roman"/>
                      <w:b w:val="0"/>
                      <w:bCs w:val="0"/>
                      <w:kern w:val="0"/>
                      <w:sz w:val="21"/>
                      <w:szCs w:val="21"/>
                      <w:u w:val="none" w:color="auto"/>
                      <w:lang w:val="en-US" w:eastAsia="zh-CN"/>
                    </w:rPr>
                    <w:t>湖南省地方标准《工业企业挥发性有机物排放标准》（DB43/3550-2026）表1中计算机、通信和其他电子设备制造业标准限值。</w:t>
                  </w:r>
                  <w:r>
                    <w:rPr>
                      <w:rFonts w:hint="eastAsia" w:ascii="Times New Roman" w:cs="Times New Roman"/>
                      <w:color w:val="auto"/>
                      <w:sz w:val="21"/>
                      <w:szCs w:val="21"/>
                      <w:u w:val="none"/>
                      <w:lang w:val="en-US" w:eastAsia="zh-CN"/>
                    </w:rPr>
                    <w:t>点胶有机废气经加强车间通风后无组织排放</w:t>
                  </w:r>
                  <w:r>
                    <w:rPr>
                      <w:rFonts w:hint="eastAsia" w:cs="Times New Roman"/>
                      <w:color w:val="auto"/>
                      <w:sz w:val="21"/>
                      <w:szCs w:val="21"/>
                      <w:u w:val="none"/>
                      <w:lang w:val="en-US" w:eastAsia="zh-CN"/>
                    </w:rPr>
                    <w:t>；</w:t>
                  </w:r>
                  <w:r>
                    <w:rPr>
                      <w:rFonts w:hint="eastAsia"/>
                      <w:sz w:val="21"/>
                      <w:szCs w:val="21"/>
                      <w:highlight w:val="none"/>
                      <w:lang w:val="en-US" w:eastAsia="zh-CN"/>
                    </w:rPr>
                    <w:t>废活性炭收集后委托有资质单位处置。</w:t>
                  </w:r>
                </w:p>
              </w:tc>
              <w:tc>
                <w:tcPr>
                  <w:tcW w:w="735" w:type="dxa"/>
                  <w:tcBorders>
                    <w:tl2br w:val="nil"/>
                    <w:tr2bl w:val="nil"/>
                  </w:tcBorders>
                  <w:noWrap/>
                  <w:vAlign w:val="center"/>
                </w:tcPr>
                <w:p w14:paraId="18DC5E25">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0"/>
                      <w:sz w:val="21"/>
                      <w:szCs w:val="21"/>
                      <w:u w:val="none" w:color="auto"/>
                      <w:lang w:val="en-US" w:eastAsia="zh-CN"/>
                    </w:rPr>
                  </w:pPr>
                  <w:r>
                    <w:rPr>
                      <w:rFonts w:hint="default" w:ascii="Times New Roman" w:hAnsi="Times New Roman" w:cs="Times New Roman"/>
                      <w:b w:val="0"/>
                      <w:bCs w:val="0"/>
                      <w:kern w:val="0"/>
                      <w:sz w:val="21"/>
                      <w:szCs w:val="21"/>
                      <w:u w:val="none" w:color="auto"/>
                      <w:lang w:val="en-US" w:eastAsia="zh-CN"/>
                    </w:rPr>
                    <w:t>符合</w:t>
                  </w:r>
                </w:p>
              </w:tc>
            </w:tr>
            <w:tr w14:paraId="0C075C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80" w:hRule="atLeast"/>
                <w:jc w:val="center"/>
              </w:trPr>
              <w:tc>
                <w:tcPr>
                  <w:tcW w:w="2159" w:type="dxa"/>
                  <w:tcBorders>
                    <w:tl2br w:val="nil"/>
                    <w:tr2bl w:val="nil"/>
                  </w:tcBorders>
                  <w:noWrap/>
                  <w:vAlign w:val="center"/>
                </w:tcPr>
                <w:p w14:paraId="43E7001C">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0"/>
                      <w:sz w:val="21"/>
                      <w:szCs w:val="21"/>
                      <w:u w:val="none" w:color="auto"/>
                      <w:lang w:val="en-US" w:eastAsia="zh-CN"/>
                    </w:rPr>
                  </w:pPr>
                  <w:r>
                    <w:rPr>
                      <w:rFonts w:hint="default" w:ascii="Times New Roman" w:hAnsi="Times New Roman" w:eastAsia="宋体" w:cs="Times New Roman"/>
                      <w:b w:val="0"/>
                      <w:bCs w:val="0"/>
                      <w:kern w:val="0"/>
                      <w:sz w:val="21"/>
                      <w:szCs w:val="21"/>
                      <w:u w:val="none" w:color="auto"/>
                      <w:lang w:val="en-US" w:eastAsia="zh-CN"/>
                    </w:rPr>
                    <w:t>《工业企业挥发性有机物排放标准》（DB43/3550-2026）</w:t>
                  </w:r>
                </w:p>
              </w:tc>
              <w:tc>
                <w:tcPr>
                  <w:tcW w:w="2888" w:type="dxa"/>
                  <w:tcBorders>
                    <w:tl2br w:val="nil"/>
                    <w:tr2bl w:val="nil"/>
                  </w:tcBorders>
                  <w:noWrap/>
                  <w:vAlign w:val="center"/>
                </w:tcPr>
                <w:p w14:paraId="097F3E63">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val="0"/>
                      <w:bCs w:val="0"/>
                      <w:kern w:val="0"/>
                      <w:sz w:val="21"/>
                      <w:szCs w:val="21"/>
                      <w:u w:val="none" w:color="auto"/>
                      <w:lang w:val="en-US" w:eastAsia="zh-CN"/>
                    </w:rPr>
                  </w:pPr>
                  <w:r>
                    <w:rPr>
                      <w:rFonts w:hint="eastAsia" w:cs="Times New Roman"/>
                      <w:b w:val="0"/>
                      <w:bCs w:val="0"/>
                      <w:kern w:val="0"/>
                      <w:sz w:val="21"/>
                      <w:szCs w:val="21"/>
                      <w:u w:val="none" w:color="auto"/>
                      <w:lang w:val="en-US" w:eastAsia="zh-CN"/>
                    </w:rPr>
                    <w:t>1、</w:t>
                  </w:r>
                  <w:r>
                    <w:rPr>
                      <w:rFonts w:hint="default" w:ascii="Times New Roman" w:hAnsi="Times New Roman" w:eastAsia="宋体" w:cs="Times New Roman"/>
                      <w:b w:val="0"/>
                      <w:bCs w:val="0"/>
                      <w:kern w:val="0"/>
                      <w:sz w:val="21"/>
                      <w:szCs w:val="21"/>
                      <w:u w:val="none" w:color="auto"/>
                      <w:lang w:val="en-US" w:eastAsia="zh-CN"/>
                    </w:rPr>
                    <w:t>VOCs物料储存无组织排放控制要求</w:t>
                  </w:r>
                  <w:r>
                    <w:rPr>
                      <w:rFonts w:hint="eastAsia" w:cs="Times New Roman"/>
                      <w:b w:val="0"/>
                      <w:bCs w:val="0"/>
                      <w:kern w:val="0"/>
                      <w:sz w:val="21"/>
                      <w:szCs w:val="21"/>
                      <w:u w:val="none" w:color="auto"/>
                      <w:lang w:val="en-US" w:eastAsia="zh-CN"/>
                    </w:rPr>
                    <w:t>：</w:t>
                  </w:r>
                  <w:r>
                    <w:rPr>
                      <w:rFonts w:hint="default" w:ascii="Times New Roman" w:hAnsi="Times New Roman" w:eastAsia="宋体" w:cs="Times New Roman"/>
                      <w:b w:val="0"/>
                      <w:bCs w:val="0"/>
                      <w:kern w:val="0"/>
                      <w:sz w:val="21"/>
                      <w:szCs w:val="21"/>
                      <w:u w:val="none" w:color="auto"/>
                      <w:lang w:val="en-US" w:eastAsia="zh-CN"/>
                    </w:rPr>
                    <w:t>涂料、油墨、胶粘剂、清洗剂、稀释剂、固化剂等VOCs物料应储存于密闭的容器、包装袋、储罐、储库、料仓中。盛装VOCs物料的容器或包装袋应存放于室内，或存放于设置有雨棚、遮阳和防渗设施的专用场地。盛装VOCs物料的容器或包装袋在非取用状态时应加盖、封口，保持密闭。</w:t>
                  </w:r>
                </w:p>
                <w:p w14:paraId="79689801">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bCs w:val="0"/>
                      <w:kern w:val="0"/>
                      <w:sz w:val="21"/>
                      <w:szCs w:val="21"/>
                      <w:u w:val="none" w:color="auto"/>
                      <w:lang w:val="en-US" w:eastAsia="zh-CN"/>
                    </w:rPr>
                  </w:pPr>
                  <w:r>
                    <w:rPr>
                      <w:rFonts w:hint="default" w:ascii="Times New Roman" w:hAnsi="Times New Roman" w:eastAsia="宋体" w:cs="Times New Roman"/>
                      <w:b w:val="0"/>
                      <w:bCs w:val="0"/>
                      <w:kern w:val="0"/>
                      <w:sz w:val="21"/>
                      <w:szCs w:val="21"/>
                      <w:u w:val="none" w:color="auto"/>
                      <w:lang w:val="en-US" w:eastAsia="zh-CN"/>
                    </w:rPr>
                    <w:t>2、</w:t>
                  </w:r>
                  <w:r>
                    <w:rPr>
                      <w:rFonts w:hint="eastAsia" w:cs="Times New Roman"/>
                      <w:b w:val="0"/>
                      <w:bCs w:val="0"/>
                      <w:kern w:val="0"/>
                      <w:sz w:val="21"/>
                      <w:szCs w:val="21"/>
                      <w:u w:val="none" w:color="auto"/>
                      <w:lang w:val="en-US" w:eastAsia="zh-CN"/>
                    </w:rPr>
                    <w:t>VOCs物料转移和输送：</w:t>
                  </w:r>
                </w:p>
                <w:p w14:paraId="71EAD94F">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VOCs物料应采用密闭管道输送。采用非管道输送方式转移VOCs物料时，应采用密闭的包装袋、密闭</w:t>
                  </w:r>
                  <w:r>
                    <w:rPr>
                      <w:rFonts w:hint="eastAsia" w:cs="Times New Roman"/>
                      <w:sz w:val="21"/>
                      <w:szCs w:val="21"/>
                      <w:u w:val="none" w:color="auto"/>
                      <w:lang w:val="en-US" w:eastAsia="zh-CN"/>
                    </w:rPr>
                    <w:t>容器和罐车。</w:t>
                  </w:r>
                </w:p>
                <w:p w14:paraId="5BF85FF2">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3、涉VOCs工艺过程</w:t>
                  </w:r>
                  <w:r>
                    <w:rPr>
                      <w:rFonts w:hint="eastAsia" w:cs="Times New Roman"/>
                      <w:sz w:val="21"/>
                      <w:szCs w:val="21"/>
                      <w:u w:val="none" w:color="auto"/>
                      <w:lang w:val="en-US" w:eastAsia="zh-CN"/>
                    </w:rPr>
                    <w:t>：</w:t>
                  </w:r>
                </w:p>
                <w:p w14:paraId="0DB17E7E">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宋体" w:cs="Times New Roman"/>
                      <w:kern w:val="2"/>
                      <w:sz w:val="21"/>
                      <w:szCs w:val="21"/>
                      <w:u w:val="none" w:color="auto"/>
                      <w:lang w:val="en-US" w:eastAsia="zh-CN" w:bidi="ar-SA"/>
                    </w:rPr>
                  </w:pPr>
                  <w:r>
                    <w:rPr>
                      <w:rFonts w:hint="default" w:ascii="Times New Roman" w:hAnsi="Times New Roman" w:eastAsia="宋体" w:cs="Times New Roman"/>
                      <w:kern w:val="2"/>
                      <w:sz w:val="21"/>
                      <w:szCs w:val="21"/>
                      <w:u w:val="none" w:color="auto"/>
                      <w:lang w:val="en-US" w:eastAsia="zh-CN" w:bidi="ar-SA"/>
                    </w:rPr>
                    <w:t>VOCs物料的调配过程应采用密闭设备或在密闭空间内操作，废气应排至VOCs废气收集处理系统</w:t>
                  </w:r>
                  <w:r>
                    <w:rPr>
                      <w:rFonts w:hint="eastAsia" w:cs="Times New Roman"/>
                      <w:kern w:val="2"/>
                      <w:sz w:val="21"/>
                      <w:szCs w:val="21"/>
                      <w:u w:val="none" w:color="auto"/>
                      <w:lang w:val="en-US" w:eastAsia="zh-CN" w:bidi="ar-SA"/>
                    </w:rPr>
                    <w:t>。</w:t>
                  </w:r>
                </w:p>
                <w:p w14:paraId="1DE4E5A2">
                  <w:pPr>
                    <w:pStyle w:val="32"/>
                    <w:keepNext w:val="0"/>
                    <w:keepLines w:val="0"/>
                    <w:pageBreakBefore w:val="0"/>
                    <w:widowControl w:val="0"/>
                    <w:kinsoku/>
                    <w:wordWrap/>
                    <w:overflowPunct/>
                    <w:topLinePunct w:val="0"/>
                    <w:bidi w:val="0"/>
                    <w:spacing w:after="0" w:line="240" w:lineRule="auto"/>
                    <w:ind w:left="0" w:leftChars="0" w:firstLine="0" w:firstLineChars="0"/>
                    <w:jc w:val="left"/>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4、VOCs无组织排放废气收集处理系统</w:t>
                  </w:r>
                  <w:r>
                    <w:rPr>
                      <w:rFonts w:hint="eastAsia" w:cs="Times New Roman"/>
                      <w:sz w:val="21"/>
                      <w:szCs w:val="21"/>
                      <w:u w:val="none" w:color="auto"/>
                      <w:lang w:val="en-US" w:eastAsia="zh-CN"/>
                    </w:rPr>
                    <w:t>：</w:t>
                  </w:r>
                </w:p>
                <w:p w14:paraId="13ED3744">
                  <w:pPr>
                    <w:pStyle w:val="32"/>
                    <w:keepNext w:val="0"/>
                    <w:keepLines w:val="0"/>
                    <w:pageBreakBefore w:val="0"/>
                    <w:widowControl w:val="0"/>
                    <w:kinsoku/>
                    <w:wordWrap/>
                    <w:overflowPunct/>
                    <w:topLinePunct w:val="0"/>
                    <w:bidi w:val="0"/>
                    <w:spacing w:after="0" w:line="240" w:lineRule="auto"/>
                    <w:ind w:left="0" w:leftChars="0" w:firstLine="0" w:firstLineChars="0"/>
                    <w:jc w:val="left"/>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废气收集系统排风罩(集气罩)的设置应符合GB/T16758的要求。采用外部排风罩的，应按GB/T16758、WS/T757规定的方法测量控制风速，测量点应选取在距排风罩开口面最远处的VOCs无组织排放位置，控制风速不应低于0.3m/s(行业相关规范有具体规定的，按相关规定执行)</w:t>
                  </w:r>
                  <w:r>
                    <w:rPr>
                      <w:rFonts w:hint="eastAsia" w:cs="Times New Roman"/>
                      <w:sz w:val="21"/>
                      <w:szCs w:val="21"/>
                      <w:u w:val="none" w:color="auto"/>
                      <w:lang w:val="en-US" w:eastAsia="zh-CN"/>
                    </w:rPr>
                    <w:t>。</w:t>
                  </w:r>
                </w:p>
              </w:tc>
              <w:tc>
                <w:tcPr>
                  <w:tcW w:w="2664" w:type="dxa"/>
                  <w:tcBorders>
                    <w:tl2br w:val="nil"/>
                    <w:tr2bl w:val="nil"/>
                  </w:tcBorders>
                  <w:noWrap/>
                  <w:vAlign w:val="center"/>
                </w:tcPr>
                <w:p w14:paraId="7EF8A745">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bCs w:val="0"/>
                      <w:kern w:val="0"/>
                      <w:sz w:val="21"/>
                      <w:szCs w:val="21"/>
                      <w:u w:val="none" w:color="auto"/>
                      <w:lang w:val="en-US" w:eastAsia="zh-CN"/>
                    </w:rPr>
                  </w:pPr>
                  <w:r>
                    <w:rPr>
                      <w:rFonts w:hint="default" w:ascii="Times New Roman" w:hAnsi="Times New Roman" w:cs="Times New Roman"/>
                      <w:b w:val="0"/>
                      <w:bCs w:val="0"/>
                      <w:kern w:val="0"/>
                      <w:sz w:val="21"/>
                      <w:szCs w:val="21"/>
                      <w:u w:val="none" w:color="auto"/>
                      <w:lang w:val="en-US" w:eastAsia="zh-CN"/>
                    </w:rPr>
                    <w:t>1、本项目</w:t>
                  </w:r>
                  <w:r>
                    <w:rPr>
                      <w:rFonts w:hint="eastAsia" w:cs="Times New Roman"/>
                      <w:b w:val="0"/>
                      <w:bCs w:val="0"/>
                      <w:kern w:val="0"/>
                      <w:sz w:val="21"/>
                      <w:szCs w:val="21"/>
                      <w:u w:val="none" w:color="auto"/>
                      <w:lang w:val="en-US" w:eastAsia="zh-CN"/>
                    </w:rPr>
                    <w:t>绝缘漆</w:t>
                  </w:r>
                  <w:r>
                    <w:rPr>
                      <w:rFonts w:hint="default" w:ascii="Times New Roman" w:hAnsi="Times New Roman" w:cs="Times New Roman"/>
                      <w:b w:val="0"/>
                      <w:bCs w:val="0"/>
                      <w:kern w:val="0"/>
                      <w:sz w:val="21"/>
                      <w:szCs w:val="21"/>
                      <w:u w:val="none" w:color="auto"/>
                      <w:lang w:val="en-US" w:eastAsia="zh-CN"/>
                    </w:rPr>
                    <w:t>、</w:t>
                  </w:r>
                  <w:r>
                    <w:rPr>
                      <w:rFonts w:hint="eastAsia" w:cs="Times New Roman"/>
                      <w:b w:val="0"/>
                      <w:bCs w:val="0"/>
                      <w:kern w:val="0"/>
                      <w:sz w:val="21"/>
                      <w:szCs w:val="21"/>
                      <w:u w:val="none" w:color="auto"/>
                      <w:lang w:val="en-US" w:eastAsia="zh-CN"/>
                    </w:rPr>
                    <w:t>稀释剂</w:t>
                  </w:r>
                  <w:r>
                    <w:rPr>
                      <w:rFonts w:hint="default" w:ascii="Times New Roman" w:hAnsi="Times New Roman" w:cs="Times New Roman"/>
                      <w:b w:val="0"/>
                      <w:bCs w:val="0"/>
                      <w:kern w:val="0"/>
                      <w:sz w:val="21"/>
                      <w:szCs w:val="21"/>
                      <w:u w:val="none" w:color="auto"/>
                      <w:lang w:val="en-US" w:eastAsia="zh-CN"/>
                    </w:rPr>
                    <w:t>、</w:t>
                  </w:r>
                  <w:r>
                    <w:rPr>
                      <w:rFonts w:hint="eastAsia" w:ascii="Times New Roman" w:hAnsi="Times New Roman" w:cs="Times New Roman"/>
                      <w:b w:val="0"/>
                      <w:bCs w:val="0"/>
                      <w:kern w:val="0"/>
                      <w:sz w:val="21"/>
                      <w:szCs w:val="21"/>
                      <w:u w:val="none" w:color="auto"/>
                      <w:lang w:val="en-US" w:eastAsia="zh-CN"/>
                    </w:rPr>
                    <w:t>环氧树脂</w:t>
                  </w:r>
                  <w:r>
                    <w:rPr>
                      <w:rFonts w:hint="default" w:ascii="Times New Roman" w:hAnsi="Times New Roman" w:cs="Times New Roman"/>
                      <w:b w:val="0"/>
                      <w:bCs w:val="0"/>
                      <w:kern w:val="0"/>
                      <w:sz w:val="21"/>
                      <w:szCs w:val="21"/>
                      <w:u w:val="none" w:color="auto"/>
                      <w:lang w:val="en-US" w:eastAsia="zh-CN"/>
                    </w:rPr>
                    <w:t>AB胶、</w:t>
                  </w:r>
                  <w:r>
                    <w:rPr>
                      <w:rFonts w:hint="eastAsia" w:cs="Times New Roman"/>
                      <w:b w:val="0"/>
                      <w:bCs w:val="0"/>
                      <w:kern w:val="0"/>
                      <w:sz w:val="21"/>
                      <w:szCs w:val="21"/>
                      <w:u w:val="none" w:color="auto"/>
                      <w:lang w:val="en-US" w:eastAsia="zh-CN"/>
                    </w:rPr>
                    <w:t>助焊剂</w:t>
                  </w:r>
                  <w:r>
                    <w:rPr>
                      <w:rFonts w:hint="default" w:ascii="Times New Roman" w:hAnsi="Times New Roman" w:cs="Times New Roman"/>
                      <w:b w:val="0"/>
                      <w:bCs w:val="0"/>
                      <w:kern w:val="0"/>
                      <w:sz w:val="21"/>
                      <w:szCs w:val="21"/>
                      <w:u w:val="none" w:color="auto"/>
                      <w:lang w:val="en-US" w:eastAsia="zh-CN"/>
                    </w:rPr>
                    <w:t>均为桶装，</w:t>
                  </w:r>
                  <w:r>
                    <w:rPr>
                      <w:rFonts w:hint="eastAsia" w:cs="Times New Roman"/>
                      <w:b w:val="0"/>
                      <w:bCs w:val="0"/>
                      <w:kern w:val="0"/>
                      <w:sz w:val="21"/>
                      <w:szCs w:val="21"/>
                      <w:u w:val="none" w:color="auto"/>
                      <w:lang w:val="en-US" w:eastAsia="zh-CN"/>
                    </w:rPr>
                    <w:t>均</w:t>
                  </w:r>
                  <w:r>
                    <w:rPr>
                      <w:rFonts w:hint="default" w:ascii="Times New Roman" w:hAnsi="Times New Roman" w:cs="Times New Roman"/>
                      <w:b w:val="0"/>
                      <w:bCs w:val="0"/>
                      <w:kern w:val="0"/>
                      <w:sz w:val="21"/>
                      <w:szCs w:val="21"/>
                      <w:u w:val="none" w:color="auto"/>
                      <w:lang w:val="en-US" w:eastAsia="zh-CN"/>
                    </w:rPr>
                    <w:t>存放于</w:t>
                  </w:r>
                  <w:r>
                    <w:rPr>
                      <w:rFonts w:hint="eastAsia" w:cs="Times New Roman"/>
                      <w:b w:val="0"/>
                      <w:bCs w:val="0"/>
                      <w:kern w:val="0"/>
                      <w:sz w:val="21"/>
                      <w:szCs w:val="21"/>
                      <w:u w:val="none" w:color="auto"/>
                      <w:lang w:val="en-US" w:eastAsia="zh-CN"/>
                    </w:rPr>
                    <w:t>密闭危化品库内</w:t>
                  </w:r>
                  <w:r>
                    <w:rPr>
                      <w:rFonts w:hint="default" w:ascii="Times New Roman" w:hAnsi="Times New Roman" w:cs="Times New Roman"/>
                      <w:b w:val="0"/>
                      <w:bCs w:val="0"/>
                      <w:kern w:val="0"/>
                      <w:sz w:val="21"/>
                      <w:szCs w:val="21"/>
                      <w:u w:val="none" w:color="auto"/>
                      <w:lang w:val="en-US" w:eastAsia="zh-CN"/>
                    </w:rPr>
                    <w:t>。</w:t>
                  </w:r>
                </w:p>
                <w:p w14:paraId="0C47FEBD">
                  <w:pPr>
                    <w:pStyle w:val="59"/>
                    <w:keepNext w:val="0"/>
                    <w:keepLines w:val="0"/>
                    <w:pageBreakBefore w:val="0"/>
                    <w:widowControl w:val="0"/>
                    <w:kinsoku/>
                    <w:wordWrap/>
                    <w:overflowPunct/>
                    <w:topLinePunct w:val="0"/>
                    <w:autoSpaceDE/>
                    <w:autoSpaceDN/>
                    <w:bidi w:val="0"/>
                    <w:adjustRightInd w:val="0"/>
                    <w:snapToGrid w:val="0"/>
                    <w:spacing w:beforeLines="0" w:line="240" w:lineRule="auto"/>
                    <w:ind w:firstLine="0" w:firstLineChars="0"/>
                    <w:jc w:val="left"/>
                    <w:textAlignment w:val="baseline"/>
                    <w:rPr>
                      <w:rFonts w:hint="default" w:ascii="Times New Roman" w:hAnsi="Times New Roman" w:cs="Times New Roman"/>
                      <w:b w:val="0"/>
                      <w:bCs w:val="0"/>
                      <w:kern w:val="0"/>
                      <w:sz w:val="21"/>
                      <w:szCs w:val="21"/>
                      <w:u w:val="none" w:color="auto"/>
                      <w:lang w:val="en-US" w:eastAsia="zh-CN"/>
                    </w:rPr>
                  </w:pPr>
                  <w:r>
                    <w:rPr>
                      <w:rFonts w:hint="default" w:ascii="Times New Roman" w:hAnsi="Times New Roman" w:eastAsia="宋体" w:cs="Times New Roman"/>
                      <w:b w:val="0"/>
                      <w:bCs w:val="0"/>
                      <w:snapToGrid/>
                      <w:kern w:val="0"/>
                      <w:sz w:val="21"/>
                      <w:szCs w:val="21"/>
                      <w:u w:val="none" w:color="auto"/>
                      <w:lang w:val="en-US" w:eastAsia="zh-CN" w:bidi="ar-SA"/>
                    </w:rPr>
                    <w:t>2、</w:t>
                  </w:r>
                  <w:r>
                    <w:rPr>
                      <w:rFonts w:hint="eastAsia" w:cs="Times New Roman"/>
                      <w:b w:val="0"/>
                      <w:bCs w:val="0"/>
                      <w:kern w:val="0"/>
                      <w:sz w:val="21"/>
                      <w:szCs w:val="21"/>
                      <w:u w:val="none" w:color="auto"/>
                      <w:lang w:val="en-US" w:eastAsia="zh-CN"/>
                    </w:rPr>
                    <w:t>本项目绝缘漆</w:t>
                  </w:r>
                  <w:r>
                    <w:rPr>
                      <w:rFonts w:hint="default" w:ascii="Times New Roman" w:hAnsi="Times New Roman" w:cs="Times New Roman"/>
                      <w:b w:val="0"/>
                      <w:bCs w:val="0"/>
                      <w:kern w:val="0"/>
                      <w:sz w:val="21"/>
                      <w:szCs w:val="21"/>
                      <w:u w:val="none" w:color="auto"/>
                      <w:lang w:val="en-US" w:eastAsia="zh-CN"/>
                    </w:rPr>
                    <w:t>、</w:t>
                  </w:r>
                  <w:r>
                    <w:rPr>
                      <w:rFonts w:hint="eastAsia" w:cs="Times New Roman"/>
                      <w:b w:val="0"/>
                      <w:bCs w:val="0"/>
                      <w:kern w:val="0"/>
                      <w:sz w:val="21"/>
                      <w:szCs w:val="21"/>
                      <w:u w:val="none" w:color="auto"/>
                      <w:lang w:val="en-US" w:eastAsia="zh-CN"/>
                    </w:rPr>
                    <w:t>稀释剂</w:t>
                  </w:r>
                  <w:r>
                    <w:rPr>
                      <w:rFonts w:hint="default" w:ascii="Times New Roman" w:hAnsi="Times New Roman" w:cs="Times New Roman"/>
                      <w:b w:val="0"/>
                      <w:bCs w:val="0"/>
                      <w:kern w:val="0"/>
                      <w:sz w:val="21"/>
                      <w:szCs w:val="21"/>
                      <w:u w:val="none" w:color="auto"/>
                      <w:lang w:val="en-US" w:eastAsia="zh-CN"/>
                    </w:rPr>
                    <w:t>、</w:t>
                  </w:r>
                  <w:r>
                    <w:rPr>
                      <w:rFonts w:hint="eastAsia" w:ascii="Times New Roman" w:hAnsi="Times New Roman" w:cs="Times New Roman"/>
                      <w:b w:val="0"/>
                      <w:bCs w:val="0"/>
                      <w:kern w:val="0"/>
                      <w:sz w:val="21"/>
                      <w:szCs w:val="21"/>
                      <w:u w:val="none" w:color="auto"/>
                      <w:lang w:val="en-US" w:eastAsia="zh-CN"/>
                    </w:rPr>
                    <w:t>环氧树脂</w:t>
                  </w:r>
                  <w:r>
                    <w:rPr>
                      <w:rFonts w:hint="default" w:ascii="Times New Roman" w:hAnsi="Times New Roman" w:cs="Times New Roman"/>
                      <w:b w:val="0"/>
                      <w:bCs w:val="0"/>
                      <w:kern w:val="0"/>
                      <w:sz w:val="21"/>
                      <w:szCs w:val="21"/>
                      <w:u w:val="none" w:color="auto"/>
                      <w:lang w:val="en-US" w:eastAsia="zh-CN"/>
                    </w:rPr>
                    <w:t>AB胶、</w:t>
                  </w:r>
                  <w:r>
                    <w:rPr>
                      <w:rFonts w:hint="eastAsia" w:cs="Times New Roman"/>
                      <w:b w:val="0"/>
                      <w:bCs w:val="0"/>
                      <w:kern w:val="0"/>
                      <w:sz w:val="21"/>
                      <w:szCs w:val="21"/>
                      <w:u w:val="none" w:color="auto"/>
                      <w:lang w:val="en-US" w:eastAsia="zh-CN"/>
                    </w:rPr>
                    <w:t>助焊剂</w:t>
                  </w:r>
                  <w:r>
                    <w:rPr>
                      <w:rFonts w:hint="default" w:ascii="Times New Roman" w:hAnsi="Times New Roman" w:cs="Times New Roman"/>
                      <w:b w:val="0"/>
                      <w:bCs w:val="0"/>
                      <w:kern w:val="0"/>
                      <w:sz w:val="21"/>
                      <w:szCs w:val="21"/>
                      <w:u w:val="none" w:color="auto"/>
                      <w:lang w:val="en-US" w:eastAsia="zh-CN"/>
                    </w:rPr>
                    <w:t>均</w:t>
                  </w:r>
                  <w:r>
                    <w:rPr>
                      <w:rFonts w:hint="eastAsia" w:cs="Times New Roman"/>
                      <w:b w:val="0"/>
                      <w:bCs w:val="0"/>
                      <w:kern w:val="0"/>
                      <w:sz w:val="21"/>
                      <w:szCs w:val="21"/>
                      <w:u w:val="none" w:color="auto"/>
                      <w:lang w:val="en-US" w:eastAsia="zh-CN"/>
                    </w:rPr>
                    <w:t>存放于密闭容器内。</w:t>
                  </w:r>
                </w:p>
                <w:p w14:paraId="0DF200A8">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left"/>
                    <w:textAlignment w:val="auto"/>
                    <w:rPr>
                      <w:rFonts w:hint="default" w:ascii="Times New Roman" w:hAnsi="Times New Roman" w:cs="Times New Roman"/>
                      <w:b w:val="0"/>
                      <w:bCs w:val="0"/>
                      <w:kern w:val="0"/>
                      <w:sz w:val="21"/>
                      <w:szCs w:val="21"/>
                      <w:u w:val="none" w:color="auto"/>
                      <w:lang w:val="en-US" w:eastAsia="zh-CN"/>
                    </w:rPr>
                  </w:pPr>
                  <w:r>
                    <w:rPr>
                      <w:rFonts w:hint="default" w:ascii="Times New Roman" w:hAnsi="Times New Roman" w:cs="Times New Roman"/>
                      <w:b w:val="0"/>
                      <w:bCs w:val="0"/>
                      <w:kern w:val="0"/>
                      <w:sz w:val="21"/>
                      <w:szCs w:val="21"/>
                      <w:u w:val="none" w:color="auto"/>
                      <w:lang w:val="en-US" w:eastAsia="zh-CN"/>
                    </w:rPr>
                    <w:t>3、</w:t>
                  </w:r>
                  <w:r>
                    <w:rPr>
                      <w:rFonts w:hint="eastAsia" w:ascii="Times New Roman" w:hAnsi="Times New Roman" w:cs="Times New Roman"/>
                      <w:b w:val="0"/>
                      <w:bCs w:val="0"/>
                      <w:kern w:val="0"/>
                      <w:sz w:val="21"/>
                      <w:szCs w:val="21"/>
                      <w:u w:val="none" w:color="auto"/>
                      <w:lang w:val="en-US" w:eastAsia="zh-CN"/>
                    </w:rPr>
                    <w:t>本项目含浸、烘干</w:t>
                  </w:r>
                  <w:r>
                    <w:rPr>
                      <w:rFonts w:hint="eastAsia" w:ascii="Times New Roman" w:hAnsi="Times New Roman" w:cs="Times New Roman"/>
                      <w:sz w:val="21"/>
                      <w:szCs w:val="21"/>
                      <w:u w:val="none" w:color="auto"/>
                      <w:lang w:val="en-US" w:eastAsia="zh-CN"/>
                    </w:rPr>
                    <w:t>均在密闭含浸房中进行，产生的废气经集气罩收集至废气处理系统中处理</w:t>
                  </w:r>
                  <w:r>
                    <w:rPr>
                      <w:rFonts w:hint="default" w:ascii="Times New Roman" w:hAnsi="Times New Roman" w:cs="Times New Roman"/>
                      <w:b w:val="0"/>
                      <w:bCs w:val="0"/>
                      <w:kern w:val="0"/>
                      <w:sz w:val="21"/>
                      <w:szCs w:val="21"/>
                      <w:u w:val="none" w:color="auto"/>
                      <w:lang w:val="en-US" w:eastAsia="zh-CN"/>
                    </w:rPr>
                    <w:t>；</w:t>
                  </w:r>
                </w:p>
                <w:p w14:paraId="3EBED03C">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cs="Times New Roman"/>
                      <w:sz w:val="21"/>
                      <w:szCs w:val="21"/>
                      <w:u w:val="none" w:color="auto"/>
                      <w:lang w:val="en-US" w:eastAsia="zh-CN"/>
                    </w:rPr>
                  </w:pPr>
                  <w:r>
                    <w:rPr>
                      <w:rFonts w:hint="default" w:ascii="Times New Roman" w:hAnsi="Times New Roman" w:cs="Times New Roman"/>
                      <w:b w:val="0"/>
                      <w:bCs w:val="0"/>
                      <w:kern w:val="0"/>
                      <w:sz w:val="21"/>
                      <w:szCs w:val="21"/>
                      <w:u w:val="none" w:color="auto"/>
                      <w:lang w:val="en-US" w:eastAsia="zh-CN"/>
                    </w:rPr>
                    <w:t>4、本项目集气罩按照规范要求设计。</w:t>
                  </w:r>
                </w:p>
              </w:tc>
              <w:tc>
                <w:tcPr>
                  <w:tcW w:w="735" w:type="dxa"/>
                  <w:tcBorders>
                    <w:tl2br w:val="nil"/>
                    <w:tr2bl w:val="nil"/>
                  </w:tcBorders>
                  <w:noWrap/>
                  <w:vAlign w:val="center"/>
                </w:tcPr>
                <w:p w14:paraId="02889AAF">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0"/>
                      <w:sz w:val="21"/>
                      <w:szCs w:val="21"/>
                      <w:u w:val="none" w:color="auto"/>
                      <w:lang w:val="en-US" w:eastAsia="zh-CN"/>
                    </w:rPr>
                  </w:pPr>
                  <w:r>
                    <w:rPr>
                      <w:rFonts w:hint="default" w:ascii="Times New Roman" w:hAnsi="Times New Roman" w:cs="Times New Roman"/>
                      <w:b w:val="0"/>
                      <w:bCs w:val="0"/>
                      <w:kern w:val="0"/>
                      <w:sz w:val="21"/>
                      <w:szCs w:val="21"/>
                      <w:u w:val="none" w:color="auto"/>
                      <w:lang w:val="en-US" w:eastAsia="zh-CN"/>
                    </w:rPr>
                    <w:t>符合</w:t>
                  </w:r>
                </w:p>
              </w:tc>
            </w:tr>
            <w:tr w14:paraId="328A38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06" w:hRule="atLeast"/>
                <w:jc w:val="center"/>
              </w:trPr>
              <w:tc>
                <w:tcPr>
                  <w:tcW w:w="2159" w:type="dxa"/>
                  <w:vMerge w:val="restart"/>
                  <w:tcBorders>
                    <w:tl2br w:val="nil"/>
                    <w:tr2bl w:val="nil"/>
                  </w:tcBorders>
                  <w:noWrap/>
                  <w:vAlign w:val="center"/>
                </w:tcPr>
                <w:p w14:paraId="5B656417">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0"/>
                      <w:sz w:val="21"/>
                      <w:szCs w:val="21"/>
                      <w:u w:val="none" w:color="auto"/>
                      <w:lang w:val="en-US" w:eastAsia="zh-CN"/>
                    </w:rPr>
                  </w:pPr>
                  <w:r>
                    <w:rPr>
                      <w:rFonts w:hint="default" w:ascii="Times New Roman" w:hAnsi="Times New Roman" w:eastAsia="宋体" w:cs="Times New Roman"/>
                      <w:b w:val="0"/>
                      <w:bCs w:val="0"/>
                      <w:kern w:val="0"/>
                      <w:sz w:val="21"/>
                      <w:szCs w:val="21"/>
                      <w:u w:val="none" w:color="auto"/>
                      <w:lang w:val="en-US" w:eastAsia="zh-CN"/>
                    </w:rPr>
                    <w:t>《挥发性有机物(VOCs)污染防治技术政策》环保部公告2013年第31号</w:t>
                  </w:r>
                </w:p>
              </w:tc>
              <w:tc>
                <w:tcPr>
                  <w:tcW w:w="2888" w:type="dxa"/>
                  <w:tcBorders>
                    <w:tl2br w:val="nil"/>
                    <w:tr2bl w:val="nil"/>
                  </w:tcBorders>
                  <w:noWrap/>
                  <w:vAlign w:val="center"/>
                </w:tcPr>
                <w:p w14:paraId="37EF1B56">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kern w:val="0"/>
                      <w:sz w:val="21"/>
                      <w:szCs w:val="21"/>
                      <w:u w:val="none" w:color="auto"/>
                      <w:lang w:val="en-US" w:eastAsia="zh-CN"/>
                    </w:rPr>
                  </w:pPr>
                  <w:r>
                    <w:rPr>
                      <w:rFonts w:hint="default" w:ascii="Times New Roman" w:hAnsi="Times New Roman" w:eastAsia="宋体" w:cs="Times New Roman"/>
                      <w:b w:val="0"/>
                      <w:bCs w:val="0"/>
                      <w:kern w:val="0"/>
                      <w:sz w:val="21"/>
                      <w:szCs w:val="21"/>
                      <w:u w:val="none" w:color="auto"/>
                      <w:lang w:val="en-US" w:eastAsia="zh-CN"/>
                    </w:rPr>
                    <w:t>源头和过程控制:</w:t>
                  </w:r>
                </w:p>
                <w:p w14:paraId="6A60575D">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u w:val="none" w:color="auto"/>
                      <w:lang w:val="en-US" w:eastAsia="zh-CN" w:bidi="ar-SA"/>
                    </w:rPr>
                  </w:pPr>
                  <w:r>
                    <w:rPr>
                      <w:rFonts w:hint="default" w:ascii="Times New Roman" w:hAnsi="Times New Roman" w:eastAsia="宋体" w:cs="Times New Roman"/>
                      <w:b w:val="0"/>
                      <w:bCs w:val="0"/>
                      <w:kern w:val="0"/>
                      <w:sz w:val="21"/>
                      <w:szCs w:val="21"/>
                      <w:u w:val="none" w:color="auto"/>
                      <w:lang w:val="en-US" w:eastAsia="zh-CN"/>
                    </w:rPr>
                    <w:t>(十)在涂装、印刷、粘合、工业清洗等含VOCs产品的使用过程中的VOCs污染防治技术措施包括:含VOCs产品的使用过程中，应采取废气收集措施，提高废气收集效率，减少废气的无组织排放与逸散，并对收集后的废气进行回收或处理后达标排放</w:t>
                  </w:r>
                  <w:r>
                    <w:rPr>
                      <w:rFonts w:hint="eastAsia" w:ascii="Times New Roman" w:hAnsi="Times New Roman" w:cs="Times New Roman"/>
                      <w:b w:val="0"/>
                      <w:bCs w:val="0"/>
                      <w:kern w:val="0"/>
                      <w:sz w:val="21"/>
                      <w:szCs w:val="21"/>
                      <w:u w:val="none" w:color="auto"/>
                      <w:lang w:val="en-US" w:eastAsia="zh-CN"/>
                    </w:rPr>
                    <w:t>。</w:t>
                  </w:r>
                </w:p>
              </w:tc>
              <w:tc>
                <w:tcPr>
                  <w:tcW w:w="2664" w:type="dxa"/>
                  <w:tcBorders>
                    <w:tl2br w:val="nil"/>
                    <w:tr2bl w:val="nil"/>
                  </w:tcBorders>
                  <w:noWrap/>
                  <w:vAlign w:val="center"/>
                </w:tcPr>
                <w:p w14:paraId="33DF1E47">
                  <w:pPr>
                    <w:pStyle w:val="59"/>
                    <w:keepNext w:val="0"/>
                    <w:keepLines w:val="0"/>
                    <w:pageBreakBefore w:val="0"/>
                    <w:widowControl w:val="0"/>
                    <w:kinsoku/>
                    <w:wordWrap/>
                    <w:overflowPunct/>
                    <w:topLinePunct w:val="0"/>
                    <w:autoSpaceDE/>
                    <w:autoSpaceDN/>
                    <w:bidi w:val="0"/>
                    <w:adjustRightInd w:val="0"/>
                    <w:snapToGrid w:val="0"/>
                    <w:spacing w:beforeLines="0" w:line="240" w:lineRule="auto"/>
                    <w:ind w:firstLine="0" w:firstLineChars="0"/>
                    <w:textAlignment w:val="baseline"/>
                    <w:rPr>
                      <w:rFonts w:hint="default" w:ascii="Times New Roman" w:hAnsi="Times New Roman" w:eastAsia="宋体" w:cs="Times New Roman"/>
                      <w:b w:val="0"/>
                      <w:bCs w:val="0"/>
                      <w:kern w:val="0"/>
                      <w:sz w:val="21"/>
                      <w:szCs w:val="21"/>
                      <w:u w:val="none" w:color="auto"/>
                      <w:lang w:val="en-US" w:eastAsia="zh-CN"/>
                    </w:rPr>
                  </w:pPr>
                  <w:r>
                    <w:rPr>
                      <w:rFonts w:hint="default" w:ascii="Times New Roman" w:hAnsi="Times New Roman" w:eastAsia="宋体" w:cs="Times New Roman"/>
                      <w:b w:val="0"/>
                      <w:bCs w:val="0"/>
                      <w:kern w:val="0"/>
                      <w:sz w:val="21"/>
                      <w:szCs w:val="21"/>
                      <w:u w:val="none" w:color="auto"/>
                      <w:lang w:val="en-US" w:eastAsia="zh-CN"/>
                    </w:rPr>
                    <w:t>本项目</w:t>
                  </w:r>
                  <w:r>
                    <w:rPr>
                      <w:rFonts w:hint="eastAsia" w:ascii="Times New Roman" w:hAnsi="Times New Roman" w:eastAsia="宋体" w:cs="Times New Roman"/>
                      <w:b w:val="0"/>
                      <w:bCs w:val="0"/>
                      <w:kern w:val="0"/>
                      <w:sz w:val="21"/>
                      <w:szCs w:val="21"/>
                      <w:u w:val="none" w:color="auto"/>
                      <w:lang w:val="en-US" w:eastAsia="zh-CN"/>
                    </w:rPr>
                    <w:t>含浸房为密闭设计，</w:t>
                  </w:r>
                  <w:r>
                    <w:rPr>
                      <w:rFonts w:hint="eastAsia" w:cs="Times New Roman"/>
                      <w:b w:val="0"/>
                      <w:bCs w:val="0"/>
                      <w:kern w:val="0"/>
                      <w:sz w:val="21"/>
                      <w:szCs w:val="21"/>
                      <w:u w:val="none" w:color="auto"/>
                      <w:lang w:val="en-US" w:eastAsia="zh-CN"/>
                    </w:rPr>
                    <w:t>焊锡</w:t>
                  </w:r>
                  <w:r>
                    <w:rPr>
                      <w:rFonts w:hint="eastAsia" w:ascii="Times New Roman" w:hAnsi="Times New Roman" w:eastAsia="宋体" w:cs="Times New Roman"/>
                      <w:b w:val="0"/>
                      <w:bCs w:val="0"/>
                      <w:kern w:val="0"/>
                      <w:sz w:val="21"/>
                      <w:szCs w:val="21"/>
                      <w:u w:val="none" w:color="auto"/>
                      <w:lang w:val="en-US" w:eastAsia="zh-CN"/>
                    </w:rPr>
                    <w:t>废气</w:t>
                  </w:r>
                  <w:r>
                    <w:rPr>
                      <w:rFonts w:hint="eastAsia" w:cs="Times New Roman"/>
                      <w:color w:val="000000" w:themeColor="text1"/>
                      <w:kern w:val="2"/>
                      <w:sz w:val="21"/>
                      <w:szCs w:val="21"/>
                      <w:u w:val="none"/>
                      <w:lang w:val="en-US" w:eastAsia="zh-CN" w:bidi="ar-SA"/>
                      <w14:textFill>
                        <w14:solidFill>
                          <w14:schemeClr w14:val="tx1"/>
                        </w14:solidFill>
                      </w14:textFill>
                    </w:rPr>
                    <w:t>通过集气罩收集，</w:t>
                  </w:r>
                  <w:r>
                    <w:rPr>
                      <w:rFonts w:hint="eastAsia" w:ascii="Times New Roman" w:hAnsi="Times New Roman" w:eastAsia="宋体" w:cs="Times New Roman"/>
                      <w:b w:val="0"/>
                      <w:bCs w:val="0"/>
                      <w:kern w:val="0"/>
                      <w:sz w:val="21"/>
                      <w:szCs w:val="21"/>
                      <w:u w:val="none" w:color="auto"/>
                      <w:lang w:val="en-US" w:eastAsia="zh-CN"/>
                    </w:rPr>
                    <w:t>含浸、烘干</w:t>
                  </w:r>
                  <w:r>
                    <w:rPr>
                      <w:rFonts w:hint="eastAsia" w:cs="Times New Roman"/>
                      <w:b w:val="0"/>
                      <w:bCs w:val="0"/>
                      <w:kern w:val="0"/>
                      <w:sz w:val="21"/>
                      <w:szCs w:val="21"/>
                      <w:u w:val="none" w:color="auto"/>
                      <w:lang w:val="en-US" w:eastAsia="zh-CN"/>
                    </w:rPr>
                    <w:t>，有机废气</w:t>
                  </w:r>
                  <w:r>
                    <w:rPr>
                      <w:rFonts w:hint="eastAsia" w:cs="Times New Roman"/>
                      <w:color w:val="000000" w:themeColor="text1"/>
                      <w:kern w:val="2"/>
                      <w:sz w:val="21"/>
                      <w:szCs w:val="21"/>
                      <w:u w:val="none"/>
                      <w:lang w:val="en-US" w:eastAsia="zh-CN" w:bidi="ar-SA"/>
                      <w14:textFill>
                        <w14:solidFill>
                          <w14:schemeClr w14:val="tx1"/>
                        </w14:solidFill>
                      </w14:textFill>
                    </w:rPr>
                    <w:t>通过密闭含浸房微负压收集一同经</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二级</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活性炭吸附处理后，</w:t>
                  </w:r>
                  <w:r>
                    <w:rPr>
                      <w:rFonts w:hint="eastAsia" w:cs="Times New Roman"/>
                      <w:color w:val="000000" w:themeColor="text1"/>
                      <w:kern w:val="2"/>
                      <w:sz w:val="21"/>
                      <w:szCs w:val="21"/>
                      <w:u w:val="none"/>
                      <w:lang w:val="en-US" w:eastAsia="zh-CN" w:bidi="ar-SA"/>
                      <w14:textFill>
                        <w14:solidFill>
                          <w14:schemeClr w14:val="tx1"/>
                        </w14:solidFill>
                      </w14:textFill>
                    </w:rPr>
                    <w:t>经23m排气筒DA001</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外排</w:t>
                  </w:r>
                  <w:r>
                    <w:rPr>
                      <w:rFonts w:hint="eastAsia" w:cs="Times New Roman"/>
                      <w:color w:val="000000" w:themeColor="text1"/>
                      <w:kern w:val="2"/>
                      <w:sz w:val="21"/>
                      <w:szCs w:val="21"/>
                      <w:u w:val="none"/>
                      <w:lang w:val="en-US" w:eastAsia="zh-CN" w:bidi="ar-SA"/>
                      <w14:textFill>
                        <w14:solidFill>
                          <w14:schemeClr w14:val="tx1"/>
                        </w14:solidFill>
                      </w14:textFill>
                    </w:rPr>
                    <w:t>。</w:t>
                  </w:r>
                  <w:r>
                    <w:rPr>
                      <w:rFonts w:hint="eastAsia" w:ascii="Times New Roman" w:cs="Times New Roman"/>
                      <w:color w:val="auto"/>
                      <w:sz w:val="21"/>
                      <w:szCs w:val="21"/>
                      <w:u w:val="none"/>
                      <w:lang w:val="en-US" w:eastAsia="zh-CN"/>
                    </w:rPr>
                    <w:t>点胶有机废气经加强车间通风后无组织排放</w:t>
                  </w:r>
                  <w:r>
                    <w:rPr>
                      <w:rFonts w:hint="eastAsia" w:cs="Times New Roman"/>
                      <w:color w:val="auto"/>
                      <w:sz w:val="21"/>
                      <w:szCs w:val="21"/>
                      <w:u w:val="none"/>
                      <w:lang w:val="en-US" w:eastAsia="zh-CN"/>
                    </w:rPr>
                    <w:t>。</w:t>
                  </w:r>
                </w:p>
              </w:tc>
              <w:tc>
                <w:tcPr>
                  <w:tcW w:w="735" w:type="dxa"/>
                  <w:vMerge w:val="restart"/>
                  <w:tcBorders>
                    <w:tl2br w:val="nil"/>
                    <w:tr2bl w:val="nil"/>
                  </w:tcBorders>
                  <w:noWrap/>
                  <w:vAlign w:val="center"/>
                </w:tcPr>
                <w:p w14:paraId="4D119193">
                  <w:pPr>
                    <w:keepNext w:val="0"/>
                    <w:keepLines w:val="0"/>
                    <w:pageBreakBefore w:val="0"/>
                    <w:widowControl w:val="0"/>
                    <w:kinsoku/>
                    <w:wordWrap/>
                    <w:overflowPunct/>
                    <w:topLinePunct w:val="0"/>
                    <w:bidi w:val="0"/>
                    <w:spacing w:line="240" w:lineRule="auto"/>
                    <w:ind w:firstLine="0" w:firstLineChars="0"/>
                    <w:jc w:val="center"/>
                    <w:rPr>
                      <w:rFonts w:hint="default" w:ascii="Times New Roman" w:hAnsi="Times New Roman" w:eastAsia="宋体" w:cs="Times New Roman"/>
                      <w:color w:val="000000"/>
                      <w:sz w:val="21"/>
                      <w:szCs w:val="21"/>
                      <w:u w:val="none" w:color="auto"/>
                      <w:lang w:eastAsia="zh-CN"/>
                    </w:rPr>
                  </w:pPr>
                  <w:r>
                    <w:rPr>
                      <w:rFonts w:hint="default" w:ascii="Times New Roman" w:hAnsi="Times New Roman" w:cs="Times New Roman"/>
                      <w:color w:val="000000"/>
                      <w:sz w:val="21"/>
                      <w:szCs w:val="21"/>
                      <w:u w:val="none" w:color="auto"/>
                      <w:lang w:eastAsia="zh-CN"/>
                    </w:rPr>
                    <w:t>符合</w:t>
                  </w:r>
                </w:p>
              </w:tc>
            </w:tr>
            <w:tr w14:paraId="001A6A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06" w:hRule="atLeast"/>
                <w:jc w:val="center"/>
              </w:trPr>
              <w:tc>
                <w:tcPr>
                  <w:tcW w:w="2159" w:type="dxa"/>
                  <w:vMerge w:val="continue"/>
                  <w:tcBorders>
                    <w:tl2br w:val="nil"/>
                    <w:tr2bl w:val="nil"/>
                  </w:tcBorders>
                  <w:noWrap/>
                  <w:vAlign w:val="center"/>
                </w:tcPr>
                <w:p w14:paraId="573A0C3D">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u w:val="none" w:color="auto"/>
                    </w:rPr>
                  </w:pPr>
                </w:p>
              </w:tc>
              <w:tc>
                <w:tcPr>
                  <w:tcW w:w="2888" w:type="dxa"/>
                  <w:tcBorders>
                    <w:tl2br w:val="nil"/>
                    <w:tr2bl w:val="nil"/>
                  </w:tcBorders>
                  <w:noWrap/>
                  <w:vAlign w:val="center"/>
                </w:tcPr>
                <w:p w14:paraId="1EF7DB23">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末端治理与综合利用:</w:t>
                  </w:r>
                </w:p>
                <w:p w14:paraId="2CAD2E16">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十五)对于含低浓度VOCs的废气，有回收价值时可采用吸附技术、吸收技术对有机溶剂回收后达标排放;不宜回收时，可采用吸附浓缩燃烧技术、生物技术、吸收技术、等离子体技术或紫外光高级氧化技术等净化后达标排放</w:t>
                  </w:r>
                  <w:r>
                    <w:rPr>
                      <w:rFonts w:hint="eastAsia" w:ascii="Times New Roman" w:hAnsi="Times New Roman" w:cs="Times New Roman"/>
                      <w:sz w:val="21"/>
                      <w:szCs w:val="21"/>
                      <w:u w:val="none" w:color="auto"/>
                      <w:lang w:val="en-US" w:eastAsia="zh-CN"/>
                    </w:rPr>
                    <w:t>。</w:t>
                  </w:r>
                </w:p>
                <w:p w14:paraId="48BD3DF8">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lang w:val="en-US" w:eastAsia="zh-CN"/>
                    </w:rPr>
                    <w:t>(二十)对于不能再生的过滤材料、吸附剂及催化剂等净化材料，应按照国家固体废物管理的相关规定处理处置</w:t>
                  </w:r>
                  <w:r>
                    <w:rPr>
                      <w:rFonts w:hint="eastAsia" w:ascii="Times New Roman" w:hAnsi="Times New Roman" w:cs="Times New Roman"/>
                      <w:sz w:val="21"/>
                      <w:szCs w:val="21"/>
                      <w:u w:val="none" w:color="auto"/>
                      <w:lang w:val="en-US" w:eastAsia="zh-CN"/>
                    </w:rPr>
                    <w:t>。</w:t>
                  </w:r>
                </w:p>
              </w:tc>
              <w:tc>
                <w:tcPr>
                  <w:tcW w:w="2664" w:type="dxa"/>
                  <w:tcBorders>
                    <w:tl2br w:val="nil"/>
                    <w:tr2bl w:val="nil"/>
                  </w:tcBorders>
                  <w:noWrap/>
                  <w:vAlign w:val="center"/>
                </w:tcPr>
                <w:p w14:paraId="68B1D8DF">
                  <w:pPr>
                    <w:pStyle w:val="59"/>
                    <w:keepNext w:val="0"/>
                    <w:keepLines w:val="0"/>
                    <w:pageBreakBefore w:val="0"/>
                    <w:widowControl w:val="0"/>
                    <w:kinsoku/>
                    <w:wordWrap/>
                    <w:overflowPunct/>
                    <w:topLinePunct w:val="0"/>
                    <w:autoSpaceDE/>
                    <w:autoSpaceDN/>
                    <w:bidi w:val="0"/>
                    <w:adjustRightInd w:val="0"/>
                    <w:snapToGrid w:val="0"/>
                    <w:spacing w:beforeLines="0" w:line="240" w:lineRule="auto"/>
                    <w:ind w:firstLine="0" w:firstLineChars="0"/>
                    <w:textAlignment w:val="baseline"/>
                    <w:rPr>
                      <w:rFonts w:hint="default" w:ascii="Times New Roman" w:hAnsi="Times New Roman" w:cs="Times New Roman"/>
                      <w:b w:val="0"/>
                      <w:bCs w:val="0"/>
                      <w:kern w:val="0"/>
                      <w:sz w:val="21"/>
                      <w:szCs w:val="21"/>
                      <w:u w:val="none" w:color="auto"/>
                      <w:lang w:val="en-US" w:eastAsia="zh-CN"/>
                    </w:rPr>
                  </w:pPr>
                  <w:r>
                    <w:rPr>
                      <w:rFonts w:hint="default" w:ascii="Times New Roman" w:hAnsi="Times New Roman" w:cs="Times New Roman"/>
                      <w:b w:val="0"/>
                      <w:bCs w:val="0"/>
                      <w:kern w:val="0"/>
                      <w:sz w:val="21"/>
                      <w:szCs w:val="21"/>
                      <w:u w:val="none" w:color="auto"/>
                      <w:lang w:val="en-US" w:eastAsia="zh-CN"/>
                    </w:rPr>
                    <w:t>1、</w:t>
                  </w:r>
                  <w:r>
                    <w:rPr>
                      <w:rFonts w:hint="default" w:ascii="Times New Roman" w:hAnsi="Times New Roman" w:eastAsia="宋体" w:cs="Times New Roman"/>
                      <w:b w:val="0"/>
                      <w:bCs w:val="0"/>
                      <w:kern w:val="0"/>
                      <w:sz w:val="21"/>
                      <w:szCs w:val="21"/>
                      <w:u w:val="none" w:color="auto"/>
                      <w:lang w:val="en-US" w:eastAsia="zh-CN"/>
                    </w:rPr>
                    <w:t>本项目</w:t>
                  </w:r>
                  <w:r>
                    <w:rPr>
                      <w:rFonts w:hint="eastAsia" w:ascii="Times New Roman" w:hAnsi="Times New Roman" w:eastAsia="宋体" w:cs="Times New Roman"/>
                      <w:b w:val="0"/>
                      <w:bCs w:val="0"/>
                      <w:kern w:val="0"/>
                      <w:sz w:val="21"/>
                      <w:szCs w:val="21"/>
                      <w:u w:val="none" w:color="auto"/>
                      <w:lang w:val="en-US" w:eastAsia="zh-CN"/>
                    </w:rPr>
                    <w:t>含浸房为密闭设计，</w:t>
                  </w:r>
                  <w:r>
                    <w:rPr>
                      <w:rFonts w:hint="eastAsia" w:cs="Times New Roman"/>
                      <w:b w:val="0"/>
                      <w:bCs w:val="0"/>
                      <w:kern w:val="0"/>
                      <w:sz w:val="21"/>
                      <w:szCs w:val="21"/>
                      <w:u w:val="none" w:color="auto"/>
                      <w:lang w:val="en-US" w:eastAsia="zh-CN"/>
                    </w:rPr>
                    <w:t>焊锡</w:t>
                  </w:r>
                  <w:r>
                    <w:rPr>
                      <w:rFonts w:hint="eastAsia" w:ascii="Times New Roman" w:hAnsi="Times New Roman" w:eastAsia="宋体" w:cs="Times New Roman"/>
                      <w:b w:val="0"/>
                      <w:bCs w:val="0"/>
                      <w:kern w:val="0"/>
                      <w:sz w:val="21"/>
                      <w:szCs w:val="21"/>
                      <w:u w:val="none" w:color="auto"/>
                      <w:lang w:val="en-US" w:eastAsia="zh-CN"/>
                    </w:rPr>
                    <w:t>废气</w:t>
                  </w:r>
                  <w:r>
                    <w:rPr>
                      <w:rFonts w:hint="eastAsia" w:cs="Times New Roman"/>
                      <w:color w:val="000000" w:themeColor="text1"/>
                      <w:kern w:val="2"/>
                      <w:sz w:val="21"/>
                      <w:szCs w:val="21"/>
                      <w:u w:val="none"/>
                      <w:lang w:val="en-US" w:eastAsia="zh-CN" w:bidi="ar-SA"/>
                      <w14:textFill>
                        <w14:solidFill>
                          <w14:schemeClr w14:val="tx1"/>
                        </w14:solidFill>
                      </w14:textFill>
                    </w:rPr>
                    <w:t>通过集气罩收集，</w:t>
                  </w:r>
                  <w:r>
                    <w:rPr>
                      <w:rFonts w:hint="eastAsia" w:ascii="Times New Roman" w:hAnsi="Times New Roman" w:eastAsia="宋体" w:cs="Times New Roman"/>
                      <w:b w:val="0"/>
                      <w:bCs w:val="0"/>
                      <w:kern w:val="0"/>
                      <w:sz w:val="21"/>
                      <w:szCs w:val="21"/>
                      <w:u w:val="none" w:color="auto"/>
                      <w:lang w:val="en-US" w:eastAsia="zh-CN"/>
                    </w:rPr>
                    <w:t>含浸、烘干</w:t>
                  </w:r>
                  <w:r>
                    <w:rPr>
                      <w:rFonts w:hint="eastAsia" w:cs="Times New Roman"/>
                      <w:b w:val="0"/>
                      <w:bCs w:val="0"/>
                      <w:kern w:val="0"/>
                      <w:sz w:val="21"/>
                      <w:szCs w:val="21"/>
                      <w:u w:val="none" w:color="auto"/>
                      <w:lang w:val="en-US" w:eastAsia="zh-CN"/>
                    </w:rPr>
                    <w:t>，有机废气</w:t>
                  </w:r>
                  <w:r>
                    <w:rPr>
                      <w:rFonts w:hint="eastAsia" w:cs="Times New Roman"/>
                      <w:color w:val="000000" w:themeColor="text1"/>
                      <w:kern w:val="2"/>
                      <w:sz w:val="21"/>
                      <w:szCs w:val="21"/>
                      <w:u w:val="none"/>
                      <w:lang w:val="en-US" w:eastAsia="zh-CN" w:bidi="ar-SA"/>
                      <w14:textFill>
                        <w14:solidFill>
                          <w14:schemeClr w14:val="tx1"/>
                        </w14:solidFill>
                      </w14:textFill>
                    </w:rPr>
                    <w:t>通过密闭含浸房微负压收集一同经</w:t>
                  </w: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二级</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活性炭吸附处理后，</w:t>
                  </w:r>
                  <w:r>
                    <w:rPr>
                      <w:rFonts w:hint="eastAsia" w:cs="Times New Roman"/>
                      <w:color w:val="000000" w:themeColor="text1"/>
                      <w:kern w:val="2"/>
                      <w:sz w:val="21"/>
                      <w:szCs w:val="21"/>
                      <w:u w:val="none"/>
                      <w:lang w:val="en-US" w:eastAsia="zh-CN" w:bidi="ar-SA"/>
                      <w14:textFill>
                        <w14:solidFill>
                          <w14:schemeClr w14:val="tx1"/>
                        </w14:solidFill>
                      </w14:textFill>
                    </w:rPr>
                    <w:t>经23m排气筒DA001</w:t>
                  </w:r>
                  <w:r>
                    <w:rPr>
                      <w:rFonts w:hint="default"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外排</w:t>
                  </w:r>
                  <w:r>
                    <w:rPr>
                      <w:rFonts w:hint="eastAsia" w:cs="Times New Roman"/>
                      <w:color w:val="000000" w:themeColor="text1"/>
                      <w:kern w:val="2"/>
                      <w:sz w:val="21"/>
                      <w:szCs w:val="21"/>
                      <w:u w:val="none"/>
                      <w:lang w:val="en-US" w:eastAsia="zh-CN" w:bidi="ar-SA"/>
                      <w14:textFill>
                        <w14:solidFill>
                          <w14:schemeClr w14:val="tx1"/>
                        </w14:solidFill>
                      </w14:textFill>
                    </w:rPr>
                    <w:t>。</w:t>
                  </w:r>
                </w:p>
                <w:p w14:paraId="12845177">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bCs w:val="0"/>
                      <w:kern w:val="0"/>
                      <w:sz w:val="21"/>
                      <w:szCs w:val="21"/>
                      <w:u w:val="none" w:color="auto"/>
                      <w:lang w:val="en-US" w:eastAsia="zh-CN"/>
                    </w:rPr>
                  </w:pPr>
                  <w:r>
                    <w:rPr>
                      <w:rFonts w:hint="default" w:ascii="Times New Roman" w:hAnsi="Times New Roman" w:cs="Times New Roman"/>
                      <w:b w:val="0"/>
                      <w:bCs w:val="0"/>
                      <w:kern w:val="0"/>
                      <w:sz w:val="21"/>
                      <w:szCs w:val="21"/>
                      <w:u w:val="none" w:color="auto"/>
                      <w:lang w:val="en-US" w:eastAsia="zh-CN"/>
                    </w:rPr>
                    <w:t>2、本项目产生的废活性炭作为危废处置。</w:t>
                  </w:r>
                </w:p>
              </w:tc>
              <w:tc>
                <w:tcPr>
                  <w:tcW w:w="735" w:type="dxa"/>
                  <w:vMerge w:val="continue"/>
                  <w:tcBorders>
                    <w:tl2br w:val="nil"/>
                    <w:tr2bl w:val="nil"/>
                  </w:tcBorders>
                  <w:noWrap/>
                  <w:vAlign w:val="center"/>
                </w:tcPr>
                <w:p w14:paraId="3BDB640D">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kern w:val="0"/>
                      <w:sz w:val="21"/>
                      <w:szCs w:val="21"/>
                      <w:u w:val="none" w:color="auto"/>
                      <w:lang w:val="en-US" w:eastAsia="zh-CN"/>
                    </w:rPr>
                  </w:pPr>
                </w:p>
              </w:tc>
            </w:tr>
            <w:tr w14:paraId="1202E9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06" w:hRule="atLeast"/>
                <w:jc w:val="center"/>
              </w:trPr>
              <w:tc>
                <w:tcPr>
                  <w:tcW w:w="2159" w:type="dxa"/>
                  <w:vMerge w:val="continue"/>
                  <w:tcBorders>
                    <w:tl2br w:val="nil"/>
                    <w:tr2bl w:val="nil"/>
                  </w:tcBorders>
                  <w:noWrap/>
                  <w:vAlign w:val="center"/>
                </w:tcPr>
                <w:p w14:paraId="45067EEB">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kern w:val="0"/>
                      <w:sz w:val="21"/>
                      <w:szCs w:val="21"/>
                      <w:u w:val="none" w:color="auto"/>
                      <w:lang w:val="en-US" w:eastAsia="zh-CN"/>
                    </w:rPr>
                  </w:pPr>
                </w:p>
              </w:tc>
              <w:tc>
                <w:tcPr>
                  <w:tcW w:w="2888" w:type="dxa"/>
                  <w:tcBorders>
                    <w:tl2br w:val="nil"/>
                    <w:tr2bl w:val="nil"/>
                  </w:tcBorders>
                  <w:noWrap/>
                  <w:vAlign w:val="center"/>
                </w:tcPr>
                <w:p w14:paraId="003F6FA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u w:val="none" w:color="auto"/>
                      <w:lang w:val="en-US" w:eastAsia="zh-CN" w:bidi="ar-SA"/>
                    </w:rPr>
                  </w:pPr>
                  <w:r>
                    <w:rPr>
                      <w:rFonts w:hint="default" w:ascii="Times New Roman" w:hAnsi="Times New Roman" w:eastAsia="宋体" w:cs="Times New Roman"/>
                      <w:kern w:val="2"/>
                      <w:sz w:val="21"/>
                      <w:szCs w:val="21"/>
                      <w:u w:val="none" w:color="auto"/>
                      <w:lang w:val="en-US" w:eastAsia="zh-CN" w:bidi="ar-SA"/>
                    </w:rPr>
                    <w:t>运行与监测:</w:t>
                  </w:r>
                </w:p>
                <w:p w14:paraId="6E04F68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u w:val="none" w:color="auto"/>
                      <w:lang w:val="en-US" w:eastAsia="zh-CN" w:bidi="ar-SA"/>
                    </w:rPr>
                  </w:pPr>
                  <w:r>
                    <w:rPr>
                      <w:rFonts w:hint="default" w:ascii="Times New Roman" w:hAnsi="Times New Roman" w:eastAsia="宋体" w:cs="Times New Roman"/>
                      <w:kern w:val="2"/>
                      <w:sz w:val="21"/>
                      <w:szCs w:val="21"/>
                      <w:u w:val="none" w:color="auto"/>
                      <w:lang w:val="en-US" w:eastAsia="zh-CN" w:bidi="ar-SA"/>
                    </w:rPr>
                    <w:t>(二十五)鼓励企业自行开展VOCs监测，并及时主动向当地环保行政主管部门报送监测结果。</w:t>
                  </w:r>
                </w:p>
                <w:p w14:paraId="406D74BD">
                  <w:pPr>
                    <w:pStyle w:val="1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val="0"/>
                      <w:bCs w:val="0"/>
                      <w:kern w:val="0"/>
                      <w:sz w:val="21"/>
                      <w:szCs w:val="21"/>
                      <w:u w:val="none" w:color="auto"/>
                      <w:lang w:val="en-US" w:eastAsia="zh-CN"/>
                    </w:rPr>
                  </w:pPr>
                  <w:r>
                    <w:rPr>
                      <w:rFonts w:hint="default" w:ascii="Times New Roman" w:hAnsi="Times New Roman" w:eastAsia="宋体" w:cs="Times New Roman"/>
                      <w:kern w:val="2"/>
                      <w:sz w:val="21"/>
                      <w:szCs w:val="21"/>
                      <w:u w:val="none" w:color="auto"/>
                      <w:lang w:val="en-US" w:eastAsia="zh-CN" w:bidi="ar-SA"/>
                    </w:rPr>
                    <w:t>(二十六)企业应建立健全VOCs治理设施的运行维护规程和台帐等日常管理制度,定期对各类设备、电气、自控仪表等进行检修维护，确保设施的稳定运行。</w:t>
                  </w:r>
                </w:p>
              </w:tc>
              <w:tc>
                <w:tcPr>
                  <w:tcW w:w="2664" w:type="dxa"/>
                  <w:tcBorders>
                    <w:tl2br w:val="nil"/>
                    <w:tr2bl w:val="nil"/>
                  </w:tcBorders>
                  <w:noWrap/>
                  <w:vAlign w:val="center"/>
                </w:tcPr>
                <w:p w14:paraId="70B6F7D0">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bCs w:val="0"/>
                      <w:kern w:val="0"/>
                      <w:sz w:val="21"/>
                      <w:szCs w:val="21"/>
                      <w:u w:val="none" w:color="auto"/>
                      <w:lang w:val="en-US" w:eastAsia="zh-CN"/>
                    </w:rPr>
                  </w:pPr>
                  <w:r>
                    <w:rPr>
                      <w:rFonts w:hint="default" w:ascii="Times New Roman" w:hAnsi="Times New Roman" w:cs="Times New Roman"/>
                      <w:b w:val="0"/>
                      <w:bCs w:val="0"/>
                      <w:kern w:val="0"/>
                      <w:sz w:val="21"/>
                      <w:szCs w:val="21"/>
                      <w:u w:val="none" w:color="auto"/>
                      <w:lang w:val="en-US" w:eastAsia="zh-CN"/>
                    </w:rPr>
                    <w:t>1、按要求开展VOCs监测,并及时向环境生态局报送监测结果</w:t>
                  </w:r>
                  <w:r>
                    <w:rPr>
                      <w:rFonts w:hint="eastAsia" w:ascii="Times New Roman" w:hAnsi="Times New Roman" w:cs="Times New Roman"/>
                      <w:b w:val="0"/>
                      <w:bCs w:val="0"/>
                      <w:kern w:val="0"/>
                      <w:sz w:val="21"/>
                      <w:szCs w:val="21"/>
                      <w:u w:val="none" w:color="auto"/>
                      <w:lang w:val="en-US" w:eastAsia="zh-CN"/>
                    </w:rPr>
                    <w:t>。</w:t>
                  </w:r>
                </w:p>
                <w:p w14:paraId="42EFC52E">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b w:val="0"/>
                      <w:bCs w:val="0"/>
                      <w:kern w:val="0"/>
                      <w:sz w:val="21"/>
                      <w:szCs w:val="21"/>
                      <w:u w:val="none" w:color="auto"/>
                      <w:lang w:val="en-US" w:eastAsia="zh-CN"/>
                    </w:rPr>
                  </w:pPr>
                  <w:r>
                    <w:rPr>
                      <w:rFonts w:hint="default" w:ascii="Times New Roman" w:hAnsi="Times New Roman" w:cs="Times New Roman"/>
                      <w:b w:val="0"/>
                      <w:bCs w:val="0"/>
                      <w:kern w:val="0"/>
                      <w:sz w:val="21"/>
                      <w:szCs w:val="21"/>
                      <w:u w:val="none" w:color="auto"/>
                      <w:lang w:val="en-US" w:eastAsia="zh-CN"/>
                    </w:rPr>
                    <w:t>2、按要求健全VOCs治理设施的运行维护规程和台帐等日常管理制度，并定期对各类设备、电气、自控仪表等进行检修维护</w:t>
                  </w:r>
                  <w:r>
                    <w:rPr>
                      <w:rFonts w:hint="eastAsia" w:ascii="Times New Roman" w:hAnsi="Times New Roman" w:cs="Times New Roman"/>
                      <w:b w:val="0"/>
                      <w:bCs w:val="0"/>
                      <w:kern w:val="0"/>
                      <w:sz w:val="21"/>
                      <w:szCs w:val="21"/>
                      <w:u w:val="none" w:color="auto"/>
                      <w:lang w:val="en-US" w:eastAsia="zh-CN"/>
                    </w:rPr>
                    <w:t>。</w:t>
                  </w:r>
                </w:p>
              </w:tc>
              <w:tc>
                <w:tcPr>
                  <w:tcW w:w="735" w:type="dxa"/>
                  <w:vMerge w:val="continue"/>
                  <w:tcBorders>
                    <w:tl2br w:val="nil"/>
                    <w:tr2bl w:val="nil"/>
                  </w:tcBorders>
                  <w:noWrap/>
                  <w:vAlign w:val="center"/>
                </w:tcPr>
                <w:p w14:paraId="38BDF29F">
                  <w:pPr>
                    <w:pStyle w:val="1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kern w:val="0"/>
                      <w:sz w:val="21"/>
                      <w:szCs w:val="21"/>
                      <w:u w:val="none" w:color="auto"/>
                      <w:lang w:val="en-US" w:eastAsia="zh-CN"/>
                    </w:rPr>
                  </w:pPr>
                </w:p>
              </w:tc>
            </w:tr>
          </w:tbl>
          <w:p w14:paraId="40337B2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2" w:firstLineChars="200"/>
              <w:jc w:val="left"/>
              <w:textAlignment w:val="auto"/>
              <w:rPr>
                <w:rFonts w:hint="eastAsia"/>
                <w:b/>
                <w:bCs/>
                <w:color w:val="auto"/>
                <w:u w:val="none"/>
              </w:rPr>
            </w:pPr>
            <w:r>
              <w:rPr>
                <w:rFonts w:hint="eastAsia" w:ascii="Times New Roman" w:hAnsi="Times New Roman" w:cs="Times New Roman"/>
                <w:b/>
                <w:bCs w:val="0"/>
                <w:sz w:val="24"/>
                <w:szCs w:val="24"/>
                <w:lang w:val="en-US" w:eastAsia="zh-CN"/>
              </w:rPr>
              <w:t>7、</w:t>
            </w:r>
            <w:r>
              <w:rPr>
                <w:rFonts w:hint="eastAsia"/>
                <w:b/>
                <w:bCs/>
                <w:color w:val="auto"/>
                <w:u w:val="none"/>
                <w:lang w:val="en-US" w:eastAsia="zh-CN"/>
              </w:rPr>
              <w:t>与《怀化市“十四五”生态环境保护规划》的符合性分析</w:t>
            </w:r>
          </w:p>
          <w:p w14:paraId="4C96D93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olor w:val="auto"/>
              </w:rPr>
            </w:pPr>
            <w:r>
              <w:rPr>
                <w:rFonts w:hint="eastAsia"/>
                <w:b/>
                <w:bCs/>
                <w:color w:val="auto"/>
                <w:lang w:val="en-US" w:eastAsia="zh-CN"/>
              </w:rPr>
              <w:t>相关要求：</w:t>
            </w:r>
            <w:r>
              <w:rPr>
                <w:rFonts w:hint="eastAsia"/>
                <w:color w:val="auto"/>
              </w:rPr>
              <w:t>加快推进有机化工、工业涂装、印刷包装、沥青搅拌、汽车维修、橡胶塑料制品等行业企业VOCs综合治理，加强汽修行业VOCs综合治理，全面推进工业涂装、包装印刷、沥青搅拌站等重点涉气企业工况监控设施建设，落实“源头-过程-末端-运维”全过程管控。禁止建设生产VOCs含量限制不符合国家标准的涂料、油墨、胶粘剂、清洗剂等项目，大力推行低VOCs含量原辅材料源头替代和生产工艺设备改进提升，减少源头排放。加强VOCs无组织排放控制，实行重点排放源排放浓度与去除效率双重控制。新建涉VOCs排放的工业企业要入园区。</w:t>
            </w:r>
          </w:p>
          <w:p w14:paraId="6FD58A17">
            <w:pPr>
              <w:pStyle w:val="58"/>
              <w:keepNext w:val="0"/>
              <w:keepLines w:val="0"/>
              <w:pageBreakBefore w:val="0"/>
              <w:widowControl w:val="0"/>
              <w:kinsoku/>
              <w:wordWrap/>
              <w:overflowPunct/>
              <w:topLinePunct w:val="0"/>
              <w:bidi w:val="0"/>
              <w:spacing w:line="360" w:lineRule="auto"/>
              <w:textAlignment w:val="auto"/>
              <w:rPr>
                <w:rFonts w:hint="eastAsia" w:ascii="Times New Roman" w:hAnsi="Times New Roman" w:cs="Times New Roman"/>
                <w:color w:val="auto"/>
                <w:sz w:val="24"/>
                <w:lang w:val="en-US" w:eastAsia="zh-CN"/>
              </w:rPr>
            </w:pPr>
            <w:r>
              <w:rPr>
                <w:rFonts w:hint="default" w:ascii="Times New Roman" w:hAnsi="Times New Roman" w:cs="Times New Roman"/>
                <w:b/>
                <w:bCs/>
                <w:color w:val="auto"/>
                <w:lang w:val="en-US" w:eastAsia="zh-CN"/>
              </w:rPr>
              <w:t>本</w:t>
            </w:r>
            <w:r>
              <w:rPr>
                <w:rFonts w:hint="default" w:ascii="Times New Roman" w:hAnsi="Times New Roman" w:cs="Times New Roman"/>
                <w:b/>
                <w:bCs/>
                <w:color w:val="auto"/>
                <w:sz w:val="24"/>
                <w:lang w:val="en-US" w:eastAsia="zh-CN"/>
              </w:rPr>
              <w:t>项目情况：</w:t>
            </w:r>
            <w:r>
              <w:rPr>
                <w:rFonts w:hint="default" w:ascii="Times New Roman" w:hAnsi="Times New Roman" w:cs="Times New Roman"/>
                <w:b w:val="0"/>
                <w:bCs w:val="0"/>
                <w:color w:val="auto"/>
                <w:sz w:val="24"/>
                <w:lang w:val="en-US" w:eastAsia="zh-CN"/>
              </w:rPr>
              <w:t>本项目位于</w:t>
            </w:r>
            <w:r>
              <w:rPr>
                <w:rFonts w:hint="eastAsia" w:ascii="Times New Roman" w:cs="Times New Roman"/>
                <w:color w:val="000000" w:themeColor="text1"/>
                <w:sz w:val="24"/>
                <w:szCs w:val="24"/>
                <w:u w:val="none"/>
                <w:lang w:val="en-US" w:eastAsia="zh-CN"/>
                <w14:textFill>
                  <w14:solidFill>
                    <w14:schemeClr w14:val="tx1"/>
                  </w14:solidFill>
                </w14:textFill>
              </w:rPr>
              <w:t>怀化市高新技术产业开发区管理委员会中方片区管理办公室泸阳片区（众力创新园1栋南区第2层）</w:t>
            </w:r>
            <w:r>
              <w:rPr>
                <w:rFonts w:hint="default" w:ascii="Times New Roman" w:hAnsi="Times New Roman" w:cs="Times New Roman"/>
                <w:color w:val="auto"/>
                <w:sz w:val="24"/>
                <w:lang w:val="en-US" w:eastAsia="zh-CN"/>
              </w:rPr>
              <w:t>，</w:t>
            </w:r>
            <w:r>
              <w:rPr>
                <w:rFonts w:hint="default" w:ascii="Times New Roman" w:hAnsi="Times New Roman" w:cs="Times New Roman"/>
                <w:color w:val="auto"/>
                <w:sz w:val="24"/>
                <w:u w:val="none"/>
                <w:lang w:val="en-US" w:eastAsia="zh-CN"/>
              </w:rPr>
              <w:t>项目有机废气主要包括焊锡、含浸、烘干</w:t>
            </w:r>
            <w:r>
              <w:rPr>
                <w:rFonts w:hint="eastAsia" w:ascii="Times New Roman" w:cs="Times New Roman"/>
                <w:color w:val="auto"/>
                <w:sz w:val="24"/>
                <w:u w:val="none"/>
                <w:lang w:val="en-US" w:eastAsia="zh-CN"/>
              </w:rPr>
              <w:t>，有机</w:t>
            </w:r>
            <w:r>
              <w:rPr>
                <w:rFonts w:hint="default" w:ascii="Times New Roman" w:hAnsi="Times New Roman" w:cs="Times New Roman"/>
                <w:color w:val="auto"/>
                <w:sz w:val="24"/>
                <w:u w:val="none"/>
                <w:lang w:val="en-US" w:eastAsia="zh-CN"/>
              </w:rPr>
              <w:t>废气，</w:t>
            </w:r>
            <w:r>
              <w:rPr>
                <w:rFonts w:hint="eastAsia" w:ascii="Times New Roman" w:cs="Times New Roman"/>
                <w:color w:val="auto"/>
                <w:sz w:val="24"/>
                <w:u w:val="none"/>
                <w:lang w:val="en-US" w:eastAsia="zh-CN"/>
              </w:rPr>
              <w:t>焊锡废气</w:t>
            </w:r>
            <w:r>
              <w:rPr>
                <w:rFonts w:hint="default" w:ascii="Times New Roman" w:hAnsi="Times New Roman" w:cs="Times New Roman"/>
                <w:color w:val="auto"/>
                <w:sz w:val="24"/>
                <w:u w:val="none"/>
                <w:lang w:val="en-US" w:eastAsia="zh-CN"/>
              </w:rPr>
              <w:t>采用集气罩</w:t>
            </w:r>
            <w:r>
              <w:rPr>
                <w:rFonts w:hint="eastAsia" w:ascii="Times New Roman" w:cs="Times New Roman"/>
                <w:color w:val="auto"/>
                <w:sz w:val="24"/>
                <w:u w:val="none"/>
                <w:lang w:val="en-US" w:eastAsia="zh-CN"/>
              </w:rPr>
              <w:t>收集，含浸、烘干废气</w:t>
            </w:r>
            <w:r>
              <w:rPr>
                <w:rFonts w:hint="default" w:ascii="Times New Roman" w:hAnsi="Times New Roman" w:cs="Times New Roman"/>
                <w:color w:val="000000" w:themeColor="text1"/>
                <w:kern w:val="2"/>
                <w:sz w:val="24"/>
                <w:szCs w:val="24"/>
                <w:u w:val="none"/>
                <w:lang w:val="en-US" w:eastAsia="zh-CN" w:bidi="ar-SA"/>
                <w14:textFill>
                  <w14:solidFill>
                    <w14:schemeClr w14:val="tx1"/>
                  </w14:solidFill>
                </w14:textFill>
              </w:rPr>
              <w:t>通过密闭</w:t>
            </w:r>
            <w:r>
              <w:rPr>
                <w:rFonts w:hint="eastAsia" w:ascii="Times New Roman" w:cs="Times New Roman"/>
                <w:color w:val="000000" w:themeColor="text1"/>
                <w:kern w:val="2"/>
                <w:sz w:val="24"/>
                <w:szCs w:val="24"/>
                <w:u w:val="none"/>
                <w:lang w:val="en-US" w:eastAsia="zh-CN" w:bidi="ar-SA"/>
                <w14:textFill>
                  <w14:solidFill>
                    <w14:schemeClr w14:val="tx1"/>
                  </w14:solidFill>
                </w14:textFill>
              </w:rPr>
              <w:t>含浸房</w:t>
            </w:r>
            <w:r>
              <w:rPr>
                <w:rFonts w:hint="default" w:ascii="Times New Roman" w:hAnsi="Times New Roman" w:cs="Times New Roman"/>
                <w:color w:val="000000" w:themeColor="text1"/>
                <w:kern w:val="2"/>
                <w:sz w:val="24"/>
                <w:szCs w:val="24"/>
                <w:u w:val="none"/>
                <w:lang w:val="en-US" w:eastAsia="zh-CN" w:bidi="ar-SA"/>
                <w14:textFill>
                  <w14:solidFill>
                    <w14:schemeClr w14:val="tx1"/>
                  </w14:solidFill>
                </w14:textFill>
              </w:rPr>
              <w:t>微负压收集一同经</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二级活性炭吸附处理后，</w:t>
            </w:r>
            <w:r>
              <w:rPr>
                <w:rFonts w:hint="default" w:ascii="Times New Roman" w:hAnsi="Times New Roman" w:cs="Times New Roman"/>
                <w:color w:val="000000" w:themeColor="text1"/>
                <w:kern w:val="2"/>
                <w:sz w:val="24"/>
                <w:szCs w:val="24"/>
                <w:u w:val="none"/>
                <w:lang w:val="en-US" w:eastAsia="zh-CN" w:bidi="ar-SA"/>
                <w14:textFill>
                  <w14:solidFill>
                    <w14:schemeClr w14:val="tx1"/>
                  </w14:solidFill>
                </w14:textFill>
              </w:rPr>
              <w:t>经</w:t>
            </w:r>
            <w:r>
              <w:rPr>
                <w:rFonts w:hint="eastAsia" w:ascii="Times New Roman" w:cs="Times New Roman"/>
                <w:color w:val="000000" w:themeColor="text1"/>
                <w:kern w:val="2"/>
                <w:sz w:val="24"/>
                <w:szCs w:val="24"/>
                <w:u w:val="none"/>
                <w:lang w:val="en-US" w:eastAsia="zh-CN" w:bidi="ar-SA"/>
                <w14:textFill>
                  <w14:solidFill>
                    <w14:schemeClr w14:val="tx1"/>
                  </w14:solidFill>
                </w14:textFill>
              </w:rPr>
              <w:t>23m排气筒</w:t>
            </w:r>
            <w:r>
              <w:rPr>
                <w:rFonts w:hint="default" w:ascii="Times New Roman" w:hAnsi="Times New Roman" w:cs="Times New Roman"/>
                <w:color w:val="000000" w:themeColor="text1"/>
                <w:kern w:val="2"/>
                <w:sz w:val="24"/>
                <w:szCs w:val="24"/>
                <w:u w:val="none"/>
                <w:lang w:val="en-US" w:eastAsia="zh-CN" w:bidi="ar-SA"/>
                <w14:textFill>
                  <w14:solidFill>
                    <w14:schemeClr w14:val="tx1"/>
                  </w14:solidFill>
                </w14:textFill>
              </w:rPr>
              <w:t>DA001</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外排</w:t>
            </w:r>
            <w:r>
              <w:rPr>
                <w:rFonts w:hint="default" w:ascii="Times New Roman" w:hAnsi="Times New Roman" w:cs="Times New Roman"/>
                <w:color w:val="auto"/>
                <w:sz w:val="24"/>
                <w:u w:val="none"/>
                <w:lang w:val="en-US" w:eastAsia="zh-CN"/>
              </w:rPr>
              <w:t>。</w:t>
            </w:r>
            <w:r>
              <w:rPr>
                <w:rFonts w:hint="eastAsia" w:ascii="Times New Roman" w:cs="Times New Roman"/>
                <w:color w:val="auto"/>
                <w:sz w:val="24"/>
                <w:u w:val="none"/>
                <w:lang w:val="en-US" w:eastAsia="zh-CN"/>
              </w:rPr>
              <w:t>点胶有机废气经加强车间通风后无组织排放，</w:t>
            </w:r>
            <w:r>
              <w:rPr>
                <w:rFonts w:hint="default" w:ascii="Times New Roman" w:hAnsi="Times New Roman" w:cs="Times New Roman"/>
                <w:color w:val="auto"/>
                <w:sz w:val="24"/>
                <w:u w:val="none"/>
                <w:lang w:val="en-US" w:eastAsia="zh-CN"/>
              </w:rPr>
              <w:t>废气经上述措施收集处理后可有效减少VOCs排放量并实现达标排放。</w:t>
            </w:r>
            <w:r>
              <w:rPr>
                <w:rFonts w:hint="default" w:ascii="Times New Roman" w:hAnsi="Times New Roman" w:cs="Times New Roman"/>
                <w:color w:val="auto"/>
              </w:rPr>
              <w:t>项目使用的</w:t>
            </w:r>
            <w:r>
              <w:rPr>
                <w:rFonts w:hint="eastAsia" w:ascii="Times New Roman" w:cs="Times New Roman"/>
                <w:color w:val="auto"/>
                <w:lang w:val="en-US" w:eastAsia="zh-CN"/>
              </w:rPr>
              <w:t>绝缘漆</w:t>
            </w:r>
            <w:r>
              <w:rPr>
                <w:rFonts w:hint="default" w:ascii="Times New Roman" w:hAnsi="Times New Roman" w:cs="Times New Roman"/>
                <w:color w:val="auto"/>
                <w:lang w:val="en-US" w:eastAsia="zh-CN"/>
              </w:rPr>
              <w:t>、稀释剂、环氧树脂AB胶、助焊剂</w:t>
            </w:r>
            <w:r>
              <w:rPr>
                <w:rFonts w:hint="default" w:ascii="Times New Roman" w:hAnsi="Times New Roman" w:cs="Times New Roman"/>
                <w:color w:val="auto"/>
              </w:rPr>
              <w:t>等涉VOCs物料均符合国家相关标准要求</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项目涉VOCs物料</w:t>
            </w:r>
            <w:r>
              <w:rPr>
                <w:rFonts w:hint="default" w:ascii="Times New Roman" w:hAnsi="Times New Roman" w:cs="Times New Roman"/>
                <w:color w:val="auto"/>
                <w:sz w:val="24"/>
                <w:lang w:val="en-US" w:eastAsia="zh-CN"/>
              </w:rPr>
              <w:t>MSDS详见附件6</w:t>
            </w:r>
            <w:r>
              <w:rPr>
                <w:rFonts w:hint="eastAsia" w:ascii="Times New Roman" w:hAnsi="Times New Roman" w:cs="Times New Roman"/>
                <w:color w:val="auto"/>
                <w:sz w:val="24"/>
                <w:lang w:val="en-US" w:eastAsia="zh-CN"/>
              </w:rPr>
              <w:t>。</w:t>
            </w:r>
          </w:p>
          <w:p w14:paraId="05DD8327">
            <w:pPr>
              <w:pStyle w:val="58"/>
              <w:keepNext w:val="0"/>
              <w:keepLines w:val="0"/>
              <w:pageBreakBefore w:val="0"/>
              <w:widowControl w:val="0"/>
              <w:kinsoku/>
              <w:wordWrap/>
              <w:overflowPunct/>
              <w:topLinePunct w:val="0"/>
              <w:bidi w:val="0"/>
              <w:spacing w:line="360" w:lineRule="auto"/>
              <w:textAlignment w:val="auto"/>
              <w:rPr>
                <w:rFonts w:hint="default" w:ascii="Times New Roman" w:hAnsi="Times New Roman" w:eastAsia="宋体" w:cs="Times New Roman"/>
                <w:b/>
                <w:bCs/>
                <w:color w:val="auto"/>
                <w:lang w:val="en-US" w:eastAsia="zh-CN"/>
              </w:rPr>
            </w:pPr>
            <w:r>
              <w:rPr>
                <w:rFonts w:hint="default"/>
              </w:rPr>
              <w:t>综上，本项目</w:t>
            </w:r>
            <w:r>
              <w:rPr>
                <w:rFonts w:hint="default"/>
                <w:lang w:val="en-US" w:eastAsia="zh-CN"/>
              </w:rPr>
              <w:t>整体</w:t>
            </w:r>
            <w:r>
              <w:rPr>
                <w:rFonts w:hint="default"/>
              </w:rPr>
              <w:t>符合规划要求</w:t>
            </w:r>
            <w:r>
              <w:rPr>
                <w:rFonts w:hint="default" w:ascii="Times New Roman" w:hAnsi="Times New Roman" w:cs="Times New Roman"/>
                <w:color w:val="auto"/>
                <w:u w:val="none"/>
                <w:lang w:eastAsia="zh-CN"/>
              </w:rPr>
              <w:t>。</w:t>
            </w:r>
          </w:p>
          <w:p w14:paraId="37F6886E">
            <w:pPr>
              <w:pStyle w:val="52"/>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cs="Times New Roman"/>
                <w:b/>
                <w:bCs w:val="0"/>
                <w:sz w:val="24"/>
                <w:szCs w:val="24"/>
                <w:u w:val="single"/>
                <w:lang w:val="en-US" w:eastAsia="zh-CN"/>
              </w:rPr>
            </w:pPr>
            <w:r>
              <w:rPr>
                <w:rFonts w:hint="eastAsia" w:ascii="Times New Roman" w:hAnsi="Times New Roman" w:cs="Times New Roman"/>
                <w:b/>
                <w:bCs w:val="0"/>
                <w:sz w:val="24"/>
                <w:szCs w:val="24"/>
                <w:u w:val="single"/>
                <w:lang w:val="en-US" w:eastAsia="zh-CN"/>
              </w:rPr>
              <w:t>8、与《国家污染防治技术指导目录》（2025年）符合性分析</w:t>
            </w:r>
          </w:p>
          <w:p w14:paraId="21EC799D">
            <w:pPr>
              <w:pStyle w:val="52"/>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b w:val="0"/>
                <w:bCs/>
                <w:sz w:val="24"/>
                <w:szCs w:val="24"/>
                <w:u w:val="single"/>
                <w:lang w:val="en-US" w:eastAsia="zh-CN"/>
              </w:rPr>
            </w:pPr>
            <w:r>
              <w:rPr>
                <w:rFonts w:hint="eastAsia" w:ascii="Times New Roman" w:hAnsi="Times New Roman" w:cs="Times New Roman"/>
                <w:b w:val="0"/>
                <w:bCs/>
                <w:sz w:val="24"/>
                <w:szCs w:val="24"/>
                <w:u w:val="single"/>
                <w:lang w:val="en-US" w:eastAsia="zh-CN"/>
              </w:rPr>
              <w:t>本项目</w:t>
            </w:r>
            <w:r>
              <w:rPr>
                <w:rFonts w:hint="eastAsia" w:ascii="Times New Roman" w:cs="Times New Roman"/>
                <w:color w:val="auto"/>
                <w:sz w:val="24"/>
                <w:u w:val="none"/>
                <w:lang w:val="en-US" w:eastAsia="zh-CN"/>
              </w:rPr>
              <w:t>焊锡废气</w:t>
            </w:r>
            <w:r>
              <w:rPr>
                <w:rFonts w:hint="default" w:ascii="Times New Roman" w:hAnsi="Times New Roman" w:cs="Times New Roman"/>
                <w:color w:val="auto"/>
                <w:sz w:val="24"/>
                <w:u w:val="none"/>
                <w:lang w:val="en-US" w:eastAsia="zh-CN"/>
              </w:rPr>
              <w:t>采用集气罩</w:t>
            </w:r>
            <w:r>
              <w:rPr>
                <w:rFonts w:hint="eastAsia" w:ascii="Times New Roman" w:cs="Times New Roman"/>
                <w:color w:val="auto"/>
                <w:sz w:val="24"/>
                <w:u w:val="none"/>
                <w:lang w:val="en-US" w:eastAsia="zh-CN"/>
              </w:rPr>
              <w:t>收集，含浸、烘干废气</w:t>
            </w:r>
            <w:r>
              <w:rPr>
                <w:rFonts w:hint="default" w:ascii="Times New Roman" w:hAnsi="Times New Roman" w:cs="Times New Roman"/>
                <w:color w:val="000000" w:themeColor="text1"/>
                <w:kern w:val="2"/>
                <w:sz w:val="24"/>
                <w:szCs w:val="24"/>
                <w:u w:val="none"/>
                <w:lang w:val="en-US" w:eastAsia="zh-CN" w:bidi="ar-SA"/>
                <w14:textFill>
                  <w14:solidFill>
                    <w14:schemeClr w14:val="tx1"/>
                  </w14:solidFill>
                </w14:textFill>
              </w:rPr>
              <w:t>通过密闭</w:t>
            </w:r>
            <w:r>
              <w:rPr>
                <w:rFonts w:hint="eastAsia" w:ascii="Times New Roman" w:hAnsi="Times New Roman" w:cs="Times New Roman"/>
                <w:color w:val="000000" w:themeColor="text1"/>
                <w:kern w:val="2"/>
                <w:sz w:val="24"/>
                <w:szCs w:val="24"/>
                <w:u w:val="none"/>
                <w:lang w:val="en-US" w:eastAsia="zh-CN" w:bidi="ar-SA"/>
                <w14:textFill>
                  <w14:solidFill>
                    <w14:schemeClr w14:val="tx1"/>
                  </w14:solidFill>
                </w14:textFill>
              </w:rPr>
              <w:t>含浸房</w:t>
            </w:r>
            <w:r>
              <w:rPr>
                <w:rFonts w:hint="default" w:ascii="Times New Roman" w:hAnsi="Times New Roman" w:cs="Times New Roman"/>
                <w:color w:val="000000" w:themeColor="text1"/>
                <w:kern w:val="2"/>
                <w:sz w:val="24"/>
                <w:szCs w:val="24"/>
                <w:u w:val="none"/>
                <w:lang w:val="en-US" w:eastAsia="zh-CN" w:bidi="ar-SA"/>
                <w14:textFill>
                  <w14:solidFill>
                    <w14:schemeClr w14:val="tx1"/>
                  </w14:solidFill>
                </w14:textFill>
              </w:rPr>
              <w:t>微负压收集一同经</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二级活性炭吸附处理后，</w:t>
            </w:r>
            <w:r>
              <w:rPr>
                <w:rFonts w:hint="default" w:ascii="Times New Roman" w:hAnsi="Times New Roman" w:cs="Times New Roman"/>
                <w:color w:val="000000" w:themeColor="text1"/>
                <w:kern w:val="2"/>
                <w:sz w:val="24"/>
                <w:szCs w:val="24"/>
                <w:u w:val="none"/>
                <w:lang w:val="en-US" w:eastAsia="zh-CN" w:bidi="ar-SA"/>
                <w14:textFill>
                  <w14:solidFill>
                    <w14:schemeClr w14:val="tx1"/>
                  </w14:solidFill>
                </w14:textFill>
              </w:rPr>
              <w:t>经</w:t>
            </w:r>
            <w:r>
              <w:rPr>
                <w:rFonts w:hint="eastAsia" w:ascii="Times New Roman" w:hAnsi="Times New Roman" w:cs="Times New Roman"/>
                <w:color w:val="000000" w:themeColor="text1"/>
                <w:kern w:val="2"/>
                <w:sz w:val="24"/>
                <w:szCs w:val="24"/>
                <w:u w:val="none"/>
                <w:lang w:val="en-US" w:eastAsia="zh-CN" w:bidi="ar-SA"/>
                <w14:textFill>
                  <w14:solidFill>
                    <w14:schemeClr w14:val="tx1"/>
                  </w14:solidFill>
                </w14:textFill>
              </w:rPr>
              <w:t>23m排气筒</w:t>
            </w:r>
            <w:r>
              <w:rPr>
                <w:rFonts w:hint="default" w:ascii="Times New Roman" w:hAnsi="Times New Roman" w:cs="Times New Roman"/>
                <w:color w:val="000000" w:themeColor="text1"/>
                <w:kern w:val="2"/>
                <w:sz w:val="24"/>
                <w:szCs w:val="24"/>
                <w:u w:val="none"/>
                <w:lang w:val="en-US" w:eastAsia="zh-CN" w:bidi="ar-SA"/>
                <w14:textFill>
                  <w14:solidFill>
                    <w14:schemeClr w14:val="tx1"/>
                  </w14:solidFill>
                </w14:textFill>
              </w:rPr>
              <w:t>DA001</w:t>
            </w:r>
            <w:r>
              <w:rPr>
                <w:rFonts w:hint="default"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外排</w:t>
            </w:r>
            <w:r>
              <w:rPr>
                <w:rFonts w:hint="default" w:ascii="Times New Roman" w:hAnsi="Times New Roman" w:cs="Times New Roman"/>
                <w:color w:val="auto"/>
                <w:sz w:val="24"/>
                <w:u w:val="none"/>
                <w:lang w:val="en-US" w:eastAsia="zh-CN"/>
              </w:rPr>
              <w:t>。</w:t>
            </w:r>
            <w:r>
              <w:rPr>
                <w:rFonts w:hint="eastAsia" w:ascii="Times New Roman" w:hAnsi="Times New Roman" w:cs="Times New Roman"/>
                <w:b w:val="0"/>
                <w:bCs/>
                <w:sz w:val="24"/>
                <w:szCs w:val="24"/>
                <w:u w:val="single"/>
                <w:lang w:val="en-US" w:eastAsia="zh-CN"/>
              </w:rPr>
              <w:t>对照《国家污染防治技术指导目录》（2025年），二级活性炭吸附不属于其中的低效类技术，故本项目污染防治技术符合《国家污染防治技术指导目录》（2025年）。</w:t>
            </w:r>
          </w:p>
          <w:p w14:paraId="29763D99">
            <w:pPr>
              <w:pStyle w:val="52"/>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cs="Times New Roman"/>
                <w:b/>
                <w:bCs w:val="0"/>
                <w:sz w:val="24"/>
                <w:szCs w:val="24"/>
                <w:u w:val="single"/>
                <w:lang w:val="en-US" w:eastAsia="zh-CN"/>
              </w:rPr>
            </w:pPr>
            <w:r>
              <w:rPr>
                <w:rFonts w:hint="eastAsia" w:ascii="Times New Roman" w:hAnsi="Times New Roman" w:cs="Times New Roman"/>
                <w:b/>
                <w:bCs w:val="0"/>
                <w:sz w:val="24"/>
                <w:szCs w:val="24"/>
                <w:u w:val="single"/>
                <w:lang w:val="en-US" w:eastAsia="zh-CN"/>
              </w:rPr>
              <w:t>9、与《湖南省大气污染防治攻坚三年行动实施方案（2026-2028年）》符合性分析</w:t>
            </w:r>
          </w:p>
          <w:p w14:paraId="07423CB9">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b/>
                <w:bCs/>
                <w:sz w:val="21"/>
                <w:szCs w:val="21"/>
                <w:u w:val="single"/>
                <w:lang w:val="en-US" w:eastAsia="zh-CN"/>
              </w:rPr>
            </w:pPr>
            <w:r>
              <w:rPr>
                <w:rFonts w:hint="default"/>
                <w:b/>
                <w:bCs/>
                <w:sz w:val="21"/>
                <w:szCs w:val="21"/>
                <w:u w:val="single"/>
                <w:lang w:val="en-US" w:eastAsia="zh-CN"/>
              </w:rPr>
              <w:t>表1-</w:t>
            </w:r>
            <w:r>
              <w:rPr>
                <w:rFonts w:hint="eastAsia"/>
                <w:b/>
                <w:bCs/>
                <w:sz w:val="21"/>
                <w:szCs w:val="21"/>
                <w:u w:val="single"/>
                <w:lang w:val="en-US" w:eastAsia="zh-CN"/>
              </w:rPr>
              <w:t>12</w:t>
            </w:r>
            <w:r>
              <w:rPr>
                <w:rFonts w:hint="default"/>
                <w:b/>
                <w:bCs/>
                <w:sz w:val="21"/>
                <w:szCs w:val="21"/>
                <w:u w:val="single"/>
                <w:lang w:val="en-US" w:eastAsia="zh-CN"/>
              </w:rPr>
              <w:t>《湖南省大气污染防治攻坚三年行动实施方案（2026-2028年）》符合性分析一览表</w:t>
            </w:r>
          </w:p>
          <w:tbl>
            <w:tblPr>
              <w:tblStyle w:val="34"/>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9"/>
              <w:gridCol w:w="3455"/>
              <w:gridCol w:w="3279"/>
              <w:gridCol w:w="957"/>
            </w:tblGrid>
            <w:tr w14:paraId="03014D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9" w:type="pct"/>
                  <w:tcBorders>
                    <w:tl2br w:val="nil"/>
                    <w:tr2bl w:val="nil"/>
                  </w:tcBorders>
                  <w:vAlign w:val="center"/>
                </w:tcPr>
                <w:p w14:paraId="0E06B11A">
                  <w:pPr>
                    <w:bidi w:val="0"/>
                    <w:jc w:val="center"/>
                    <w:rPr>
                      <w:rFonts w:hint="default"/>
                      <w:sz w:val="21"/>
                      <w:szCs w:val="21"/>
                      <w:u w:val="single"/>
                      <w:lang w:val="en-US" w:eastAsia="zh-CN"/>
                    </w:rPr>
                  </w:pPr>
                  <w:r>
                    <w:rPr>
                      <w:rFonts w:hint="eastAsia"/>
                      <w:sz w:val="21"/>
                      <w:szCs w:val="21"/>
                      <w:u w:val="single"/>
                      <w:lang w:val="en-US" w:eastAsia="zh-CN"/>
                    </w:rPr>
                    <w:t>序号</w:t>
                  </w:r>
                </w:p>
              </w:tc>
              <w:tc>
                <w:tcPr>
                  <w:tcW w:w="2039" w:type="pct"/>
                  <w:tcBorders>
                    <w:tl2br w:val="nil"/>
                    <w:tr2bl w:val="nil"/>
                  </w:tcBorders>
                  <w:vAlign w:val="center"/>
                </w:tcPr>
                <w:p w14:paraId="3B0F3407">
                  <w:pPr>
                    <w:bidi w:val="0"/>
                    <w:jc w:val="center"/>
                    <w:rPr>
                      <w:rFonts w:hint="eastAsia"/>
                      <w:sz w:val="21"/>
                      <w:szCs w:val="21"/>
                      <w:u w:val="single"/>
                      <w:lang w:val="en-US" w:eastAsia="zh-CN"/>
                    </w:rPr>
                  </w:pPr>
                  <w:r>
                    <w:rPr>
                      <w:rFonts w:hint="eastAsia"/>
                      <w:sz w:val="21"/>
                      <w:szCs w:val="21"/>
                      <w:u w:val="single"/>
                      <w:lang w:val="en-US" w:eastAsia="zh-CN"/>
                    </w:rPr>
                    <w:t>湖南省大气污染防治攻坚三年行动实施方案（2026-2028年）内容</w:t>
                  </w:r>
                </w:p>
              </w:tc>
              <w:tc>
                <w:tcPr>
                  <w:tcW w:w="1935" w:type="pct"/>
                  <w:tcBorders>
                    <w:tl2br w:val="nil"/>
                    <w:tr2bl w:val="nil"/>
                  </w:tcBorders>
                  <w:vAlign w:val="center"/>
                </w:tcPr>
                <w:p w14:paraId="6F6C9265">
                  <w:pPr>
                    <w:bidi w:val="0"/>
                    <w:jc w:val="center"/>
                    <w:rPr>
                      <w:rFonts w:hint="default"/>
                      <w:sz w:val="21"/>
                      <w:szCs w:val="21"/>
                      <w:u w:val="single"/>
                      <w:lang w:val="en-US" w:eastAsia="zh-CN"/>
                    </w:rPr>
                  </w:pPr>
                  <w:r>
                    <w:rPr>
                      <w:rFonts w:hint="eastAsia"/>
                      <w:sz w:val="21"/>
                      <w:szCs w:val="21"/>
                      <w:u w:val="single"/>
                      <w:lang w:val="en-US" w:eastAsia="zh-CN"/>
                    </w:rPr>
                    <w:t>本项目情况</w:t>
                  </w:r>
                </w:p>
              </w:tc>
              <w:tc>
                <w:tcPr>
                  <w:tcW w:w="564" w:type="pct"/>
                  <w:tcBorders>
                    <w:tl2br w:val="nil"/>
                    <w:tr2bl w:val="nil"/>
                  </w:tcBorders>
                  <w:vAlign w:val="center"/>
                </w:tcPr>
                <w:p w14:paraId="70B41CB1">
                  <w:pPr>
                    <w:bidi w:val="0"/>
                    <w:jc w:val="center"/>
                    <w:rPr>
                      <w:rFonts w:hint="default"/>
                      <w:sz w:val="21"/>
                      <w:szCs w:val="21"/>
                      <w:u w:val="single"/>
                      <w:lang w:val="en-US" w:eastAsia="zh-CN"/>
                    </w:rPr>
                  </w:pPr>
                  <w:r>
                    <w:rPr>
                      <w:rFonts w:hint="eastAsia"/>
                      <w:sz w:val="21"/>
                      <w:szCs w:val="21"/>
                      <w:u w:val="single"/>
                      <w:lang w:val="en-US" w:eastAsia="zh-CN"/>
                    </w:rPr>
                    <w:t>符合性</w:t>
                  </w:r>
                </w:p>
              </w:tc>
            </w:tr>
            <w:tr w14:paraId="34E06E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9" w:type="pct"/>
                  <w:tcBorders>
                    <w:tl2br w:val="nil"/>
                    <w:tr2bl w:val="nil"/>
                  </w:tcBorders>
                  <w:vAlign w:val="center"/>
                </w:tcPr>
                <w:p w14:paraId="1D34ACF7">
                  <w:pPr>
                    <w:bidi w:val="0"/>
                    <w:jc w:val="center"/>
                    <w:rPr>
                      <w:rFonts w:hint="default"/>
                      <w:sz w:val="21"/>
                      <w:szCs w:val="21"/>
                      <w:u w:val="single"/>
                      <w:lang w:val="en-US" w:eastAsia="zh-CN"/>
                    </w:rPr>
                  </w:pPr>
                  <w:r>
                    <w:rPr>
                      <w:rFonts w:hint="eastAsia"/>
                      <w:sz w:val="21"/>
                      <w:szCs w:val="21"/>
                      <w:u w:val="single"/>
                      <w:lang w:val="en-US" w:eastAsia="zh-CN"/>
                    </w:rPr>
                    <w:t>1</w:t>
                  </w:r>
                </w:p>
              </w:tc>
              <w:tc>
                <w:tcPr>
                  <w:tcW w:w="2039" w:type="pct"/>
                  <w:tcBorders>
                    <w:tl2br w:val="nil"/>
                    <w:tr2bl w:val="nil"/>
                  </w:tcBorders>
                  <w:vAlign w:val="center"/>
                </w:tcPr>
                <w:p w14:paraId="63646338">
                  <w:pPr>
                    <w:bidi w:val="0"/>
                    <w:jc w:val="center"/>
                    <w:rPr>
                      <w:rFonts w:hint="eastAsia"/>
                      <w:sz w:val="21"/>
                      <w:szCs w:val="21"/>
                      <w:u w:val="single"/>
                      <w:lang w:val="en-US" w:eastAsia="zh-CN"/>
                    </w:rPr>
                  </w:pPr>
                  <w:r>
                    <w:rPr>
                      <w:rFonts w:hint="eastAsia"/>
                      <w:sz w:val="21"/>
                      <w:szCs w:val="21"/>
                      <w:u w:val="single"/>
                      <w:lang w:val="en-US" w:eastAsia="zh-CN"/>
                    </w:rPr>
                    <w:t>二、推动产业绿色低碳转型</w:t>
                  </w:r>
                </w:p>
                <w:p w14:paraId="4C376629">
                  <w:pPr>
                    <w:bidi w:val="0"/>
                    <w:jc w:val="center"/>
                    <w:rPr>
                      <w:rFonts w:hint="eastAsia"/>
                      <w:sz w:val="21"/>
                      <w:szCs w:val="21"/>
                      <w:u w:val="single"/>
                      <w:lang w:val="en-US" w:eastAsia="zh-CN"/>
                    </w:rPr>
                  </w:pPr>
                  <w:r>
                    <w:rPr>
                      <w:rFonts w:hint="eastAsia"/>
                      <w:sz w:val="21"/>
                      <w:szCs w:val="21"/>
                      <w:u w:val="single"/>
                      <w:lang w:val="en-US" w:eastAsia="zh-CN"/>
                    </w:rPr>
                    <w:t>(一)严格项目准入</w:t>
                  </w:r>
                </w:p>
                <w:p w14:paraId="213BC47A">
                  <w:pPr>
                    <w:bidi w:val="0"/>
                    <w:jc w:val="center"/>
                    <w:rPr>
                      <w:rFonts w:hint="eastAsia"/>
                      <w:sz w:val="21"/>
                      <w:szCs w:val="21"/>
                      <w:u w:val="single"/>
                      <w:lang w:val="en-US" w:eastAsia="zh-CN"/>
                    </w:rPr>
                  </w:pPr>
                  <w:r>
                    <w:rPr>
                      <w:rFonts w:hint="eastAsia"/>
                      <w:sz w:val="21"/>
                      <w:szCs w:val="21"/>
                      <w:u w:val="single"/>
                      <w:lang w:val="en-US" w:eastAsia="zh-CN"/>
                    </w:rPr>
                    <w:t>1.严守准入门槛，严禁不符合国家产业政策的项目盲目发展和低水平转入。加强对湘北“上风口”大气污染物排放项目的准入管控。严禁新增钢铁、焦化、水泥熟料、平板玻璃、电解铝、氧化铝、煤化工产能，严控新增炼油、磷铵、铜冶炼、铅锌冶炼产能。推进新改扩建“两高”项目能效达到标杆水平，环保绩效达到A级水平;其他新建项目原则上达到B级及以上绩效水平;涉及含挥发性有机物(VOCs)原辅材料的新改扩建项目，技术可行的应使用低(无)VOCs含量产品。</w:t>
                  </w:r>
                </w:p>
              </w:tc>
              <w:tc>
                <w:tcPr>
                  <w:tcW w:w="1935" w:type="pct"/>
                  <w:tcBorders>
                    <w:tl2br w:val="nil"/>
                    <w:tr2bl w:val="nil"/>
                  </w:tcBorders>
                  <w:vAlign w:val="center"/>
                </w:tcPr>
                <w:p w14:paraId="0E6FACD2">
                  <w:pPr>
                    <w:bidi w:val="0"/>
                    <w:jc w:val="center"/>
                    <w:rPr>
                      <w:rFonts w:hint="default"/>
                      <w:sz w:val="21"/>
                      <w:szCs w:val="21"/>
                      <w:u w:val="single"/>
                      <w:lang w:val="en-US" w:eastAsia="zh-CN"/>
                    </w:rPr>
                  </w:pPr>
                  <w:r>
                    <w:rPr>
                      <w:rFonts w:hint="eastAsia"/>
                      <w:sz w:val="21"/>
                      <w:szCs w:val="21"/>
                      <w:u w:val="single"/>
                      <w:lang w:val="en-US" w:eastAsia="zh-CN"/>
                    </w:rPr>
                    <w:t>本项目属于</w:t>
                  </w:r>
                  <w:r>
                    <w:rPr>
                      <w:rFonts w:hint="default"/>
                      <w:sz w:val="21"/>
                      <w:szCs w:val="21"/>
                      <w:u w:val="single"/>
                    </w:rPr>
                    <w:t>C3</w:t>
                  </w:r>
                  <w:r>
                    <w:rPr>
                      <w:rFonts w:hint="eastAsia"/>
                      <w:sz w:val="21"/>
                      <w:szCs w:val="21"/>
                      <w:u w:val="single"/>
                      <w:lang w:val="en-US" w:eastAsia="zh-CN"/>
                    </w:rPr>
                    <w:t>981电阻电容电感</w:t>
                  </w:r>
                  <w:r>
                    <w:rPr>
                      <w:rFonts w:hint="default"/>
                      <w:sz w:val="21"/>
                      <w:szCs w:val="21"/>
                      <w:u w:val="single"/>
                    </w:rPr>
                    <w:t>制造</w:t>
                  </w:r>
                  <w:r>
                    <w:rPr>
                      <w:rFonts w:hint="eastAsia"/>
                      <w:sz w:val="21"/>
                      <w:szCs w:val="21"/>
                      <w:u w:val="single"/>
                      <w:lang w:eastAsia="zh-CN"/>
                    </w:rPr>
                    <w:t>，</w:t>
                  </w:r>
                  <w:r>
                    <w:rPr>
                      <w:rFonts w:hint="eastAsia"/>
                      <w:sz w:val="21"/>
                      <w:szCs w:val="21"/>
                      <w:u w:val="single"/>
                      <w:lang w:val="en-US" w:eastAsia="zh-CN"/>
                    </w:rPr>
                    <w:t>符合</w:t>
                  </w:r>
                  <w:r>
                    <w:rPr>
                      <w:rFonts w:hint="eastAsia"/>
                      <w:sz w:val="21"/>
                      <w:szCs w:val="21"/>
                      <w:u w:val="single"/>
                    </w:rPr>
                    <w:t>《产业结构调整指导目录（20</w:t>
                  </w:r>
                  <w:r>
                    <w:rPr>
                      <w:rFonts w:hint="eastAsia"/>
                      <w:sz w:val="21"/>
                      <w:szCs w:val="21"/>
                      <w:u w:val="single"/>
                      <w:lang w:val="en-US" w:eastAsia="zh-CN"/>
                    </w:rPr>
                    <w:t>24</w:t>
                  </w:r>
                  <w:r>
                    <w:rPr>
                      <w:rFonts w:hint="eastAsia"/>
                      <w:sz w:val="21"/>
                      <w:szCs w:val="21"/>
                      <w:u w:val="single"/>
                    </w:rPr>
                    <w:t>年本）》中</w:t>
                  </w:r>
                  <w:r>
                    <w:rPr>
                      <w:rFonts w:hint="eastAsia"/>
                      <w:sz w:val="21"/>
                      <w:szCs w:val="21"/>
                      <w:u w:val="single"/>
                      <w:lang w:val="en-US" w:eastAsia="zh-CN"/>
                    </w:rPr>
                    <w:t>内容；本项目不属于湘北地区；本项目不属于两高项目；本项目所使用的的含挥发性有机物(VOCs)原辅材料均符合国家标准（MSDS文件见附件7）。</w:t>
                  </w:r>
                </w:p>
              </w:tc>
              <w:tc>
                <w:tcPr>
                  <w:tcW w:w="564" w:type="pct"/>
                  <w:tcBorders>
                    <w:tl2br w:val="nil"/>
                    <w:tr2bl w:val="nil"/>
                  </w:tcBorders>
                  <w:vAlign w:val="center"/>
                </w:tcPr>
                <w:p w14:paraId="334239B5">
                  <w:pPr>
                    <w:bidi w:val="0"/>
                    <w:jc w:val="center"/>
                    <w:rPr>
                      <w:rFonts w:hint="default"/>
                      <w:sz w:val="21"/>
                      <w:szCs w:val="21"/>
                      <w:u w:val="single"/>
                      <w:lang w:val="en-US" w:eastAsia="zh-CN"/>
                    </w:rPr>
                  </w:pPr>
                  <w:r>
                    <w:rPr>
                      <w:rFonts w:hint="eastAsia"/>
                      <w:sz w:val="21"/>
                      <w:szCs w:val="21"/>
                      <w:u w:val="single"/>
                      <w:lang w:val="en-US" w:eastAsia="zh-CN"/>
                    </w:rPr>
                    <w:t>符合</w:t>
                  </w:r>
                </w:p>
              </w:tc>
            </w:tr>
            <w:tr w14:paraId="4F95E3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9" w:type="pct"/>
                  <w:tcBorders>
                    <w:tl2br w:val="nil"/>
                    <w:tr2bl w:val="nil"/>
                  </w:tcBorders>
                  <w:vAlign w:val="center"/>
                </w:tcPr>
                <w:p w14:paraId="6E5D4CF5">
                  <w:pPr>
                    <w:bidi w:val="0"/>
                    <w:jc w:val="center"/>
                    <w:rPr>
                      <w:rFonts w:hint="default"/>
                      <w:sz w:val="21"/>
                      <w:szCs w:val="21"/>
                      <w:u w:val="single"/>
                      <w:lang w:val="en-US" w:eastAsia="zh-CN"/>
                    </w:rPr>
                  </w:pPr>
                  <w:r>
                    <w:rPr>
                      <w:rFonts w:hint="eastAsia"/>
                      <w:sz w:val="21"/>
                      <w:szCs w:val="21"/>
                      <w:u w:val="single"/>
                      <w:lang w:val="en-US" w:eastAsia="zh-CN"/>
                    </w:rPr>
                    <w:t>2</w:t>
                  </w:r>
                </w:p>
              </w:tc>
              <w:tc>
                <w:tcPr>
                  <w:tcW w:w="2039" w:type="pct"/>
                  <w:tcBorders>
                    <w:tl2br w:val="nil"/>
                    <w:tr2bl w:val="nil"/>
                  </w:tcBorders>
                  <w:vAlign w:val="center"/>
                </w:tcPr>
                <w:p w14:paraId="58BE9486">
                  <w:pPr>
                    <w:bidi w:val="0"/>
                    <w:jc w:val="center"/>
                    <w:rPr>
                      <w:rFonts w:hint="eastAsia"/>
                      <w:sz w:val="21"/>
                      <w:szCs w:val="21"/>
                      <w:u w:val="single"/>
                      <w:lang w:val="en-US" w:eastAsia="zh-CN"/>
                    </w:rPr>
                  </w:pPr>
                  <w:r>
                    <w:rPr>
                      <w:rFonts w:hint="eastAsia"/>
                      <w:sz w:val="21"/>
                      <w:szCs w:val="21"/>
                      <w:u w:val="single"/>
                      <w:lang w:val="en-US" w:eastAsia="zh-CN"/>
                    </w:rPr>
                    <w:t>严格落实污染物区域削减替代要求。对不能稳定达到空气质量二级标准的城市，其重点行业新改扩建项目实施主要污染物 排放量倍量削减替代，所需替代量在本市范围内统筹。建立省市 两级环评审批项目区域削减和总量跟踪管理台账。科学谋划“十五五”产业布局，对重点规划和产业园区依法开展规划环评</w:t>
                  </w:r>
                </w:p>
              </w:tc>
              <w:tc>
                <w:tcPr>
                  <w:tcW w:w="1935" w:type="pct"/>
                  <w:tcBorders>
                    <w:tl2br w:val="nil"/>
                    <w:tr2bl w:val="nil"/>
                  </w:tcBorders>
                  <w:vAlign w:val="center"/>
                </w:tcPr>
                <w:p w14:paraId="5A8C898C">
                  <w:pPr>
                    <w:bidi w:val="0"/>
                    <w:jc w:val="center"/>
                    <w:rPr>
                      <w:rFonts w:hint="default"/>
                      <w:sz w:val="21"/>
                      <w:szCs w:val="21"/>
                      <w:u w:val="single"/>
                      <w:lang w:val="en-US" w:eastAsia="zh-CN"/>
                    </w:rPr>
                  </w:pPr>
                  <w:r>
                    <w:rPr>
                      <w:rFonts w:hint="eastAsia"/>
                      <w:sz w:val="21"/>
                      <w:szCs w:val="21"/>
                      <w:u w:val="single"/>
                      <w:lang w:val="en-US" w:eastAsia="zh-CN"/>
                    </w:rPr>
                    <w:t>本项目属于环境空气质量达标区。</w:t>
                  </w:r>
                </w:p>
              </w:tc>
              <w:tc>
                <w:tcPr>
                  <w:tcW w:w="564" w:type="pct"/>
                  <w:tcBorders>
                    <w:tl2br w:val="nil"/>
                    <w:tr2bl w:val="nil"/>
                  </w:tcBorders>
                  <w:vAlign w:val="center"/>
                </w:tcPr>
                <w:p w14:paraId="0FC796D2">
                  <w:pPr>
                    <w:bidi w:val="0"/>
                    <w:jc w:val="center"/>
                    <w:rPr>
                      <w:rFonts w:hint="default"/>
                      <w:sz w:val="21"/>
                      <w:szCs w:val="21"/>
                      <w:u w:val="single"/>
                      <w:lang w:val="en-US" w:eastAsia="zh-CN"/>
                    </w:rPr>
                  </w:pPr>
                  <w:r>
                    <w:rPr>
                      <w:rFonts w:hint="eastAsia"/>
                      <w:sz w:val="21"/>
                      <w:szCs w:val="21"/>
                      <w:u w:val="single"/>
                      <w:lang w:val="en-US" w:eastAsia="zh-CN"/>
                    </w:rPr>
                    <w:t>符合</w:t>
                  </w:r>
                </w:p>
              </w:tc>
            </w:tr>
            <w:tr w14:paraId="6A77A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9" w:type="pct"/>
                  <w:tcBorders>
                    <w:tl2br w:val="nil"/>
                    <w:tr2bl w:val="nil"/>
                  </w:tcBorders>
                  <w:vAlign w:val="center"/>
                </w:tcPr>
                <w:p w14:paraId="5E24FC26">
                  <w:pPr>
                    <w:bidi w:val="0"/>
                    <w:jc w:val="center"/>
                    <w:rPr>
                      <w:rFonts w:hint="default"/>
                      <w:sz w:val="21"/>
                      <w:szCs w:val="21"/>
                      <w:u w:val="single"/>
                      <w:lang w:val="en-US" w:eastAsia="zh-CN"/>
                    </w:rPr>
                  </w:pPr>
                  <w:r>
                    <w:rPr>
                      <w:rFonts w:hint="eastAsia"/>
                      <w:sz w:val="21"/>
                      <w:szCs w:val="21"/>
                      <w:u w:val="single"/>
                      <w:lang w:val="en-US" w:eastAsia="zh-CN"/>
                    </w:rPr>
                    <w:t>3</w:t>
                  </w:r>
                </w:p>
              </w:tc>
              <w:tc>
                <w:tcPr>
                  <w:tcW w:w="2039" w:type="pct"/>
                  <w:tcBorders>
                    <w:tl2br w:val="nil"/>
                    <w:tr2bl w:val="nil"/>
                  </w:tcBorders>
                  <w:vAlign w:val="center"/>
                </w:tcPr>
                <w:p w14:paraId="665BE9EC">
                  <w:pPr>
                    <w:bidi w:val="0"/>
                    <w:jc w:val="center"/>
                    <w:rPr>
                      <w:rFonts w:hint="eastAsia"/>
                      <w:sz w:val="21"/>
                      <w:szCs w:val="21"/>
                      <w:u w:val="single"/>
                      <w:lang w:val="en-US" w:eastAsia="zh-CN"/>
                    </w:rPr>
                  </w:pPr>
                  <w:r>
                    <w:rPr>
                      <w:rFonts w:hint="eastAsia"/>
                      <w:sz w:val="21"/>
                      <w:szCs w:val="21"/>
                      <w:u w:val="single"/>
                      <w:lang w:val="en-US" w:eastAsia="zh-CN"/>
                    </w:rPr>
                    <w:t>五、强化重点行业领域深度治理</w:t>
                  </w:r>
                </w:p>
                <w:p w14:paraId="40186844">
                  <w:pPr>
                    <w:bidi w:val="0"/>
                    <w:jc w:val="center"/>
                    <w:rPr>
                      <w:rFonts w:hint="eastAsia"/>
                      <w:sz w:val="21"/>
                      <w:szCs w:val="21"/>
                      <w:u w:val="single"/>
                      <w:lang w:val="en-US" w:eastAsia="zh-CN"/>
                    </w:rPr>
                  </w:pPr>
                  <w:r>
                    <w:rPr>
                      <w:rFonts w:hint="eastAsia"/>
                      <w:sz w:val="21"/>
                      <w:szCs w:val="21"/>
                      <w:u w:val="single"/>
                      <w:lang w:val="en-US" w:eastAsia="zh-CN"/>
                    </w:rPr>
                    <w:t>(十三)加强VOCs全流程治理</w:t>
                  </w:r>
                </w:p>
                <w:p w14:paraId="43FEB739">
                  <w:pPr>
                    <w:bidi w:val="0"/>
                    <w:jc w:val="center"/>
                    <w:rPr>
                      <w:rFonts w:hint="eastAsia"/>
                      <w:sz w:val="21"/>
                      <w:szCs w:val="21"/>
                      <w:u w:val="single"/>
                      <w:lang w:val="en-US" w:eastAsia="zh-CN"/>
                    </w:rPr>
                  </w:pPr>
                  <w:r>
                    <w:rPr>
                      <w:rFonts w:hint="eastAsia"/>
                      <w:sz w:val="21"/>
                      <w:szCs w:val="21"/>
                      <w:u w:val="single"/>
                      <w:lang w:val="en-US" w:eastAsia="zh-CN"/>
                    </w:rPr>
                    <w:t>31.汽车、工程机械、家具、汽修、地坪等涂装过程基本实现低(无)VOCs原辅材料替代。石化、制药、农药、油品储存、煤化工等行业储罐通过更换低泄漏呼吸阀、实施高效密封等方式减少泄漏排放。规范开展泄漏检测与修复工作。指导企业建设适宜高效的VOCs治理设施，提高运行管理水平，减少非正常排放。建立省级恶臭重点投诉案件调度机制，开展“无异味园区”建设。2028年底前，完成1000家以上企业源头替代和污染防治设施升</w:t>
                  </w:r>
                </w:p>
                <w:p w14:paraId="557F6C01">
                  <w:pPr>
                    <w:bidi w:val="0"/>
                    <w:jc w:val="center"/>
                    <w:rPr>
                      <w:rFonts w:hint="eastAsia"/>
                      <w:sz w:val="21"/>
                      <w:szCs w:val="21"/>
                      <w:u w:val="single"/>
                      <w:lang w:val="en-US" w:eastAsia="zh-CN"/>
                    </w:rPr>
                  </w:pPr>
                  <w:r>
                    <w:rPr>
                      <w:rFonts w:hint="eastAsia"/>
                      <w:sz w:val="21"/>
                      <w:szCs w:val="21"/>
                      <w:u w:val="single"/>
                      <w:lang w:val="en-US" w:eastAsia="zh-CN"/>
                    </w:rPr>
                    <w:t>级改造。</w:t>
                  </w:r>
                </w:p>
              </w:tc>
              <w:tc>
                <w:tcPr>
                  <w:tcW w:w="1935" w:type="pct"/>
                  <w:tcBorders>
                    <w:tl2br w:val="nil"/>
                    <w:tr2bl w:val="nil"/>
                  </w:tcBorders>
                  <w:vAlign w:val="center"/>
                </w:tcPr>
                <w:p w14:paraId="119DFE7D">
                  <w:pPr>
                    <w:bidi w:val="0"/>
                    <w:jc w:val="center"/>
                    <w:rPr>
                      <w:rFonts w:hint="default"/>
                      <w:sz w:val="21"/>
                      <w:szCs w:val="21"/>
                      <w:u w:val="single"/>
                      <w:lang w:val="en-US" w:eastAsia="zh-CN"/>
                    </w:rPr>
                  </w:pPr>
                  <w:r>
                    <w:rPr>
                      <w:rFonts w:hint="eastAsia"/>
                      <w:sz w:val="21"/>
                      <w:szCs w:val="21"/>
                      <w:u w:val="single"/>
                      <w:lang w:val="en-US" w:eastAsia="zh-CN"/>
                    </w:rPr>
                    <w:t>本项目使用的绝缘漆、稀释剂、环氧树脂AB胶、助焊剂较少（MSDS文件见附件7），工序为焊锡、点胶、调漆、浸漆、烘干，焊锡有机废气采用集气罩收集二级活性炭吸附后高空排放；调漆、浸漆、烘干有机废气经密闭含浸房微负压收集+二级活性炭吸附后高空排放；点胶有机废气加强车间通风后无组织排放。</w:t>
                  </w:r>
                </w:p>
              </w:tc>
              <w:tc>
                <w:tcPr>
                  <w:tcW w:w="564" w:type="pct"/>
                  <w:tcBorders>
                    <w:tl2br w:val="nil"/>
                    <w:tr2bl w:val="nil"/>
                  </w:tcBorders>
                  <w:vAlign w:val="center"/>
                </w:tcPr>
                <w:p w14:paraId="1040BD12">
                  <w:pPr>
                    <w:bidi w:val="0"/>
                    <w:jc w:val="center"/>
                    <w:rPr>
                      <w:rFonts w:hint="default"/>
                      <w:sz w:val="21"/>
                      <w:szCs w:val="21"/>
                      <w:u w:val="single"/>
                      <w:lang w:val="en-US" w:eastAsia="zh-CN"/>
                    </w:rPr>
                  </w:pPr>
                  <w:r>
                    <w:rPr>
                      <w:rFonts w:hint="eastAsia"/>
                      <w:sz w:val="21"/>
                      <w:szCs w:val="21"/>
                      <w:u w:val="single"/>
                      <w:lang w:val="en-US" w:eastAsia="zh-CN"/>
                    </w:rPr>
                    <w:t>符合</w:t>
                  </w:r>
                </w:p>
              </w:tc>
            </w:tr>
          </w:tbl>
          <w:p w14:paraId="6AC9E33B">
            <w:pPr>
              <w:pStyle w:val="52"/>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b/>
                <w:bCs w:val="0"/>
                <w:sz w:val="24"/>
                <w:szCs w:val="24"/>
                <w:lang w:val="en-US" w:eastAsia="zh-CN"/>
              </w:rPr>
            </w:pPr>
          </w:p>
          <w:p w14:paraId="449D0BB7">
            <w:pPr>
              <w:pStyle w:val="52"/>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cs="Times New Roman"/>
                <w:b/>
                <w:bCs w:val="0"/>
                <w:color w:val="auto"/>
                <w:u w:val="none" w:color="auto"/>
                <w:lang w:val="en-US" w:eastAsia="zh-CN"/>
              </w:rPr>
            </w:pPr>
            <w:r>
              <w:rPr>
                <w:rFonts w:hint="eastAsia" w:ascii="Times New Roman" w:hAnsi="Times New Roman" w:cs="Times New Roman"/>
                <w:b/>
                <w:bCs w:val="0"/>
                <w:sz w:val="24"/>
                <w:szCs w:val="24"/>
                <w:lang w:val="en-US" w:eastAsia="zh-CN"/>
              </w:rPr>
              <w:t>10</w:t>
            </w:r>
            <w:r>
              <w:rPr>
                <w:rFonts w:hint="eastAsia"/>
                <w:b/>
                <w:bCs w:val="0"/>
                <w:sz w:val="24"/>
                <w:szCs w:val="24"/>
                <w:lang w:val="en-US" w:eastAsia="zh-CN"/>
              </w:rPr>
              <w:t>、</w:t>
            </w:r>
            <w:r>
              <w:rPr>
                <w:rFonts w:hint="eastAsia" w:ascii="Times New Roman" w:hAnsi="Times New Roman" w:cs="Times New Roman"/>
                <w:b/>
                <w:bCs w:val="0"/>
                <w:color w:val="auto"/>
                <w:u w:val="none" w:color="auto"/>
                <w:lang w:val="en-US" w:eastAsia="zh-CN"/>
              </w:rPr>
              <w:t>项目选址合理性分析</w:t>
            </w:r>
          </w:p>
          <w:p w14:paraId="246EE7FF">
            <w:pPr>
              <w:autoSpaceDE w:val="0"/>
              <w:autoSpaceDN w:val="0"/>
              <w:adjustRightInd w:val="0"/>
              <w:snapToGrid w:val="0"/>
              <w:spacing w:line="360" w:lineRule="auto"/>
              <w:ind w:firstLine="480" w:firstLineChars="200"/>
              <w:jc w:val="left"/>
              <w:rPr>
                <w:rFonts w:hint="eastAsia"/>
                <w:color w:val="auto"/>
                <w:u w:val="none"/>
              </w:rPr>
            </w:pPr>
            <w:r>
              <w:rPr>
                <w:rFonts w:hint="eastAsia"/>
                <w:color w:val="auto"/>
                <w:u w:val="none"/>
              </w:rPr>
              <w:t>（1）用地合理性分析</w:t>
            </w:r>
          </w:p>
          <w:p w14:paraId="7300594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color w:val="auto"/>
                <w:u w:val="none"/>
                <w:lang w:val="en-US" w:eastAsia="zh-CN"/>
              </w:rPr>
            </w:pPr>
            <w:r>
              <w:rPr>
                <w:rFonts w:hint="eastAsia"/>
                <w:color w:val="auto"/>
                <w:u w:val="none"/>
              </w:rPr>
              <w:t>本项目位于</w:t>
            </w:r>
            <w:r>
              <w:rPr>
                <w:rFonts w:hint="eastAsia" w:cs="Times New Roman"/>
                <w:color w:val="000000" w:themeColor="text1"/>
                <w:sz w:val="24"/>
                <w:szCs w:val="24"/>
                <w:u w:val="none"/>
                <w:lang w:val="en-US" w:eastAsia="zh-CN"/>
                <w14:textFill>
                  <w14:solidFill>
                    <w14:schemeClr w14:val="tx1"/>
                  </w14:solidFill>
                </w14:textFill>
              </w:rPr>
              <w:t>怀化市高新技术产业开发区管理委员会中方片区管理办公室泸阳片区（众力创新园1栋南区第2层）</w:t>
            </w:r>
            <w:r>
              <w:rPr>
                <w:rFonts w:hint="eastAsia"/>
                <w:color w:val="auto"/>
                <w:u w:val="none"/>
              </w:rPr>
              <w:t>，</w:t>
            </w:r>
            <w:r>
              <w:rPr>
                <w:rFonts w:hint="eastAsia" w:ascii="Times New Roman" w:hAnsi="Times New Roman" w:cs="Times New Roman"/>
                <w:b w:val="0"/>
                <w:bCs/>
                <w:color w:val="auto"/>
                <w:u w:val="none" w:color="auto"/>
                <w:lang w:val="en-US" w:eastAsia="zh-CN"/>
              </w:rPr>
              <w:t>租赁现有标准化厂房进行生产（见附件5）</w:t>
            </w:r>
            <w:r>
              <w:rPr>
                <w:rFonts w:hint="eastAsia"/>
                <w:color w:val="auto"/>
                <w:u w:val="none"/>
                <w:lang w:eastAsia="zh-CN"/>
              </w:rPr>
              <w:t>，</w:t>
            </w:r>
            <w:r>
              <w:rPr>
                <w:rFonts w:hint="eastAsia"/>
                <w:color w:val="auto"/>
                <w:u w:val="none"/>
              </w:rPr>
              <w:t>项目所在地属于</w:t>
            </w:r>
            <w:r>
              <w:rPr>
                <w:rFonts w:hint="eastAsia"/>
                <w:color w:val="auto"/>
                <w:u w:val="none"/>
                <w:lang w:val="en-US" w:eastAsia="zh-CN"/>
              </w:rPr>
              <w:t>中方产业开发区（原中方工业集中区）</w:t>
            </w:r>
            <w:r>
              <w:rPr>
                <w:rFonts w:hint="eastAsia"/>
                <w:color w:val="auto"/>
                <w:u w:val="none"/>
              </w:rPr>
              <w:t>，</w:t>
            </w:r>
            <w:r>
              <w:rPr>
                <w:rFonts w:hint="eastAsia"/>
                <w:color w:val="auto"/>
                <w:u w:val="none"/>
                <w:lang w:val="en-US" w:eastAsia="zh-CN"/>
              </w:rPr>
              <w:t>用地性质为工业用地，</w:t>
            </w:r>
            <w:r>
              <w:rPr>
                <w:rFonts w:hint="eastAsia"/>
                <w:color w:val="auto"/>
                <w:u w:val="none"/>
              </w:rPr>
              <w:t>评价范围内不涉及生态红线、基本农田，也不属于一般生态空间。</w:t>
            </w:r>
            <w:r>
              <w:rPr>
                <w:rFonts w:hint="eastAsia"/>
                <w:color w:val="auto"/>
                <w:u w:val="none"/>
                <w:lang w:val="en-US" w:eastAsia="zh-CN"/>
              </w:rPr>
              <w:t>项目所在产业园交通便利、水电设施齐全，项目所在区域污水管网已经接通，项目无生产废水，生活污水经化粪池预处理后排入市政污水管网，进入中方产业开发区（泸阳镇）污水处理厂进行进一步处理，最后排入泸阳溪（太平溪支流）。本项目在采取本环评中提出的污染防治措施后，污染物均可达标排放，对周围环境影响小，符合区域环境功能要求。因此，该项目用地合理可行。</w:t>
            </w:r>
          </w:p>
          <w:p w14:paraId="3D22A748">
            <w:pPr>
              <w:keepNext w:val="0"/>
              <w:keepLines w:val="0"/>
              <w:pageBreakBefore w:val="0"/>
              <w:widowControl w:val="0"/>
              <w:numPr>
                <w:ilvl w:val="0"/>
                <w:numId w:val="3"/>
              </w:numPr>
              <w:kinsoku/>
              <w:wordWrap/>
              <w:overflowPunct/>
              <w:topLinePunct w:val="0"/>
              <w:autoSpaceDE w:val="0"/>
              <w:autoSpaceDN w:val="0"/>
              <w:bidi w:val="0"/>
              <w:adjustRightInd w:val="0"/>
              <w:snapToGrid w:val="0"/>
              <w:spacing w:line="360" w:lineRule="auto"/>
              <w:ind w:firstLine="480" w:firstLineChars="200"/>
              <w:jc w:val="left"/>
              <w:textAlignment w:val="auto"/>
              <w:rPr>
                <w:rFonts w:ascii="宋体" w:hAnsi="宋体" w:cs="宋体"/>
                <w:color w:val="auto"/>
                <w:u w:val="none"/>
              </w:rPr>
            </w:pPr>
            <w:r>
              <w:rPr>
                <w:rFonts w:hint="eastAsia" w:ascii="宋体" w:hAnsi="宋体" w:cs="宋体"/>
                <w:color w:val="auto"/>
                <w:u w:val="none"/>
              </w:rPr>
              <w:t>环境相容</w:t>
            </w:r>
            <w:r>
              <w:rPr>
                <w:rFonts w:ascii="宋体" w:hAnsi="宋体" w:cs="宋体"/>
                <w:color w:val="auto"/>
                <w:u w:val="none"/>
              </w:rPr>
              <w:t>性分析</w:t>
            </w:r>
          </w:p>
          <w:p w14:paraId="5A5C65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lang w:val="en-US" w:eastAsia="zh-CN"/>
              </w:rPr>
              <w:t>①污染物达标情况分析</w:t>
            </w:r>
          </w:p>
          <w:p w14:paraId="281A6A5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color w:val="auto"/>
                <w:highlight w:val="yellow"/>
                <w:u w:val="none"/>
                <w:lang w:val="en-US" w:eastAsia="zh-CN"/>
              </w:rPr>
            </w:pPr>
            <w:r>
              <w:rPr>
                <w:rFonts w:hint="eastAsia"/>
                <w:color w:val="auto"/>
                <w:u w:val="none"/>
                <w:lang w:val="en-US" w:eastAsia="zh-CN"/>
              </w:rPr>
              <w:t>项目厂界外500m范围内主要为火马塘村居民、火马塘小学及其他企业的生产厂房，不涉及自然保护区、风景名胜区等需要特殊保护的区域；项目周边地表水主要为泸阳溪、太平溪，对应纳污水体为泸阳溪，不涉及饮用水源保护区，水功能区划为景观用水区。厂界50m范围内无</w:t>
            </w:r>
            <w:r>
              <w:rPr>
                <w:rFonts w:hint="eastAsia"/>
                <w:color w:val="auto"/>
                <w:highlight w:val="none"/>
                <w:u w:val="none"/>
                <w:lang w:val="en-US" w:eastAsia="zh-CN"/>
              </w:rPr>
              <w:t>声环境保护目标。</w:t>
            </w:r>
          </w:p>
          <w:p w14:paraId="0A30670F">
            <w:pPr>
              <w:pStyle w:val="58"/>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eastAsia"/>
                <w:color w:val="auto"/>
                <w:highlight w:val="none"/>
                <w:u w:val="none"/>
                <w:lang w:val="en-US" w:eastAsia="zh-CN"/>
              </w:rPr>
            </w:pPr>
            <w:r>
              <w:rPr>
                <w:rFonts w:hint="eastAsia"/>
                <w:color w:val="auto"/>
                <w:highlight w:val="none"/>
                <w:u w:val="none"/>
                <w:lang w:val="en-US" w:eastAsia="zh-CN"/>
              </w:rPr>
              <w:t>项目运营期产生的有组织废气主要包括焊锡废气、含浸、烘干有机废气，产生的污染物主要为</w:t>
            </w:r>
            <w:r>
              <w:rPr>
                <w:rFonts w:hint="default" w:ascii="Times New Roman" w:hAnsi="Times New Roman" w:cs="Times New Roman"/>
                <w:color w:val="auto"/>
                <w:highlight w:val="none"/>
                <w:u w:val="none"/>
                <w:lang w:val="en-US" w:eastAsia="zh-CN"/>
              </w:rPr>
              <w:t>VOCs（以非甲烷总烃计）</w:t>
            </w:r>
            <w:r>
              <w:rPr>
                <w:rFonts w:hint="eastAsia"/>
                <w:color w:val="auto"/>
                <w:highlight w:val="none"/>
                <w:u w:val="none"/>
                <w:lang w:val="en-US" w:eastAsia="zh-CN"/>
              </w:rPr>
              <w:t>、苯系物（二甲苯）、颗粒物。项目废气经配套设施收集处理后可实现达标排放，对周边大气环境影响不大。本项目无生产废水产生，产生的废水主要为生活污水，生活污水经化粪池预处理后经市政管网排入</w:t>
            </w:r>
            <w:r>
              <w:rPr>
                <w:rFonts w:hint="eastAsia"/>
                <w:color w:val="auto"/>
                <w:u w:val="none"/>
                <w:lang w:val="en-US" w:eastAsia="zh-CN"/>
              </w:rPr>
              <w:t>中方产业开发区（泸阳镇）污水处理厂</w:t>
            </w:r>
            <w:r>
              <w:rPr>
                <w:rFonts w:hint="eastAsia"/>
                <w:color w:val="auto"/>
                <w:highlight w:val="none"/>
                <w:u w:val="none"/>
                <w:lang w:val="en-US" w:eastAsia="zh-CN"/>
              </w:rPr>
              <w:t>处理，处理后排入泸阳溪，属于间接排放，对周边地表水影响不大。项目运营期产生的噪声，经采取合理布局、厂房隔声、基础减振等措施后可达标排放，对周边声环境影响在可接受范围内。项目运营期产生的各类固废均可得到综合利用或妥善处置，去向明确，不会对环境造成“二次污染”。</w:t>
            </w:r>
          </w:p>
          <w:p w14:paraId="6FAD1E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u w:val="none"/>
                <w:lang w:val="en-US" w:eastAsia="zh-CN"/>
              </w:rPr>
            </w:pPr>
            <w:r>
              <w:rPr>
                <w:rFonts w:hint="eastAsia"/>
                <w:color w:val="auto"/>
                <w:highlight w:val="none"/>
                <w:u w:val="none"/>
                <w:lang w:val="en-US" w:eastAsia="zh-CN"/>
              </w:rPr>
              <w:t>综上，本项目可实现达标排放，其建设对周边影响不大。</w:t>
            </w:r>
          </w:p>
          <w:p w14:paraId="051E86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default"/>
                <w:lang w:val="en-US" w:eastAsia="zh-CN"/>
              </w:rPr>
              <w:t>②环境容量分析</w:t>
            </w:r>
          </w:p>
          <w:p w14:paraId="7965A797">
            <w:pPr>
              <w:keepNext w:val="0"/>
              <w:keepLines w:val="0"/>
              <w:pageBreakBefore w:val="0"/>
              <w:widowControl w:val="0"/>
              <w:kinsoku/>
              <w:wordWrap/>
              <w:overflowPunct/>
              <w:topLinePunct w:val="0"/>
              <w:bidi w:val="0"/>
              <w:spacing w:line="360" w:lineRule="auto"/>
              <w:ind w:firstLine="480" w:firstLineChars="200"/>
              <w:textAlignment w:val="auto"/>
              <w:rPr>
                <w:rFonts w:hint="eastAsia"/>
                <w:color w:val="auto"/>
                <w:u w:val="none"/>
              </w:rPr>
            </w:pPr>
            <w:r>
              <w:rPr>
                <w:rFonts w:hint="eastAsia"/>
                <w:color w:val="auto"/>
                <w:u w:val="none"/>
              </w:rPr>
              <w:t>根据区域环境质量现状调查情况可知，本项目所在区域202</w:t>
            </w:r>
            <w:r>
              <w:rPr>
                <w:rFonts w:hint="eastAsia"/>
                <w:color w:val="auto"/>
                <w:u w:val="none"/>
                <w:lang w:val="en-US" w:eastAsia="zh-CN"/>
              </w:rPr>
              <w:t>5</w:t>
            </w:r>
            <w:r>
              <w:rPr>
                <w:rFonts w:hint="eastAsia"/>
                <w:color w:val="auto"/>
                <w:u w:val="none"/>
              </w:rPr>
              <w:t>年属于大气环境达标区；</w:t>
            </w:r>
            <w:r>
              <w:rPr>
                <w:rFonts w:hint="eastAsia"/>
                <w:color w:val="auto"/>
                <w:u w:val="none"/>
                <w:lang w:val="en-US" w:eastAsia="zh-CN"/>
              </w:rPr>
              <w:t>本项目无生产废水，生活污水实施间接排放，生活污水经市政管网排入中方产业开发区（泸阳镇）污水处理厂处理后排入泸阳溪（太平溪支流），其</w:t>
            </w:r>
            <w:r>
              <w:rPr>
                <w:rFonts w:hint="eastAsia"/>
                <w:color w:val="auto"/>
                <w:u w:val="none"/>
              </w:rPr>
              <w:t>水质能满足《地表水环境质量标准》（GB3838-2002）</w:t>
            </w:r>
            <w:r>
              <w:rPr>
                <w:color w:val="auto"/>
                <w:u w:val="none"/>
              </w:rPr>
              <w:t>Ⅲ</w:t>
            </w:r>
            <w:r>
              <w:rPr>
                <w:rFonts w:hint="eastAsia"/>
                <w:color w:val="auto"/>
                <w:u w:val="none"/>
              </w:rPr>
              <w:t>类标准；项目位于</w:t>
            </w:r>
            <w:r>
              <w:rPr>
                <w:rFonts w:hint="eastAsia"/>
                <w:color w:val="auto"/>
                <w:u w:val="none"/>
                <w:lang w:val="en-US" w:eastAsia="zh-CN"/>
              </w:rPr>
              <w:t>湖南省</w:t>
            </w:r>
            <w:r>
              <w:rPr>
                <w:rFonts w:hint="eastAsia"/>
                <w:color w:val="auto"/>
                <w:u w:val="none"/>
                <w:lang w:eastAsia="zh-CN"/>
              </w:rPr>
              <w:t>怀化市</w:t>
            </w:r>
            <w:r>
              <w:rPr>
                <w:rFonts w:hint="eastAsia"/>
                <w:color w:val="auto"/>
                <w:u w:val="none"/>
                <w:lang w:val="en-US" w:eastAsia="zh-CN"/>
              </w:rPr>
              <w:t>中方产业</w:t>
            </w:r>
            <w:r>
              <w:rPr>
                <w:rFonts w:hint="eastAsia"/>
                <w:color w:val="auto"/>
                <w:u w:val="none"/>
                <w:lang w:eastAsia="zh-CN"/>
              </w:rPr>
              <w:t>开发区泸阳片区</w:t>
            </w:r>
            <w:r>
              <w:rPr>
                <w:rFonts w:hint="eastAsia"/>
                <w:color w:val="auto"/>
                <w:u w:val="none"/>
              </w:rPr>
              <w:t>，声环境执行《声环境质量标准》（GB3096-2008）</w:t>
            </w:r>
            <w:r>
              <w:rPr>
                <w:rFonts w:hint="eastAsia"/>
                <w:color w:val="auto"/>
                <w:u w:val="none"/>
                <w:lang w:val="en-US" w:eastAsia="zh-CN"/>
              </w:rPr>
              <w:t>3</w:t>
            </w:r>
            <w:r>
              <w:rPr>
                <w:rFonts w:hint="eastAsia"/>
                <w:color w:val="auto"/>
                <w:u w:val="none"/>
              </w:rPr>
              <w:t>类标准限值</w:t>
            </w:r>
            <w:r>
              <w:rPr>
                <w:rFonts w:hint="eastAsia"/>
                <w:color w:val="auto"/>
                <w:u w:val="none"/>
                <w:lang w:eastAsia="zh-CN"/>
              </w:rPr>
              <w:t>，</w:t>
            </w:r>
            <w:r>
              <w:rPr>
                <w:rFonts w:hint="eastAsia"/>
                <w:color w:val="auto"/>
                <w:u w:val="none"/>
                <w:lang w:val="en-US" w:eastAsia="zh-CN"/>
              </w:rPr>
              <w:t>且经后文噪声预测分析，可知本项目厂界噪声可达到</w:t>
            </w:r>
            <w:r>
              <w:rPr>
                <w:rFonts w:hint="eastAsia"/>
                <w:color w:val="auto"/>
                <w:u w:val="none"/>
              </w:rPr>
              <w:t>《</w:t>
            </w:r>
            <w:r>
              <w:rPr>
                <w:rFonts w:hint="eastAsia"/>
                <w:color w:val="auto"/>
                <w:u w:val="none"/>
                <w:lang w:val="en-US" w:eastAsia="zh-CN"/>
              </w:rPr>
              <w:t>工业企业噪声污染物排放</w:t>
            </w:r>
            <w:r>
              <w:rPr>
                <w:rFonts w:hint="eastAsia"/>
                <w:color w:val="auto"/>
                <w:u w:val="none"/>
              </w:rPr>
              <w:t>标准》（GB</w:t>
            </w:r>
            <w:r>
              <w:rPr>
                <w:rFonts w:hint="eastAsia"/>
                <w:color w:val="auto"/>
                <w:u w:val="none"/>
                <w:lang w:val="en-US" w:eastAsia="zh-CN"/>
              </w:rPr>
              <w:t>12348</w:t>
            </w:r>
            <w:r>
              <w:rPr>
                <w:rFonts w:hint="eastAsia"/>
                <w:color w:val="auto"/>
                <w:u w:val="none"/>
              </w:rPr>
              <w:t>-2008）</w:t>
            </w:r>
            <w:r>
              <w:rPr>
                <w:rFonts w:hint="eastAsia"/>
                <w:color w:val="auto"/>
                <w:u w:val="none"/>
                <w:lang w:val="en-US" w:eastAsia="zh-CN"/>
              </w:rPr>
              <w:t>3</w:t>
            </w:r>
            <w:r>
              <w:rPr>
                <w:rFonts w:hint="eastAsia"/>
                <w:color w:val="auto"/>
                <w:u w:val="none"/>
              </w:rPr>
              <w:t>类标准限值。</w:t>
            </w:r>
          </w:p>
          <w:p w14:paraId="22965175">
            <w:pPr>
              <w:keepNext w:val="0"/>
              <w:keepLines w:val="0"/>
              <w:pageBreakBefore w:val="0"/>
              <w:widowControl w:val="0"/>
              <w:kinsoku/>
              <w:wordWrap/>
              <w:overflowPunct/>
              <w:topLinePunct w:val="0"/>
              <w:bidi w:val="0"/>
              <w:spacing w:line="360" w:lineRule="auto"/>
              <w:ind w:firstLine="480" w:firstLineChars="200"/>
              <w:textAlignment w:val="auto"/>
              <w:rPr>
                <w:rFonts w:hint="default"/>
                <w:color w:val="auto"/>
                <w:u w:val="none"/>
                <w:lang w:val="en-US" w:eastAsia="zh-CN"/>
              </w:rPr>
            </w:pPr>
            <w:r>
              <w:rPr>
                <w:rFonts w:hint="eastAsia"/>
                <w:color w:val="auto"/>
                <w:u w:val="none"/>
                <w:lang w:val="en-US" w:eastAsia="zh-CN"/>
              </w:rPr>
              <w:t>综上，</w:t>
            </w:r>
            <w:r>
              <w:rPr>
                <w:rFonts w:hint="eastAsia"/>
                <w:color w:val="auto"/>
                <w:u w:val="none"/>
              </w:rPr>
              <w:t>本项目所在区域大气、地表水、声环境质量良好，环境容量较大</w:t>
            </w:r>
            <w:r>
              <w:rPr>
                <w:rFonts w:hint="eastAsia"/>
                <w:color w:val="auto"/>
                <w:u w:val="none"/>
                <w:lang w:eastAsia="zh-CN"/>
              </w:rPr>
              <w:t>，</w:t>
            </w:r>
            <w:r>
              <w:rPr>
                <w:rFonts w:hint="eastAsia"/>
                <w:color w:val="auto"/>
                <w:u w:val="none"/>
              </w:rPr>
              <w:t>项目运营期在采取相应措施后，废气、废水、噪声可实现达标排放，固废可得到综合利用或妥善处置，对周边环境影响不大，不会改变区域现有大气、地表水以及声环境功能区划。</w:t>
            </w:r>
          </w:p>
          <w:p w14:paraId="2295D0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default"/>
                <w:lang w:val="en-US" w:eastAsia="zh-CN"/>
              </w:rPr>
              <w:t>③</w:t>
            </w:r>
            <w:r>
              <w:rPr>
                <w:rFonts w:hint="eastAsia"/>
                <w:lang w:val="en-US" w:eastAsia="zh-CN"/>
              </w:rPr>
              <w:t xml:space="preserve">与周边环境相容性分析 </w:t>
            </w:r>
          </w:p>
          <w:p w14:paraId="15E1E71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color w:val="auto"/>
                <w:u w:val="none"/>
                <w:lang w:val="en-US" w:eastAsia="zh-CN"/>
              </w:rPr>
            </w:pPr>
            <w:r>
              <w:rPr>
                <w:rFonts w:hint="eastAsia"/>
                <w:color w:val="auto"/>
                <w:u w:val="none"/>
                <w:lang w:val="en-US" w:eastAsia="zh-CN"/>
              </w:rPr>
              <w:t>本项</w:t>
            </w:r>
            <w:r>
              <w:rPr>
                <w:rFonts w:hint="eastAsia"/>
                <w:color w:val="auto"/>
                <w:u w:val="none"/>
              </w:rPr>
              <w:t>目</w:t>
            </w:r>
            <w:r>
              <w:rPr>
                <w:rFonts w:hint="eastAsia"/>
                <w:color w:val="auto"/>
                <w:u w:val="none"/>
                <w:lang w:val="en-US" w:eastAsia="zh-CN"/>
              </w:rPr>
              <w:t>位于湖南省</w:t>
            </w:r>
            <w:r>
              <w:rPr>
                <w:rFonts w:hint="eastAsia"/>
                <w:color w:val="auto"/>
                <w:u w:val="none"/>
                <w:lang w:eastAsia="zh-CN"/>
              </w:rPr>
              <w:t>怀化市</w:t>
            </w:r>
            <w:r>
              <w:rPr>
                <w:rFonts w:hint="eastAsia"/>
                <w:color w:val="auto"/>
                <w:u w:val="none"/>
                <w:lang w:val="en-US" w:eastAsia="zh-CN"/>
              </w:rPr>
              <w:t>中方产业</w:t>
            </w:r>
            <w:r>
              <w:rPr>
                <w:rFonts w:hint="eastAsia"/>
                <w:color w:val="auto"/>
                <w:u w:val="none"/>
                <w:lang w:eastAsia="zh-CN"/>
              </w:rPr>
              <w:t>开发区泸阳片区</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众力创新园1栋</w:t>
            </w:r>
            <w:r>
              <w:rPr>
                <w:rFonts w:hint="default" w:ascii="Times New Roman" w:hAnsi="Times New Roman" w:cs="Times New Roman"/>
                <w:color w:val="000000" w:themeColor="text1"/>
                <w:sz w:val="24"/>
                <w:szCs w:val="24"/>
                <w:u w:val="none"/>
                <w:lang w:val="en-US" w:eastAsia="zh-CN"/>
                <w14:textFill>
                  <w14:solidFill>
                    <w14:schemeClr w14:val="tx1"/>
                  </w14:solidFill>
                </w14:textFill>
              </w:rPr>
              <w:t>（南区第2层）</w:t>
            </w:r>
            <w:r>
              <w:rPr>
                <w:rFonts w:hint="eastAsia"/>
                <w:color w:val="auto"/>
                <w:u w:val="none"/>
                <w:lang w:val="en-US" w:eastAsia="zh-CN"/>
              </w:rPr>
              <w:t>，租赁现有厂房进行建设，项目环境保护目标主要为东北侧火马塘村居民点、火马塘小学，项目所在地常年主导风向为西北风向，故项目周边居民点和企业位于本项目上风向或侧风向，且项目废气排放口位于西北侧，与居民点距离较远。因此，本项目废气经收集处理后对周边环境影响较小，与周边环境较为相容。</w:t>
            </w:r>
          </w:p>
          <w:p w14:paraId="56FCAAB1">
            <w:pPr>
              <w:pStyle w:val="2"/>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default"/>
                <w:sz w:val="24"/>
                <w:szCs w:val="24"/>
                <w:u w:val="single"/>
                <w:lang w:val="en-US" w:eastAsia="zh-CN"/>
              </w:rPr>
            </w:pPr>
            <w:r>
              <w:rPr>
                <w:rFonts w:hint="eastAsia"/>
                <w:sz w:val="24"/>
                <w:szCs w:val="24"/>
                <w:u w:val="single"/>
                <w:lang w:val="en-US" w:eastAsia="zh-CN"/>
              </w:rPr>
              <w:t>④与周边企业相容性分析</w:t>
            </w:r>
          </w:p>
          <w:p w14:paraId="34C4BE9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u w:val="single"/>
                <w:lang w:val="en-US" w:eastAsia="zh-CN"/>
              </w:rPr>
            </w:pPr>
            <w:r>
              <w:rPr>
                <w:rFonts w:hint="eastAsia"/>
                <w:color w:val="auto"/>
                <w:u w:val="single"/>
                <w:lang w:val="en-US" w:eastAsia="zh-CN"/>
              </w:rPr>
              <w:t>本项</w:t>
            </w:r>
            <w:r>
              <w:rPr>
                <w:rFonts w:hint="eastAsia"/>
                <w:color w:val="auto"/>
                <w:u w:val="single"/>
              </w:rPr>
              <w:t>目</w:t>
            </w:r>
            <w:r>
              <w:rPr>
                <w:rFonts w:hint="eastAsia"/>
                <w:color w:val="auto"/>
                <w:u w:val="single"/>
                <w:lang w:val="en-US" w:eastAsia="zh-CN"/>
              </w:rPr>
              <w:t>位于湖南省</w:t>
            </w:r>
            <w:r>
              <w:rPr>
                <w:rFonts w:hint="eastAsia"/>
                <w:color w:val="auto"/>
                <w:u w:val="single"/>
                <w:lang w:eastAsia="zh-CN"/>
              </w:rPr>
              <w:t>怀化市</w:t>
            </w:r>
            <w:r>
              <w:rPr>
                <w:rFonts w:hint="eastAsia"/>
                <w:color w:val="auto"/>
                <w:u w:val="single"/>
                <w:lang w:val="en-US" w:eastAsia="zh-CN"/>
              </w:rPr>
              <w:t>中方产业</w:t>
            </w:r>
            <w:r>
              <w:rPr>
                <w:rFonts w:hint="eastAsia"/>
                <w:color w:val="auto"/>
                <w:u w:val="single"/>
                <w:lang w:eastAsia="zh-CN"/>
              </w:rPr>
              <w:t>开发区泸阳片区</w:t>
            </w:r>
            <w:r>
              <w:rPr>
                <w:rFonts w:hint="default" w:ascii="Times New Roman" w:hAnsi="Times New Roman" w:eastAsia="宋体" w:cs="Times New Roman"/>
                <w:color w:val="000000" w:themeColor="text1"/>
                <w:sz w:val="24"/>
                <w:szCs w:val="24"/>
                <w:u w:val="single"/>
                <w:lang w:val="en-US" w:eastAsia="zh-CN"/>
                <w14:textFill>
                  <w14:solidFill>
                    <w14:schemeClr w14:val="tx1"/>
                  </w14:solidFill>
                </w14:textFill>
              </w:rPr>
              <w:t>众力创新园1栋</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（南区第2层）</w:t>
            </w:r>
            <w:r>
              <w:rPr>
                <w:rFonts w:hint="eastAsia"/>
                <w:color w:val="auto"/>
                <w:u w:val="single"/>
                <w:lang w:val="en-US" w:eastAsia="zh-CN"/>
              </w:rPr>
              <w:t>，租赁现有厂房进行建设，本项目厂房共有4层，本项目租赁第2层进行建设，根据调查，该厂房1、3层为湖南亿福照明科技有限公司，4层为空置厂房。项目东侧为怀化市硅曼电子材料有限公司、湖南金维新材料科技有限公司，南侧为湖南梨树园涂料有限公司、怀化市华恒莫来石有限公司，西侧为湖南绿案环保科技有限公司，北侧为怀化市益顺包装制品有限公司。</w:t>
            </w:r>
          </w:p>
          <w:p w14:paraId="4665C3D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u w:val="single"/>
                <w:lang w:eastAsia="zh-CN"/>
              </w:rPr>
            </w:pPr>
            <w:r>
              <w:rPr>
                <w:rFonts w:hint="default" w:ascii="Times New Roman" w:hAnsi="Times New Roman" w:cs="Times New Roman"/>
                <w:color w:val="auto"/>
                <w:u w:val="single"/>
                <w:lang w:eastAsia="zh-CN"/>
              </w:rPr>
              <w:t>湖南亿福照明科技有限公司，主要从事LED灯具组装生产，生产过程存在焊锡、点胶、组装等工序，与本项目电子变压器生产的产污类型基本一致，均以少量焊锡烟尘、有机废气、员工生活污水、一般工业固废及少量危废为主要污染物，产污类型相近、污染强度低，均属于轻污染电子组装项目。</w:t>
            </w:r>
          </w:p>
          <w:p w14:paraId="24150F0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u w:val="single"/>
                <w:lang w:eastAsia="zh-CN"/>
              </w:rPr>
            </w:pPr>
            <w:r>
              <w:rPr>
                <w:rFonts w:hint="default" w:ascii="Times New Roman" w:hAnsi="Times New Roman" w:cs="Times New Roman"/>
                <w:color w:val="auto"/>
                <w:u w:val="single"/>
                <w:lang w:eastAsia="zh-CN"/>
              </w:rPr>
              <w:t>两家企业生产区域分区独立、产污工位互不重叠、废气收集系统完全独立，无共用排污节点、无交叉污染途径。本项目采取的废气密闭收集、二级活性炭吸附治理、</w:t>
            </w:r>
            <w:r>
              <w:rPr>
                <w:rFonts w:hint="eastAsia" w:cs="Times New Roman"/>
                <w:color w:val="auto"/>
                <w:u w:val="single"/>
                <w:lang w:val="en-US" w:eastAsia="zh-CN"/>
              </w:rPr>
              <w:t>噪声采取</w:t>
            </w:r>
            <w:r>
              <w:rPr>
                <w:rFonts w:hint="default" w:ascii="Times New Roman" w:hAnsi="Times New Roman" w:cs="Times New Roman"/>
                <w:color w:val="auto"/>
                <w:u w:val="single"/>
                <w:lang w:eastAsia="zh-CN"/>
              </w:rPr>
              <w:t>厂房隔声、</w:t>
            </w:r>
            <w:r>
              <w:rPr>
                <w:rFonts w:hint="eastAsia" w:cs="Times New Roman"/>
                <w:color w:val="auto"/>
                <w:u w:val="single"/>
                <w:lang w:val="en-US" w:eastAsia="zh-CN"/>
              </w:rPr>
              <w:t>固废采取</w:t>
            </w:r>
            <w:r>
              <w:rPr>
                <w:rFonts w:hint="default" w:ascii="Times New Roman" w:hAnsi="Times New Roman" w:cs="Times New Roman"/>
                <w:color w:val="auto"/>
                <w:u w:val="single"/>
                <w:lang w:eastAsia="zh-CN"/>
              </w:rPr>
              <w:t>固废分类收集等</w:t>
            </w:r>
            <w:r>
              <w:rPr>
                <w:rFonts w:hint="eastAsia" w:cs="Times New Roman"/>
                <w:color w:val="auto"/>
                <w:u w:val="single"/>
                <w:lang w:eastAsia="zh-CN"/>
              </w:rPr>
              <w:t>，</w:t>
            </w:r>
            <w:r>
              <w:rPr>
                <w:rFonts w:hint="default" w:ascii="Times New Roman" w:hAnsi="Times New Roman" w:cs="Times New Roman"/>
                <w:color w:val="auto"/>
                <w:u w:val="single"/>
                <w:lang w:eastAsia="zh-CN"/>
              </w:rPr>
              <w:t>环保措施完善。</w:t>
            </w:r>
          </w:p>
          <w:p w14:paraId="1AAC57B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u w:val="single"/>
                <w:lang w:eastAsia="zh-CN"/>
              </w:rPr>
            </w:pPr>
            <w:r>
              <w:rPr>
                <w:rFonts w:hint="default" w:ascii="Times New Roman" w:hAnsi="Times New Roman" w:cs="Times New Roman"/>
                <w:color w:val="auto"/>
                <w:u w:val="single"/>
                <w:lang w:eastAsia="zh-CN"/>
              </w:rPr>
              <w:t>因此，本项目建设不会对同楼栋现有企业生产环境造成不利影响，厂区布局相容、环境影响可接受。</w:t>
            </w:r>
          </w:p>
          <w:p w14:paraId="3A98D6C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cs="Times New Roman"/>
                <w:color w:val="auto"/>
                <w:u w:val="none"/>
              </w:rPr>
            </w:pPr>
            <w:r>
              <w:rPr>
                <w:rFonts w:hint="default" w:ascii="Times New Roman" w:hAnsi="Times New Roman" w:cs="Times New Roman"/>
                <w:color w:val="auto"/>
                <w:u w:val="none"/>
                <w:lang w:eastAsia="zh-CN"/>
              </w:rPr>
              <w:t>（</w:t>
            </w:r>
            <w:r>
              <w:rPr>
                <w:rFonts w:hint="default" w:ascii="Times New Roman" w:hAnsi="Times New Roman" w:cs="Times New Roman"/>
                <w:color w:val="auto"/>
                <w:u w:val="none"/>
                <w:lang w:val="en-US" w:eastAsia="zh-CN"/>
              </w:rPr>
              <w:t>3</w:t>
            </w:r>
            <w:r>
              <w:rPr>
                <w:rFonts w:hint="default" w:ascii="Times New Roman" w:hAnsi="Times New Roman" w:cs="Times New Roman"/>
                <w:color w:val="auto"/>
                <w:u w:val="none"/>
                <w:lang w:eastAsia="zh-CN"/>
              </w:rPr>
              <w:t>）</w:t>
            </w:r>
            <w:r>
              <w:rPr>
                <w:rFonts w:hint="default" w:ascii="Times New Roman" w:hAnsi="Times New Roman" w:cs="Times New Roman"/>
                <w:color w:val="auto"/>
                <w:u w:val="none"/>
              </w:rPr>
              <w:t>基础设施建设条件</w:t>
            </w:r>
          </w:p>
          <w:p w14:paraId="1FC765CB">
            <w:pPr>
              <w:autoSpaceDE w:val="0"/>
              <w:autoSpaceDN w:val="0"/>
              <w:adjustRightInd w:val="0"/>
              <w:snapToGrid w:val="0"/>
              <w:spacing w:line="360" w:lineRule="auto"/>
              <w:ind w:firstLine="480" w:firstLineChars="200"/>
              <w:jc w:val="left"/>
              <w:rPr>
                <w:rFonts w:hint="default" w:ascii="Times New Roman" w:hAnsi="Times New Roman" w:cs="Times New Roman"/>
                <w:color w:val="auto"/>
                <w:u w:val="none"/>
              </w:rPr>
            </w:pPr>
            <w:r>
              <w:rPr>
                <w:rFonts w:hint="default" w:ascii="Times New Roman" w:hAnsi="Times New Roman" w:cs="Times New Roman"/>
                <w:color w:val="auto"/>
                <w:u w:val="none"/>
              </w:rPr>
              <w:t>项目位于</w:t>
            </w:r>
            <w:r>
              <w:rPr>
                <w:rFonts w:hint="default" w:ascii="Times New Roman" w:hAnsi="Times New Roman" w:cs="Times New Roman"/>
                <w:color w:val="auto"/>
                <w:u w:val="none"/>
                <w:lang w:val="en-US" w:eastAsia="zh-CN"/>
              </w:rPr>
              <w:t>中方产业</w:t>
            </w:r>
            <w:r>
              <w:rPr>
                <w:rFonts w:hint="default" w:ascii="Times New Roman" w:hAnsi="Times New Roman" w:cs="Times New Roman"/>
                <w:color w:val="auto"/>
                <w:u w:val="none"/>
                <w:lang w:eastAsia="zh-CN"/>
              </w:rPr>
              <w:t>开发区泸阳片区</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众力创新园1栋</w:t>
            </w:r>
            <w:r>
              <w:rPr>
                <w:rFonts w:hint="default" w:ascii="Times New Roman" w:hAnsi="Times New Roman" w:cs="Times New Roman"/>
                <w:color w:val="000000" w:themeColor="text1"/>
                <w:sz w:val="24"/>
                <w:szCs w:val="24"/>
                <w:u w:val="none"/>
                <w:lang w:val="en-US" w:eastAsia="zh-CN"/>
                <w14:textFill>
                  <w14:solidFill>
                    <w14:schemeClr w14:val="tx1"/>
                  </w14:solidFill>
                </w14:textFill>
              </w:rPr>
              <w:t>（南区第2层）</w:t>
            </w:r>
            <w:r>
              <w:rPr>
                <w:rFonts w:hint="default" w:ascii="Times New Roman" w:hAnsi="Times New Roman" w:cs="Times New Roman"/>
                <w:color w:val="auto"/>
                <w:u w:val="none"/>
              </w:rPr>
              <w:t>，</w:t>
            </w:r>
            <w:r>
              <w:rPr>
                <w:rFonts w:hint="default" w:ascii="Times New Roman" w:hAnsi="Times New Roman" w:cs="Times New Roman"/>
                <w:color w:val="auto"/>
                <w:u w:val="none"/>
                <w:lang w:val="en-US" w:eastAsia="zh-CN"/>
              </w:rPr>
              <w:t>厂界外80m处为S</w:t>
            </w:r>
            <w:r>
              <w:rPr>
                <w:rFonts w:hint="eastAsia" w:cs="Times New Roman"/>
                <w:color w:val="auto"/>
                <w:u w:val="none"/>
                <w:lang w:val="en-US" w:eastAsia="zh-CN"/>
              </w:rPr>
              <w:t>223</w:t>
            </w:r>
            <w:r>
              <w:rPr>
                <w:rFonts w:hint="default" w:ascii="Times New Roman" w:hAnsi="Times New Roman" w:cs="Times New Roman"/>
                <w:color w:val="auto"/>
                <w:u w:val="none"/>
                <w:lang w:val="en-US" w:eastAsia="zh-CN"/>
              </w:rPr>
              <w:t>省道，</w:t>
            </w:r>
            <w:r>
              <w:rPr>
                <w:rFonts w:hint="default" w:ascii="Times New Roman" w:hAnsi="Times New Roman" w:cs="Times New Roman"/>
                <w:color w:val="auto"/>
                <w:u w:val="none"/>
              </w:rPr>
              <w:t>交通较为便利；结合现场勘查，项目周边供水、供电、</w:t>
            </w:r>
            <w:r>
              <w:rPr>
                <w:rFonts w:hint="default" w:ascii="Times New Roman" w:hAnsi="Times New Roman" w:cs="Times New Roman"/>
                <w:color w:val="auto"/>
                <w:u w:val="none"/>
                <w:lang w:val="en-US" w:eastAsia="zh-CN"/>
              </w:rPr>
              <w:t>市政污水管网、</w:t>
            </w:r>
            <w:r>
              <w:rPr>
                <w:rFonts w:hint="default" w:ascii="Times New Roman" w:hAnsi="Times New Roman" w:cs="Times New Roman"/>
                <w:color w:val="auto"/>
                <w:u w:val="none"/>
              </w:rPr>
              <w:t>通讯等基础设施基本完善，建设条件良好。</w:t>
            </w:r>
          </w:p>
          <w:p w14:paraId="164C1A72">
            <w:pPr>
              <w:autoSpaceDE w:val="0"/>
              <w:autoSpaceDN w:val="0"/>
              <w:adjustRightInd w:val="0"/>
              <w:snapToGrid w:val="0"/>
              <w:spacing w:line="360" w:lineRule="auto"/>
              <w:ind w:firstLine="480" w:firstLineChars="200"/>
              <w:jc w:val="left"/>
              <w:rPr>
                <w:rFonts w:hint="default"/>
                <w:color w:val="000000" w:themeColor="text1"/>
                <w:u w:val="none" w:color="auto"/>
                <w:lang w:val="en-US" w:eastAsia="zh-CN"/>
                <w14:textFill>
                  <w14:solidFill>
                    <w14:schemeClr w14:val="tx1"/>
                  </w14:solidFill>
                </w14:textFill>
              </w:rPr>
            </w:pPr>
            <w:r>
              <w:rPr>
                <w:rFonts w:ascii="宋体" w:hAnsi="宋体" w:cs="宋体"/>
                <w:color w:val="auto"/>
                <w:u w:val="none"/>
              </w:rPr>
              <w:t>综上所述，本项目的建设符合园区用地规划，属于园区“允许类”项目，不与园区总体规划、产业定位相违背；周边环境质量良好，环境容量较大无明显环境制约因素；项目运营期在采取相应措施后，废气、废水、噪声可实现达标排放，固废可得到综合利用或妥善处置，对周边环境影响不大，不会改变区域现有大气、地表水以及声环境功能区划，项目建议与外环境基本相容；所在地交通便利，供水、供电、通讯及排水等基础设施条件良好。因此，从环境保护角度出发，项目选址较为合理。</w:t>
            </w:r>
          </w:p>
        </w:tc>
      </w:tr>
    </w:tbl>
    <w:p w14:paraId="2E9CBFA7">
      <w:pPr>
        <w:spacing w:line="360" w:lineRule="auto"/>
        <w:outlineLvl w:val="0"/>
        <w:rPr>
          <w:rFonts w:eastAsia="黑体"/>
          <w:color w:val="000000" w:themeColor="text1"/>
          <w:sz w:val="30"/>
          <w:u w:val="none" w:color="auto"/>
          <w14:textFill>
            <w14:solidFill>
              <w14:schemeClr w14:val="tx1"/>
            </w14:solidFill>
          </w14:textFill>
        </w:rPr>
        <w:sectPr>
          <w:footerReference r:id="rId6" w:type="default"/>
          <w:pgSz w:w="11906" w:h="16838"/>
          <w:pgMar w:top="1440" w:right="1080" w:bottom="1440" w:left="1080"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0D2D57B3">
      <w:pPr>
        <w:pStyle w:val="3"/>
        <w:keepNext/>
        <w:keepLines w:val="0"/>
        <w:pageBreakBefore w:val="0"/>
        <w:widowControl w:val="0"/>
        <w:kinsoku/>
        <w:wordWrap/>
        <w:overflowPunct w:val="0"/>
        <w:topLinePunct w:val="0"/>
        <w:autoSpaceDE/>
        <w:autoSpaceDN/>
        <w:bidi w:val="0"/>
        <w:adjustRightInd/>
        <w:snapToGrid w:val="0"/>
        <w:spacing w:before="0" w:after="0" w:line="360" w:lineRule="auto"/>
        <w:ind w:left="0" w:firstLine="0"/>
        <w:jc w:val="center"/>
        <w:textAlignment w:val="auto"/>
        <w:rPr>
          <w:rStyle w:val="38"/>
          <w:rFonts w:eastAsia="宋体"/>
          <w:b/>
          <w:bCs/>
          <w:color w:val="000000" w:themeColor="text1"/>
          <w:u w:val="none" w:color="auto"/>
          <w14:textFill>
            <w14:solidFill>
              <w14:schemeClr w14:val="tx1"/>
            </w14:solidFill>
          </w14:textFill>
        </w:rPr>
      </w:pPr>
      <w:bookmarkStart w:id="9" w:name="_Toc4543"/>
      <w:r>
        <w:rPr>
          <w:rStyle w:val="38"/>
          <w:rFonts w:eastAsia="宋体"/>
          <w:b/>
          <w:bCs/>
          <w:color w:val="000000" w:themeColor="text1"/>
          <w:u w:val="none" w:color="auto"/>
          <w14:textFill>
            <w14:solidFill>
              <w14:schemeClr w14:val="tx1"/>
            </w14:solidFill>
          </w14:textFill>
        </w:rPr>
        <w:t>二、建设项目工程分析</w:t>
      </w:r>
      <w:bookmarkEnd w:id="9"/>
    </w:p>
    <w:tbl>
      <w:tblPr>
        <w:tblStyle w:val="3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42"/>
        <w:gridCol w:w="8618"/>
      </w:tblGrid>
      <w:tr w14:paraId="46D8E0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42" w:type="dxa"/>
            <w:vAlign w:val="center"/>
          </w:tcPr>
          <w:p w14:paraId="5975D3F4">
            <w:pPr>
              <w:adjustRightInd w:val="0"/>
              <w:snapToGrid w:val="0"/>
              <w:spacing w:before="0" w:beforeAutospacing="0" w:after="0" w:afterAutospacing="0"/>
              <w:jc w:val="center"/>
              <w:rPr>
                <w:rFonts w:ascii="Times New Roman" w:hAnsi="Times New Roman"/>
                <w:color w:val="000000" w:themeColor="text1"/>
                <w:sz w:val="21"/>
                <w:szCs w:val="21"/>
                <w:u w:val="none" w:color="auto"/>
                <w14:textFill>
                  <w14:solidFill>
                    <w14:schemeClr w14:val="tx1"/>
                  </w14:solidFill>
                </w14:textFill>
              </w:rPr>
            </w:pPr>
            <w:r>
              <w:rPr>
                <w:rFonts w:ascii="Times New Roman" w:hAnsi="Times New Roman"/>
                <w:color w:val="000000" w:themeColor="text1"/>
                <w:szCs w:val="24"/>
                <w:u w:val="none" w:color="auto"/>
                <w14:textFill>
                  <w14:solidFill>
                    <w14:schemeClr w14:val="tx1"/>
                  </w14:solidFill>
                </w14:textFill>
              </w:rPr>
              <w:t>建设内容</w:t>
            </w:r>
          </w:p>
        </w:tc>
        <w:tc>
          <w:tcPr>
            <w:tcW w:w="8618" w:type="dxa"/>
          </w:tcPr>
          <w:p w14:paraId="6CDD354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2"/>
                <w:lang w:val="en-US" w:eastAsia="zh-CN" w:bidi="ar-SA"/>
              </w:rPr>
            </w:pPr>
            <w:r>
              <w:rPr>
                <w:rFonts w:hint="eastAsia" w:cs="Times New Roman"/>
                <w:b/>
                <w:bCs/>
                <w:color w:val="auto"/>
                <w:kern w:val="0"/>
                <w:sz w:val="24"/>
                <w:szCs w:val="22"/>
                <w:lang w:val="en-US" w:eastAsia="zh-CN" w:bidi="ar-SA"/>
              </w:rPr>
              <w:t>1</w:t>
            </w:r>
            <w:r>
              <w:rPr>
                <w:rFonts w:hint="default" w:ascii="Times New Roman" w:hAnsi="Times New Roman" w:eastAsia="宋体" w:cs="Times New Roman"/>
                <w:b/>
                <w:bCs/>
                <w:color w:val="auto"/>
                <w:kern w:val="0"/>
                <w:sz w:val="24"/>
                <w:szCs w:val="22"/>
                <w:lang w:val="en-US" w:eastAsia="zh-CN" w:bidi="ar-SA"/>
              </w:rPr>
              <w:t>、</w:t>
            </w:r>
            <w:r>
              <w:rPr>
                <w:rFonts w:hint="eastAsia" w:cs="Times New Roman"/>
                <w:b/>
                <w:bCs/>
                <w:color w:val="auto"/>
                <w:kern w:val="0"/>
                <w:sz w:val="24"/>
                <w:szCs w:val="22"/>
                <w:lang w:val="en-US" w:eastAsia="zh-CN" w:bidi="ar-SA"/>
              </w:rPr>
              <w:t>项目由来</w:t>
            </w:r>
          </w:p>
          <w:p w14:paraId="2CA6CC59">
            <w:pPr>
              <w:pStyle w:val="50"/>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2"/>
                <w:lang w:val="en-US" w:eastAsia="zh-CN" w:bidi="ar-SA"/>
              </w:rPr>
            </w:pPr>
            <w:r>
              <w:rPr>
                <w:rFonts w:hint="default" w:ascii="Times New Roman" w:hAnsi="Times New Roman" w:eastAsia="宋体" w:cs="Times New Roman"/>
                <w:color w:val="auto"/>
                <w:kern w:val="0"/>
                <w:sz w:val="24"/>
                <w:szCs w:val="22"/>
                <w:lang w:val="en-US" w:eastAsia="zh-CN" w:bidi="ar-SA"/>
              </w:rPr>
              <w:t>新能源、消费电子行业蓬勃发展，电子变压器市场需求持续上涨。中方</w:t>
            </w:r>
            <w:r>
              <w:rPr>
                <w:rFonts w:hint="eastAsia" w:ascii="Times New Roman" w:hAnsi="Times New Roman" w:cs="Times New Roman"/>
                <w:color w:val="auto"/>
                <w:kern w:val="0"/>
                <w:sz w:val="24"/>
                <w:szCs w:val="22"/>
                <w:lang w:val="en-US" w:eastAsia="zh-CN" w:bidi="ar-SA"/>
              </w:rPr>
              <w:t>产业开发</w:t>
            </w:r>
            <w:r>
              <w:rPr>
                <w:rFonts w:hint="default" w:ascii="Times New Roman" w:hAnsi="Times New Roman" w:eastAsia="宋体" w:cs="Times New Roman"/>
                <w:color w:val="auto"/>
                <w:kern w:val="0"/>
                <w:sz w:val="24"/>
                <w:szCs w:val="22"/>
                <w:lang w:val="en-US" w:eastAsia="zh-CN" w:bidi="ar-SA"/>
              </w:rPr>
              <w:t>区电子产业初具规模，但本地缺少规模化元器件生产产能，企业外购配件成本高、供货周期长，产业链配套存在短板。</w:t>
            </w:r>
          </w:p>
          <w:p w14:paraId="32822B00">
            <w:pPr>
              <w:pStyle w:val="50"/>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2"/>
                <w:u w:val="single"/>
                <w:lang w:val="en-US" w:eastAsia="zh-CN" w:bidi="ar-SA"/>
              </w:rPr>
            </w:pPr>
            <w:r>
              <w:rPr>
                <w:rFonts w:hint="default" w:ascii="Times New Roman" w:hAnsi="Times New Roman" w:eastAsia="宋体" w:cs="Times New Roman"/>
                <w:color w:val="auto"/>
                <w:kern w:val="0"/>
                <w:sz w:val="24"/>
                <w:szCs w:val="22"/>
                <w:lang w:val="en-US" w:eastAsia="zh-CN" w:bidi="ar-SA"/>
              </w:rPr>
              <w:t>为补齐区域电子制造配套缺口，中方海红盛电子科技有限公司</w:t>
            </w:r>
            <w:r>
              <w:rPr>
                <w:rFonts w:hint="eastAsia" w:ascii="Times New Roman" w:hAnsi="Times New Roman" w:cs="Times New Roman"/>
                <w:color w:val="auto"/>
                <w:kern w:val="0"/>
                <w:sz w:val="24"/>
                <w:szCs w:val="22"/>
                <w:lang w:val="en-US" w:eastAsia="zh-CN" w:bidi="ar-SA"/>
              </w:rPr>
              <w:t>拟投资4900万元</w:t>
            </w:r>
            <w:r>
              <w:rPr>
                <w:rFonts w:hint="default" w:ascii="Times New Roman" w:hAnsi="Times New Roman" w:eastAsia="宋体" w:cs="Times New Roman"/>
                <w:color w:val="auto"/>
                <w:kern w:val="0"/>
                <w:sz w:val="24"/>
                <w:szCs w:val="22"/>
                <w:lang w:val="en-US" w:eastAsia="zh-CN" w:bidi="ar-SA"/>
              </w:rPr>
              <w:t>在</w:t>
            </w:r>
            <w:r>
              <w:rPr>
                <w:rFonts w:hint="eastAsia" w:ascii="Times New Roman" w:hAnsi="Times New Roman" w:cs="Times New Roman"/>
                <w:color w:val="auto"/>
                <w:kern w:val="0"/>
                <w:sz w:val="24"/>
                <w:szCs w:val="22"/>
                <w:lang w:val="en-US" w:eastAsia="zh-CN" w:bidi="ar-SA"/>
              </w:rPr>
              <w:t>怀化市高新技术产业开发区管理委员会中方片区管理办公室泸阳片区（众力创新园1栋南区第2层）</w:t>
            </w:r>
            <w:r>
              <w:rPr>
                <w:rFonts w:hint="default" w:ascii="Times New Roman" w:hAnsi="Times New Roman" w:eastAsia="宋体" w:cs="Times New Roman"/>
                <w:color w:val="auto"/>
                <w:kern w:val="0"/>
                <w:sz w:val="24"/>
                <w:szCs w:val="22"/>
                <w:lang w:val="en-US" w:eastAsia="zh-CN" w:bidi="ar-SA"/>
              </w:rPr>
              <w:t>租赁</w:t>
            </w:r>
            <w:r>
              <w:rPr>
                <w:rFonts w:hint="eastAsia" w:ascii="Times New Roman" w:hAnsi="Times New Roman" w:cs="Times New Roman"/>
                <w:color w:val="auto"/>
                <w:kern w:val="0"/>
                <w:sz w:val="24"/>
                <w:szCs w:val="22"/>
                <w:lang w:val="en-US" w:eastAsia="zh-CN" w:bidi="ar-SA"/>
              </w:rPr>
              <w:t>1387.5m</w:t>
            </w:r>
            <w:r>
              <w:rPr>
                <w:rFonts w:hint="eastAsia" w:ascii="Times New Roman" w:hAnsi="Times New Roman" w:cs="Times New Roman"/>
                <w:color w:val="auto"/>
                <w:kern w:val="0"/>
                <w:sz w:val="24"/>
                <w:szCs w:val="22"/>
                <w:vertAlign w:val="superscript"/>
                <w:lang w:val="en-US" w:eastAsia="zh-CN" w:bidi="ar-SA"/>
              </w:rPr>
              <w:t>2</w:t>
            </w:r>
            <w:r>
              <w:rPr>
                <w:rFonts w:hint="default" w:ascii="Times New Roman" w:hAnsi="Times New Roman" w:eastAsia="宋体" w:cs="Times New Roman"/>
                <w:color w:val="auto"/>
                <w:kern w:val="0"/>
                <w:sz w:val="24"/>
                <w:szCs w:val="22"/>
                <w:lang w:val="en-US" w:eastAsia="zh-CN" w:bidi="ar-SA"/>
              </w:rPr>
              <w:t>标准厂房</w:t>
            </w:r>
            <w:r>
              <w:rPr>
                <w:rFonts w:hint="eastAsia" w:ascii="Times New Roman" w:hAnsi="Times New Roman" w:cs="Times New Roman"/>
                <w:color w:val="auto"/>
                <w:kern w:val="0"/>
                <w:sz w:val="24"/>
                <w:szCs w:val="22"/>
                <w:lang w:val="en-US" w:eastAsia="zh-CN" w:bidi="ar-SA"/>
              </w:rPr>
              <w:t>建设“年产1200万只电子变压器生产线项目”</w:t>
            </w:r>
            <w:r>
              <w:rPr>
                <w:rFonts w:hint="default" w:ascii="Times New Roman" w:hAnsi="Times New Roman" w:eastAsia="宋体" w:cs="Times New Roman"/>
                <w:color w:val="auto"/>
                <w:kern w:val="0"/>
                <w:sz w:val="24"/>
                <w:szCs w:val="22"/>
                <w:lang w:val="en-US" w:eastAsia="zh-CN" w:bidi="ar-SA"/>
              </w:rPr>
              <w:t>，</w:t>
            </w:r>
            <w:r>
              <w:rPr>
                <w:rFonts w:hint="eastAsia" w:ascii="Times New Roman" w:hAnsi="Times New Roman" w:cs="Times New Roman"/>
                <w:color w:val="auto"/>
                <w:kern w:val="0"/>
                <w:sz w:val="24"/>
                <w:szCs w:val="22"/>
                <w:lang w:val="en-US" w:eastAsia="zh-CN" w:bidi="ar-SA"/>
              </w:rPr>
              <w:t>项目</w:t>
            </w:r>
            <w:r>
              <w:rPr>
                <w:rFonts w:hint="default" w:ascii="Times New Roman" w:hAnsi="Times New Roman" w:eastAsia="宋体" w:cs="Times New Roman"/>
                <w:color w:val="auto"/>
                <w:kern w:val="0"/>
                <w:sz w:val="24"/>
                <w:szCs w:val="22"/>
                <w:lang w:val="en-US" w:eastAsia="zh-CN" w:bidi="ar-SA"/>
              </w:rPr>
              <w:t>已于2026年7月</w:t>
            </w:r>
            <w:r>
              <w:rPr>
                <w:rFonts w:hint="eastAsia" w:ascii="Times New Roman" w:hAnsi="Times New Roman" w:cs="Times New Roman"/>
                <w:color w:val="auto"/>
                <w:kern w:val="0"/>
                <w:sz w:val="24"/>
                <w:szCs w:val="22"/>
                <w:lang w:val="en-US" w:eastAsia="zh-CN" w:bidi="ar-SA"/>
              </w:rPr>
              <w:t>28</w:t>
            </w:r>
            <w:r>
              <w:rPr>
                <w:rFonts w:hint="default" w:ascii="Times New Roman" w:hAnsi="Times New Roman" w:eastAsia="宋体" w:cs="Times New Roman"/>
                <w:color w:val="auto"/>
                <w:kern w:val="0"/>
                <w:sz w:val="24"/>
                <w:szCs w:val="22"/>
                <w:lang w:val="en-US" w:eastAsia="zh-CN" w:bidi="ar-SA"/>
              </w:rPr>
              <w:t>日</w:t>
            </w:r>
            <w:r>
              <w:rPr>
                <w:rFonts w:hint="eastAsia" w:ascii="Times New Roman" w:hAnsi="Times New Roman" w:cs="Times New Roman"/>
                <w:color w:val="auto"/>
                <w:kern w:val="0"/>
                <w:sz w:val="24"/>
                <w:szCs w:val="22"/>
                <w:lang w:val="en-US" w:eastAsia="zh-CN" w:bidi="ar-SA"/>
              </w:rPr>
              <w:t>在湖南省投资项目在线审批监管平台</w:t>
            </w:r>
            <w:r>
              <w:rPr>
                <w:rFonts w:hint="default" w:ascii="Times New Roman" w:hAnsi="Times New Roman" w:eastAsia="宋体" w:cs="Times New Roman"/>
                <w:color w:val="auto"/>
                <w:kern w:val="0"/>
                <w:sz w:val="24"/>
                <w:szCs w:val="22"/>
                <w:lang w:val="en-US" w:eastAsia="zh-CN" w:bidi="ar-SA"/>
              </w:rPr>
              <w:t>完成备案，项目代码2607-431221-04-01-716057。</w:t>
            </w:r>
            <w:r>
              <w:rPr>
                <w:rFonts w:hint="default" w:ascii="Times New Roman" w:hAnsi="Times New Roman" w:eastAsia="宋体" w:cs="Times New Roman"/>
                <w:color w:val="auto"/>
                <w:kern w:val="0"/>
                <w:sz w:val="24"/>
                <w:szCs w:val="22"/>
                <w:u w:val="single"/>
                <w:lang w:val="en-US" w:eastAsia="zh-CN" w:bidi="ar-SA"/>
              </w:rPr>
              <w:t>备案文件明确项目选址怀化市中方县怀化高新区泸阳众力创新园1栋，规划占地10000</w:t>
            </w:r>
            <w:r>
              <w:rPr>
                <w:rFonts w:hint="eastAsia" w:ascii="Times New Roman" w:hAnsi="Times New Roman" w:eastAsia="宋体" w:cs="Times New Roman"/>
                <w:color w:val="auto"/>
                <w:kern w:val="0"/>
                <w:sz w:val="24"/>
                <w:szCs w:val="22"/>
                <w:u w:val="single"/>
                <w:lang w:val="en-US" w:eastAsia="zh-CN" w:bidi="ar-SA"/>
              </w:rPr>
              <w:t>m</w:t>
            </w:r>
            <w:r>
              <w:rPr>
                <w:rFonts w:hint="eastAsia" w:ascii="Times New Roman" w:hAnsi="Times New Roman" w:eastAsia="宋体" w:cs="Times New Roman"/>
                <w:color w:val="auto"/>
                <w:kern w:val="0"/>
                <w:sz w:val="24"/>
                <w:szCs w:val="22"/>
                <w:u w:val="single"/>
                <w:vertAlign w:val="superscript"/>
                <w:lang w:val="en-US" w:eastAsia="zh-CN" w:bidi="ar-SA"/>
              </w:rPr>
              <w:t>2</w:t>
            </w:r>
            <w:r>
              <w:rPr>
                <w:rFonts w:hint="default" w:ascii="Times New Roman" w:hAnsi="Times New Roman" w:eastAsia="宋体" w:cs="Times New Roman"/>
                <w:color w:val="auto"/>
                <w:kern w:val="0"/>
                <w:sz w:val="24"/>
                <w:szCs w:val="22"/>
                <w:u w:val="single"/>
                <w:lang w:val="en-US" w:eastAsia="zh-CN" w:bidi="ar-SA"/>
              </w:rPr>
              <w:t>、租用园区标准化厂房3000</w:t>
            </w:r>
            <w:r>
              <w:rPr>
                <w:rFonts w:hint="eastAsia" w:ascii="Times New Roman" w:hAnsi="Times New Roman" w:eastAsia="宋体" w:cs="Times New Roman"/>
                <w:color w:val="auto"/>
                <w:kern w:val="0"/>
                <w:sz w:val="24"/>
                <w:szCs w:val="22"/>
                <w:u w:val="single"/>
                <w:lang w:val="en-US" w:eastAsia="zh-CN" w:bidi="ar-SA"/>
              </w:rPr>
              <w:t>m</w:t>
            </w:r>
            <w:r>
              <w:rPr>
                <w:rFonts w:hint="eastAsia" w:ascii="Times New Roman" w:hAnsi="Times New Roman" w:eastAsia="宋体" w:cs="Times New Roman"/>
                <w:color w:val="auto"/>
                <w:kern w:val="0"/>
                <w:sz w:val="24"/>
                <w:szCs w:val="22"/>
                <w:u w:val="single"/>
                <w:vertAlign w:val="superscript"/>
                <w:lang w:val="en-US" w:eastAsia="zh-CN" w:bidi="ar-SA"/>
              </w:rPr>
              <w:t>2</w:t>
            </w:r>
            <w:r>
              <w:rPr>
                <w:rFonts w:hint="default" w:ascii="Times New Roman" w:hAnsi="Times New Roman" w:eastAsia="宋体" w:cs="Times New Roman"/>
                <w:color w:val="auto"/>
                <w:kern w:val="0"/>
                <w:sz w:val="24"/>
                <w:szCs w:val="22"/>
                <w:u w:val="single"/>
                <w:lang w:val="en-US" w:eastAsia="zh-CN" w:bidi="ar-SA"/>
              </w:rPr>
              <w:t>，配套建设2条电子变压器生产线及相关辅助设施。企业前期备案3000</w:t>
            </w:r>
            <w:r>
              <w:rPr>
                <w:rFonts w:hint="eastAsia" w:ascii="Times New Roman" w:hAnsi="Times New Roman" w:eastAsia="宋体" w:cs="Times New Roman"/>
                <w:color w:val="auto"/>
                <w:kern w:val="0"/>
                <w:sz w:val="24"/>
                <w:szCs w:val="22"/>
                <w:u w:val="single"/>
                <w:lang w:val="en-US" w:eastAsia="zh-CN" w:bidi="ar-SA"/>
              </w:rPr>
              <w:t>m</w:t>
            </w:r>
            <w:r>
              <w:rPr>
                <w:rFonts w:hint="eastAsia" w:ascii="Times New Roman" w:hAnsi="Times New Roman" w:eastAsia="宋体" w:cs="Times New Roman"/>
                <w:color w:val="auto"/>
                <w:kern w:val="0"/>
                <w:sz w:val="24"/>
                <w:szCs w:val="22"/>
                <w:u w:val="single"/>
                <w:vertAlign w:val="superscript"/>
                <w:lang w:val="en-US" w:eastAsia="zh-CN" w:bidi="ar-SA"/>
              </w:rPr>
              <w:t>2</w:t>
            </w:r>
            <w:r>
              <w:rPr>
                <w:rFonts w:hint="default" w:ascii="Times New Roman" w:hAnsi="Times New Roman" w:eastAsia="宋体" w:cs="Times New Roman"/>
                <w:color w:val="auto"/>
                <w:kern w:val="0"/>
                <w:sz w:val="24"/>
                <w:szCs w:val="22"/>
                <w:u w:val="single"/>
                <w:lang w:val="en-US" w:eastAsia="zh-CN" w:bidi="ar-SA"/>
              </w:rPr>
              <w:t>厂房为远期整体预留租赁规模，</w:t>
            </w:r>
            <w:r>
              <w:rPr>
                <w:rFonts w:hint="eastAsia" w:ascii="Times New Roman" w:hAnsi="Times New Roman" w:eastAsia="宋体" w:cs="Times New Roman"/>
                <w:color w:val="auto"/>
                <w:kern w:val="0"/>
                <w:sz w:val="24"/>
                <w:szCs w:val="22"/>
                <w:u w:val="single"/>
                <w:lang w:val="en-US" w:eastAsia="zh-CN" w:bidi="ar-SA"/>
              </w:rPr>
              <w:t>实际</w:t>
            </w:r>
            <w:r>
              <w:rPr>
                <w:rFonts w:hint="default" w:ascii="Times New Roman" w:hAnsi="Times New Roman" w:eastAsia="宋体" w:cs="Times New Roman"/>
                <w:color w:val="auto"/>
                <w:kern w:val="0"/>
                <w:sz w:val="24"/>
                <w:szCs w:val="22"/>
                <w:u w:val="single"/>
                <w:lang w:val="en-US" w:eastAsia="zh-CN" w:bidi="ar-SA"/>
              </w:rPr>
              <w:t>无需全额租赁备案规划面积即可满足年产1200万只电子变压器生产需求。经现场规划布局，项目本期实际租赁众力创新园</w:t>
            </w:r>
            <w:r>
              <w:rPr>
                <w:rFonts w:hint="eastAsia" w:ascii="Times New Roman" w:hAnsi="Times New Roman" w:cs="Times New Roman"/>
                <w:color w:val="auto"/>
                <w:kern w:val="0"/>
                <w:sz w:val="24"/>
                <w:szCs w:val="22"/>
                <w:u w:val="single"/>
                <w:lang w:val="en-US" w:eastAsia="zh-CN" w:bidi="ar-SA"/>
              </w:rPr>
              <w:t>1栋南区第2层</w:t>
            </w:r>
            <w:r>
              <w:rPr>
                <w:rFonts w:hint="default" w:ascii="Times New Roman" w:hAnsi="Times New Roman" w:eastAsia="宋体" w:cs="Times New Roman"/>
                <w:color w:val="auto"/>
                <w:kern w:val="0"/>
                <w:sz w:val="24"/>
                <w:szCs w:val="22"/>
                <w:u w:val="single"/>
                <w:lang w:val="en-US" w:eastAsia="zh-CN" w:bidi="ar-SA"/>
              </w:rPr>
              <w:t>建筑面积1387.5</w:t>
            </w:r>
            <w:r>
              <w:rPr>
                <w:rFonts w:hint="eastAsia" w:ascii="Times New Roman" w:hAnsi="Times New Roman" w:eastAsia="宋体" w:cs="Times New Roman"/>
                <w:color w:val="auto"/>
                <w:kern w:val="0"/>
                <w:sz w:val="24"/>
                <w:szCs w:val="22"/>
                <w:u w:val="single"/>
                <w:lang w:val="en-US" w:eastAsia="zh-CN" w:bidi="ar-SA"/>
              </w:rPr>
              <w:t>m</w:t>
            </w:r>
            <w:r>
              <w:rPr>
                <w:rFonts w:hint="eastAsia" w:ascii="Times New Roman" w:hAnsi="Times New Roman" w:eastAsia="宋体" w:cs="Times New Roman"/>
                <w:color w:val="auto"/>
                <w:kern w:val="0"/>
                <w:sz w:val="24"/>
                <w:szCs w:val="22"/>
                <w:u w:val="single"/>
                <w:vertAlign w:val="superscript"/>
                <w:lang w:val="en-US" w:eastAsia="zh-CN" w:bidi="ar-SA"/>
              </w:rPr>
              <w:t>2</w:t>
            </w:r>
            <w:r>
              <w:rPr>
                <w:rFonts w:hint="default" w:ascii="Times New Roman" w:hAnsi="Times New Roman" w:eastAsia="宋体" w:cs="Times New Roman"/>
                <w:color w:val="auto"/>
                <w:kern w:val="0"/>
                <w:sz w:val="24"/>
                <w:szCs w:val="22"/>
                <w:u w:val="single"/>
                <w:lang w:val="en-US" w:eastAsia="zh-CN" w:bidi="ar-SA"/>
              </w:rPr>
              <w:t>，通过优化生产线布局</w:t>
            </w:r>
            <w:r>
              <w:rPr>
                <w:rFonts w:hint="eastAsia" w:ascii="Times New Roman" w:hAnsi="Times New Roman" w:eastAsia="宋体" w:cs="Times New Roman"/>
                <w:color w:val="auto"/>
                <w:kern w:val="0"/>
                <w:sz w:val="24"/>
                <w:szCs w:val="22"/>
                <w:u w:val="single"/>
                <w:lang w:val="en-US" w:eastAsia="zh-CN" w:bidi="ar-SA"/>
              </w:rPr>
              <w:t>等措施</w:t>
            </w:r>
            <w:r>
              <w:rPr>
                <w:rFonts w:hint="default" w:ascii="Times New Roman" w:hAnsi="Times New Roman" w:eastAsia="宋体" w:cs="Times New Roman"/>
                <w:color w:val="auto"/>
                <w:kern w:val="0"/>
                <w:sz w:val="24"/>
                <w:szCs w:val="22"/>
                <w:u w:val="single"/>
                <w:lang w:val="en-US" w:eastAsia="zh-CN" w:bidi="ar-SA"/>
              </w:rPr>
              <w:t>节约占地，在1387.5</w:t>
            </w:r>
            <w:r>
              <w:rPr>
                <w:rFonts w:hint="eastAsia" w:ascii="Times New Roman" w:hAnsi="Times New Roman" w:eastAsia="宋体" w:cs="Times New Roman"/>
                <w:color w:val="auto"/>
                <w:kern w:val="0"/>
                <w:sz w:val="24"/>
                <w:szCs w:val="22"/>
                <w:u w:val="single"/>
                <w:lang w:val="en-US" w:eastAsia="zh-CN" w:bidi="ar-SA"/>
              </w:rPr>
              <w:t>m</w:t>
            </w:r>
            <w:r>
              <w:rPr>
                <w:rFonts w:hint="eastAsia" w:ascii="Times New Roman" w:hAnsi="Times New Roman" w:eastAsia="宋体" w:cs="Times New Roman"/>
                <w:color w:val="auto"/>
                <w:kern w:val="0"/>
                <w:sz w:val="24"/>
                <w:szCs w:val="22"/>
                <w:u w:val="single"/>
                <w:vertAlign w:val="superscript"/>
                <w:lang w:val="en-US" w:eastAsia="zh-CN" w:bidi="ar-SA"/>
              </w:rPr>
              <w:t>2</w:t>
            </w:r>
            <w:r>
              <w:rPr>
                <w:rFonts w:hint="default" w:ascii="Times New Roman" w:hAnsi="Times New Roman" w:eastAsia="宋体" w:cs="Times New Roman"/>
                <w:color w:val="auto"/>
                <w:kern w:val="0"/>
                <w:sz w:val="24"/>
                <w:szCs w:val="22"/>
                <w:u w:val="single"/>
                <w:lang w:val="en-US" w:eastAsia="zh-CN" w:bidi="ar-SA"/>
              </w:rPr>
              <w:t>租赁空间内完整布置绕线、焊锡、浸漆、烘干、检测、原料及成品仓储全流程生产设施，可稳定实现备案年产1200万只电子变压器设计产能。</w:t>
            </w:r>
          </w:p>
          <w:p w14:paraId="0E43CC75">
            <w:pPr>
              <w:pStyle w:val="50"/>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2"/>
                <w:lang w:val="en-US" w:eastAsia="zh-CN" w:bidi="ar-SA"/>
              </w:rPr>
            </w:pPr>
            <w:r>
              <w:rPr>
                <w:rFonts w:hint="default" w:ascii="Times New Roman" w:hAnsi="Times New Roman" w:eastAsia="宋体" w:cs="Times New Roman"/>
                <w:color w:val="auto"/>
                <w:kern w:val="0"/>
                <w:sz w:val="24"/>
                <w:szCs w:val="22"/>
                <w:lang w:val="en-US" w:eastAsia="zh-CN" w:bidi="ar-SA"/>
              </w:rPr>
              <w:t>根据《中华人民共和国</w:t>
            </w:r>
            <w:r>
              <w:rPr>
                <w:rFonts w:hint="eastAsia" w:ascii="Times New Roman" w:hAnsi="Times New Roman" w:cs="Times New Roman"/>
                <w:color w:val="auto"/>
                <w:kern w:val="0"/>
                <w:sz w:val="24"/>
                <w:szCs w:val="22"/>
                <w:lang w:val="en-US" w:eastAsia="zh-CN" w:bidi="ar-SA"/>
              </w:rPr>
              <w:t>生态环境法典</w:t>
            </w:r>
            <w:r>
              <w:rPr>
                <w:rFonts w:hint="default" w:ascii="Times New Roman" w:hAnsi="Times New Roman" w:eastAsia="宋体" w:cs="Times New Roman"/>
                <w:color w:val="auto"/>
                <w:kern w:val="0"/>
                <w:sz w:val="24"/>
                <w:szCs w:val="22"/>
                <w:lang w:val="en-US" w:eastAsia="zh-CN" w:bidi="ar-SA"/>
              </w:rPr>
              <w:t>》《建设项目环境保护管理条例》等有关规定以及《建设项目环境影响评价分类管理名录》（2021年版）中规定，本项目属于</w:t>
            </w:r>
            <w:r>
              <w:rPr>
                <w:rFonts w:hint="default" w:ascii="Times New Roman" w:hAnsi="Times New Roman" w:cs="Times New Roman"/>
                <w:color w:val="auto"/>
                <w:kern w:val="0"/>
                <w:sz w:val="24"/>
                <w:szCs w:val="22"/>
                <w:lang w:val="en-US" w:eastAsia="zh-CN" w:bidi="ar-SA"/>
              </w:rPr>
              <w:t>“</w:t>
            </w:r>
            <w:r>
              <w:rPr>
                <w:rFonts w:hint="default" w:ascii="Times New Roman" w:hAnsi="Times New Roman" w:cs="Times New Roman"/>
                <w:color w:val="auto"/>
                <w:sz w:val="24"/>
                <w:lang w:val="en-US" w:eastAsia="zh-CN"/>
              </w:rPr>
              <w:t>三十六、计算机、通信和其他电子设备制造业39-81.电子元件及电子专用材料制造398</w:t>
            </w:r>
            <w:r>
              <w:rPr>
                <w:rFonts w:hint="default" w:ascii="Times New Roman" w:hAnsi="Times New Roman" w:cs="Times New Roman"/>
                <w:color w:val="auto"/>
                <w:kern w:val="0"/>
                <w:sz w:val="24"/>
                <w:szCs w:val="22"/>
                <w:lang w:val="en-US" w:eastAsia="zh-CN" w:bidi="ar-SA"/>
              </w:rPr>
              <w:t>”</w:t>
            </w:r>
            <w:r>
              <w:rPr>
                <w:rFonts w:hint="default" w:ascii="Times New Roman" w:hAnsi="Times New Roman" w:eastAsia="宋体" w:cs="Times New Roman"/>
                <w:color w:val="auto"/>
                <w:kern w:val="0"/>
                <w:sz w:val="24"/>
                <w:szCs w:val="22"/>
                <w:lang w:val="en-US" w:eastAsia="zh-CN" w:bidi="ar-SA"/>
              </w:rPr>
              <w:t>，需要编制环境影响报告表。为此，</w:t>
            </w:r>
            <w:r>
              <w:rPr>
                <w:rFonts w:hint="default" w:ascii="Times New Roman" w:hAnsi="Times New Roman" w:cs="Times New Roman"/>
                <w:color w:val="auto"/>
                <w:kern w:val="0"/>
                <w:sz w:val="24"/>
                <w:szCs w:val="22"/>
                <w:lang w:val="en-US" w:eastAsia="zh-CN" w:bidi="ar-SA"/>
              </w:rPr>
              <w:t>中方海红盛电子科技</w:t>
            </w:r>
            <w:r>
              <w:rPr>
                <w:rFonts w:hint="default" w:ascii="Times New Roman" w:hAnsi="Times New Roman" w:eastAsia="宋体" w:cs="Times New Roman"/>
                <w:color w:val="auto"/>
                <w:kern w:val="0"/>
                <w:sz w:val="24"/>
                <w:szCs w:val="22"/>
                <w:lang w:val="en-US" w:eastAsia="zh-CN" w:bidi="ar-SA"/>
              </w:rPr>
              <w:t>有限公司委托我公司编制该项目的环境影响报告表。我公司接受委托后即组织进行现场</w:t>
            </w:r>
            <w:r>
              <w:rPr>
                <w:rFonts w:hint="default" w:ascii="Times New Roman" w:hAnsi="Times New Roman" w:cs="Times New Roman"/>
                <w:color w:val="auto"/>
                <w:kern w:val="0"/>
                <w:sz w:val="24"/>
                <w:szCs w:val="22"/>
                <w:lang w:val="en-US" w:eastAsia="zh-CN" w:bidi="ar-SA"/>
              </w:rPr>
              <w:t>勘察</w:t>
            </w:r>
            <w:r>
              <w:rPr>
                <w:rFonts w:hint="default" w:ascii="Times New Roman" w:hAnsi="Times New Roman" w:eastAsia="宋体" w:cs="Times New Roman"/>
                <w:color w:val="auto"/>
                <w:kern w:val="0"/>
                <w:sz w:val="24"/>
                <w:szCs w:val="22"/>
                <w:lang w:val="en-US" w:eastAsia="zh-CN" w:bidi="ar-SA"/>
              </w:rPr>
              <w:t>、相关资料收集及其他相关工作，最终完成了报告表的编制工作，现提交建设单位，供生态环境主管部门审查批准。</w:t>
            </w:r>
          </w:p>
          <w:p w14:paraId="23608F3D">
            <w:pPr>
              <w:keepNext/>
              <w:keepLines/>
              <w:pageBreakBefore w:val="0"/>
              <w:kinsoku/>
              <w:wordWrap/>
              <w:overflowPunct/>
              <w:topLinePunct w:val="0"/>
              <w:bidi w:val="0"/>
              <w:adjustRightInd/>
              <w:snapToGrid/>
              <w:spacing w:line="360" w:lineRule="auto"/>
              <w:ind w:firstLine="482" w:firstLineChars="200"/>
              <w:contextualSpacing/>
              <w:textAlignment w:val="auto"/>
              <w:outlineLvl w:val="2"/>
              <w:rPr>
                <w:rFonts w:hint="default" w:ascii="Times New Roman" w:hAnsi="Times New Roman" w:eastAsia="宋体" w:cs="Times New Roman"/>
                <w:b/>
                <w:bCs/>
                <w:color w:val="auto"/>
                <w:kern w:val="0"/>
                <w:sz w:val="24"/>
                <w:szCs w:val="22"/>
                <w:lang w:val="en-US" w:eastAsia="zh-CN" w:bidi="ar-SA"/>
              </w:rPr>
            </w:pPr>
            <w:bookmarkStart w:id="10" w:name="_Toc13232"/>
            <w:r>
              <w:rPr>
                <w:rFonts w:hint="eastAsia" w:cs="Times New Roman"/>
                <w:b/>
                <w:bCs/>
                <w:color w:val="auto"/>
                <w:kern w:val="0"/>
                <w:sz w:val="24"/>
                <w:szCs w:val="22"/>
                <w:lang w:val="en-US" w:eastAsia="zh-CN" w:bidi="ar-SA"/>
              </w:rPr>
              <w:t>2</w:t>
            </w:r>
            <w:r>
              <w:rPr>
                <w:rFonts w:hint="default" w:ascii="Times New Roman" w:hAnsi="Times New Roman" w:eastAsia="宋体" w:cs="Times New Roman"/>
                <w:b/>
                <w:bCs/>
                <w:color w:val="auto"/>
                <w:kern w:val="0"/>
                <w:sz w:val="24"/>
                <w:szCs w:val="22"/>
                <w:lang w:val="en-US" w:eastAsia="zh-CN" w:bidi="ar-SA"/>
              </w:rPr>
              <w:t>、项目概况</w:t>
            </w:r>
            <w:bookmarkEnd w:id="10"/>
          </w:p>
          <w:p w14:paraId="0289C101">
            <w:pPr>
              <w:keepNext w:val="0"/>
              <w:keepLines w:val="0"/>
              <w:pageBreakBefore w:val="0"/>
              <w:widowControl/>
              <w:kinsoku/>
              <w:wordWrap/>
              <w:overflowPunct/>
              <w:topLinePunct w:val="0"/>
              <w:autoSpaceDE/>
              <w:autoSpaceDN/>
              <w:bidi w:val="0"/>
              <w:adjustRightInd/>
              <w:snapToGrid/>
              <w:spacing w:line="360" w:lineRule="auto"/>
              <w:ind w:firstLine="480" w:firstLineChars="200"/>
              <w:contextualSpacing/>
              <w:jc w:val="both"/>
              <w:textAlignment w:val="auto"/>
              <w:rPr>
                <w:rFonts w:hint="default" w:ascii="Times New Roman" w:hAnsi="Times New Roman" w:eastAsia="宋体" w:cs="Times New Roman"/>
                <w:color w:val="auto"/>
                <w:kern w:val="0"/>
                <w:sz w:val="24"/>
                <w:szCs w:val="22"/>
                <w:lang w:val="en-US" w:eastAsia="zh-CN" w:bidi="ar-SA"/>
              </w:rPr>
            </w:pPr>
            <w:r>
              <w:rPr>
                <w:rFonts w:hint="default" w:ascii="Times New Roman" w:hAnsi="Times New Roman" w:eastAsia="宋体" w:cs="Times New Roman"/>
                <w:color w:val="auto"/>
                <w:kern w:val="0"/>
                <w:sz w:val="24"/>
                <w:szCs w:val="22"/>
                <w:lang w:val="en-US" w:eastAsia="zh-CN" w:bidi="ar-SA"/>
              </w:rPr>
              <w:t>项目名称：</w:t>
            </w:r>
            <w:r>
              <w:rPr>
                <w:rFonts w:hint="eastAsia" w:cs="Times New Roman"/>
                <w:color w:val="auto"/>
                <w:kern w:val="0"/>
                <w:sz w:val="24"/>
                <w:szCs w:val="22"/>
                <w:lang w:val="en-US" w:eastAsia="zh-CN" w:bidi="ar-SA"/>
              </w:rPr>
              <w:t>年产1200万只电子变压器生产线项目</w:t>
            </w:r>
            <w:r>
              <w:rPr>
                <w:rFonts w:hint="default" w:ascii="Times New Roman" w:hAnsi="Times New Roman" w:eastAsia="宋体" w:cs="Times New Roman"/>
                <w:color w:val="auto"/>
                <w:kern w:val="0"/>
                <w:sz w:val="24"/>
                <w:szCs w:val="22"/>
                <w:lang w:val="en-US" w:eastAsia="zh-CN" w:bidi="ar-SA"/>
              </w:rPr>
              <w:t>；</w:t>
            </w:r>
          </w:p>
          <w:p w14:paraId="38D6B485">
            <w:pPr>
              <w:keepNext w:val="0"/>
              <w:keepLines w:val="0"/>
              <w:pageBreakBefore w:val="0"/>
              <w:widowControl/>
              <w:kinsoku/>
              <w:wordWrap/>
              <w:overflowPunct/>
              <w:topLinePunct w:val="0"/>
              <w:autoSpaceDE/>
              <w:autoSpaceDN/>
              <w:bidi w:val="0"/>
              <w:adjustRightInd/>
              <w:snapToGrid/>
              <w:spacing w:line="360" w:lineRule="auto"/>
              <w:ind w:firstLine="480" w:firstLineChars="200"/>
              <w:contextualSpacing/>
              <w:jc w:val="both"/>
              <w:textAlignment w:val="auto"/>
              <w:rPr>
                <w:rFonts w:hint="default" w:ascii="Times New Roman" w:hAnsi="Times New Roman" w:eastAsia="宋体" w:cs="Times New Roman"/>
                <w:color w:val="auto"/>
                <w:kern w:val="0"/>
                <w:sz w:val="24"/>
                <w:szCs w:val="22"/>
                <w:lang w:val="en-US" w:eastAsia="zh-CN" w:bidi="ar-SA"/>
              </w:rPr>
            </w:pPr>
            <w:r>
              <w:rPr>
                <w:rFonts w:hint="default" w:ascii="Times New Roman" w:hAnsi="Times New Roman" w:eastAsia="宋体" w:cs="Times New Roman"/>
                <w:color w:val="auto"/>
                <w:kern w:val="0"/>
                <w:sz w:val="24"/>
                <w:szCs w:val="22"/>
                <w:lang w:val="en-US" w:eastAsia="zh-CN" w:bidi="ar-SA"/>
              </w:rPr>
              <w:t>建设性质：</w:t>
            </w:r>
            <w:r>
              <w:rPr>
                <w:rFonts w:hint="eastAsia" w:cs="Times New Roman"/>
                <w:color w:val="auto"/>
                <w:kern w:val="0"/>
                <w:sz w:val="24"/>
                <w:szCs w:val="22"/>
                <w:lang w:val="en-US" w:eastAsia="zh-CN" w:bidi="ar-SA"/>
              </w:rPr>
              <w:t>新建</w:t>
            </w:r>
            <w:r>
              <w:rPr>
                <w:rFonts w:hint="default" w:ascii="Times New Roman" w:hAnsi="Times New Roman" w:eastAsia="宋体" w:cs="Times New Roman"/>
                <w:color w:val="auto"/>
                <w:kern w:val="0"/>
                <w:sz w:val="24"/>
                <w:szCs w:val="22"/>
                <w:lang w:val="en-US" w:eastAsia="zh-CN" w:bidi="ar-SA"/>
              </w:rPr>
              <w:t>；</w:t>
            </w:r>
          </w:p>
          <w:p w14:paraId="59FE3958">
            <w:pPr>
              <w:pStyle w:val="50"/>
              <w:keepNext w:val="0"/>
              <w:keepLines w:val="0"/>
              <w:pageBreakBefore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2"/>
                <w:lang w:val="en-US" w:eastAsia="zh-CN" w:bidi="ar-SA"/>
              </w:rPr>
            </w:pPr>
            <w:r>
              <w:rPr>
                <w:rFonts w:hint="default" w:ascii="Times New Roman" w:hAnsi="Times New Roman" w:eastAsia="宋体" w:cs="Times New Roman"/>
                <w:color w:val="auto"/>
                <w:kern w:val="0"/>
                <w:sz w:val="24"/>
                <w:szCs w:val="22"/>
                <w:lang w:val="en-US" w:eastAsia="zh-CN" w:bidi="ar-SA"/>
              </w:rPr>
              <w:t>建设单位：中方海红盛电子科技有限公司；</w:t>
            </w:r>
          </w:p>
          <w:p w14:paraId="1CDBF505">
            <w:pPr>
              <w:keepNext w:val="0"/>
              <w:keepLines w:val="0"/>
              <w:pageBreakBefore w:val="0"/>
              <w:widowControl/>
              <w:kinsoku/>
              <w:wordWrap/>
              <w:overflowPunct/>
              <w:topLinePunct w:val="0"/>
              <w:autoSpaceDE/>
              <w:autoSpaceDN/>
              <w:bidi w:val="0"/>
              <w:adjustRightInd/>
              <w:snapToGrid/>
              <w:spacing w:line="360" w:lineRule="auto"/>
              <w:ind w:firstLine="480" w:firstLineChars="200"/>
              <w:contextualSpacing/>
              <w:jc w:val="both"/>
              <w:textAlignment w:val="auto"/>
              <w:rPr>
                <w:rFonts w:hint="default" w:ascii="Times New Roman" w:hAnsi="Times New Roman" w:eastAsia="宋体" w:cs="Times New Roman"/>
                <w:color w:val="auto"/>
                <w:kern w:val="0"/>
                <w:sz w:val="24"/>
                <w:szCs w:val="22"/>
                <w:lang w:val="en-US" w:eastAsia="zh-CN" w:bidi="ar-SA"/>
              </w:rPr>
            </w:pPr>
            <w:r>
              <w:rPr>
                <w:rFonts w:hint="default" w:ascii="Times New Roman" w:hAnsi="Times New Roman" w:eastAsia="宋体" w:cs="Times New Roman"/>
                <w:color w:val="auto"/>
                <w:kern w:val="0"/>
                <w:sz w:val="24"/>
                <w:szCs w:val="22"/>
                <w:lang w:val="en-US" w:eastAsia="zh-CN" w:bidi="ar-SA"/>
              </w:rPr>
              <w:t>建设地点：</w:t>
            </w:r>
            <w:r>
              <w:rPr>
                <w:rFonts w:hint="eastAsia" w:cs="Times New Roman"/>
                <w:color w:val="auto"/>
                <w:kern w:val="0"/>
                <w:sz w:val="24"/>
                <w:szCs w:val="22"/>
                <w:lang w:val="en-US" w:eastAsia="zh-CN" w:bidi="ar-SA"/>
              </w:rPr>
              <w:t>怀化市高新技术产业开发区管理委员会中方片区管理办公室泸阳片区（众力创新园1栋南区第2层）</w:t>
            </w:r>
            <w:r>
              <w:rPr>
                <w:rFonts w:hint="default" w:ascii="Times New Roman" w:hAnsi="Times New Roman" w:eastAsia="宋体" w:cs="Times New Roman"/>
                <w:color w:val="auto"/>
                <w:kern w:val="0"/>
                <w:sz w:val="24"/>
                <w:szCs w:val="24"/>
                <w:lang w:val="en-US" w:eastAsia="zh-CN" w:bidi="ar-SA"/>
              </w:rPr>
              <w:t>，</w:t>
            </w:r>
            <w:r>
              <w:rPr>
                <w:rFonts w:hint="default" w:ascii="Times New Roman" w:hAnsi="Times New Roman" w:eastAsia="宋体" w:cs="Times New Roman"/>
                <w:color w:val="auto"/>
                <w:kern w:val="0"/>
                <w:sz w:val="24"/>
                <w:szCs w:val="22"/>
                <w:lang w:val="en-US" w:eastAsia="zh-CN" w:bidi="ar-SA"/>
              </w:rPr>
              <w:t>中心地理坐标为11</w:t>
            </w:r>
            <w:r>
              <w:rPr>
                <w:rFonts w:hint="eastAsia" w:cs="Times New Roman"/>
                <w:color w:val="auto"/>
                <w:kern w:val="0"/>
                <w:sz w:val="24"/>
                <w:szCs w:val="22"/>
                <w:lang w:val="en-US" w:eastAsia="zh-CN" w:bidi="ar-SA"/>
              </w:rPr>
              <w:t>0</w:t>
            </w:r>
            <w:r>
              <w:rPr>
                <w:rFonts w:hint="default" w:ascii="Times New Roman" w:hAnsi="Times New Roman" w:eastAsia="宋体" w:cs="Times New Roman"/>
                <w:color w:val="auto"/>
                <w:kern w:val="0"/>
                <w:sz w:val="24"/>
                <w:szCs w:val="22"/>
                <w:lang w:val="en-US" w:eastAsia="zh-CN" w:bidi="ar-SA"/>
              </w:rPr>
              <w:t>°</w:t>
            </w:r>
            <w:r>
              <w:rPr>
                <w:rFonts w:hint="eastAsia" w:cs="Times New Roman"/>
                <w:color w:val="auto"/>
                <w:kern w:val="0"/>
                <w:sz w:val="24"/>
                <w:szCs w:val="22"/>
                <w:lang w:val="en-US" w:eastAsia="zh-CN" w:bidi="ar-SA"/>
              </w:rPr>
              <w:t>7</w:t>
            </w:r>
            <w:r>
              <w:rPr>
                <w:rFonts w:hint="default" w:ascii="Times New Roman" w:hAnsi="Times New Roman" w:eastAsia="宋体" w:cs="Times New Roman"/>
                <w:color w:val="auto"/>
                <w:kern w:val="0"/>
                <w:sz w:val="24"/>
                <w:szCs w:val="22"/>
                <w:lang w:val="en-US" w:eastAsia="zh-CN" w:bidi="ar-SA"/>
              </w:rPr>
              <w:t>′</w:t>
            </w:r>
            <w:r>
              <w:rPr>
                <w:rFonts w:hint="eastAsia" w:cs="Times New Roman"/>
                <w:color w:val="auto"/>
                <w:kern w:val="0"/>
                <w:sz w:val="24"/>
                <w:szCs w:val="22"/>
                <w:lang w:val="en-US" w:eastAsia="zh-CN" w:bidi="ar-SA"/>
              </w:rPr>
              <w:t>29.548</w:t>
            </w:r>
            <w:r>
              <w:rPr>
                <w:rFonts w:hint="default" w:ascii="Times New Roman" w:hAnsi="Times New Roman" w:eastAsia="宋体" w:cs="Times New Roman"/>
                <w:color w:val="auto"/>
                <w:kern w:val="0"/>
                <w:sz w:val="24"/>
                <w:szCs w:val="22"/>
                <w:lang w:val="en-US" w:eastAsia="zh-CN" w:bidi="ar-SA"/>
              </w:rPr>
              <w:t>″E，2</w:t>
            </w:r>
            <w:r>
              <w:rPr>
                <w:rFonts w:hint="eastAsia" w:cs="Times New Roman"/>
                <w:color w:val="auto"/>
                <w:kern w:val="0"/>
                <w:sz w:val="24"/>
                <w:szCs w:val="22"/>
                <w:lang w:val="en-US" w:eastAsia="zh-CN" w:bidi="ar-SA"/>
              </w:rPr>
              <w:t>7</w:t>
            </w:r>
            <w:r>
              <w:rPr>
                <w:rFonts w:hint="default" w:ascii="Times New Roman" w:hAnsi="Times New Roman" w:eastAsia="宋体" w:cs="Times New Roman"/>
                <w:color w:val="auto"/>
                <w:kern w:val="0"/>
                <w:sz w:val="24"/>
                <w:szCs w:val="22"/>
                <w:lang w:val="en-US" w:eastAsia="zh-CN" w:bidi="ar-SA"/>
              </w:rPr>
              <w:t>°</w:t>
            </w:r>
            <w:r>
              <w:rPr>
                <w:rFonts w:hint="eastAsia" w:cs="Times New Roman"/>
                <w:color w:val="auto"/>
                <w:kern w:val="0"/>
                <w:sz w:val="24"/>
                <w:szCs w:val="22"/>
                <w:lang w:val="en-US" w:eastAsia="zh-CN" w:bidi="ar-SA"/>
              </w:rPr>
              <w:t>38</w:t>
            </w:r>
            <w:r>
              <w:rPr>
                <w:rFonts w:hint="default" w:ascii="Times New Roman" w:hAnsi="Times New Roman" w:eastAsia="宋体" w:cs="Times New Roman"/>
                <w:color w:val="auto"/>
                <w:kern w:val="0"/>
                <w:sz w:val="24"/>
                <w:szCs w:val="22"/>
                <w:lang w:val="en-US" w:eastAsia="zh-CN" w:bidi="ar-SA"/>
              </w:rPr>
              <w:t>′</w:t>
            </w:r>
            <w:r>
              <w:rPr>
                <w:rFonts w:hint="eastAsia" w:cs="Times New Roman"/>
                <w:color w:val="auto"/>
                <w:kern w:val="0"/>
                <w:sz w:val="24"/>
                <w:szCs w:val="22"/>
                <w:lang w:val="en-US" w:eastAsia="zh-CN" w:bidi="ar-SA"/>
              </w:rPr>
              <w:t>56.713</w:t>
            </w:r>
            <w:r>
              <w:rPr>
                <w:rFonts w:hint="default" w:ascii="Times New Roman" w:hAnsi="Times New Roman" w:eastAsia="宋体" w:cs="Times New Roman"/>
                <w:color w:val="auto"/>
                <w:kern w:val="0"/>
                <w:sz w:val="24"/>
                <w:szCs w:val="22"/>
                <w:lang w:val="en-US" w:eastAsia="zh-CN" w:bidi="ar-SA"/>
              </w:rPr>
              <w:t>″N；</w:t>
            </w:r>
          </w:p>
          <w:p w14:paraId="72281688">
            <w:pPr>
              <w:pStyle w:val="50"/>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2"/>
                <w:lang w:val="en-US" w:eastAsia="zh-CN" w:bidi="ar-SA"/>
              </w:rPr>
            </w:pPr>
            <w:r>
              <w:rPr>
                <w:rFonts w:hint="default" w:ascii="Times New Roman" w:hAnsi="Times New Roman" w:eastAsia="宋体" w:cs="Times New Roman"/>
                <w:color w:val="auto"/>
                <w:kern w:val="0"/>
                <w:sz w:val="24"/>
                <w:szCs w:val="22"/>
                <w:lang w:val="en-US" w:eastAsia="zh-CN" w:bidi="ar-SA"/>
              </w:rPr>
              <w:t>建设规模：</w:t>
            </w:r>
            <w:r>
              <w:rPr>
                <w:rFonts w:hint="eastAsia" w:ascii="Times New Roman" w:cs="Times New Roman"/>
                <w:color w:val="auto"/>
                <w:kern w:val="0"/>
                <w:sz w:val="24"/>
                <w:szCs w:val="22"/>
                <w:lang w:val="en-US" w:eastAsia="zh-CN" w:bidi="ar-SA"/>
              </w:rPr>
              <w:t>项目建成后年产电子变压器1200万个</w:t>
            </w:r>
            <w:r>
              <w:rPr>
                <w:rFonts w:hint="default" w:ascii="Times New Roman" w:hAnsi="Times New Roman" w:eastAsia="宋体" w:cs="Times New Roman"/>
                <w:color w:val="auto"/>
                <w:kern w:val="0"/>
                <w:sz w:val="24"/>
                <w:szCs w:val="22"/>
                <w:lang w:val="en-US" w:eastAsia="zh-CN" w:bidi="ar-SA"/>
              </w:rPr>
              <w:t>；</w:t>
            </w:r>
          </w:p>
          <w:p w14:paraId="1DB33EBD">
            <w:pPr>
              <w:keepNext w:val="0"/>
              <w:keepLines w:val="0"/>
              <w:pageBreakBefore w:val="0"/>
              <w:widowControl/>
              <w:kinsoku/>
              <w:wordWrap/>
              <w:overflowPunct/>
              <w:topLinePunct w:val="0"/>
              <w:autoSpaceDE/>
              <w:autoSpaceDN/>
              <w:bidi w:val="0"/>
              <w:adjustRightInd/>
              <w:snapToGrid/>
              <w:spacing w:line="360" w:lineRule="auto"/>
              <w:ind w:firstLine="480" w:firstLineChars="200"/>
              <w:contextualSpacing/>
              <w:jc w:val="both"/>
              <w:textAlignment w:val="auto"/>
              <w:rPr>
                <w:rFonts w:hint="default" w:ascii="Times New Roman" w:hAnsi="Times New Roman" w:eastAsia="宋体" w:cs="Times New Roman"/>
                <w:color w:val="auto"/>
                <w:kern w:val="0"/>
                <w:sz w:val="24"/>
                <w:szCs w:val="22"/>
                <w:lang w:val="en-US" w:eastAsia="zh-CN" w:bidi="ar-SA"/>
              </w:rPr>
            </w:pPr>
            <w:r>
              <w:rPr>
                <w:rFonts w:hint="default" w:ascii="Times New Roman" w:hAnsi="Times New Roman" w:eastAsia="宋体" w:cs="Times New Roman"/>
                <w:color w:val="auto"/>
                <w:kern w:val="0"/>
                <w:sz w:val="24"/>
                <w:szCs w:val="22"/>
                <w:lang w:val="en-US" w:eastAsia="zh-CN" w:bidi="ar-SA"/>
              </w:rPr>
              <w:t>工程投资：项目总投资</w:t>
            </w:r>
            <w:r>
              <w:rPr>
                <w:rFonts w:hint="eastAsia" w:cs="Times New Roman"/>
                <w:color w:val="auto"/>
                <w:kern w:val="0"/>
                <w:sz w:val="24"/>
                <w:szCs w:val="22"/>
                <w:lang w:val="en-US" w:eastAsia="zh-CN" w:bidi="ar-SA"/>
              </w:rPr>
              <w:t>4900</w:t>
            </w:r>
            <w:r>
              <w:rPr>
                <w:rFonts w:hint="default" w:ascii="Times New Roman" w:hAnsi="Times New Roman" w:eastAsia="宋体" w:cs="Times New Roman"/>
                <w:color w:val="auto"/>
                <w:kern w:val="0"/>
                <w:sz w:val="24"/>
                <w:szCs w:val="22"/>
                <w:lang w:val="en-US" w:eastAsia="zh-CN" w:bidi="ar-SA"/>
              </w:rPr>
              <w:t>万元，其中环保投</w:t>
            </w:r>
            <w:r>
              <w:rPr>
                <w:rFonts w:hint="eastAsia" w:cs="Times New Roman"/>
                <w:color w:val="auto"/>
                <w:kern w:val="0"/>
                <w:sz w:val="24"/>
                <w:szCs w:val="22"/>
                <w:lang w:val="en-US" w:eastAsia="zh-CN" w:bidi="ar-SA"/>
              </w:rPr>
              <w:t>资</w:t>
            </w:r>
            <w:r>
              <w:rPr>
                <w:rFonts w:hint="eastAsia" w:cs="Times New Roman"/>
                <w:color w:val="auto"/>
                <w:kern w:val="0"/>
                <w:sz w:val="24"/>
                <w:szCs w:val="22"/>
                <w:u w:val="none"/>
                <w:lang w:val="en-US" w:eastAsia="zh-CN" w:bidi="ar-SA"/>
              </w:rPr>
              <w:t>57</w:t>
            </w:r>
            <w:r>
              <w:rPr>
                <w:rFonts w:hint="default" w:ascii="Times New Roman" w:hAnsi="Times New Roman" w:eastAsia="宋体" w:cs="Times New Roman"/>
                <w:color w:val="auto"/>
                <w:kern w:val="0"/>
                <w:sz w:val="24"/>
                <w:szCs w:val="22"/>
                <w:u w:val="none"/>
                <w:lang w:val="en-US" w:eastAsia="zh-CN" w:bidi="ar-SA"/>
              </w:rPr>
              <w:t>万元，占投资总额的</w:t>
            </w:r>
            <w:r>
              <w:rPr>
                <w:rFonts w:hint="eastAsia" w:cs="Times New Roman"/>
                <w:color w:val="auto"/>
                <w:kern w:val="0"/>
                <w:sz w:val="24"/>
                <w:szCs w:val="22"/>
                <w:u w:val="none"/>
                <w:lang w:val="en-US" w:eastAsia="zh-CN" w:bidi="ar-SA"/>
              </w:rPr>
              <w:t>1.16</w:t>
            </w:r>
            <w:r>
              <w:rPr>
                <w:rFonts w:hint="default" w:ascii="Times New Roman" w:hAnsi="Times New Roman" w:eastAsia="宋体" w:cs="Times New Roman"/>
                <w:color w:val="auto"/>
                <w:kern w:val="0"/>
                <w:sz w:val="24"/>
                <w:szCs w:val="22"/>
                <w:u w:val="none"/>
                <w:lang w:val="en-US" w:eastAsia="zh-CN" w:bidi="ar-SA"/>
              </w:rPr>
              <w:t>%。</w:t>
            </w:r>
          </w:p>
          <w:p w14:paraId="2A57518F">
            <w:pPr>
              <w:pStyle w:val="40"/>
              <w:bidi w:val="0"/>
              <w:rPr>
                <w:rFonts w:hint="default" w:ascii="Times New Roman" w:hAnsi="Times New Roman" w:eastAsia="宋体" w:cs="Times New Roman"/>
                <w:sz w:val="24"/>
                <w:szCs w:val="24"/>
                <w:u w:val="none" w:color="auto"/>
                <w:lang w:val="en-US" w:eastAsia="zh-CN"/>
              </w:rPr>
            </w:pPr>
            <w:bookmarkStart w:id="11" w:name="_Toc7976"/>
            <w:r>
              <w:rPr>
                <w:rFonts w:hint="eastAsia" w:cs="Times New Roman"/>
                <w:sz w:val="24"/>
                <w:szCs w:val="24"/>
                <w:u w:val="single" w:color="auto"/>
                <w:lang w:val="en-US" w:eastAsia="zh-CN"/>
              </w:rPr>
              <w:t>租赁厂房概况：项目租赁厂房共4层，本项目租赁第2层进行生产，1F层高5m，2-4F层高均为4m，总层高17m</w:t>
            </w:r>
            <w:r>
              <w:rPr>
                <w:rFonts w:hint="eastAsia" w:cs="Times New Roman"/>
                <w:sz w:val="24"/>
                <w:szCs w:val="24"/>
                <w:u w:val="none" w:color="auto"/>
                <w:lang w:val="en-US" w:eastAsia="zh-CN"/>
              </w:rPr>
              <w:t>；</w:t>
            </w:r>
          </w:p>
          <w:p w14:paraId="1173646B">
            <w:pPr>
              <w:pStyle w:val="40"/>
              <w:bidi w:val="0"/>
              <w:rPr>
                <w:rFonts w:hint="eastAsia" w:cs="Times New Roman"/>
                <w:b/>
                <w:bCs/>
                <w:color w:val="auto"/>
                <w:kern w:val="0"/>
                <w:sz w:val="24"/>
                <w:szCs w:val="22"/>
                <w:lang w:val="en-US" w:eastAsia="zh-CN" w:bidi="ar-SA"/>
              </w:rPr>
            </w:pPr>
            <w:r>
              <w:rPr>
                <w:rFonts w:hint="default" w:ascii="Times New Roman" w:hAnsi="Times New Roman" w:cs="Times New Roman"/>
                <w:sz w:val="24"/>
                <w:szCs w:val="24"/>
                <w:u w:val="none" w:color="auto"/>
              </w:rPr>
              <w:t>建设内容：</w:t>
            </w:r>
            <w:r>
              <w:rPr>
                <w:rFonts w:hint="default" w:ascii="Times New Roman" w:hAnsi="Times New Roman" w:cs="Times New Roman"/>
                <w:sz w:val="24"/>
                <w:szCs w:val="24"/>
                <w:u w:val="none" w:color="auto"/>
                <w:lang w:val="en-US" w:eastAsia="zh-CN"/>
              </w:rPr>
              <w:t>项目总投资</w:t>
            </w:r>
            <w:r>
              <w:rPr>
                <w:rFonts w:hint="eastAsia" w:cs="Times New Roman"/>
                <w:sz w:val="24"/>
                <w:szCs w:val="24"/>
                <w:u w:val="none" w:color="auto"/>
                <w:lang w:val="en-US" w:eastAsia="zh-CN"/>
              </w:rPr>
              <w:t>4900万</w:t>
            </w:r>
            <w:r>
              <w:rPr>
                <w:rFonts w:hint="default" w:ascii="Times New Roman" w:hAnsi="Times New Roman" w:cs="Times New Roman"/>
                <w:sz w:val="24"/>
                <w:szCs w:val="24"/>
                <w:u w:val="none" w:color="auto"/>
                <w:lang w:val="en-US" w:eastAsia="zh-CN"/>
              </w:rPr>
              <w:t>元，</w:t>
            </w:r>
            <w:r>
              <w:rPr>
                <w:rFonts w:hint="eastAsia"/>
                <w:color w:val="000000" w:themeColor="text1"/>
                <w:sz w:val="24"/>
                <w:szCs w:val="24"/>
                <w:highlight w:val="none"/>
                <w:u w:val="none" w:color="auto"/>
                <w:lang w:val="en-US" w:eastAsia="zh-CN"/>
                <w14:textFill>
                  <w14:solidFill>
                    <w14:schemeClr w14:val="tx1"/>
                  </w14:solidFill>
                </w14:textFill>
              </w:rPr>
              <w:t>总建筑面积1387.5m</w:t>
            </w:r>
            <w:r>
              <w:rPr>
                <w:rFonts w:hint="eastAsia"/>
                <w:color w:val="000000" w:themeColor="text1"/>
                <w:sz w:val="24"/>
                <w:szCs w:val="24"/>
                <w:highlight w:val="none"/>
                <w:u w:val="none" w:color="auto"/>
                <w:vertAlign w:val="superscript"/>
                <w:lang w:val="en-US" w:eastAsia="zh-CN"/>
                <w14:textFill>
                  <w14:solidFill>
                    <w14:schemeClr w14:val="tx1"/>
                  </w14:solidFill>
                </w14:textFill>
              </w:rPr>
              <w:t>2</w:t>
            </w:r>
            <w:r>
              <w:rPr>
                <w:rFonts w:hint="eastAsia"/>
                <w:color w:val="000000" w:themeColor="text1"/>
                <w:sz w:val="24"/>
                <w:szCs w:val="24"/>
                <w:highlight w:val="none"/>
                <w:u w:val="none" w:color="auto"/>
                <w:lang w:val="en-US" w:eastAsia="zh-CN"/>
                <w14:textFill>
                  <w14:solidFill>
                    <w14:schemeClr w14:val="tx1"/>
                  </w14:solidFill>
                </w14:textFill>
              </w:rPr>
              <w:t>，建设生产车间（2条电子变压器生产线），原料仓库、成品仓库、含浸烘干房、焊锡区、办公区，</w:t>
            </w:r>
            <w:r>
              <w:rPr>
                <w:rFonts w:hint="eastAsia" w:ascii="Times New Roman" w:cs="Times New Roman"/>
                <w:color w:val="auto"/>
                <w:kern w:val="0"/>
                <w:sz w:val="24"/>
                <w:szCs w:val="22"/>
                <w:lang w:val="en-US" w:eastAsia="zh-CN" w:bidi="ar-SA"/>
              </w:rPr>
              <w:t>年产电子变压器</w:t>
            </w:r>
            <w:r>
              <w:rPr>
                <w:rFonts w:hint="eastAsia" w:cs="Times New Roman"/>
                <w:color w:val="auto"/>
                <w:kern w:val="0"/>
                <w:sz w:val="24"/>
                <w:szCs w:val="22"/>
                <w:lang w:val="en-US" w:eastAsia="zh-CN" w:bidi="ar-SA"/>
              </w:rPr>
              <w:t>1200</w:t>
            </w:r>
            <w:r>
              <w:rPr>
                <w:rFonts w:hint="eastAsia" w:ascii="Times New Roman" w:cs="Times New Roman"/>
                <w:color w:val="auto"/>
                <w:kern w:val="0"/>
                <w:sz w:val="24"/>
                <w:szCs w:val="22"/>
                <w:lang w:val="en-US" w:eastAsia="zh-CN" w:bidi="ar-SA"/>
              </w:rPr>
              <w:t>万个</w:t>
            </w:r>
            <w:r>
              <w:rPr>
                <w:rFonts w:hint="eastAsia"/>
                <w:sz w:val="24"/>
                <w:szCs w:val="24"/>
                <w:u w:val="none" w:color="auto"/>
                <w:lang w:eastAsia="zh-CN"/>
              </w:rPr>
              <w:t>，</w:t>
            </w:r>
            <w:r>
              <w:rPr>
                <w:rFonts w:hint="eastAsia" w:cs="Times New Roman"/>
                <w:sz w:val="24"/>
                <w:szCs w:val="24"/>
                <w:u w:val="none" w:color="auto"/>
                <w:lang w:val="en-US" w:eastAsia="zh-CN"/>
              </w:rPr>
              <w:t>同时配套建设</w:t>
            </w:r>
            <w:r>
              <w:rPr>
                <w:rFonts w:hint="default" w:ascii="Times New Roman" w:hAnsi="Times New Roman" w:cs="Times New Roman"/>
                <w:sz w:val="24"/>
                <w:szCs w:val="24"/>
                <w:u w:val="none" w:color="auto"/>
                <w:lang w:val="en-US" w:eastAsia="zh-CN"/>
              </w:rPr>
              <w:t>其他附属</w:t>
            </w:r>
            <w:r>
              <w:rPr>
                <w:rFonts w:hint="eastAsia" w:cs="Times New Roman"/>
                <w:sz w:val="24"/>
                <w:szCs w:val="24"/>
                <w:u w:val="none" w:color="auto"/>
                <w:lang w:val="en-US" w:eastAsia="zh-CN"/>
              </w:rPr>
              <w:t>设施</w:t>
            </w:r>
            <w:r>
              <w:rPr>
                <w:rFonts w:hint="default" w:ascii="Times New Roman" w:hAnsi="Times New Roman" w:cs="Times New Roman"/>
                <w:sz w:val="24"/>
                <w:szCs w:val="24"/>
                <w:u w:val="none" w:color="auto"/>
                <w:lang w:val="en-US" w:eastAsia="zh-CN"/>
              </w:rPr>
              <w:t>。</w:t>
            </w:r>
          </w:p>
          <w:p w14:paraId="7D9391B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2"/>
                <w:lang w:val="en-US" w:eastAsia="zh-CN" w:bidi="ar-SA"/>
              </w:rPr>
            </w:pPr>
            <w:r>
              <w:rPr>
                <w:rFonts w:hint="eastAsia" w:cs="Times New Roman"/>
                <w:b/>
                <w:bCs/>
                <w:color w:val="auto"/>
                <w:kern w:val="0"/>
                <w:sz w:val="24"/>
                <w:szCs w:val="22"/>
                <w:lang w:val="en-US" w:eastAsia="zh-CN" w:bidi="ar-SA"/>
              </w:rPr>
              <w:t>3</w:t>
            </w:r>
            <w:r>
              <w:rPr>
                <w:rFonts w:hint="eastAsia" w:ascii="Times New Roman" w:hAnsi="Times New Roman" w:eastAsia="宋体" w:cs="Times New Roman"/>
                <w:b/>
                <w:bCs/>
                <w:color w:val="auto"/>
                <w:kern w:val="0"/>
                <w:sz w:val="24"/>
                <w:szCs w:val="22"/>
                <w:lang w:val="en-US" w:eastAsia="zh-CN" w:bidi="ar-SA"/>
              </w:rPr>
              <w:t>、主要工程建设内容</w:t>
            </w:r>
            <w:bookmarkEnd w:id="11"/>
          </w:p>
          <w:p w14:paraId="1ED8D73A">
            <w:pPr>
              <w:pStyle w:val="53"/>
              <w:bidi w:val="0"/>
            </w:pPr>
            <w:bookmarkStart w:id="12" w:name="_Toc17299"/>
            <w:r>
              <w:t>表2-1  项目</w:t>
            </w:r>
            <w:r>
              <w:rPr>
                <w:rFonts w:hint="eastAsia"/>
              </w:rPr>
              <w:t>主要建设内容和规模</w:t>
            </w:r>
          </w:p>
          <w:tbl>
            <w:tblPr>
              <w:tblStyle w:val="3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55"/>
              <w:gridCol w:w="914"/>
              <w:gridCol w:w="1533"/>
              <w:gridCol w:w="3902"/>
              <w:gridCol w:w="923"/>
            </w:tblGrid>
            <w:tr w14:paraId="15CC81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502" w:type="dxa"/>
                  <w:gridSpan w:val="3"/>
                  <w:tcBorders>
                    <w:tl2br w:val="nil"/>
                    <w:tr2bl w:val="nil"/>
                  </w:tcBorders>
                  <w:vAlign w:val="center"/>
                </w:tcPr>
                <w:p w14:paraId="010A356F">
                  <w:pPr>
                    <w:keepNext w:val="0"/>
                    <w:keepLines w:val="0"/>
                    <w:pageBreakBefore w:val="0"/>
                    <w:widowControl w:val="0"/>
                    <w:kinsoku/>
                    <w:wordWrap/>
                    <w:overflowPunct/>
                    <w:topLinePunct w:val="0"/>
                    <w:autoSpaceDE/>
                    <w:autoSpaceDN/>
                    <w:bidi w:val="0"/>
                    <w:spacing w:line="240" w:lineRule="auto"/>
                    <w:jc w:val="center"/>
                    <w:textAlignment w:val="auto"/>
                    <w:rPr>
                      <w:bCs/>
                      <w:color w:val="000000" w:themeColor="text1"/>
                      <w:sz w:val="21"/>
                      <w:szCs w:val="21"/>
                      <w:u w:val="single" w:color="auto"/>
                      <w14:textFill>
                        <w14:solidFill>
                          <w14:schemeClr w14:val="tx1"/>
                        </w14:solidFill>
                      </w14:textFill>
                    </w:rPr>
                  </w:pPr>
                  <w:r>
                    <w:rPr>
                      <w:bCs/>
                      <w:color w:val="000000" w:themeColor="text1"/>
                      <w:sz w:val="21"/>
                      <w:szCs w:val="21"/>
                      <w:u w:val="single" w:color="auto"/>
                      <w14:textFill>
                        <w14:solidFill>
                          <w14:schemeClr w14:val="tx1"/>
                        </w14:solidFill>
                      </w14:textFill>
                    </w:rPr>
                    <w:t>项目组成</w:t>
                  </w:r>
                </w:p>
              </w:tc>
              <w:tc>
                <w:tcPr>
                  <w:tcW w:w="3902" w:type="dxa"/>
                  <w:tcBorders>
                    <w:tl2br w:val="nil"/>
                    <w:tr2bl w:val="nil"/>
                  </w:tcBorders>
                  <w:vAlign w:val="center"/>
                </w:tcPr>
                <w:p w14:paraId="0421EB1E">
                  <w:pPr>
                    <w:keepNext w:val="0"/>
                    <w:keepLines w:val="0"/>
                    <w:pageBreakBefore w:val="0"/>
                    <w:widowControl w:val="0"/>
                    <w:kinsoku/>
                    <w:wordWrap/>
                    <w:overflowPunct/>
                    <w:topLinePunct w:val="0"/>
                    <w:autoSpaceDE/>
                    <w:autoSpaceDN/>
                    <w:bidi w:val="0"/>
                    <w:spacing w:line="240" w:lineRule="auto"/>
                    <w:jc w:val="center"/>
                    <w:textAlignment w:val="auto"/>
                    <w:rPr>
                      <w:rFonts w:hint="eastAsia"/>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项目建成后情况</w:t>
                  </w:r>
                </w:p>
              </w:tc>
              <w:tc>
                <w:tcPr>
                  <w:tcW w:w="923" w:type="dxa"/>
                  <w:tcBorders>
                    <w:tl2br w:val="nil"/>
                    <w:tr2bl w:val="nil"/>
                  </w:tcBorders>
                  <w:vAlign w:val="center"/>
                </w:tcPr>
                <w:p w14:paraId="03A372F4">
                  <w:pPr>
                    <w:keepNext w:val="0"/>
                    <w:keepLines w:val="0"/>
                    <w:pageBreakBefore w:val="0"/>
                    <w:widowControl w:val="0"/>
                    <w:kinsoku/>
                    <w:wordWrap/>
                    <w:overflowPunct/>
                    <w:topLinePunct w:val="0"/>
                    <w:autoSpaceDE/>
                    <w:autoSpaceDN/>
                    <w:bidi w:val="0"/>
                    <w:spacing w:line="240" w:lineRule="auto"/>
                    <w:jc w:val="center"/>
                    <w:textAlignment w:val="auto"/>
                    <w:rPr>
                      <w:bCs/>
                      <w:color w:val="000000" w:themeColor="text1"/>
                      <w:sz w:val="21"/>
                      <w:szCs w:val="21"/>
                      <w:u w:val="single" w:color="auto"/>
                      <w14:textFill>
                        <w14:solidFill>
                          <w14:schemeClr w14:val="tx1"/>
                        </w14:solidFill>
                      </w14:textFill>
                    </w:rPr>
                  </w:pPr>
                  <w:r>
                    <w:rPr>
                      <w:rFonts w:hint="eastAsia"/>
                      <w:bCs/>
                      <w:color w:val="000000" w:themeColor="text1"/>
                      <w:sz w:val="21"/>
                      <w:szCs w:val="21"/>
                      <w:u w:val="single" w:color="auto"/>
                      <w14:textFill>
                        <w14:solidFill>
                          <w14:schemeClr w14:val="tx1"/>
                        </w14:solidFill>
                      </w14:textFill>
                    </w:rPr>
                    <w:t>备注</w:t>
                  </w:r>
                </w:p>
              </w:tc>
            </w:tr>
            <w:tr w14:paraId="121E7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55" w:type="dxa"/>
                  <w:tcBorders>
                    <w:tl2br w:val="nil"/>
                    <w:tr2bl w:val="nil"/>
                  </w:tcBorders>
                  <w:vAlign w:val="center"/>
                </w:tcPr>
                <w:p w14:paraId="12F7998A">
                  <w:pPr>
                    <w:keepNext w:val="0"/>
                    <w:keepLines w:val="0"/>
                    <w:pageBreakBefore w:val="0"/>
                    <w:widowControl w:val="0"/>
                    <w:kinsoku/>
                    <w:wordWrap/>
                    <w:overflowPunct/>
                    <w:topLinePunct w:val="0"/>
                    <w:autoSpaceDE/>
                    <w:autoSpaceDN/>
                    <w:bidi w:val="0"/>
                    <w:spacing w:line="240" w:lineRule="auto"/>
                    <w:jc w:val="center"/>
                    <w:textAlignment w:val="auto"/>
                    <w:rPr>
                      <w:bCs/>
                      <w:color w:val="000000" w:themeColor="text1"/>
                      <w:sz w:val="21"/>
                      <w:szCs w:val="21"/>
                      <w:u w:val="single" w:color="auto"/>
                      <w14:textFill>
                        <w14:solidFill>
                          <w14:schemeClr w14:val="tx1"/>
                        </w14:solidFill>
                      </w14:textFill>
                    </w:rPr>
                  </w:pPr>
                  <w:r>
                    <w:rPr>
                      <w:bCs/>
                      <w:color w:val="000000" w:themeColor="text1"/>
                      <w:sz w:val="21"/>
                      <w:szCs w:val="21"/>
                      <w:u w:val="single" w:color="auto"/>
                      <w14:textFill>
                        <w14:solidFill>
                          <w14:schemeClr w14:val="tx1"/>
                        </w14:solidFill>
                      </w14:textFill>
                    </w:rPr>
                    <w:t>主体工程</w:t>
                  </w:r>
                </w:p>
              </w:tc>
              <w:tc>
                <w:tcPr>
                  <w:tcW w:w="2447" w:type="dxa"/>
                  <w:gridSpan w:val="2"/>
                  <w:tcBorders>
                    <w:tl2br w:val="nil"/>
                    <w:tr2bl w:val="nil"/>
                  </w:tcBorders>
                  <w:vAlign w:val="center"/>
                </w:tcPr>
                <w:p w14:paraId="5D236702">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生产车间</w:t>
                  </w:r>
                </w:p>
              </w:tc>
              <w:tc>
                <w:tcPr>
                  <w:tcW w:w="3902" w:type="dxa"/>
                  <w:tcBorders>
                    <w:tl2br w:val="nil"/>
                    <w:tr2bl w:val="nil"/>
                  </w:tcBorders>
                  <w:vAlign w:val="center"/>
                </w:tcPr>
                <w:p w14:paraId="29E45B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Cs/>
                      <w:color w:val="000000" w:themeColor="text1"/>
                      <w:sz w:val="21"/>
                      <w:szCs w:val="21"/>
                      <w:u w:val="single" w:color="auto"/>
                      <w:vertAlign w:val="baseline"/>
                      <w:lang w:val="en-US" w:eastAsia="zh-CN"/>
                      <w14:textFill>
                        <w14:solidFill>
                          <w14:schemeClr w14:val="tx1"/>
                        </w14:solidFill>
                      </w14:textFill>
                    </w:rPr>
                  </w:pPr>
                  <w:r>
                    <w:rPr>
                      <w:rFonts w:hint="eastAsia"/>
                      <w:bCs/>
                      <w:color w:val="000000" w:themeColor="text1"/>
                      <w:sz w:val="21"/>
                      <w:szCs w:val="21"/>
                      <w:u w:val="single" w:color="auto"/>
                      <w:vertAlign w:val="baseline"/>
                      <w:lang w:val="en-US" w:eastAsia="zh-CN"/>
                      <w14:textFill>
                        <w14:solidFill>
                          <w14:schemeClr w14:val="tx1"/>
                        </w14:solidFill>
                      </w14:textFill>
                    </w:rPr>
                    <w:t>位于厂房中部，建筑面积600m</w:t>
                  </w:r>
                  <w:r>
                    <w:rPr>
                      <w:rFonts w:hint="eastAsia"/>
                      <w:bCs/>
                      <w:color w:val="000000" w:themeColor="text1"/>
                      <w:sz w:val="21"/>
                      <w:szCs w:val="21"/>
                      <w:u w:val="single" w:color="auto"/>
                      <w:vertAlign w:val="superscript"/>
                      <w:lang w:val="en-US" w:eastAsia="zh-CN"/>
                      <w14:textFill>
                        <w14:solidFill>
                          <w14:schemeClr w14:val="tx1"/>
                        </w14:solidFill>
                      </w14:textFill>
                    </w:rPr>
                    <w:t>2</w:t>
                  </w:r>
                  <w:r>
                    <w:rPr>
                      <w:rFonts w:hint="eastAsia"/>
                      <w:bCs/>
                      <w:color w:val="000000" w:themeColor="text1"/>
                      <w:sz w:val="21"/>
                      <w:szCs w:val="21"/>
                      <w:u w:val="single" w:color="auto"/>
                      <w:vertAlign w:val="baseline"/>
                      <w:lang w:val="en-US" w:eastAsia="zh-CN"/>
                      <w14:textFill>
                        <w14:solidFill>
                          <w14:schemeClr w14:val="tx1"/>
                        </w14:solidFill>
                      </w14:textFill>
                    </w:rPr>
                    <w:t>，新建2条电子变压器生产线，购置绕线机、包胶机、综合测试仪、单耐压测试仪等生产设备</w:t>
                  </w:r>
                </w:p>
              </w:tc>
              <w:tc>
                <w:tcPr>
                  <w:tcW w:w="923" w:type="dxa"/>
                  <w:tcBorders>
                    <w:tl2br w:val="nil"/>
                    <w:tr2bl w:val="nil"/>
                  </w:tcBorders>
                  <w:vAlign w:val="center"/>
                </w:tcPr>
                <w:p w14:paraId="4909C89E">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依托现有租赁厂房+新建生产线</w:t>
                  </w:r>
                </w:p>
              </w:tc>
            </w:tr>
            <w:tr w14:paraId="42C3B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5" w:type="dxa"/>
                  <w:vMerge w:val="restart"/>
                  <w:tcBorders>
                    <w:tl2br w:val="nil"/>
                    <w:tr2bl w:val="nil"/>
                  </w:tcBorders>
                  <w:vAlign w:val="center"/>
                </w:tcPr>
                <w:p w14:paraId="719BB6A4">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储运工程</w:t>
                  </w:r>
                </w:p>
              </w:tc>
              <w:tc>
                <w:tcPr>
                  <w:tcW w:w="2447" w:type="dxa"/>
                  <w:gridSpan w:val="2"/>
                  <w:tcBorders>
                    <w:tl2br w:val="nil"/>
                    <w:tr2bl w:val="nil"/>
                  </w:tcBorders>
                  <w:vAlign w:val="center"/>
                </w:tcPr>
                <w:p w14:paraId="2598DCC2">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原料仓库</w:t>
                  </w:r>
                </w:p>
              </w:tc>
              <w:tc>
                <w:tcPr>
                  <w:tcW w:w="3902" w:type="dxa"/>
                  <w:tcBorders>
                    <w:tl2br w:val="nil"/>
                    <w:tr2bl w:val="nil"/>
                  </w:tcBorders>
                  <w:vAlign w:val="center"/>
                </w:tcPr>
                <w:p w14:paraId="2DA01DEF">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bCs/>
                      <w:color w:val="000000" w:themeColor="text1"/>
                      <w:sz w:val="21"/>
                      <w:szCs w:val="21"/>
                      <w:u w:val="single" w:color="auto"/>
                      <w:vertAlign w:val="baseline"/>
                      <w:lang w:val="en-US" w:eastAsia="zh-CN"/>
                      <w14:textFill>
                        <w14:solidFill>
                          <w14:schemeClr w14:val="tx1"/>
                        </w14:solidFill>
                      </w14:textFill>
                    </w:rPr>
                  </w:pPr>
                  <w:r>
                    <w:rPr>
                      <w:rFonts w:hint="eastAsia"/>
                      <w:bCs/>
                      <w:color w:val="000000" w:themeColor="text1"/>
                      <w:sz w:val="21"/>
                      <w:szCs w:val="21"/>
                      <w:u w:val="single" w:color="auto"/>
                      <w:vertAlign w:val="baseline"/>
                      <w:lang w:val="en-US" w:eastAsia="zh-CN"/>
                      <w14:textFill>
                        <w14:solidFill>
                          <w14:schemeClr w14:val="tx1"/>
                        </w14:solidFill>
                      </w14:textFill>
                    </w:rPr>
                    <w:t>位于厂房东侧，建筑面积100m</w:t>
                  </w:r>
                  <w:r>
                    <w:rPr>
                      <w:rFonts w:hint="eastAsia"/>
                      <w:bCs/>
                      <w:color w:val="000000" w:themeColor="text1"/>
                      <w:sz w:val="21"/>
                      <w:szCs w:val="21"/>
                      <w:u w:val="single" w:color="auto"/>
                      <w:vertAlign w:val="superscript"/>
                      <w:lang w:val="en-US" w:eastAsia="zh-CN"/>
                      <w14:textFill>
                        <w14:solidFill>
                          <w14:schemeClr w14:val="tx1"/>
                        </w14:solidFill>
                      </w14:textFill>
                    </w:rPr>
                    <w:t>2</w:t>
                  </w:r>
                  <w:r>
                    <w:rPr>
                      <w:rFonts w:hint="eastAsia"/>
                      <w:bCs/>
                      <w:color w:val="000000" w:themeColor="text1"/>
                      <w:sz w:val="21"/>
                      <w:szCs w:val="21"/>
                      <w:u w:val="single" w:color="auto"/>
                      <w:vertAlign w:val="baseline"/>
                      <w:lang w:val="en-US" w:eastAsia="zh-CN"/>
                      <w14:textFill>
                        <w14:solidFill>
                          <w14:schemeClr w14:val="tx1"/>
                        </w14:solidFill>
                      </w14:textFill>
                    </w:rPr>
                    <w:t>，用于储存原料</w:t>
                  </w:r>
                </w:p>
              </w:tc>
              <w:tc>
                <w:tcPr>
                  <w:tcW w:w="923" w:type="dxa"/>
                  <w:tcBorders>
                    <w:tl2br w:val="nil"/>
                    <w:tr2bl w:val="nil"/>
                  </w:tcBorders>
                  <w:vAlign w:val="center"/>
                </w:tcPr>
                <w:p w14:paraId="60102B63">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依托现有租赁厂房</w:t>
                  </w:r>
                </w:p>
              </w:tc>
            </w:tr>
            <w:tr w14:paraId="798515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6" w:hRule="atLeast"/>
                <w:jc w:val="center"/>
              </w:trPr>
              <w:tc>
                <w:tcPr>
                  <w:tcW w:w="1055" w:type="dxa"/>
                  <w:vMerge w:val="continue"/>
                  <w:tcBorders>
                    <w:tl2br w:val="nil"/>
                    <w:tr2bl w:val="nil"/>
                  </w:tcBorders>
                  <w:vAlign w:val="center"/>
                </w:tcPr>
                <w:p w14:paraId="167AE873">
                  <w:pPr>
                    <w:keepNext w:val="0"/>
                    <w:keepLines w:val="0"/>
                    <w:pageBreakBefore w:val="0"/>
                    <w:widowControl w:val="0"/>
                    <w:kinsoku/>
                    <w:wordWrap/>
                    <w:overflowPunct/>
                    <w:topLinePunct w:val="0"/>
                    <w:autoSpaceDE/>
                    <w:autoSpaceDN/>
                    <w:bidi w:val="0"/>
                    <w:spacing w:line="240" w:lineRule="auto"/>
                    <w:jc w:val="center"/>
                    <w:textAlignment w:val="auto"/>
                    <w:rPr>
                      <w:rFonts w:hint="eastAsia"/>
                      <w:bCs/>
                      <w:color w:val="000000" w:themeColor="text1"/>
                      <w:sz w:val="21"/>
                      <w:szCs w:val="21"/>
                      <w:u w:val="single" w:color="auto"/>
                      <w:lang w:val="en-US" w:eastAsia="zh-CN"/>
                      <w14:textFill>
                        <w14:solidFill>
                          <w14:schemeClr w14:val="tx1"/>
                        </w14:solidFill>
                      </w14:textFill>
                    </w:rPr>
                  </w:pPr>
                </w:p>
              </w:tc>
              <w:tc>
                <w:tcPr>
                  <w:tcW w:w="2447" w:type="dxa"/>
                  <w:gridSpan w:val="2"/>
                  <w:tcBorders>
                    <w:tl2br w:val="nil"/>
                    <w:tr2bl w:val="nil"/>
                  </w:tcBorders>
                  <w:vAlign w:val="center"/>
                </w:tcPr>
                <w:p w14:paraId="5747686A">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成品仓库</w:t>
                  </w:r>
                </w:p>
              </w:tc>
              <w:tc>
                <w:tcPr>
                  <w:tcW w:w="3902" w:type="dxa"/>
                  <w:tcBorders>
                    <w:tl2br w:val="nil"/>
                    <w:tr2bl w:val="nil"/>
                  </w:tcBorders>
                  <w:vAlign w:val="center"/>
                </w:tcPr>
                <w:p w14:paraId="265600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Cs/>
                      <w:color w:val="000000" w:themeColor="text1"/>
                      <w:sz w:val="21"/>
                      <w:szCs w:val="21"/>
                      <w:u w:val="single" w:color="auto"/>
                      <w:vertAlign w:val="baseline"/>
                      <w:lang w:val="en-US" w:eastAsia="zh-CN"/>
                      <w14:textFill>
                        <w14:solidFill>
                          <w14:schemeClr w14:val="tx1"/>
                        </w14:solidFill>
                      </w14:textFill>
                    </w:rPr>
                  </w:pPr>
                  <w:r>
                    <w:rPr>
                      <w:rFonts w:hint="eastAsia"/>
                      <w:bCs/>
                      <w:color w:val="000000" w:themeColor="text1"/>
                      <w:sz w:val="21"/>
                      <w:szCs w:val="21"/>
                      <w:u w:val="single" w:color="auto"/>
                      <w:vertAlign w:val="baseline"/>
                      <w:lang w:val="en-US" w:eastAsia="zh-CN"/>
                      <w14:textFill>
                        <w14:solidFill>
                          <w14:schemeClr w14:val="tx1"/>
                        </w14:solidFill>
                      </w14:textFill>
                    </w:rPr>
                    <w:t>位于厂房东侧，建筑面积100m</w:t>
                  </w:r>
                  <w:r>
                    <w:rPr>
                      <w:rFonts w:hint="eastAsia"/>
                      <w:bCs/>
                      <w:color w:val="000000" w:themeColor="text1"/>
                      <w:sz w:val="21"/>
                      <w:szCs w:val="21"/>
                      <w:u w:val="single" w:color="auto"/>
                      <w:vertAlign w:val="superscript"/>
                      <w:lang w:val="en-US" w:eastAsia="zh-CN"/>
                      <w14:textFill>
                        <w14:solidFill>
                          <w14:schemeClr w14:val="tx1"/>
                        </w14:solidFill>
                      </w14:textFill>
                    </w:rPr>
                    <w:t>2</w:t>
                  </w:r>
                  <w:r>
                    <w:rPr>
                      <w:rFonts w:hint="eastAsia"/>
                      <w:bCs/>
                      <w:color w:val="000000" w:themeColor="text1"/>
                      <w:sz w:val="21"/>
                      <w:szCs w:val="21"/>
                      <w:u w:val="single" w:color="auto"/>
                      <w:vertAlign w:val="baseline"/>
                      <w:lang w:val="en-US" w:eastAsia="zh-CN"/>
                      <w14:textFill>
                        <w14:solidFill>
                          <w14:schemeClr w14:val="tx1"/>
                        </w14:solidFill>
                      </w14:textFill>
                    </w:rPr>
                    <w:t>，用于堆放成品</w:t>
                  </w:r>
                </w:p>
              </w:tc>
              <w:tc>
                <w:tcPr>
                  <w:tcW w:w="923" w:type="dxa"/>
                  <w:tcBorders>
                    <w:tl2br w:val="nil"/>
                    <w:tr2bl w:val="nil"/>
                  </w:tcBorders>
                  <w:vAlign w:val="center"/>
                </w:tcPr>
                <w:p w14:paraId="2A7087F2">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依托现有租赁厂房</w:t>
                  </w:r>
                </w:p>
              </w:tc>
            </w:tr>
            <w:tr w14:paraId="07D5FC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6" w:hRule="atLeast"/>
                <w:jc w:val="center"/>
              </w:trPr>
              <w:tc>
                <w:tcPr>
                  <w:tcW w:w="1055" w:type="dxa"/>
                  <w:vMerge w:val="continue"/>
                  <w:tcBorders>
                    <w:tl2br w:val="nil"/>
                    <w:tr2bl w:val="nil"/>
                  </w:tcBorders>
                  <w:vAlign w:val="center"/>
                </w:tcPr>
                <w:p w14:paraId="6514C95E">
                  <w:pPr>
                    <w:keepNext w:val="0"/>
                    <w:keepLines w:val="0"/>
                    <w:pageBreakBefore w:val="0"/>
                    <w:widowControl w:val="0"/>
                    <w:kinsoku/>
                    <w:wordWrap/>
                    <w:overflowPunct/>
                    <w:topLinePunct w:val="0"/>
                    <w:autoSpaceDE/>
                    <w:autoSpaceDN/>
                    <w:bidi w:val="0"/>
                    <w:spacing w:line="240" w:lineRule="auto"/>
                    <w:jc w:val="center"/>
                    <w:textAlignment w:val="auto"/>
                    <w:rPr>
                      <w:rFonts w:hint="eastAsia"/>
                      <w:bCs/>
                      <w:color w:val="000000" w:themeColor="text1"/>
                      <w:sz w:val="21"/>
                      <w:szCs w:val="21"/>
                      <w:u w:val="single" w:color="auto"/>
                      <w:lang w:val="en-US" w:eastAsia="zh-CN"/>
                      <w14:textFill>
                        <w14:solidFill>
                          <w14:schemeClr w14:val="tx1"/>
                        </w14:solidFill>
                      </w14:textFill>
                    </w:rPr>
                  </w:pPr>
                </w:p>
              </w:tc>
              <w:tc>
                <w:tcPr>
                  <w:tcW w:w="2447" w:type="dxa"/>
                  <w:gridSpan w:val="2"/>
                  <w:tcBorders>
                    <w:tl2br w:val="nil"/>
                    <w:tr2bl w:val="nil"/>
                  </w:tcBorders>
                  <w:vAlign w:val="center"/>
                </w:tcPr>
                <w:p w14:paraId="75D2D57C">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危化品库</w:t>
                  </w:r>
                </w:p>
              </w:tc>
              <w:tc>
                <w:tcPr>
                  <w:tcW w:w="3902" w:type="dxa"/>
                  <w:tcBorders>
                    <w:tl2br w:val="nil"/>
                    <w:tr2bl w:val="nil"/>
                  </w:tcBorders>
                  <w:vAlign w:val="center"/>
                </w:tcPr>
                <w:p w14:paraId="6A506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Cs/>
                      <w:color w:val="000000" w:themeColor="text1"/>
                      <w:sz w:val="21"/>
                      <w:szCs w:val="21"/>
                      <w:u w:val="single" w:color="auto"/>
                      <w:vertAlign w:val="baseline"/>
                      <w:lang w:val="en-US" w:eastAsia="zh-CN"/>
                      <w14:textFill>
                        <w14:solidFill>
                          <w14:schemeClr w14:val="tx1"/>
                        </w14:solidFill>
                      </w14:textFill>
                    </w:rPr>
                  </w:pPr>
                  <w:r>
                    <w:rPr>
                      <w:rFonts w:hint="eastAsia"/>
                      <w:bCs/>
                      <w:color w:val="000000" w:themeColor="text1"/>
                      <w:sz w:val="21"/>
                      <w:szCs w:val="21"/>
                      <w:u w:val="single" w:color="auto"/>
                      <w:vertAlign w:val="baseline"/>
                      <w:lang w:val="en-US" w:eastAsia="zh-CN"/>
                      <w14:textFill>
                        <w14:solidFill>
                          <w14:schemeClr w14:val="tx1"/>
                        </w14:solidFill>
                      </w14:textFill>
                    </w:rPr>
                    <w:t>位于厂房东南侧，建筑面积5m</w:t>
                  </w:r>
                  <w:r>
                    <w:rPr>
                      <w:rFonts w:hint="eastAsia"/>
                      <w:bCs/>
                      <w:color w:val="000000" w:themeColor="text1"/>
                      <w:sz w:val="21"/>
                      <w:szCs w:val="21"/>
                      <w:u w:val="single" w:color="auto"/>
                      <w:vertAlign w:val="superscript"/>
                      <w:lang w:val="en-US" w:eastAsia="zh-CN"/>
                      <w14:textFill>
                        <w14:solidFill>
                          <w14:schemeClr w14:val="tx1"/>
                        </w14:solidFill>
                      </w14:textFill>
                    </w:rPr>
                    <w:t>2</w:t>
                  </w:r>
                  <w:r>
                    <w:rPr>
                      <w:rFonts w:hint="eastAsia"/>
                      <w:bCs/>
                      <w:color w:val="000000" w:themeColor="text1"/>
                      <w:sz w:val="21"/>
                      <w:szCs w:val="21"/>
                      <w:u w:val="single" w:color="auto"/>
                      <w:vertAlign w:val="baseline"/>
                      <w:lang w:val="en-US" w:eastAsia="zh-CN"/>
                      <w14:textFill>
                        <w14:solidFill>
                          <w14:schemeClr w14:val="tx1"/>
                        </w14:solidFill>
                      </w14:textFill>
                    </w:rPr>
                    <w:t>，用于储存绝缘漆、稀释剂等危化品</w:t>
                  </w:r>
                </w:p>
              </w:tc>
              <w:tc>
                <w:tcPr>
                  <w:tcW w:w="923" w:type="dxa"/>
                  <w:tcBorders>
                    <w:tl2br w:val="nil"/>
                    <w:tr2bl w:val="nil"/>
                  </w:tcBorders>
                  <w:vAlign w:val="center"/>
                </w:tcPr>
                <w:p w14:paraId="65988F88">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依托现有租赁厂房</w:t>
                  </w:r>
                </w:p>
              </w:tc>
            </w:tr>
            <w:tr w14:paraId="3D6F61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5" w:type="dxa"/>
                  <w:vMerge w:val="restart"/>
                  <w:tcBorders>
                    <w:tl2br w:val="nil"/>
                    <w:tr2bl w:val="nil"/>
                  </w:tcBorders>
                  <w:vAlign w:val="center"/>
                </w:tcPr>
                <w:p w14:paraId="71E61C88">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辅助工程</w:t>
                  </w:r>
                </w:p>
              </w:tc>
              <w:tc>
                <w:tcPr>
                  <w:tcW w:w="2447" w:type="dxa"/>
                  <w:gridSpan w:val="2"/>
                  <w:tcBorders>
                    <w:tl2br w:val="nil"/>
                    <w:tr2bl w:val="nil"/>
                  </w:tcBorders>
                  <w:vAlign w:val="center"/>
                </w:tcPr>
                <w:p w14:paraId="708C32D4">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办公区</w:t>
                  </w:r>
                </w:p>
              </w:tc>
              <w:tc>
                <w:tcPr>
                  <w:tcW w:w="3902" w:type="dxa"/>
                  <w:tcBorders>
                    <w:tl2br w:val="nil"/>
                    <w:tr2bl w:val="nil"/>
                  </w:tcBorders>
                  <w:vAlign w:val="center"/>
                </w:tcPr>
                <w:p w14:paraId="2171601D">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sz w:val="21"/>
                      <w:szCs w:val="21"/>
                      <w:u w:val="single" w:color="auto"/>
                      <w:vertAlign w:val="baseline"/>
                      <w:lang w:val="en-US" w:eastAsia="zh-CN"/>
                    </w:rPr>
                  </w:pPr>
                  <w:r>
                    <w:rPr>
                      <w:rFonts w:hint="eastAsia" w:cs="Times New Roman"/>
                      <w:sz w:val="21"/>
                      <w:szCs w:val="21"/>
                      <w:u w:val="single" w:color="auto"/>
                      <w:lang w:val="en-US" w:eastAsia="zh-CN"/>
                    </w:rPr>
                    <w:t>位于厂房西南侧，建筑面积150</w:t>
                  </w:r>
                  <w:r>
                    <w:rPr>
                      <w:rFonts w:hint="eastAsia"/>
                      <w:bCs/>
                      <w:color w:val="000000" w:themeColor="text1"/>
                      <w:sz w:val="21"/>
                      <w:szCs w:val="21"/>
                      <w:u w:val="single" w:color="auto"/>
                      <w:vertAlign w:val="baseline"/>
                      <w:lang w:val="en-US" w:eastAsia="zh-CN"/>
                      <w14:textFill>
                        <w14:solidFill>
                          <w14:schemeClr w14:val="tx1"/>
                        </w14:solidFill>
                      </w14:textFill>
                    </w:rPr>
                    <w:t>m</w:t>
                  </w:r>
                  <w:r>
                    <w:rPr>
                      <w:rFonts w:hint="eastAsia"/>
                      <w:bCs/>
                      <w:color w:val="000000" w:themeColor="text1"/>
                      <w:sz w:val="21"/>
                      <w:szCs w:val="21"/>
                      <w:u w:val="single" w:color="auto"/>
                      <w:vertAlign w:val="superscript"/>
                      <w:lang w:val="en-US" w:eastAsia="zh-CN"/>
                      <w14:textFill>
                        <w14:solidFill>
                          <w14:schemeClr w14:val="tx1"/>
                        </w14:solidFill>
                      </w14:textFill>
                    </w:rPr>
                    <w:t>2</w:t>
                  </w:r>
                  <w:r>
                    <w:rPr>
                      <w:rFonts w:hint="eastAsia"/>
                      <w:bCs/>
                      <w:color w:val="000000" w:themeColor="text1"/>
                      <w:sz w:val="21"/>
                      <w:szCs w:val="21"/>
                      <w:u w:val="single" w:color="auto"/>
                      <w:vertAlign w:val="baseline"/>
                      <w:lang w:val="en-US" w:eastAsia="zh-CN"/>
                      <w14:textFill>
                        <w14:solidFill>
                          <w14:schemeClr w14:val="tx1"/>
                        </w14:solidFill>
                      </w14:textFill>
                    </w:rPr>
                    <w:t>，用于员工办公</w:t>
                  </w:r>
                </w:p>
              </w:tc>
              <w:tc>
                <w:tcPr>
                  <w:tcW w:w="923" w:type="dxa"/>
                  <w:tcBorders>
                    <w:tl2br w:val="nil"/>
                    <w:tr2bl w:val="nil"/>
                  </w:tcBorders>
                  <w:vAlign w:val="center"/>
                </w:tcPr>
                <w:p w14:paraId="4BF532B9">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依托现有租赁厂房</w:t>
                  </w:r>
                </w:p>
              </w:tc>
            </w:tr>
            <w:tr w14:paraId="050D3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5" w:type="dxa"/>
                  <w:vMerge w:val="continue"/>
                  <w:tcBorders>
                    <w:tl2br w:val="nil"/>
                    <w:tr2bl w:val="nil"/>
                  </w:tcBorders>
                  <w:vAlign w:val="center"/>
                </w:tcPr>
                <w:p w14:paraId="6AB5F9F5">
                  <w:pPr>
                    <w:keepNext w:val="0"/>
                    <w:keepLines w:val="0"/>
                    <w:pageBreakBefore w:val="0"/>
                    <w:widowControl w:val="0"/>
                    <w:kinsoku/>
                    <w:wordWrap/>
                    <w:overflowPunct/>
                    <w:topLinePunct w:val="0"/>
                    <w:autoSpaceDE/>
                    <w:autoSpaceDN/>
                    <w:bidi w:val="0"/>
                    <w:spacing w:line="240" w:lineRule="auto"/>
                    <w:jc w:val="center"/>
                    <w:textAlignment w:val="auto"/>
                    <w:rPr>
                      <w:rFonts w:hint="eastAsia"/>
                      <w:bCs/>
                      <w:color w:val="000000" w:themeColor="text1"/>
                      <w:sz w:val="21"/>
                      <w:szCs w:val="21"/>
                      <w:u w:val="single" w:color="auto"/>
                      <w:lang w:val="en-US" w:eastAsia="zh-CN"/>
                      <w14:textFill>
                        <w14:solidFill>
                          <w14:schemeClr w14:val="tx1"/>
                        </w14:solidFill>
                      </w14:textFill>
                    </w:rPr>
                  </w:pPr>
                </w:p>
              </w:tc>
              <w:tc>
                <w:tcPr>
                  <w:tcW w:w="2447" w:type="dxa"/>
                  <w:gridSpan w:val="2"/>
                  <w:tcBorders>
                    <w:tl2br w:val="nil"/>
                    <w:tr2bl w:val="nil"/>
                  </w:tcBorders>
                  <w:vAlign w:val="center"/>
                </w:tcPr>
                <w:p w14:paraId="0020D44D">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空压机房</w:t>
                  </w:r>
                </w:p>
              </w:tc>
              <w:tc>
                <w:tcPr>
                  <w:tcW w:w="3902" w:type="dxa"/>
                  <w:tcBorders>
                    <w:tl2br w:val="nil"/>
                    <w:tr2bl w:val="nil"/>
                  </w:tcBorders>
                  <w:vAlign w:val="center"/>
                </w:tcPr>
                <w:p w14:paraId="683C09BC">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sz w:val="21"/>
                      <w:szCs w:val="21"/>
                      <w:u w:val="single" w:color="auto"/>
                      <w:vertAlign w:val="baseline"/>
                      <w:lang w:val="en-US" w:eastAsia="zh-CN"/>
                    </w:rPr>
                  </w:pPr>
                  <w:r>
                    <w:rPr>
                      <w:rFonts w:hint="eastAsia" w:cs="Times New Roman"/>
                      <w:sz w:val="21"/>
                      <w:szCs w:val="21"/>
                      <w:u w:val="single" w:color="auto"/>
                      <w:lang w:val="en-US" w:eastAsia="zh-CN"/>
                    </w:rPr>
                    <w:t>位于厂房东南侧，建筑面积5</w:t>
                  </w:r>
                  <w:r>
                    <w:rPr>
                      <w:rFonts w:hint="eastAsia"/>
                      <w:bCs/>
                      <w:color w:val="000000" w:themeColor="text1"/>
                      <w:sz w:val="21"/>
                      <w:szCs w:val="21"/>
                      <w:u w:val="single" w:color="auto"/>
                      <w:vertAlign w:val="baseline"/>
                      <w:lang w:val="en-US" w:eastAsia="zh-CN"/>
                      <w14:textFill>
                        <w14:solidFill>
                          <w14:schemeClr w14:val="tx1"/>
                        </w14:solidFill>
                      </w14:textFill>
                    </w:rPr>
                    <w:t>m</w:t>
                  </w:r>
                  <w:r>
                    <w:rPr>
                      <w:rFonts w:hint="eastAsia"/>
                      <w:bCs/>
                      <w:color w:val="000000" w:themeColor="text1"/>
                      <w:sz w:val="21"/>
                      <w:szCs w:val="21"/>
                      <w:u w:val="single" w:color="auto"/>
                      <w:vertAlign w:val="superscript"/>
                      <w:lang w:val="en-US" w:eastAsia="zh-CN"/>
                      <w14:textFill>
                        <w14:solidFill>
                          <w14:schemeClr w14:val="tx1"/>
                        </w14:solidFill>
                      </w14:textFill>
                    </w:rPr>
                    <w:t>2</w:t>
                  </w:r>
                  <w:r>
                    <w:rPr>
                      <w:rFonts w:hint="eastAsia"/>
                      <w:bCs/>
                      <w:color w:val="000000" w:themeColor="text1"/>
                      <w:sz w:val="21"/>
                      <w:szCs w:val="21"/>
                      <w:u w:val="single" w:color="auto"/>
                      <w:vertAlign w:val="baseline"/>
                      <w:lang w:val="en-US" w:eastAsia="zh-CN"/>
                      <w14:textFill>
                        <w14:solidFill>
                          <w14:schemeClr w14:val="tx1"/>
                        </w14:solidFill>
                      </w14:textFill>
                    </w:rPr>
                    <w:t>，放置空压机，用于给动力设备提供动力</w:t>
                  </w:r>
                </w:p>
              </w:tc>
              <w:tc>
                <w:tcPr>
                  <w:tcW w:w="923" w:type="dxa"/>
                  <w:tcBorders>
                    <w:tl2br w:val="nil"/>
                    <w:tr2bl w:val="nil"/>
                  </w:tcBorders>
                  <w:vAlign w:val="center"/>
                </w:tcPr>
                <w:p w14:paraId="7E2B4C0E">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依托现有租赁厂房</w:t>
                  </w:r>
                </w:p>
              </w:tc>
            </w:tr>
            <w:tr w14:paraId="241CDE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5" w:type="dxa"/>
                  <w:vMerge w:val="continue"/>
                  <w:tcBorders>
                    <w:tl2br w:val="nil"/>
                    <w:tr2bl w:val="nil"/>
                  </w:tcBorders>
                  <w:vAlign w:val="center"/>
                </w:tcPr>
                <w:p w14:paraId="11D31385">
                  <w:pPr>
                    <w:keepNext w:val="0"/>
                    <w:keepLines w:val="0"/>
                    <w:pageBreakBefore w:val="0"/>
                    <w:widowControl w:val="0"/>
                    <w:kinsoku/>
                    <w:wordWrap/>
                    <w:overflowPunct/>
                    <w:topLinePunct w:val="0"/>
                    <w:autoSpaceDE/>
                    <w:autoSpaceDN/>
                    <w:bidi w:val="0"/>
                    <w:spacing w:line="240" w:lineRule="auto"/>
                    <w:jc w:val="center"/>
                    <w:textAlignment w:val="auto"/>
                    <w:rPr>
                      <w:rFonts w:hint="eastAsia"/>
                      <w:bCs/>
                      <w:color w:val="000000" w:themeColor="text1"/>
                      <w:sz w:val="21"/>
                      <w:szCs w:val="21"/>
                      <w:u w:val="single" w:color="auto"/>
                      <w:lang w:val="en-US" w:eastAsia="zh-CN"/>
                      <w14:textFill>
                        <w14:solidFill>
                          <w14:schemeClr w14:val="tx1"/>
                        </w14:solidFill>
                      </w14:textFill>
                    </w:rPr>
                  </w:pPr>
                </w:p>
              </w:tc>
              <w:tc>
                <w:tcPr>
                  <w:tcW w:w="2447" w:type="dxa"/>
                  <w:gridSpan w:val="2"/>
                  <w:tcBorders>
                    <w:tl2br w:val="nil"/>
                    <w:tr2bl w:val="nil"/>
                  </w:tcBorders>
                  <w:vAlign w:val="center"/>
                </w:tcPr>
                <w:p w14:paraId="6F660F7F">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焊锡区</w:t>
                  </w:r>
                </w:p>
              </w:tc>
              <w:tc>
                <w:tcPr>
                  <w:tcW w:w="3902" w:type="dxa"/>
                  <w:tcBorders>
                    <w:tl2br w:val="nil"/>
                    <w:tr2bl w:val="nil"/>
                  </w:tcBorders>
                  <w:vAlign w:val="center"/>
                </w:tcPr>
                <w:p w14:paraId="5191D144">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sz w:val="21"/>
                      <w:szCs w:val="21"/>
                      <w:u w:val="single" w:color="auto"/>
                      <w:vertAlign w:val="baseline"/>
                      <w:lang w:val="en-US" w:eastAsia="zh-CN"/>
                    </w:rPr>
                  </w:pPr>
                  <w:r>
                    <w:rPr>
                      <w:rFonts w:hint="eastAsia" w:cs="Times New Roman"/>
                      <w:sz w:val="21"/>
                      <w:szCs w:val="21"/>
                      <w:u w:val="single" w:color="auto"/>
                      <w:lang w:val="en-US" w:eastAsia="zh-CN"/>
                    </w:rPr>
                    <w:t>位于电子变压器生产线西侧，建筑面积50m</w:t>
                  </w:r>
                  <w:r>
                    <w:rPr>
                      <w:rFonts w:hint="eastAsia" w:cs="Times New Roman"/>
                      <w:sz w:val="21"/>
                      <w:szCs w:val="21"/>
                      <w:u w:val="single" w:color="auto"/>
                      <w:vertAlign w:val="superscript"/>
                      <w:lang w:val="en-US" w:eastAsia="zh-CN"/>
                    </w:rPr>
                    <w:t>2</w:t>
                  </w:r>
                  <w:r>
                    <w:rPr>
                      <w:rFonts w:hint="eastAsia" w:cs="Times New Roman"/>
                      <w:sz w:val="21"/>
                      <w:szCs w:val="21"/>
                      <w:u w:val="single" w:color="auto"/>
                      <w:vertAlign w:val="baseline"/>
                      <w:lang w:val="en-US" w:eastAsia="zh-CN"/>
                    </w:rPr>
                    <w:t>，购置两台无铅熔锡炉，用于焊锡</w:t>
                  </w:r>
                </w:p>
              </w:tc>
              <w:tc>
                <w:tcPr>
                  <w:tcW w:w="923" w:type="dxa"/>
                  <w:tcBorders>
                    <w:tl2br w:val="nil"/>
                    <w:tr2bl w:val="nil"/>
                  </w:tcBorders>
                  <w:vAlign w:val="center"/>
                </w:tcPr>
                <w:p w14:paraId="1A558829">
                  <w:pPr>
                    <w:keepNext w:val="0"/>
                    <w:keepLines w:val="0"/>
                    <w:pageBreakBefore w:val="0"/>
                    <w:widowControl w:val="0"/>
                    <w:kinsoku/>
                    <w:wordWrap/>
                    <w:overflowPunct/>
                    <w:topLinePunct w:val="0"/>
                    <w:autoSpaceDE/>
                    <w:autoSpaceDN/>
                    <w:bidi w:val="0"/>
                    <w:spacing w:line="240" w:lineRule="auto"/>
                    <w:jc w:val="center"/>
                    <w:textAlignment w:val="auto"/>
                    <w:rPr>
                      <w:rFonts w:hint="eastAsia"/>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依托现有租赁厂房</w:t>
                  </w:r>
                </w:p>
              </w:tc>
            </w:tr>
            <w:tr w14:paraId="4DF359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5" w:type="dxa"/>
                  <w:vMerge w:val="continue"/>
                  <w:tcBorders>
                    <w:tl2br w:val="nil"/>
                    <w:tr2bl w:val="nil"/>
                  </w:tcBorders>
                  <w:vAlign w:val="center"/>
                </w:tcPr>
                <w:p w14:paraId="16550B0D">
                  <w:pPr>
                    <w:keepNext w:val="0"/>
                    <w:keepLines w:val="0"/>
                    <w:pageBreakBefore w:val="0"/>
                    <w:widowControl w:val="0"/>
                    <w:kinsoku/>
                    <w:wordWrap/>
                    <w:overflowPunct/>
                    <w:topLinePunct w:val="0"/>
                    <w:autoSpaceDE/>
                    <w:autoSpaceDN/>
                    <w:bidi w:val="0"/>
                    <w:spacing w:line="240" w:lineRule="auto"/>
                    <w:jc w:val="center"/>
                    <w:textAlignment w:val="auto"/>
                    <w:rPr>
                      <w:rFonts w:hint="eastAsia"/>
                      <w:bCs/>
                      <w:color w:val="000000" w:themeColor="text1"/>
                      <w:sz w:val="21"/>
                      <w:szCs w:val="21"/>
                      <w:u w:val="single" w:color="auto"/>
                      <w:lang w:val="en-US" w:eastAsia="zh-CN"/>
                      <w14:textFill>
                        <w14:solidFill>
                          <w14:schemeClr w14:val="tx1"/>
                        </w14:solidFill>
                      </w14:textFill>
                    </w:rPr>
                  </w:pPr>
                </w:p>
              </w:tc>
              <w:tc>
                <w:tcPr>
                  <w:tcW w:w="2447" w:type="dxa"/>
                  <w:gridSpan w:val="2"/>
                  <w:tcBorders>
                    <w:tl2br w:val="nil"/>
                    <w:tr2bl w:val="nil"/>
                  </w:tcBorders>
                  <w:vAlign w:val="center"/>
                </w:tcPr>
                <w:p w14:paraId="56B84075">
                  <w:pPr>
                    <w:keepNext w:val="0"/>
                    <w:keepLines w:val="0"/>
                    <w:pageBreakBefore w:val="0"/>
                    <w:widowControl w:val="0"/>
                    <w:kinsoku/>
                    <w:wordWrap/>
                    <w:overflowPunct/>
                    <w:topLinePunct w:val="0"/>
                    <w:autoSpaceDE/>
                    <w:autoSpaceDN/>
                    <w:bidi w:val="0"/>
                    <w:spacing w:line="240" w:lineRule="auto"/>
                    <w:jc w:val="center"/>
                    <w:textAlignment w:val="auto"/>
                    <w:rPr>
                      <w:rFonts w:hint="default"/>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含浸烘干房</w:t>
                  </w:r>
                </w:p>
              </w:tc>
              <w:tc>
                <w:tcPr>
                  <w:tcW w:w="3902" w:type="dxa"/>
                  <w:tcBorders>
                    <w:tl2br w:val="nil"/>
                    <w:tr2bl w:val="nil"/>
                  </w:tcBorders>
                  <w:vAlign w:val="center"/>
                </w:tcPr>
                <w:p w14:paraId="5CE6E45D">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sz w:val="21"/>
                      <w:szCs w:val="21"/>
                      <w:u w:val="single" w:color="auto"/>
                      <w:lang w:val="en-US" w:eastAsia="zh-CN"/>
                    </w:rPr>
                  </w:pPr>
                  <w:r>
                    <w:rPr>
                      <w:rFonts w:hint="eastAsia" w:cs="Times New Roman"/>
                      <w:sz w:val="21"/>
                      <w:szCs w:val="21"/>
                      <w:u w:val="single" w:color="auto"/>
                      <w:lang w:val="en-US" w:eastAsia="zh-CN"/>
                    </w:rPr>
                    <w:t>位于厂房西南角，密闭车间，建筑面积50m</w:t>
                  </w:r>
                  <w:r>
                    <w:rPr>
                      <w:rFonts w:hint="eastAsia" w:cs="Times New Roman"/>
                      <w:sz w:val="21"/>
                      <w:szCs w:val="21"/>
                      <w:u w:val="single" w:color="auto"/>
                      <w:vertAlign w:val="superscript"/>
                      <w:lang w:val="en-US" w:eastAsia="zh-CN"/>
                    </w:rPr>
                    <w:t>2</w:t>
                  </w:r>
                  <w:r>
                    <w:rPr>
                      <w:rFonts w:hint="eastAsia" w:cs="Times New Roman"/>
                      <w:sz w:val="21"/>
                      <w:szCs w:val="21"/>
                      <w:u w:val="single" w:color="auto"/>
                      <w:vertAlign w:val="baseline"/>
                      <w:lang w:val="en-US" w:eastAsia="zh-CN"/>
                    </w:rPr>
                    <w:t>，</w:t>
                  </w:r>
                  <w:r>
                    <w:rPr>
                      <w:rFonts w:hint="eastAsia" w:cs="Times New Roman"/>
                      <w:sz w:val="21"/>
                      <w:szCs w:val="21"/>
                      <w:u w:val="single" w:color="auto"/>
                      <w:lang w:val="en-US" w:eastAsia="zh-CN"/>
                    </w:rPr>
                    <w:t>设置真空含浸机、隧道式烘箱，用于调漆、含浸、烘干工序</w:t>
                  </w:r>
                </w:p>
              </w:tc>
              <w:tc>
                <w:tcPr>
                  <w:tcW w:w="923" w:type="dxa"/>
                  <w:tcBorders>
                    <w:tl2br w:val="nil"/>
                    <w:tr2bl w:val="nil"/>
                  </w:tcBorders>
                  <w:vAlign w:val="center"/>
                </w:tcPr>
                <w:p w14:paraId="2F1E0293">
                  <w:pPr>
                    <w:keepNext w:val="0"/>
                    <w:keepLines w:val="0"/>
                    <w:pageBreakBefore w:val="0"/>
                    <w:widowControl w:val="0"/>
                    <w:kinsoku/>
                    <w:wordWrap/>
                    <w:overflowPunct/>
                    <w:topLinePunct w:val="0"/>
                    <w:autoSpaceDE/>
                    <w:autoSpaceDN/>
                    <w:bidi w:val="0"/>
                    <w:spacing w:line="240" w:lineRule="auto"/>
                    <w:jc w:val="center"/>
                    <w:textAlignment w:val="auto"/>
                    <w:rPr>
                      <w:rFonts w:hint="eastAsia"/>
                      <w:bCs/>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依托现有租赁厂房</w:t>
                  </w:r>
                </w:p>
              </w:tc>
            </w:tr>
            <w:tr w14:paraId="52EC57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jc w:val="center"/>
              </w:trPr>
              <w:tc>
                <w:tcPr>
                  <w:tcW w:w="1055" w:type="dxa"/>
                  <w:vMerge w:val="restart"/>
                  <w:tcBorders>
                    <w:tl2br w:val="nil"/>
                    <w:tr2bl w:val="nil"/>
                  </w:tcBorders>
                  <w:vAlign w:val="center"/>
                </w:tcPr>
                <w:p w14:paraId="4ACA9F6B">
                  <w:pPr>
                    <w:keepNext w:val="0"/>
                    <w:keepLines w:val="0"/>
                    <w:pageBreakBefore w:val="0"/>
                    <w:widowControl w:val="0"/>
                    <w:kinsoku/>
                    <w:wordWrap/>
                    <w:overflowPunct/>
                    <w:topLinePunct w:val="0"/>
                    <w:autoSpaceDE/>
                    <w:autoSpaceDN/>
                    <w:bidi w:val="0"/>
                    <w:spacing w:line="240" w:lineRule="auto"/>
                    <w:jc w:val="center"/>
                    <w:textAlignment w:val="auto"/>
                    <w:rPr>
                      <w:bCs/>
                      <w:color w:val="000000" w:themeColor="text1"/>
                      <w:sz w:val="21"/>
                      <w:szCs w:val="21"/>
                      <w:u w:val="single" w:color="auto"/>
                      <w14:textFill>
                        <w14:solidFill>
                          <w14:schemeClr w14:val="tx1"/>
                        </w14:solidFill>
                      </w14:textFill>
                    </w:rPr>
                  </w:pPr>
                  <w:r>
                    <w:rPr>
                      <w:bCs/>
                      <w:color w:val="000000" w:themeColor="text1"/>
                      <w:sz w:val="21"/>
                      <w:szCs w:val="21"/>
                      <w:u w:val="single" w:color="auto"/>
                      <w14:textFill>
                        <w14:solidFill>
                          <w14:schemeClr w14:val="tx1"/>
                        </w14:solidFill>
                      </w14:textFill>
                    </w:rPr>
                    <w:t>公用工程</w:t>
                  </w:r>
                </w:p>
              </w:tc>
              <w:tc>
                <w:tcPr>
                  <w:tcW w:w="2447" w:type="dxa"/>
                  <w:gridSpan w:val="2"/>
                  <w:tcBorders>
                    <w:tl2br w:val="nil"/>
                    <w:tr2bl w:val="nil"/>
                  </w:tcBorders>
                  <w:vAlign w:val="center"/>
                </w:tcPr>
                <w:p w14:paraId="4608B602">
                  <w:pPr>
                    <w:keepNext w:val="0"/>
                    <w:keepLines w:val="0"/>
                    <w:pageBreakBefore w:val="0"/>
                    <w:widowControl w:val="0"/>
                    <w:kinsoku/>
                    <w:wordWrap/>
                    <w:overflowPunct/>
                    <w:topLinePunct w:val="0"/>
                    <w:autoSpaceDE/>
                    <w:autoSpaceDN/>
                    <w:bidi w:val="0"/>
                    <w:spacing w:line="240" w:lineRule="auto"/>
                    <w:jc w:val="center"/>
                    <w:textAlignment w:val="auto"/>
                    <w:rPr>
                      <w:color w:val="000000" w:themeColor="text1"/>
                      <w:sz w:val="21"/>
                      <w:szCs w:val="21"/>
                      <w:u w:val="single" w:color="auto"/>
                      <w14:textFill>
                        <w14:solidFill>
                          <w14:schemeClr w14:val="tx1"/>
                        </w14:solidFill>
                      </w14:textFill>
                    </w:rPr>
                  </w:pPr>
                  <w:r>
                    <w:rPr>
                      <w:rFonts w:hint="eastAsia"/>
                      <w:color w:val="000000" w:themeColor="text1"/>
                      <w:sz w:val="21"/>
                      <w:szCs w:val="21"/>
                      <w:u w:val="single" w:color="auto"/>
                      <w:lang w:val="en-US" w:eastAsia="zh-CN"/>
                      <w14:textFill>
                        <w14:solidFill>
                          <w14:schemeClr w14:val="tx1"/>
                        </w14:solidFill>
                      </w14:textFill>
                    </w:rPr>
                    <w:t>供</w:t>
                  </w:r>
                  <w:r>
                    <w:rPr>
                      <w:color w:val="000000" w:themeColor="text1"/>
                      <w:sz w:val="21"/>
                      <w:szCs w:val="21"/>
                      <w:u w:val="single" w:color="auto"/>
                      <w14:textFill>
                        <w14:solidFill>
                          <w14:schemeClr w14:val="tx1"/>
                        </w14:solidFill>
                      </w14:textFill>
                    </w:rPr>
                    <w:t>水工程</w:t>
                  </w:r>
                </w:p>
              </w:tc>
              <w:tc>
                <w:tcPr>
                  <w:tcW w:w="3902" w:type="dxa"/>
                  <w:tcBorders>
                    <w:tl2br w:val="nil"/>
                    <w:tr2bl w:val="nil"/>
                  </w:tcBorders>
                  <w:vAlign w:val="center"/>
                </w:tcPr>
                <w:p w14:paraId="4F563787">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color w:val="000000" w:themeColor="text1"/>
                      <w:sz w:val="21"/>
                      <w:szCs w:val="21"/>
                      <w:u w:val="single" w:color="auto"/>
                      <w:lang w:val="en-US" w:eastAsia="zh-CN"/>
                      <w14:textFill>
                        <w14:solidFill>
                          <w14:schemeClr w14:val="tx1"/>
                        </w14:solidFill>
                      </w14:textFill>
                    </w:rPr>
                  </w:pPr>
                  <w:r>
                    <w:rPr>
                      <w:rFonts w:hint="eastAsia"/>
                      <w:color w:val="000000" w:themeColor="text1"/>
                      <w:sz w:val="21"/>
                      <w:szCs w:val="21"/>
                      <w:u w:val="single" w:color="auto"/>
                      <w:lang w:val="en-US" w:eastAsia="zh-CN"/>
                      <w14:textFill>
                        <w14:solidFill>
                          <w14:schemeClr w14:val="tx1"/>
                        </w14:solidFill>
                      </w14:textFill>
                    </w:rPr>
                    <w:t>市政管网</w:t>
                  </w:r>
                </w:p>
              </w:tc>
              <w:tc>
                <w:tcPr>
                  <w:tcW w:w="923" w:type="dxa"/>
                  <w:tcBorders>
                    <w:tl2br w:val="nil"/>
                    <w:tr2bl w:val="nil"/>
                  </w:tcBorders>
                  <w:vAlign w:val="center"/>
                </w:tcPr>
                <w:p w14:paraId="60479867">
                  <w:pPr>
                    <w:keepNext w:val="0"/>
                    <w:keepLines w:val="0"/>
                    <w:pageBreakBefore w:val="0"/>
                    <w:widowControl w:val="0"/>
                    <w:kinsoku/>
                    <w:wordWrap/>
                    <w:overflowPunct/>
                    <w:topLinePunct w:val="0"/>
                    <w:autoSpaceDE/>
                    <w:autoSpaceDN/>
                    <w:bidi w:val="0"/>
                    <w:spacing w:line="240" w:lineRule="auto"/>
                    <w:jc w:val="center"/>
                    <w:textAlignment w:val="auto"/>
                    <w:rPr>
                      <w:rFonts w:hint="eastAsia"/>
                      <w:color w:val="000000" w:themeColor="text1"/>
                      <w:sz w:val="21"/>
                      <w:szCs w:val="21"/>
                      <w:u w:val="single" w:color="auto"/>
                      <w:lang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依托现有租赁厂房</w:t>
                  </w:r>
                </w:p>
              </w:tc>
            </w:tr>
            <w:tr w14:paraId="32C04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jc w:val="center"/>
              </w:trPr>
              <w:tc>
                <w:tcPr>
                  <w:tcW w:w="1055" w:type="dxa"/>
                  <w:vMerge w:val="continue"/>
                  <w:tcBorders>
                    <w:tl2br w:val="nil"/>
                    <w:tr2bl w:val="nil"/>
                  </w:tcBorders>
                  <w:vAlign w:val="center"/>
                </w:tcPr>
                <w:p w14:paraId="4C9C7FFA">
                  <w:pPr>
                    <w:keepNext w:val="0"/>
                    <w:keepLines w:val="0"/>
                    <w:pageBreakBefore w:val="0"/>
                    <w:widowControl w:val="0"/>
                    <w:kinsoku/>
                    <w:wordWrap/>
                    <w:overflowPunct/>
                    <w:topLinePunct w:val="0"/>
                    <w:autoSpaceDE/>
                    <w:autoSpaceDN/>
                    <w:bidi w:val="0"/>
                    <w:spacing w:line="240" w:lineRule="auto"/>
                    <w:jc w:val="center"/>
                    <w:textAlignment w:val="auto"/>
                    <w:rPr>
                      <w:bCs/>
                      <w:color w:val="000000" w:themeColor="text1"/>
                      <w:sz w:val="21"/>
                      <w:szCs w:val="21"/>
                      <w:u w:val="single" w:color="auto"/>
                      <w14:textFill>
                        <w14:solidFill>
                          <w14:schemeClr w14:val="tx1"/>
                        </w14:solidFill>
                      </w14:textFill>
                    </w:rPr>
                  </w:pPr>
                </w:p>
              </w:tc>
              <w:tc>
                <w:tcPr>
                  <w:tcW w:w="2447" w:type="dxa"/>
                  <w:gridSpan w:val="2"/>
                  <w:tcBorders>
                    <w:tl2br w:val="nil"/>
                    <w:tr2bl w:val="nil"/>
                  </w:tcBorders>
                  <w:vAlign w:val="center"/>
                </w:tcPr>
                <w:p w14:paraId="6025B5D9">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color w:val="000000" w:themeColor="text1"/>
                      <w:sz w:val="21"/>
                      <w:szCs w:val="21"/>
                      <w:u w:val="single" w:color="auto"/>
                      <w:lang w:val="en-US" w:eastAsia="zh-CN"/>
                      <w14:textFill>
                        <w14:solidFill>
                          <w14:schemeClr w14:val="tx1"/>
                        </w14:solidFill>
                      </w14:textFill>
                    </w:rPr>
                  </w:pPr>
                  <w:r>
                    <w:rPr>
                      <w:rFonts w:hint="eastAsia"/>
                      <w:color w:val="000000" w:themeColor="text1"/>
                      <w:sz w:val="21"/>
                      <w:szCs w:val="21"/>
                      <w:u w:val="single" w:color="auto"/>
                      <w:lang w:val="en-US" w:eastAsia="zh-CN"/>
                      <w14:textFill>
                        <w14:solidFill>
                          <w14:schemeClr w14:val="tx1"/>
                        </w14:solidFill>
                      </w14:textFill>
                    </w:rPr>
                    <w:t>排水工程</w:t>
                  </w:r>
                </w:p>
              </w:tc>
              <w:tc>
                <w:tcPr>
                  <w:tcW w:w="3902" w:type="dxa"/>
                  <w:tcBorders>
                    <w:tl2br w:val="nil"/>
                    <w:tr2bl w:val="nil"/>
                  </w:tcBorders>
                  <w:vAlign w:val="center"/>
                </w:tcPr>
                <w:p w14:paraId="0840CC0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u w:val="single" w:color="auto"/>
                      <w:lang w:val="en-US" w:eastAsia="zh-CN"/>
                    </w:rPr>
                  </w:pPr>
                  <w:r>
                    <w:rPr>
                      <w:rFonts w:hint="eastAsia" w:cs="Times New Roman"/>
                      <w:color w:val="auto"/>
                      <w:sz w:val="21"/>
                      <w:szCs w:val="21"/>
                      <w:u w:val="single" w:color="auto"/>
                      <w:lang w:val="en-US" w:eastAsia="zh-CN"/>
                    </w:rPr>
                    <w:t>采用雨污分流。生活污水经化粪池处理后，通过市政污水管网进入中方产业开发区(泸阳镇)污水处理厂处理进一步处理达标外排</w:t>
                  </w:r>
                </w:p>
              </w:tc>
              <w:tc>
                <w:tcPr>
                  <w:tcW w:w="923" w:type="dxa"/>
                  <w:tcBorders>
                    <w:tl2br w:val="nil"/>
                    <w:tr2bl w:val="nil"/>
                  </w:tcBorders>
                  <w:vAlign w:val="center"/>
                </w:tcPr>
                <w:p w14:paraId="0BF48087">
                  <w:pPr>
                    <w:keepNext w:val="0"/>
                    <w:keepLines w:val="0"/>
                    <w:pageBreakBefore w:val="0"/>
                    <w:widowControl w:val="0"/>
                    <w:kinsoku/>
                    <w:wordWrap/>
                    <w:overflowPunct/>
                    <w:topLinePunct w:val="0"/>
                    <w:autoSpaceDE/>
                    <w:autoSpaceDN/>
                    <w:bidi w:val="0"/>
                    <w:spacing w:line="240" w:lineRule="auto"/>
                    <w:jc w:val="center"/>
                    <w:textAlignment w:val="auto"/>
                    <w:rPr>
                      <w:rFonts w:hint="default" w:hAnsi="宋体" w:cs="Times New Roman"/>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依托现有租赁厂房</w:t>
                  </w:r>
                </w:p>
              </w:tc>
            </w:tr>
            <w:tr w14:paraId="34677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1055" w:type="dxa"/>
                  <w:vMerge w:val="continue"/>
                  <w:tcBorders>
                    <w:tl2br w:val="nil"/>
                    <w:tr2bl w:val="nil"/>
                  </w:tcBorders>
                  <w:vAlign w:val="center"/>
                </w:tcPr>
                <w:p w14:paraId="183CDE7F">
                  <w:pPr>
                    <w:keepNext w:val="0"/>
                    <w:keepLines w:val="0"/>
                    <w:pageBreakBefore w:val="0"/>
                    <w:widowControl w:val="0"/>
                    <w:kinsoku/>
                    <w:wordWrap/>
                    <w:overflowPunct/>
                    <w:topLinePunct w:val="0"/>
                    <w:autoSpaceDE/>
                    <w:autoSpaceDN/>
                    <w:bidi w:val="0"/>
                    <w:spacing w:line="240" w:lineRule="auto"/>
                    <w:jc w:val="center"/>
                    <w:textAlignment w:val="auto"/>
                    <w:rPr>
                      <w:bCs/>
                      <w:color w:val="000000" w:themeColor="text1"/>
                      <w:sz w:val="21"/>
                      <w:szCs w:val="21"/>
                      <w:u w:val="single" w:color="auto"/>
                      <w14:textFill>
                        <w14:solidFill>
                          <w14:schemeClr w14:val="tx1"/>
                        </w14:solidFill>
                      </w14:textFill>
                    </w:rPr>
                  </w:pPr>
                </w:p>
              </w:tc>
              <w:tc>
                <w:tcPr>
                  <w:tcW w:w="2447" w:type="dxa"/>
                  <w:gridSpan w:val="2"/>
                  <w:tcBorders>
                    <w:tl2br w:val="nil"/>
                    <w:tr2bl w:val="nil"/>
                  </w:tcBorders>
                  <w:vAlign w:val="center"/>
                </w:tcPr>
                <w:p w14:paraId="180310D6">
                  <w:pPr>
                    <w:keepNext w:val="0"/>
                    <w:keepLines w:val="0"/>
                    <w:pageBreakBefore w:val="0"/>
                    <w:widowControl w:val="0"/>
                    <w:kinsoku/>
                    <w:wordWrap/>
                    <w:overflowPunct/>
                    <w:topLinePunct w:val="0"/>
                    <w:autoSpaceDE/>
                    <w:autoSpaceDN/>
                    <w:bidi w:val="0"/>
                    <w:spacing w:line="240" w:lineRule="auto"/>
                    <w:jc w:val="center"/>
                    <w:textAlignment w:val="auto"/>
                    <w:rPr>
                      <w:color w:val="000000" w:themeColor="text1"/>
                      <w:sz w:val="21"/>
                      <w:szCs w:val="21"/>
                      <w:u w:val="single" w:color="auto"/>
                      <w14:textFill>
                        <w14:solidFill>
                          <w14:schemeClr w14:val="tx1"/>
                        </w14:solidFill>
                      </w14:textFill>
                    </w:rPr>
                  </w:pPr>
                  <w:r>
                    <w:rPr>
                      <w:rFonts w:hint="eastAsia"/>
                      <w:color w:val="000000" w:themeColor="text1"/>
                      <w:sz w:val="21"/>
                      <w:szCs w:val="21"/>
                      <w:u w:val="single" w:color="auto"/>
                      <w14:textFill>
                        <w14:solidFill>
                          <w14:schemeClr w14:val="tx1"/>
                        </w14:solidFill>
                      </w14:textFill>
                    </w:rPr>
                    <w:t>供电</w:t>
                  </w:r>
                  <w:r>
                    <w:rPr>
                      <w:color w:val="000000" w:themeColor="text1"/>
                      <w:sz w:val="21"/>
                      <w:szCs w:val="21"/>
                      <w:u w:val="single" w:color="auto"/>
                      <w14:textFill>
                        <w14:solidFill>
                          <w14:schemeClr w14:val="tx1"/>
                        </w14:solidFill>
                      </w14:textFill>
                    </w:rPr>
                    <w:t>工程</w:t>
                  </w:r>
                </w:p>
              </w:tc>
              <w:tc>
                <w:tcPr>
                  <w:tcW w:w="3902" w:type="dxa"/>
                  <w:tcBorders>
                    <w:tl2br w:val="nil"/>
                    <w:tr2bl w:val="nil"/>
                  </w:tcBorders>
                  <w:vAlign w:val="center"/>
                </w:tcPr>
                <w:p w14:paraId="4FF846E2">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color w:val="000000" w:themeColor="text1"/>
                      <w:spacing w:val="12"/>
                      <w:sz w:val="21"/>
                      <w:szCs w:val="21"/>
                      <w:u w:val="single" w:color="auto"/>
                      <w:lang w:val="en-US" w:eastAsia="zh-CN"/>
                      <w14:textFill>
                        <w14:solidFill>
                          <w14:schemeClr w14:val="tx1"/>
                        </w14:solidFill>
                      </w14:textFill>
                    </w:rPr>
                  </w:pPr>
                  <w:r>
                    <w:rPr>
                      <w:rFonts w:hint="eastAsia" w:cs="Times New Roman"/>
                      <w:sz w:val="21"/>
                      <w:szCs w:val="21"/>
                      <w:u w:val="single" w:color="auto"/>
                      <w:lang w:val="en-US" w:eastAsia="zh-CN"/>
                    </w:rPr>
                    <w:t>市政电网</w:t>
                  </w:r>
                </w:p>
              </w:tc>
              <w:tc>
                <w:tcPr>
                  <w:tcW w:w="923" w:type="dxa"/>
                  <w:tcBorders>
                    <w:tl2br w:val="nil"/>
                    <w:tr2bl w:val="nil"/>
                  </w:tcBorders>
                  <w:vAlign w:val="center"/>
                </w:tcPr>
                <w:p w14:paraId="1FCFD2DE">
                  <w:pPr>
                    <w:keepNext w:val="0"/>
                    <w:keepLines w:val="0"/>
                    <w:pageBreakBefore w:val="0"/>
                    <w:widowControl w:val="0"/>
                    <w:kinsoku/>
                    <w:wordWrap/>
                    <w:overflowPunct/>
                    <w:topLinePunct w:val="0"/>
                    <w:autoSpaceDE/>
                    <w:autoSpaceDN/>
                    <w:bidi w:val="0"/>
                    <w:spacing w:line="240" w:lineRule="auto"/>
                    <w:jc w:val="center"/>
                    <w:textAlignment w:val="auto"/>
                    <w:rPr>
                      <w:rFonts w:hint="default" w:hAnsi="宋体" w:cs="Times New Roman"/>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val="en-US" w:eastAsia="zh-CN"/>
                      <w14:textFill>
                        <w14:solidFill>
                          <w14:schemeClr w14:val="tx1"/>
                        </w14:solidFill>
                      </w14:textFill>
                    </w:rPr>
                    <w:t>依托现有租赁厂房</w:t>
                  </w:r>
                </w:p>
              </w:tc>
            </w:tr>
            <w:tr w14:paraId="4597F2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1055" w:type="dxa"/>
                  <w:vMerge w:val="restart"/>
                  <w:tcBorders>
                    <w:tl2br w:val="nil"/>
                    <w:tr2bl w:val="nil"/>
                  </w:tcBorders>
                  <w:vAlign w:val="center"/>
                </w:tcPr>
                <w:p w14:paraId="35DAA14D">
                  <w:pPr>
                    <w:keepNext w:val="0"/>
                    <w:keepLines w:val="0"/>
                    <w:pageBreakBefore w:val="0"/>
                    <w:widowControl w:val="0"/>
                    <w:kinsoku/>
                    <w:wordWrap/>
                    <w:overflowPunct/>
                    <w:topLinePunct w:val="0"/>
                    <w:autoSpaceDE/>
                    <w:autoSpaceDN/>
                    <w:bidi w:val="0"/>
                    <w:spacing w:line="240" w:lineRule="auto"/>
                    <w:jc w:val="center"/>
                    <w:textAlignment w:val="auto"/>
                    <w:rPr>
                      <w:bCs/>
                      <w:color w:val="000000" w:themeColor="text1"/>
                      <w:sz w:val="21"/>
                      <w:szCs w:val="21"/>
                      <w:u w:val="single" w:color="auto"/>
                      <w14:textFill>
                        <w14:solidFill>
                          <w14:schemeClr w14:val="tx1"/>
                        </w14:solidFill>
                      </w14:textFill>
                    </w:rPr>
                  </w:pPr>
                  <w:r>
                    <w:rPr>
                      <w:bCs/>
                      <w:color w:val="000000" w:themeColor="text1"/>
                      <w:sz w:val="21"/>
                      <w:szCs w:val="21"/>
                      <w:u w:val="single" w:color="auto"/>
                      <w14:textFill>
                        <w14:solidFill>
                          <w14:schemeClr w14:val="tx1"/>
                        </w14:solidFill>
                      </w14:textFill>
                    </w:rPr>
                    <w:t>环保工程</w:t>
                  </w:r>
                </w:p>
              </w:tc>
              <w:tc>
                <w:tcPr>
                  <w:tcW w:w="914" w:type="dxa"/>
                  <w:tcBorders>
                    <w:tl2br w:val="nil"/>
                    <w:tr2bl w:val="nil"/>
                  </w:tcBorders>
                  <w:vAlign w:val="center"/>
                </w:tcPr>
                <w:p w14:paraId="2F11494E">
                  <w:pPr>
                    <w:keepNext w:val="0"/>
                    <w:keepLines w:val="0"/>
                    <w:pageBreakBefore w:val="0"/>
                    <w:widowControl w:val="0"/>
                    <w:kinsoku/>
                    <w:wordWrap/>
                    <w:overflowPunct/>
                    <w:topLinePunct w:val="0"/>
                    <w:autoSpaceDE/>
                    <w:autoSpaceDN/>
                    <w:bidi w:val="0"/>
                    <w:spacing w:line="240" w:lineRule="auto"/>
                    <w:jc w:val="center"/>
                    <w:textAlignment w:val="auto"/>
                    <w:rPr>
                      <w:color w:val="000000" w:themeColor="text1"/>
                      <w:sz w:val="21"/>
                      <w:szCs w:val="21"/>
                      <w:u w:val="single" w:color="auto"/>
                      <w14:textFill>
                        <w14:solidFill>
                          <w14:schemeClr w14:val="tx1"/>
                        </w14:solidFill>
                      </w14:textFill>
                    </w:rPr>
                  </w:pPr>
                  <w:r>
                    <w:rPr>
                      <w:color w:val="000000" w:themeColor="text1"/>
                      <w:sz w:val="21"/>
                      <w:szCs w:val="21"/>
                      <w:u w:val="single" w:color="auto"/>
                      <w14:textFill>
                        <w14:solidFill>
                          <w14:schemeClr w14:val="tx1"/>
                        </w14:solidFill>
                      </w14:textFill>
                    </w:rPr>
                    <w:t>废水处理措施</w:t>
                  </w:r>
                </w:p>
              </w:tc>
              <w:tc>
                <w:tcPr>
                  <w:tcW w:w="1533" w:type="dxa"/>
                  <w:tcBorders>
                    <w:tl2br w:val="nil"/>
                    <w:tr2bl w:val="nil"/>
                  </w:tcBorders>
                  <w:vAlign w:val="center"/>
                </w:tcPr>
                <w:p w14:paraId="0CE8B2E2">
                  <w:pPr>
                    <w:keepNext w:val="0"/>
                    <w:keepLines w:val="0"/>
                    <w:pageBreakBefore w:val="0"/>
                    <w:widowControl w:val="0"/>
                    <w:kinsoku/>
                    <w:wordWrap/>
                    <w:overflowPunct/>
                    <w:topLinePunct w:val="0"/>
                    <w:autoSpaceDE/>
                    <w:autoSpaceDN/>
                    <w:bidi w:val="0"/>
                    <w:spacing w:line="240" w:lineRule="auto"/>
                    <w:jc w:val="center"/>
                    <w:textAlignment w:val="auto"/>
                    <w:rPr>
                      <w:rFonts w:hint="eastAsia" w:eastAsia="宋体"/>
                      <w:color w:val="000000" w:themeColor="text1"/>
                      <w:sz w:val="21"/>
                      <w:szCs w:val="21"/>
                      <w:u w:val="single" w:color="auto"/>
                      <w:lang w:eastAsia="zh-CN"/>
                      <w14:textFill>
                        <w14:solidFill>
                          <w14:schemeClr w14:val="tx1"/>
                        </w14:solidFill>
                      </w14:textFill>
                    </w:rPr>
                  </w:pPr>
                  <w:r>
                    <w:rPr>
                      <w:rFonts w:hint="eastAsia"/>
                      <w:color w:val="000000" w:themeColor="text1"/>
                      <w:sz w:val="21"/>
                      <w:szCs w:val="21"/>
                      <w:u w:val="single" w:color="auto"/>
                      <w:lang w:eastAsia="zh-CN"/>
                      <w14:textFill>
                        <w14:solidFill>
                          <w14:schemeClr w14:val="tx1"/>
                        </w14:solidFill>
                      </w14:textFill>
                    </w:rPr>
                    <w:t>生活污水</w:t>
                  </w:r>
                </w:p>
              </w:tc>
              <w:tc>
                <w:tcPr>
                  <w:tcW w:w="3902" w:type="dxa"/>
                  <w:tcBorders>
                    <w:tl2br w:val="nil"/>
                    <w:tr2bl w:val="nil"/>
                  </w:tcBorders>
                  <w:vAlign w:val="center"/>
                </w:tcPr>
                <w:p w14:paraId="07DB0A93">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宋体" w:eastAsia="宋体" w:cs="Times New Roman"/>
                      <w:color w:val="000000" w:themeColor="text1"/>
                      <w:sz w:val="21"/>
                      <w:szCs w:val="21"/>
                      <w:u w:val="single" w:color="auto"/>
                      <w:lang w:val="en-US" w:eastAsia="zh-CN"/>
                      <w14:textFill>
                        <w14:solidFill>
                          <w14:schemeClr w14:val="tx1"/>
                        </w14:solidFill>
                      </w14:textFill>
                    </w:rPr>
                  </w:pPr>
                  <w:r>
                    <w:rPr>
                      <w:rFonts w:hint="eastAsia" w:cs="Times New Roman"/>
                      <w:color w:val="auto"/>
                      <w:sz w:val="21"/>
                      <w:szCs w:val="21"/>
                      <w:u w:val="single" w:color="auto"/>
                      <w:lang w:val="en-US" w:eastAsia="zh-CN"/>
                    </w:rPr>
                    <w:t>经化粪池处理后，通过市政污水管网进入中方产业开发区(泸阳镇)污水处理厂处理进一步处理达标外排</w:t>
                  </w:r>
                </w:p>
              </w:tc>
              <w:tc>
                <w:tcPr>
                  <w:tcW w:w="923" w:type="dxa"/>
                  <w:tcBorders>
                    <w:tl2br w:val="nil"/>
                    <w:tr2bl w:val="nil"/>
                  </w:tcBorders>
                  <w:vAlign w:val="center"/>
                </w:tcPr>
                <w:p w14:paraId="4FA1F60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宋体" w:eastAsia="宋体" w:cs="Times New Roman"/>
                      <w:color w:val="000000" w:themeColor="text1"/>
                      <w:sz w:val="21"/>
                      <w:szCs w:val="21"/>
                      <w:u w:val="single" w:color="auto"/>
                      <w:lang w:val="en-US" w:eastAsia="zh-CN"/>
                      <w14:textFill>
                        <w14:solidFill>
                          <w14:schemeClr w14:val="tx1"/>
                        </w14:solidFill>
                      </w14:textFill>
                    </w:rPr>
                  </w:pPr>
                  <w:r>
                    <w:rPr>
                      <w:rFonts w:hint="eastAsia" w:hAnsi="宋体" w:cs="Times New Roman"/>
                      <w:color w:val="000000" w:themeColor="text1"/>
                      <w:sz w:val="21"/>
                      <w:szCs w:val="21"/>
                      <w:u w:val="single" w:color="auto"/>
                      <w:lang w:val="en-US" w:eastAsia="zh-CN"/>
                      <w14:textFill>
                        <w14:solidFill>
                          <w14:schemeClr w14:val="tx1"/>
                        </w14:solidFill>
                      </w14:textFill>
                    </w:rPr>
                    <w:t>新建</w:t>
                  </w:r>
                </w:p>
              </w:tc>
            </w:tr>
            <w:tr w14:paraId="661680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055" w:type="dxa"/>
                  <w:vMerge w:val="continue"/>
                  <w:tcBorders>
                    <w:tl2br w:val="nil"/>
                    <w:tr2bl w:val="nil"/>
                  </w:tcBorders>
                  <w:vAlign w:val="center"/>
                </w:tcPr>
                <w:p w14:paraId="39F4A93F">
                  <w:pPr>
                    <w:keepNext w:val="0"/>
                    <w:keepLines w:val="0"/>
                    <w:pageBreakBefore w:val="0"/>
                    <w:widowControl w:val="0"/>
                    <w:kinsoku/>
                    <w:wordWrap/>
                    <w:overflowPunct/>
                    <w:topLinePunct w:val="0"/>
                    <w:autoSpaceDE/>
                    <w:autoSpaceDN/>
                    <w:bidi w:val="0"/>
                    <w:spacing w:line="240" w:lineRule="auto"/>
                    <w:jc w:val="center"/>
                    <w:textAlignment w:val="auto"/>
                    <w:rPr>
                      <w:bCs/>
                      <w:color w:val="000000" w:themeColor="text1"/>
                      <w:sz w:val="21"/>
                      <w:szCs w:val="21"/>
                      <w:u w:val="single" w:color="auto"/>
                      <w14:textFill>
                        <w14:solidFill>
                          <w14:schemeClr w14:val="tx1"/>
                        </w14:solidFill>
                      </w14:textFill>
                    </w:rPr>
                  </w:pPr>
                </w:p>
              </w:tc>
              <w:tc>
                <w:tcPr>
                  <w:tcW w:w="914" w:type="dxa"/>
                  <w:vMerge w:val="restart"/>
                  <w:tcBorders>
                    <w:tl2br w:val="nil"/>
                    <w:tr2bl w:val="nil"/>
                  </w:tcBorders>
                  <w:vAlign w:val="center"/>
                </w:tcPr>
                <w:p w14:paraId="4EA831E6">
                  <w:pPr>
                    <w:keepNext w:val="0"/>
                    <w:keepLines w:val="0"/>
                    <w:pageBreakBefore w:val="0"/>
                    <w:widowControl w:val="0"/>
                    <w:kinsoku/>
                    <w:wordWrap/>
                    <w:overflowPunct/>
                    <w:topLinePunct w:val="0"/>
                    <w:autoSpaceDE/>
                    <w:autoSpaceDN/>
                    <w:bidi w:val="0"/>
                    <w:spacing w:line="240" w:lineRule="auto"/>
                    <w:jc w:val="center"/>
                    <w:textAlignment w:val="auto"/>
                    <w:rPr>
                      <w:color w:val="000000" w:themeColor="text1"/>
                      <w:sz w:val="21"/>
                      <w:szCs w:val="21"/>
                      <w:u w:val="single" w:color="auto"/>
                      <w14:textFill>
                        <w14:solidFill>
                          <w14:schemeClr w14:val="tx1"/>
                        </w14:solidFill>
                      </w14:textFill>
                    </w:rPr>
                  </w:pPr>
                  <w:r>
                    <w:rPr>
                      <w:color w:val="000000" w:themeColor="text1"/>
                      <w:sz w:val="21"/>
                      <w:szCs w:val="21"/>
                      <w:u w:val="single" w:color="auto"/>
                      <w14:textFill>
                        <w14:solidFill>
                          <w14:schemeClr w14:val="tx1"/>
                        </w14:solidFill>
                      </w14:textFill>
                    </w:rPr>
                    <w:t>废气处理措施</w:t>
                  </w:r>
                </w:p>
              </w:tc>
              <w:tc>
                <w:tcPr>
                  <w:tcW w:w="1533" w:type="dxa"/>
                  <w:tcBorders>
                    <w:tl2br w:val="nil"/>
                    <w:tr2bl w:val="nil"/>
                  </w:tcBorders>
                  <w:vAlign w:val="center"/>
                </w:tcPr>
                <w:p w14:paraId="55BBA320">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color w:val="000000" w:themeColor="text1"/>
                      <w:sz w:val="21"/>
                      <w:szCs w:val="21"/>
                      <w:u w:val="single" w:color="auto"/>
                      <w:lang w:val="en-US" w:eastAsia="zh-CN"/>
                      <w14:textFill>
                        <w14:solidFill>
                          <w14:schemeClr w14:val="tx1"/>
                        </w14:solidFill>
                      </w14:textFill>
                    </w:rPr>
                  </w:pPr>
                  <w:r>
                    <w:rPr>
                      <w:rFonts w:hint="eastAsia"/>
                      <w:color w:val="000000" w:themeColor="text1"/>
                      <w:sz w:val="21"/>
                      <w:szCs w:val="21"/>
                      <w:u w:val="single" w:color="auto"/>
                      <w:lang w:val="en-US" w:eastAsia="zh-CN"/>
                      <w14:textFill>
                        <w14:solidFill>
                          <w14:schemeClr w14:val="tx1"/>
                        </w14:solidFill>
                      </w14:textFill>
                    </w:rPr>
                    <w:t>焊锡废气</w:t>
                  </w:r>
                </w:p>
              </w:tc>
              <w:tc>
                <w:tcPr>
                  <w:tcW w:w="3902" w:type="dxa"/>
                  <w:tcBorders>
                    <w:tl2br w:val="nil"/>
                    <w:tr2bl w:val="nil"/>
                  </w:tcBorders>
                  <w:vAlign w:val="center"/>
                </w:tcPr>
                <w:p w14:paraId="4528E306">
                  <w:pPr>
                    <w:keepNext w:val="0"/>
                    <w:keepLines w:val="0"/>
                    <w:pageBreakBefore w:val="0"/>
                    <w:widowControl w:val="0"/>
                    <w:kinsoku/>
                    <w:wordWrap/>
                    <w:overflowPunct/>
                    <w:topLinePunct w:val="0"/>
                    <w:autoSpaceDE/>
                    <w:autoSpaceDN/>
                    <w:bidi w:val="0"/>
                    <w:spacing w:line="240" w:lineRule="auto"/>
                    <w:jc w:val="center"/>
                    <w:textAlignment w:val="auto"/>
                    <w:rPr>
                      <w:rFonts w:hint="eastAsia" w:eastAsia="宋体" w:cs="Times New Roman"/>
                      <w:color w:val="000000" w:themeColor="text1"/>
                      <w:sz w:val="21"/>
                      <w:szCs w:val="21"/>
                      <w:u w:val="single" w:color="auto"/>
                      <w:lang w:val="en-US" w:eastAsia="zh-CN"/>
                      <w14:textFill>
                        <w14:solidFill>
                          <w14:schemeClr w14:val="tx1"/>
                        </w14:solidFill>
                      </w14:textFill>
                    </w:rPr>
                  </w:pPr>
                  <w:r>
                    <w:rPr>
                      <w:rFonts w:hint="eastAsia"/>
                      <w:bCs/>
                      <w:color w:val="000000" w:themeColor="text1"/>
                      <w:sz w:val="21"/>
                      <w:szCs w:val="21"/>
                      <w:u w:val="single" w:color="auto"/>
                      <w:lang w:eastAsia="zh-CN"/>
                      <w14:textFill>
                        <w14:solidFill>
                          <w14:schemeClr w14:val="tx1"/>
                        </w14:solidFill>
                      </w14:textFill>
                    </w:rPr>
                    <w:t>集气罩+</w:t>
                  </w:r>
                  <w:r>
                    <w:rPr>
                      <w:rFonts w:hint="eastAsia"/>
                      <w:bCs/>
                      <w:color w:val="000000" w:themeColor="text1"/>
                      <w:sz w:val="21"/>
                      <w:szCs w:val="21"/>
                      <w:u w:val="single" w:color="auto"/>
                      <w:lang w:val="en-US" w:eastAsia="zh-CN"/>
                      <w14:textFill>
                        <w14:solidFill>
                          <w14:schemeClr w14:val="tx1"/>
                        </w14:solidFill>
                      </w14:textFill>
                    </w:rPr>
                    <w:t>干式过滤器</w:t>
                  </w:r>
                  <w:r>
                    <w:rPr>
                      <w:rFonts w:hint="eastAsia"/>
                      <w:bCs/>
                      <w:color w:val="000000" w:themeColor="text1"/>
                      <w:sz w:val="21"/>
                      <w:szCs w:val="21"/>
                      <w:u w:val="single" w:color="auto"/>
                      <w:lang w:eastAsia="zh-CN"/>
                      <w14:textFill>
                        <w14:solidFill>
                          <w14:schemeClr w14:val="tx1"/>
                        </w14:solidFill>
                      </w14:textFill>
                    </w:rPr>
                    <w:t>二级活性炭吸附+2</w:t>
                  </w:r>
                  <w:r>
                    <w:rPr>
                      <w:rFonts w:hint="eastAsia"/>
                      <w:bCs/>
                      <w:color w:val="000000" w:themeColor="text1"/>
                      <w:sz w:val="21"/>
                      <w:szCs w:val="21"/>
                      <w:u w:val="single" w:color="auto"/>
                      <w:lang w:val="en-US" w:eastAsia="zh-CN"/>
                      <w14:textFill>
                        <w14:solidFill>
                          <w14:schemeClr w14:val="tx1"/>
                        </w14:solidFill>
                      </w14:textFill>
                    </w:rPr>
                    <w:t>3</w:t>
                  </w:r>
                  <w:r>
                    <w:rPr>
                      <w:rFonts w:hint="eastAsia"/>
                      <w:bCs/>
                      <w:color w:val="000000" w:themeColor="text1"/>
                      <w:sz w:val="21"/>
                      <w:szCs w:val="21"/>
                      <w:u w:val="single" w:color="auto"/>
                      <w:lang w:eastAsia="zh-CN"/>
                      <w14:textFill>
                        <w14:solidFill>
                          <w14:schemeClr w14:val="tx1"/>
                        </w14:solidFill>
                      </w14:textFill>
                    </w:rPr>
                    <w:t>m高排气筒DA001</w:t>
                  </w:r>
                </w:p>
              </w:tc>
              <w:tc>
                <w:tcPr>
                  <w:tcW w:w="923" w:type="dxa"/>
                  <w:tcBorders>
                    <w:tl2br w:val="nil"/>
                    <w:tr2bl w:val="nil"/>
                  </w:tcBorders>
                  <w:vAlign w:val="center"/>
                </w:tcPr>
                <w:p w14:paraId="32F5A8CC">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新建</w:t>
                  </w:r>
                </w:p>
              </w:tc>
            </w:tr>
            <w:tr w14:paraId="47EF4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1055" w:type="dxa"/>
                  <w:vMerge w:val="continue"/>
                  <w:tcBorders>
                    <w:tl2br w:val="nil"/>
                    <w:tr2bl w:val="nil"/>
                  </w:tcBorders>
                  <w:vAlign w:val="center"/>
                </w:tcPr>
                <w:p w14:paraId="38862890">
                  <w:pPr>
                    <w:keepNext w:val="0"/>
                    <w:keepLines w:val="0"/>
                    <w:pageBreakBefore w:val="0"/>
                    <w:widowControl w:val="0"/>
                    <w:kinsoku/>
                    <w:wordWrap/>
                    <w:overflowPunct/>
                    <w:topLinePunct w:val="0"/>
                    <w:autoSpaceDE/>
                    <w:autoSpaceDN/>
                    <w:bidi w:val="0"/>
                    <w:spacing w:line="240" w:lineRule="auto"/>
                    <w:jc w:val="center"/>
                    <w:textAlignment w:val="auto"/>
                    <w:rPr>
                      <w:bCs/>
                      <w:color w:val="000000" w:themeColor="text1"/>
                      <w:sz w:val="21"/>
                      <w:szCs w:val="21"/>
                      <w:u w:val="single" w:color="auto"/>
                      <w14:textFill>
                        <w14:solidFill>
                          <w14:schemeClr w14:val="tx1"/>
                        </w14:solidFill>
                      </w14:textFill>
                    </w:rPr>
                  </w:pPr>
                </w:p>
              </w:tc>
              <w:tc>
                <w:tcPr>
                  <w:tcW w:w="914" w:type="dxa"/>
                  <w:vMerge w:val="continue"/>
                  <w:tcBorders>
                    <w:tl2br w:val="nil"/>
                    <w:tr2bl w:val="nil"/>
                  </w:tcBorders>
                  <w:vAlign w:val="center"/>
                </w:tcPr>
                <w:p w14:paraId="5FC8684B">
                  <w:pPr>
                    <w:keepNext w:val="0"/>
                    <w:keepLines w:val="0"/>
                    <w:pageBreakBefore w:val="0"/>
                    <w:widowControl w:val="0"/>
                    <w:kinsoku/>
                    <w:wordWrap/>
                    <w:overflowPunct/>
                    <w:topLinePunct w:val="0"/>
                    <w:autoSpaceDE/>
                    <w:autoSpaceDN/>
                    <w:bidi w:val="0"/>
                    <w:spacing w:line="240" w:lineRule="auto"/>
                    <w:jc w:val="center"/>
                    <w:textAlignment w:val="auto"/>
                    <w:rPr>
                      <w:color w:val="000000" w:themeColor="text1"/>
                      <w:sz w:val="21"/>
                      <w:szCs w:val="21"/>
                      <w:u w:val="single" w:color="auto"/>
                      <w14:textFill>
                        <w14:solidFill>
                          <w14:schemeClr w14:val="tx1"/>
                        </w14:solidFill>
                      </w14:textFill>
                    </w:rPr>
                  </w:pPr>
                </w:p>
              </w:tc>
              <w:tc>
                <w:tcPr>
                  <w:tcW w:w="1533" w:type="dxa"/>
                  <w:tcBorders>
                    <w:tl2br w:val="nil"/>
                    <w:tr2bl w:val="nil"/>
                  </w:tcBorders>
                  <w:vAlign w:val="center"/>
                </w:tcPr>
                <w:p w14:paraId="5CC1FD7A">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color w:val="000000" w:themeColor="text1"/>
                      <w:sz w:val="21"/>
                      <w:szCs w:val="21"/>
                      <w:u w:val="single" w:color="auto"/>
                      <w:lang w:val="en-US" w:eastAsia="zh-CN"/>
                      <w14:textFill>
                        <w14:solidFill>
                          <w14:schemeClr w14:val="tx1"/>
                        </w14:solidFill>
                      </w14:textFill>
                    </w:rPr>
                  </w:pPr>
                  <w:r>
                    <w:rPr>
                      <w:rFonts w:hint="eastAsia"/>
                      <w:color w:val="000000" w:themeColor="text1"/>
                      <w:sz w:val="21"/>
                      <w:szCs w:val="21"/>
                      <w:u w:val="single" w:color="auto"/>
                      <w:lang w:val="en-US" w:eastAsia="zh-CN"/>
                      <w14:textFill>
                        <w14:solidFill>
                          <w14:schemeClr w14:val="tx1"/>
                        </w14:solidFill>
                      </w14:textFill>
                    </w:rPr>
                    <w:t>调漆、浸漆、烘干有机废气</w:t>
                  </w:r>
                </w:p>
              </w:tc>
              <w:tc>
                <w:tcPr>
                  <w:tcW w:w="3902" w:type="dxa"/>
                  <w:tcBorders>
                    <w:tl2br w:val="nil"/>
                    <w:tr2bl w:val="nil"/>
                  </w:tcBorders>
                  <w:vAlign w:val="center"/>
                </w:tcPr>
                <w:p w14:paraId="696DB154">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密闭含浸房微负压收集+干式过滤器+</w:t>
                  </w:r>
                  <w:r>
                    <w:rPr>
                      <w:rFonts w:hint="eastAsia"/>
                      <w:bCs/>
                      <w:color w:val="000000" w:themeColor="text1"/>
                      <w:sz w:val="21"/>
                      <w:szCs w:val="21"/>
                      <w:u w:val="single" w:color="auto"/>
                      <w:lang w:eastAsia="zh-CN"/>
                      <w14:textFill>
                        <w14:solidFill>
                          <w14:schemeClr w14:val="tx1"/>
                        </w14:solidFill>
                      </w14:textFill>
                    </w:rPr>
                    <w:t>二级活性炭吸附+2</w:t>
                  </w:r>
                  <w:r>
                    <w:rPr>
                      <w:rFonts w:hint="eastAsia"/>
                      <w:bCs/>
                      <w:color w:val="000000" w:themeColor="text1"/>
                      <w:sz w:val="21"/>
                      <w:szCs w:val="21"/>
                      <w:u w:val="single" w:color="auto"/>
                      <w:lang w:val="en-US" w:eastAsia="zh-CN"/>
                      <w14:textFill>
                        <w14:solidFill>
                          <w14:schemeClr w14:val="tx1"/>
                        </w14:solidFill>
                      </w14:textFill>
                    </w:rPr>
                    <w:t>3</w:t>
                  </w:r>
                  <w:r>
                    <w:rPr>
                      <w:rFonts w:hint="eastAsia"/>
                      <w:bCs/>
                      <w:color w:val="000000" w:themeColor="text1"/>
                      <w:sz w:val="21"/>
                      <w:szCs w:val="21"/>
                      <w:u w:val="single" w:color="auto"/>
                      <w:lang w:eastAsia="zh-CN"/>
                      <w14:textFill>
                        <w14:solidFill>
                          <w14:schemeClr w14:val="tx1"/>
                        </w14:solidFill>
                      </w14:textFill>
                    </w:rPr>
                    <w:t>m高排气筒DA001</w:t>
                  </w:r>
                </w:p>
              </w:tc>
              <w:tc>
                <w:tcPr>
                  <w:tcW w:w="923" w:type="dxa"/>
                  <w:tcBorders>
                    <w:tl2br w:val="nil"/>
                    <w:tr2bl w:val="nil"/>
                  </w:tcBorders>
                  <w:vAlign w:val="center"/>
                </w:tcPr>
                <w:p w14:paraId="0CBF1625">
                  <w:pPr>
                    <w:keepNext w:val="0"/>
                    <w:keepLines w:val="0"/>
                    <w:pageBreakBefore w:val="0"/>
                    <w:widowControl w:val="0"/>
                    <w:kinsoku/>
                    <w:wordWrap/>
                    <w:overflowPunct/>
                    <w:topLinePunct w:val="0"/>
                    <w:autoSpaceDE/>
                    <w:autoSpaceDN/>
                    <w:bidi w:val="0"/>
                    <w:spacing w:line="240" w:lineRule="auto"/>
                    <w:jc w:val="center"/>
                    <w:textAlignment w:val="auto"/>
                    <w:rPr>
                      <w:rFonts w:hint="eastAsia"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新建</w:t>
                  </w:r>
                </w:p>
              </w:tc>
            </w:tr>
            <w:tr w14:paraId="3CA6A3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1055" w:type="dxa"/>
                  <w:vMerge w:val="continue"/>
                  <w:tcBorders>
                    <w:tl2br w:val="nil"/>
                    <w:tr2bl w:val="nil"/>
                  </w:tcBorders>
                  <w:vAlign w:val="center"/>
                </w:tcPr>
                <w:p w14:paraId="511EE459">
                  <w:pPr>
                    <w:keepNext w:val="0"/>
                    <w:keepLines w:val="0"/>
                    <w:pageBreakBefore w:val="0"/>
                    <w:widowControl w:val="0"/>
                    <w:kinsoku/>
                    <w:wordWrap/>
                    <w:overflowPunct/>
                    <w:topLinePunct w:val="0"/>
                    <w:autoSpaceDE/>
                    <w:autoSpaceDN/>
                    <w:bidi w:val="0"/>
                    <w:spacing w:line="240" w:lineRule="auto"/>
                    <w:jc w:val="center"/>
                    <w:textAlignment w:val="auto"/>
                    <w:rPr>
                      <w:bCs/>
                      <w:color w:val="000000" w:themeColor="text1"/>
                      <w:sz w:val="21"/>
                      <w:szCs w:val="21"/>
                      <w:u w:val="single" w:color="auto"/>
                      <w14:textFill>
                        <w14:solidFill>
                          <w14:schemeClr w14:val="tx1"/>
                        </w14:solidFill>
                      </w14:textFill>
                    </w:rPr>
                  </w:pPr>
                </w:p>
              </w:tc>
              <w:tc>
                <w:tcPr>
                  <w:tcW w:w="914" w:type="dxa"/>
                  <w:vMerge w:val="continue"/>
                  <w:tcBorders>
                    <w:tl2br w:val="nil"/>
                    <w:tr2bl w:val="nil"/>
                  </w:tcBorders>
                  <w:vAlign w:val="center"/>
                </w:tcPr>
                <w:p w14:paraId="37D9FF84">
                  <w:pPr>
                    <w:keepNext w:val="0"/>
                    <w:keepLines w:val="0"/>
                    <w:pageBreakBefore w:val="0"/>
                    <w:widowControl w:val="0"/>
                    <w:kinsoku/>
                    <w:wordWrap/>
                    <w:overflowPunct/>
                    <w:topLinePunct w:val="0"/>
                    <w:autoSpaceDE/>
                    <w:autoSpaceDN/>
                    <w:bidi w:val="0"/>
                    <w:spacing w:line="240" w:lineRule="auto"/>
                    <w:jc w:val="center"/>
                    <w:textAlignment w:val="auto"/>
                    <w:rPr>
                      <w:color w:val="000000" w:themeColor="text1"/>
                      <w:sz w:val="21"/>
                      <w:szCs w:val="21"/>
                      <w:u w:val="single" w:color="auto"/>
                      <w14:textFill>
                        <w14:solidFill>
                          <w14:schemeClr w14:val="tx1"/>
                        </w14:solidFill>
                      </w14:textFill>
                    </w:rPr>
                  </w:pPr>
                </w:p>
              </w:tc>
              <w:tc>
                <w:tcPr>
                  <w:tcW w:w="1533" w:type="dxa"/>
                  <w:tcBorders>
                    <w:tl2br w:val="nil"/>
                    <w:tr2bl w:val="nil"/>
                  </w:tcBorders>
                  <w:vAlign w:val="center"/>
                </w:tcPr>
                <w:p w14:paraId="6C5CE103">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000000" w:themeColor="text1"/>
                      <w:sz w:val="21"/>
                      <w:szCs w:val="21"/>
                      <w:u w:val="single" w:color="auto"/>
                      <w:lang w:val="en-US" w:eastAsia="zh-CN"/>
                      <w14:textFill>
                        <w14:solidFill>
                          <w14:schemeClr w14:val="tx1"/>
                        </w14:solidFill>
                      </w14:textFill>
                    </w:rPr>
                  </w:pPr>
                  <w:r>
                    <w:rPr>
                      <w:rFonts w:hint="eastAsia"/>
                      <w:color w:val="000000" w:themeColor="text1"/>
                      <w:sz w:val="21"/>
                      <w:szCs w:val="21"/>
                      <w:u w:val="single" w:color="auto"/>
                      <w:lang w:val="en-US" w:eastAsia="zh-CN"/>
                      <w14:textFill>
                        <w14:solidFill>
                          <w14:schemeClr w14:val="tx1"/>
                        </w14:solidFill>
                      </w14:textFill>
                    </w:rPr>
                    <w:t>点胶有机废气</w:t>
                  </w:r>
                </w:p>
              </w:tc>
              <w:tc>
                <w:tcPr>
                  <w:tcW w:w="3902" w:type="dxa"/>
                  <w:tcBorders>
                    <w:tl2br w:val="nil"/>
                    <w:tr2bl w:val="nil"/>
                  </w:tcBorders>
                  <w:vAlign w:val="center"/>
                </w:tcPr>
                <w:p w14:paraId="610AB07F">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加强车间通风后无组织排放</w:t>
                  </w:r>
                </w:p>
              </w:tc>
              <w:tc>
                <w:tcPr>
                  <w:tcW w:w="923" w:type="dxa"/>
                  <w:tcBorders>
                    <w:tl2br w:val="nil"/>
                    <w:tr2bl w:val="nil"/>
                  </w:tcBorders>
                  <w:vAlign w:val="center"/>
                </w:tcPr>
                <w:p w14:paraId="137A776D">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新建</w:t>
                  </w:r>
                </w:p>
              </w:tc>
            </w:tr>
            <w:tr w14:paraId="56122E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1055" w:type="dxa"/>
                  <w:vMerge w:val="continue"/>
                  <w:tcBorders>
                    <w:tl2br w:val="nil"/>
                    <w:tr2bl w:val="nil"/>
                  </w:tcBorders>
                  <w:vAlign w:val="center"/>
                </w:tcPr>
                <w:p w14:paraId="38AE7AB5">
                  <w:pPr>
                    <w:keepNext w:val="0"/>
                    <w:keepLines w:val="0"/>
                    <w:pageBreakBefore w:val="0"/>
                    <w:widowControl w:val="0"/>
                    <w:kinsoku/>
                    <w:wordWrap/>
                    <w:overflowPunct/>
                    <w:topLinePunct w:val="0"/>
                    <w:autoSpaceDE/>
                    <w:autoSpaceDN/>
                    <w:bidi w:val="0"/>
                    <w:spacing w:line="240" w:lineRule="auto"/>
                    <w:jc w:val="center"/>
                    <w:textAlignment w:val="auto"/>
                    <w:rPr>
                      <w:bCs/>
                      <w:color w:val="000000" w:themeColor="text1"/>
                      <w:sz w:val="21"/>
                      <w:szCs w:val="21"/>
                      <w:u w:val="single" w:color="auto"/>
                      <w14:textFill>
                        <w14:solidFill>
                          <w14:schemeClr w14:val="tx1"/>
                        </w14:solidFill>
                      </w14:textFill>
                    </w:rPr>
                  </w:pPr>
                </w:p>
              </w:tc>
              <w:tc>
                <w:tcPr>
                  <w:tcW w:w="2447" w:type="dxa"/>
                  <w:gridSpan w:val="2"/>
                  <w:tcBorders>
                    <w:tl2br w:val="nil"/>
                    <w:tr2bl w:val="nil"/>
                  </w:tcBorders>
                  <w:vAlign w:val="center"/>
                </w:tcPr>
                <w:p w14:paraId="4E2142CC">
                  <w:pPr>
                    <w:keepNext w:val="0"/>
                    <w:keepLines w:val="0"/>
                    <w:pageBreakBefore w:val="0"/>
                    <w:widowControl w:val="0"/>
                    <w:kinsoku/>
                    <w:wordWrap/>
                    <w:overflowPunct/>
                    <w:topLinePunct w:val="0"/>
                    <w:autoSpaceDE/>
                    <w:autoSpaceDN/>
                    <w:bidi w:val="0"/>
                    <w:spacing w:line="240" w:lineRule="auto"/>
                    <w:jc w:val="center"/>
                    <w:textAlignment w:val="auto"/>
                    <w:rPr>
                      <w:color w:val="000000" w:themeColor="text1"/>
                      <w:sz w:val="21"/>
                      <w:szCs w:val="21"/>
                      <w:u w:val="single" w:color="auto"/>
                      <w14:textFill>
                        <w14:solidFill>
                          <w14:schemeClr w14:val="tx1"/>
                        </w14:solidFill>
                      </w14:textFill>
                    </w:rPr>
                  </w:pPr>
                  <w:r>
                    <w:rPr>
                      <w:color w:val="000000" w:themeColor="text1"/>
                      <w:sz w:val="21"/>
                      <w:szCs w:val="21"/>
                      <w:u w:val="single" w:color="auto"/>
                      <w14:textFill>
                        <w14:solidFill>
                          <w14:schemeClr w14:val="tx1"/>
                        </w14:solidFill>
                      </w14:textFill>
                    </w:rPr>
                    <w:t>噪声</w:t>
                  </w:r>
                  <w:r>
                    <w:rPr>
                      <w:rFonts w:hint="eastAsia"/>
                      <w:color w:val="000000" w:themeColor="text1"/>
                      <w:sz w:val="21"/>
                      <w:szCs w:val="21"/>
                      <w:u w:val="single" w:color="auto"/>
                      <w:lang w:val="en-US" w:eastAsia="zh-CN"/>
                      <w14:textFill>
                        <w14:solidFill>
                          <w14:schemeClr w14:val="tx1"/>
                        </w14:solidFill>
                      </w14:textFill>
                    </w:rPr>
                    <w:t>防治措施</w:t>
                  </w:r>
                </w:p>
              </w:tc>
              <w:tc>
                <w:tcPr>
                  <w:tcW w:w="3902" w:type="dxa"/>
                  <w:tcBorders>
                    <w:tl2br w:val="nil"/>
                    <w:tr2bl w:val="nil"/>
                  </w:tcBorders>
                  <w:vAlign w:val="center"/>
                </w:tcPr>
                <w:p w14:paraId="12E2550D">
                  <w:pPr>
                    <w:keepNext w:val="0"/>
                    <w:keepLines w:val="0"/>
                    <w:pageBreakBefore w:val="0"/>
                    <w:widowControl w:val="0"/>
                    <w:kinsoku/>
                    <w:wordWrap/>
                    <w:overflowPunct/>
                    <w:topLinePunct w:val="0"/>
                    <w:autoSpaceDE/>
                    <w:autoSpaceDN/>
                    <w:bidi w:val="0"/>
                    <w:spacing w:line="240" w:lineRule="auto"/>
                    <w:jc w:val="center"/>
                    <w:textAlignment w:val="auto"/>
                    <w:rPr>
                      <w:rFonts w:hint="eastAsia" w:eastAsia="宋体"/>
                      <w:color w:val="000000" w:themeColor="text1"/>
                      <w:sz w:val="21"/>
                      <w:szCs w:val="21"/>
                      <w:u w:val="single" w:color="auto"/>
                      <w:lang w:eastAsia="zh-CN"/>
                      <w14:textFill>
                        <w14:solidFill>
                          <w14:schemeClr w14:val="tx1"/>
                        </w14:solidFill>
                      </w14:textFill>
                    </w:rPr>
                  </w:pPr>
                  <w:r>
                    <w:rPr>
                      <w:rFonts w:hint="eastAsia"/>
                      <w:color w:val="000000" w:themeColor="text1"/>
                      <w:sz w:val="21"/>
                      <w:szCs w:val="21"/>
                      <w:u w:val="single" w:color="auto"/>
                      <w14:textFill>
                        <w14:solidFill>
                          <w14:schemeClr w14:val="tx1"/>
                        </w14:solidFill>
                      </w14:textFill>
                    </w:rPr>
                    <w:t>选用</w:t>
                  </w:r>
                  <w:r>
                    <w:rPr>
                      <w:rFonts w:hint="eastAsia" w:eastAsia="宋体"/>
                      <w:color w:val="000000" w:themeColor="text1"/>
                      <w:sz w:val="21"/>
                      <w:szCs w:val="21"/>
                      <w:u w:val="single" w:color="auto"/>
                      <w14:textFill>
                        <w14:solidFill>
                          <w14:schemeClr w14:val="tx1"/>
                        </w14:solidFill>
                      </w14:textFill>
                    </w:rPr>
                    <w:t>低噪声设备，利用厂房进行隔声，</w:t>
                  </w:r>
                  <w:r>
                    <w:rPr>
                      <w:rFonts w:hint="eastAsia" w:eastAsia="宋体"/>
                      <w:color w:val="000000" w:themeColor="text1"/>
                      <w:sz w:val="21"/>
                      <w:szCs w:val="21"/>
                      <w:u w:val="single" w:color="auto"/>
                      <w:lang w:val="en-US" w:eastAsia="zh-CN"/>
                      <w14:textFill>
                        <w14:solidFill>
                          <w14:schemeClr w14:val="tx1"/>
                        </w14:solidFill>
                      </w14:textFill>
                    </w:rPr>
                    <w:t>基础减震、</w:t>
                  </w:r>
                  <w:r>
                    <w:rPr>
                      <w:rFonts w:hint="eastAsia" w:eastAsia="宋体"/>
                      <w:color w:val="000000" w:themeColor="text1"/>
                      <w:sz w:val="21"/>
                      <w:szCs w:val="21"/>
                      <w:u w:val="single" w:color="auto"/>
                      <w14:textFill>
                        <w14:solidFill>
                          <w14:schemeClr w14:val="tx1"/>
                        </w14:solidFill>
                      </w14:textFill>
                    </w:rPr>
                    <w:t>合理布置，加</w:t>
                  </w:r>
                  <w:r>
                    <w:rPr>
                      <w:rFonts w:hint="eastAsia"/>
                      <w:color w:val="000000" w:themeColor="text1"/>
                      <w:sz w:val="21"/>
                      <w:szCs w:val="21"/>
                      <w:u w:val="single" w:color="auto"/>
                      <w14:textFill>
                        <w14:solidFill>
                          <w14:schemeClr w14:val="tx1"/>
                        </w14:solidFill>
                      </w14:textFill>
                    </w:rPr>
                    <w:t>强管理</w:t>
                  </w:r>
                </w:p>
              </w:tc>
              <w:tc>
                <w:tcPr>
                  <w:tcW w:w="923" w:type="dxa"/>
                  <w:tcBorders>
                    <w:tl2br w:val="nil"/>
                    <w:tr2bl w:val="nil"/>
                  </w:tcBorders>
                  <w:vAlign w:val="center"/>
                </w:tcPr>
                <w:p w14:paraId="7638A1EE">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000000" w:themeColor="text1"/>
                      <w:sz w:val="21"/>
                      <w:szCs w:val="21"/>
                      <w:u w:val="single" w:color="auto"/>
                      <w:lang w:val="en-US"/>
                      <w14:textFill>
                        <w14:solidFill>
                          <w14:schemeClr w14:val="tx1"/>
                        </w14:solidFill>
                      </w14:textFill>
                    </w:rPr>
                  </w:pPr>
                  <w:r>
                    <w:rPr>
                      <w:rFonts w:hint="eastAsia" w:ascii="Times New Roman" w:hAnsi="Times New Roman" w:eastAsia="宋体" w:cs="Times New Roman"/>
                      <w:color w:val="000000" w:themeColor="text1"/>
                      <w:sz w:val="21"/>
                      <w:szCs w:val="21"/>
                      <w:u w:val="single" w:color="auto"/>
                      <w:lang w:val="en-US" w:eastAsia="zh-CN"/>
                      <w14:textFill>
                        <w14:solidFill>
                          <w14:schemeClr w14:val="tx1"/>
                        </w14:solidFill>
                      </w14:textFill>
                    </w:rPr>
                    <w:t>新建</w:t>
                  </w:r>
                </w:p>
              </w:tc>
            </w:tr>
            <w:tr w14:paraId="0D57D0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1055" w:type="dxa"/>
                  <w:vMerge w:val="continue"/>
                  <w:tcBorders>
                    <w:tl2br w:val="nil"/>
                    <w:tr2bl w:val="nil"/>
                  </w:tcBorders>
                  <w:vAlign w:val="center"/>
                </w:tcPr>
                <w:p w14:paraId="54D0C4F1">
                  <w:pPr>
                    <w:keepNext w:val="0"/>
                    <w:keepLines w:val="0"/>
                    <w:pageBreakBefore w:val="0"/>
                    <w:widowControl w:val="0"/>
                    <w:kinsoku/>
                    <w:wordWrap/>
                    <w:overflowPunct/>
                    <w:topLinePunct w:val="0"/>
                    <w:autoSpaceDE/>
                    <w:autoSpaceDN/>
                    <w:bidi w:val="0"/>
                    <w:spacing w:line="240" w:lineRule="auto"/>
                    <w:jc w:val="center"/>
                    <w:textAlignment w:val="auto"/>
                    <w:rPr>
                      <w:bCs/>
                      <w:sz w:val="21"/>
                      <w:szCs w:val="21"/>
                      <w:u w:val="single" w:color="auto"/>
                    </w:rPr>
                  </w:pPr>
                </w:p>
              </w:tc>
              <w:tc>
                <w:tcPr>
                  <w:tcW w:w="914" w:type="dxa"/>
                  <w:vMerge w:val="restart"/>
                  <w:tcBorders>
                    <w:tl2br w:val="nil"/>
                    <w:tr2bl w:val="nil"/>
                  </w:tcBorders>
                  <w:vAlign w:val="center"/>
                </w:tcPr>
                <w:p w14:paraId="31CC2AA1">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sz w:val="21"/>
                      <w:szCs w:val="21"/>
                      <w:u w:val="single" w:color="auto"/>
                      <w:lang w:val="en-US" w:eastAsia="zh-CN"/>
                    </w:rPr>
                  </w:pPr>
                  <w:r>
                    <w:rPr>
                      <w:rFonts w:hint="eastAsia"/>
                      <w:sz w:val="21"/>
                      <w:szCs w:val="21"/>
                      <w:u w:val="single" w:color="auto"/>
                      <w:lang w:val="en-US" w:eastAsia="zh-CN"/>
                    </w:rPr>
                    <w:t>固废收集</w:t>
                  </w:r>
                </w:p>
              </w:tc>
              <w:tc>
                <w:tcPr>
                  <w:tcW w:w="1533" w:type="dxa"/>
                  <w:tcBorders>
                    <w:tl2br w:val="nil"/>
                    <w:tr2bl w:val="nil"/>
                  </w:tcBorders>
                  <w:vAlign w:val="center"/>
                </w:tcPr>
                <w:p w14:paraId="4A617652">
                  <w:pPr>
                    <w:keepNext w:val="0"/>
                    <w:keepLines w:val="0"/>
                    <w:pageBreakBefore w:val="0"/>
                    <w:widowControl w:val="0"/>
                    <w:kinsoku/>
                    <w:wordWrap/>
                    <w:overflowPunct/>
                    <w:topLinePunct w:val="0"/>
                    <w:autoSpaceDE/>
                    <w:autoSpaceDN/>
                    <w:bidi w:val="0"/>
                    <w:spacing w:line="240" w:lineRule="auto"/>
                    <w:jc w:val="center"/>
                    <w:textAlignment w:val="auto"/>
                    <w:rPr>
                      <w:rFonts w:hint="default"/>
                      <w:sz w:val="21"/>
                      <w:szCs w:val="21"/>
                      <w:u w:val="single" w:color="auto"/>
                      <w:lang w:val="en-US" w:eastAsia="zh-CN"/>
                    </w:rPr>
                  </w:pPr>
                  <w:r>
                    <w:rPr>
                      <w:rFonts w:hint="eastAsia"/>
                      <w:sz w:val="21"/>
                      <w:szCs w:val="21"/>
                      <w:u w:val="single" w:color="auto"/>
                      <w:lang w:val="en-US" w:eastAsia="zh-CN"/>
                    </w:rPr>
                    <w:t>废铜线边角料</w:t>
                  </w:r>
                </w:p>
              </w:tc>
              <w:tc>
                <w:tcPr>
                  <w:tcW w:w="3902" w:type="dxa"/>
                  <w:vMerge w:val="restart"/>
                  <w:tcBorders>
                    <w:tl2br w:val="nil"/>
                    <w:tr2bl w:val="nil"/>
                  </w:tcBorders>
                  <w:vAlign w:val="center"/>
                </w:tcPr>
                <w:p w14:paraId="2B423C10">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宋体"/>
                      <w:color w:val="000000"/>
                      <w:sz w:val="21"/>
                      <w:szCs w:val="21"/>
                      <w:u w:val="single" w:color="auto"/>
                      <w:lang w:val="en-US" w:eastAsia="zh-CN"/>
                    </w:rPr>
                  </w:pPr>
                  <w:r>
                    <w:rPr>
                      <w:rFonts w:hint="eastAsia" w:ascii="Times New Roman" w:hAnsi="Times New Roman" w:eastAsia="宋体" w:cs="Times New Roman"/>
                      <w:color w:val="000000" w:themeColor="text1"/>
                      <w:kern w:val="2"/>
                      <w:sz w:val="21"/>
                      <w:szCs w:val="21"/>
                      <w:u w:val="single" w:color="auto"/>
                      <w:lang w:val="en-US" w:eastAsia="zh-CN" w:bidi="ar-SA"/>
                      <w14:textFill>
                        <w14:solidFill>
                          <w14:schemeClr w14:val="tx1"/>
                        </w14:solidFill>
                      </w14:textFill>
                    </w:rPr>
                    <w:t>收集后外售废品回收公司；</w:t>
                  </w:r>
                </w:p>
              </w:tc>
              <w:tc>
                <w:tcPr>
                  <w:tcW w:w="923" w:type="dxa"/>
                  <w:tcBorders>
                    <w:tl2br w:val="nil"/>
                    <w:tr2bl w:val="nil"/>
                  </w:tcBorders>
                  <w:vAlign w:val="center"/>
                </w:tcPr>
                <w:p w14:paraId="6DE86557">
                  <w:pPr>
                    <w:keepNext w:val="0"/>
                    <w:keepLines w:val="0"/>
                    <w:pageBreakBefore w:val="0"/>
                    <w:widowControl w:val="0"/>
                    <w:kinsoku/>
                    <w:wordWrap/>
                    <w:overflowPunct/>
                    <w:topLinePunct w:val="0"/>
                    <w:autoSpaceDE/>
                    <w:autoSpaceDN/>
                    <w:bidi w:val="0"/>
                    <w:spacing w:line="240" w:lineRule="auto"/>
                    <w:jc w:val="center"/>
                    <w:textAlignment w:val="auto"/>
                    <w:rPr>
                      <w:rFonts w:hint="eastAsia" w:eastAsia="宋体"/>
                      <w:color w:val="000000"/>
                      <w:sz w:val="21"/>
                      <w:szCs w:val="21"/>
                      <w:u w:val="single" w:color="auto"/>
                      <w:lang w:eastAsia="zh-CN"/>
                    </w:rPr>
                  </w:pPr>
                  <w:r>
                    <w:rPr>
                      <w:rFonts w:hint="eastAsia" w:ascii="Times New Roman" w:hAnsi="Times New Roman" w:eastAsia="宋体" w:cs="Times New Roman"/>
                      <w:color w:val="000000" w:themeColor="text1"/>
                      <w:sz w:val="21"/>
                      <w:szCs w:val="21"/>
                      <w:u w:val="single" w:color="auto"/>
                      <w:lang w:val="en-US" w:eastAsia="zh-CN"/>
                      <w14:textFill>
                        <w14:solidFill>
                          <w14:schemeClr w14:val="tx1"/>
                        </w14:solidFill>
                      </w14:textFill>
                    </w:rPr>
                    <w:t>新建</w:t>
                  </w:r>
                </w:p>
              </w:tc>
            </w:tr>
            <w:tr w14:paraId="7855A4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1055" w:type="dxa"/>
                  <w:vMerge w:val="continue"/>
                  <w:tcBorders>
                    <w:tl2br w:val="nil"/>
                    <w:tr2bl w:val="nil"/>
                  </w:tcBorders>
                  <w:vAlign w:val="center"/>
                </w:tcPr>
                <w:p w14:paraId="1BAB5881">
                  <w:pPr>
                    <w:keepNext w:val="0"/>
                    <w:keepLines w:val="0"/>
                    <w:pageBreakBefore w:val="0"/>
                    <w:widowControl w:val="0"/>
                    <w:kinsoku/>
                    <w:wordWrap/>
                    <w:overflowPunct/>
                    <w:topLinePunct w:val="0"/>
                    <w:autoSpaceDE/>
                    <w:autoSpaceDN/>
                    <w:bidi w:val="0"/>
                    <w:spacing w:line="240" w:lineRule="auto"/>
                    <w:jc w:val="center"/>
                    <w:textAlignment w:val="auto"/>
                    <w:rPr>
                      <w:bCs/>
                      <w:sz w:val="21"/>
                      <w:szCs w:val="21"/>
                      <w:u w:val="single" w:color="auto"/>
                    </w:rPr>
                  </w:pPr>
                </w:p>
              </w:tc>
              <w:tc>
                <w:tcPr>
                  <w:tcW w:w="914" w:type="dxa"/>
                  <w:vMerge w:val="continue"/>
                  <w:tcBorders>
                    <w:tl2br w:val="nil"/>
                    <w:tr2bl w:val="nil"/>
                  </w:tcBorders>
                  <w:vAlign w:val="center"/>
                </w:tcPr>
                <w:p w14:paraId="1EB875C5">
                  <w:pPr>
                    <w:keepNext w:val="0"/>
                    <w:keepLines w:val="0"/>
                    <w:pageBreakBefore w:val="0"/>
                    <w:widowControl w:val="0"/>
                    <w:kinsoku/>
                    <w:wordWrap/>
                    <w:overflowPunct/>
                    <w:topLinePunct w:val="0"/>
                    <w:autoSpaceDE/>
                    <w:autoSpaceDN/>
                    <w:bidi w:val="0"/>
                    <w:spacing w:line="240" w:lineRule="auto"/>
                    <w:jc w:val="center"/>
                    <w:textAlignment w:val="auto"/>
                    <w:rPr>
                      <w:rFonts w:hint="eastAsia"/>
                      <w:sz w:val="21"/>
                      <w:szCs w:val="21"/>
                      <w:u w:val="single" w:color="auto"/>
                      <w:lang w:val="en-US" w:eastAsia="zh-CN"/>
                    </w:rPr>
                  </w:pPr>
                </w:p>
              </w:tc>
              <w:tc>
                <w:tcPr>
                  <w:tcW w:w="1533" w:type="dxa"/>
                  <w:tcBorders>
                    <w:tl2br w:val="nil"/>
                    <w:tr2bl w:val="nil"/>
                  </w:tcBorders>
                  <w:vAlign w:val="center"/>
                </w:tcPr>
                <w:p w14:paraId="76E7ACC1">
                  <w:pPr>
                    <w:keepNext w:val="0"/>
                    <w:keepLines w:val="0"/>
                    <w:pageBreakBefore w:val="0"/>
                    <w:widowControl w:val="0"/>
                    <w:kinsoku/>
                    <w:wordWrap/>
                    <w:overflowPunct/>
                    <w:topLinePunct w:val="0"/>
                    <w:autoSpaceDE/>
                    <w:autoSpaceDN/>
                    <w:bidi w:val="0"/>
                    <w:spacing w:line="240" w:lineRule="auto"/>
                    <w:jc w:val="center"/>
                    <w:textAlignment w:val="auto"/>
                    <w:rPr>
                      <w:rFonts w:hint="default"/>
                      <w:sz w:val="21"/>
                      <w:szCs w:val="21"/>
                      <w:u w:val="single" w:color="auto"/>
                      <w:lang w:val="en-US" w:eastAsia="zh-CN"/>
                    </w:rPr>
                  </w:pPr>
                  <w:r>
                    <w:rPr>
                      <w:rFonts w:hint="eastAsia"/>
                      <w:sz w:val="21"/>
                      <w:szCs w:val="21"/>
                      <w:u w:val="single" w:color="auto"/>
                      <w:lang w:val="en-US" w:eastAsia="zh-CN"/>
                    </w:rPr>
                    <w:t>不合格品</w:t>
                  </w:r>
                </w:p>
              </w:tc>
              <w:tc>
                <w:tcPr>
                  <w:tcW w:w="3902" w:type="dxa"/>
                  <w:vMerge w:val="continue"/>
                  <w:tcBorders>
                    <w:tl2br w:val="nil"/>
                    <w:tr2bl w:val="nil"/>
                  </w:tcBorders>
                  <w:vAlign w:val="center"/>
                </w:tcPr>
                <w:p w14:paraId="5E9395FF">
                  <w:pPr>
                    <w:keepNext w:val="0"/>
                    <w:keepLines w:val="0"/>
                    <w:pageBreakBefore w:val="0"/>
                    <w:widowControl w:val="0"/>
                    <w:kinsoku/>
                    <w:wordWrap/>
                    <w:overflowPunct/>
                    <w:topLinePunct w:val="0"/>
                    <w:autoSpaceDE/>
                    <w:autoSpaceDN/>
                    <w:bidi w:val="0"/>
                    <w:spacing w:line="240" w:lineRule="auto"/>
                    <w:jc w:val="center"/>
                    <w:textAlignment w:val="auto"/>
                    <w:rPr>
                      <w:color w:val="000000" w:themeColor="text1"/>
                      <w:kern w:val="0"/>
                      <w:sz w:val="21"/>
                      <w:szCs w:val="21"/>
                      <w:u w:val="single" w:color="auto"/>
                      <w:lang w:bidi="ar"/>
                      <w14:textFill>
                        <w14:solidFill>
                          <w14:schemeClr w14:val="tx1"/>
                        </w14:solidFill>
                      </w14:textFill>
                    </w:rPr>
                  </w:pPr>
                </w:p>
              </w:tc>
              <w:tc>
                <w:tcPr>
                  <w:tcW w:w="923" w:type="dxa"/>
                  <w:tcBorders>
                    <w:tl2br w:val="nil"/>
                    <w:tr2bl w:val="nil"/>
                  </w:tcBorders>
                  <w:vAlign w:val="center"/>
                </w:tcPr>
                <w:p w14:paraId="4F9805D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新建</w:t>
                  </w:r>
                </w:p>
              </w:tc>
            </w:tr>
            <w:tr w14:paraId="36F563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1055" w:type="dxa"/>
                  <w:vMerge w:val="continue"/>
                  <w:tcBorders>
                    <w:tl2br w:val="nil"/>
                    <w:tr2bl w:val="nil"/>
                  </w:tcBorders>
                  <w:vAlign w:val="center"/>
                </w:tcPr>
                <w:p w14:paraId="7D5348D8">
                  <w:pPr>
                    <w:keepNext w:val="0"/>
                    <w:keepLines w:val="0"/>
                    <w:pageBreakBefore w:val="0"/>
                    <w:widowControl w:val="0"/>
                    <w:kinsoku/>
                    <w:wordWrap/>
                    <w:overflowPunct/>
                    <w:topLinePunct w:val="0"/>
                    <w:autoSpaceDE/>
                    <w:autoSpaceDN/>
                    <w:bidi w:val="0"/>
                    <w:spacing w:line="240" w:lineRule="auto"/>
                    <w:jc w:val="center"/>
                    <w:textAlignment w:val="auto"/>
                    <w:rPr>
                      <w:bCs/>
                      <w:sz w:val="21"/>
                      <w:szCs w:val="21"/>
                      <w:u w:val="single" w:color="auto"/>
                    </w:rPr>
                  </w:pPr>
                </w:p>
              </w:tc>
              <w:tc>
                <w:tcPr>
                  <w:tcW w:w="914" w:type="dxa"/>
                  <w:vMerge w:val="continue"/>
                  <w:tcBorders>
                    <w:tl2br w:val="nil"/>
                    <w:tr2bl w:val="nil"/>
                  </w:tcBorders>
                  <w:vAlign w:val="center"/>
                </w:tcPr>
                <w:p w14:paraId="07161A2B">
                  <w:pPr>
                    <w:keepNext w:val="0"/>
                    <w:keepLines w:val="0"/>
                    <w:pageBreakBefore w:val="0"/>
                    <w:widowControl w:val="0"/>
                    <w:kinsoku/>
                    <w:wordWrap/>
                    <w:overflowPunct/>
                    <w:topLinePunct w:val="0"/>
                    <w:autoSpaceDE/>
                    <w:autoSpaceDN/>
                    <w:bidi w:val="0"/>
                    <w:spacing w:line="240" w:lineRule="auto"/>
                    <w:jc w:val="center"/>
                    <w:textAlignment w:val="auto"/>
                    <w:rPr>
                      <w:rFonts w:hint="eastAsia"/>
                      <w:sz w:val="21"/>
                      <w:szCs w:val="21"/>
                      <w:u w:val="single" w:color="auto"/>
                      <w:lang w:val="en-US" w:eastAsia="zh-CN"/>
                    </w:rPr>
                  </w:pPr>
                </w:p>
              </w:tc>
              <w:tc>
                <w:tcPr>
                  <w:tcW w:w="1533" w:type="dxa"/>
                  <w:tcBorders>
                    <w:tl2br w:val="nil"/>
                    <w:tr2bl w:val="nil"/>
                  </w:tcBorders>
                  <w:vAlign w:val="center"/>
                </w:tcPr>
                <w:p w14:paraId="31954A02">
                  <w:pPr>
                    <w:keepNext w:val="0"/>
                    <w:keepLines w:val="0"/>
                    <w:pageBreakBefore w:val="0"/>
                    <w:widowControl w:val="0"/>
                    <w:kinsoku/>
                    <w:wordWrap/>
                    <w:overflowPunct/>
                    <w:topLinePunct w:val="0"/>
                    <w:autoSpaceDE/>
                    <w:autoSpaceDN/>
                    <w:bidi w:val="0"/>
                    <w:spacing w:line="240" w:lineRule="auto"/>
                    <w:jc w:val="center"/>
                    <w:textAlignment w:val="auto"/>
                    <w:rPr>
                      <w:rFonts w:hint="default"/>
                      <w:sz w:val="21"/>
                      <w:szCs w:val="21"/>
                      <w:u w:val="single" w:color="auto"/>
                      <w:lang w:val="en-US" w:eastAsia="zh-CN"/>
                    </w:rPr>
                  </w:pPr>
                  <w:r>
                    <w:rPr>
                      <w:rFonts w:hint="eastAsia"/>
                      <w:sz w:val="21"/>
                      <w:szCs w:val="21"/>
                      <w:u w:val="single" w:color="auto"/>
                      <w:lang w:val="en-US" w:eastAsia="zh-CN"/>
                    </w:rPr>
                    <w:t>锡渣</w:t>
                  </w:r>
                </w:p>
              </w:tc>
              <w:tc>
                <w:tcPr>
                  <w:tcW w:w="3902" w:type="dxa"/>
                  <w:tcBorders>
                    <w:tl2br w:val="nil"/>
                    <w:tr2bl w:val="nil"/>
                  </w:tcBorders>
                  <w:vAlign w:val="center"/>
                </w:tcPr>
                <w:p w14:paraId="22F4B371">
                  <w:pPr>
                    <w:keepNext w:val="0"/>
                    <w:keepLines w:val="0"/>
                    <w:pageBreakBefore w:val="0"/>
                    <w:widowControl w:val="0"/>
                    <w:kinsoku/>
                    <w:wordWrap/>
                    <w:overflowPunct/>
                    <w:topLinePunct w:val="0"/>
                    <w:autoSpaceDE/>
                    <w:autoSpaceDN/>
                    <w:bidi w:val="0"/>
                    <w:spacing w:line="240" w:lineRule="auto"/>
                    <w:jc w:val="center"/>
                    <w:textAlignment w:val="auto"/>
                    <w:rPr>
                      <w:color w:val="000000" w:themeColor="text1"/>
                      <w:kern w:val="0"/>
                      <w:sz w:val="21"/>
                      <w:szCs w:val="21"/>
                      <w:u w:val="single" w:color="auto"/>
                      <w:lang w:bidi="ar"/>
                      <w14:textFill>
                        <w14:solidFill>
                          <w14:schemeClr w14:val="tx1"/>
                        </w14:solidFill>
                      </w14:textFill>
                    </w:rPr>
                  </w:pPr>
                  <w:r>
                    <w:rPr>
                      <w:rFonts w:hint="eastAsia" w:ascii="Times New Roman" w:hAnsi="Times New Roman" w:eastAsia="宋体" w:cs="Times New Roman"/>
                      <w:color w:val="000000" w:themeColor="text1"/>
                      <w:kern w:val="2"/>
                      <w:sz w:val="21"/>
                      <w:szCs w:val="21"/>
                      <w:u w:val="single" w:color="auto"/>
                      <w:lang w:val="en-US" w:eastAsia="zh-CN" w:bidi="ar-SA"/>
                      <w14:textFill>
                        <w14:solidFill>
                          <w14:schemeClr w14:val="tx1"/>
                        </w14:solidFill>
                      </w14:textFill>
                    </w:rPr>
                    <w:t>收集后交由厂</w:t>
                  </w:r>
                  <w:r>
                    <w:rPr>
                      <w:rFonts w:hint="eastAsia" w:cs="Times New Roman"/>
                      <w:color w:val="000000" w:themeColor="text1"/>
                      <w:kern w:val="2"/>
                      <w:sz w:val="21"/>
                      <w:szCs w:val="21"/>
                      <w:u w:val="single" w:color="auto"/>
                      <w:lang w:val="en-US" w:eastAsia="zh-CN" w:bidi="ar-SA"/>
                      <w14:textFill>
                        <w14:solidFill>
                          <w14:schemeClr w14:val="tx1"/>
                        </w14:solidFill>
                      </w14:textFill>
                    </w:rPr>
                    <w:t>家</w:t>
                  </w:r>
                  <w:r>
                    <w:rPr>
                      <w:rFonts w:hint="eastAsia" w:ascii="Times New Roman" w:hAnsi="Times New Roman" w:eastAsia="宋体" w:cs="Times New Roman"/>
                      <w:color w:val="000000" w:themeColor="text1"/>
                      <w:kern w:val="2"/>
                      <w:sz w:val="21"/>
                      <w:szCs w:val="21"/>
                      <w:u w:val="single" w:color="auto"/>
                      <w:lang w:val="en-US" w:eastAsia="zh-CN" w:bidi="ar-SA"/>
                      <w14:textFill>
                        <w14:solidFill>
                          <w14:schemeClr w14:val="tx1"/>
                        </w14:solidFill>
                      </w14:textFill>
                    </w:rPr>
                    <w:t>回收利用</w:t>
                  </w:r>
                </w:p>
              </w:tc>
              <w:tc>
                <w:tcPr>
                  <w:tcW w:w="923" w:type="dxa"/>
                  <w:tcBorders>
                    <w:tl2br w:val="nil"/>
                    <w:tr2bl w:val="nil"/>
                  </w:tcBorders>
                  <w:vAlign w:val="center"/>
                </w:tcPr>
                <w:p w14:paraId="5C96FAB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新建</w:t>
                  </w:r>
                </w:p>
              </w:tc>
            </w:tr>
            <w:tr w14:paraId="0EF3F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55" w:type="dxa"/>
                  <w:vMerge w:val="continue"/>
                  <w:tcBorders>
                    <w:tl2br w:val="nil"/>
                    <w:tr2bl w:val="nil"/>
                  </w:tcBorders>
                  <w:vAlign w:val="center"/>
                </w:tcPr>
                <w:p w14:paraId="7C587B13">
                  <w:pPr>
                    <w:keepNext w:val="0"/>
                    <w:keepLines w:val="0"/>
                    <w:pageBreakBefore w:val="0"/>
                    <w:widowControl w:val="0"/>
                    <w:kinsoku/>
                    <w:wordWrap/>
                    <w:overflowPunct/>
                    <w:topLinePunct w:val="0"/>
                    <w:autoSpaceDE/>
                    <w:autoSpaceDN/>
                    <w:bidi w:val="0"/>
                    <w:spacing w:line="240" w:lineRule="auto"/>
                    <w:jc w:val="center"/>
                    <w:textAlignment w:val="auto"/>
                    <w:rPr>
                      <w:bCs/>
                      <w:sz w:val="21"/>
                      <w:szCs w:val="21"/>
                      <w:u w:val="single" w:color="auto"/>
                    </w:rPr>
                  </w:pPr>
                </w:p>
              </w:tc>
              <w:tc>
                <w:tcPr>
                  <w:tcW w:w="914" w:type="dxa"/>
                  <w:vMerge w:val="continue"/>
                  <w:tcBorders>
                    <w:tl2br w:val="nil"/>
                    <w:tr2bl w:val="nil"/>
                  </w:tcBorders>
                  <w:vAlign w:val="center"/>
                </w:tcPr>
                <w:p w14:paraId="0CB641CE">
                  <w:pPr>
                    <w:keepNext w:val="0"/>
                    <w:keepLines w:val="0"/>
                    <w:pageBreakBefore w:val="0"/>
                    <w:widowControl w:val="0"/>
                    <w:kinsoku/>
                    <w:wordWrap/>
                    <w:overflowPunct/>
                    <w:topLinePunct w:val="0"/>
                    <w:autoSpaceDE/>
                    <w:autoSpaceDN/>
                    <w:bidi w:val="0"/>
                    <w:spacing w:line="240" w:lineRule="auto"/>
                    <w:jc w:val="center"/>
                    <w:textAlignment w:val="auto"/>
                    <w:rPr>
                      <w:sz w:val="21"/>
                      <w:szCs w:val="21"/>
                      <w:u w:val="single" w:color="auto"/>
                    </w:rPr>
                  </w:pPr>
                </w:p>
              </w:tc>
              <w:tc>
                <w:tcPr>
                  <w:tcW w:w="1533" w:type="dxa"/>
                  <w:tcBorders>
                    <w:tl2br w:val="nil"/>
                    <w:tr2bl w:val="nil"/>
                  </w:tcBorders>
                  <w:vAlign w:val="center"/>
                </w:tcPr>
                <w:p w14:paraId="7ECD5E80">
                  <w:pPr>
                    <w:keepNext w:val="0"/>
                    <w:keepLines w:val="0"/>
                    <w:pageBreakBefore w:val="0"/>
                    <w:widowControl w:val="0"/>
                    <w:kinsoku/>
                    <w:wordWrap/>
                    <w:overflowPunct/>
                    <w:topLinePunct w:val="0"/>
                    <w:autoSpaceDE/>
                    <w:autoSpaceDN/>
                    <w:bidi w:val="0"/>
                    <w:spacing w:line="240" w:lineRule="auto"/>
                    <w:jc w:val="center"/>
                    <w:textAlignment w:val="auto"/>
                    <w:rPr>
                      <w:rFonts w:hint="default"/>
                      <w:sz w:val="21"/>
                      <w:szCs w:val="21"/>
                      <w:u w:val="single" w:color="auto"/>
                      <w:lang w:val="en-US" w:eastAsia="zh-CN"/>
                    </w:rPr>
                  </w:pPr>
                  <w:r>
                    <w:rPr>
                      <w:rFonts w:hint="eastAsia" w:cs="Times New Roman"/>
                      <w:sz w:val="21"/>
                      <w:szCs w:val="21"/>
                      <w:u w:val="single" w:color="auto"/>
                      <w:lang w:val="en-US" w:eastAsia="zh-CN"/>
                    </w:rPr>
                    <w:t>废原料桶</w:t>
                  </w:r>
                </w:p>
              </w:tc>
              <w:tc>
                <w:tcPr>
                  <w:tcW w:w="3902" w:type="dxa"/>
                  <w:vMerge w:val="restart"/>
                  <w:tcBorders>
                    <w:tl2br w:val="nil"/>
                    <w:tr2bl w:val="nil"/>
                  </w:tcBorders>
                  <w:vAlign w:val="center"/>
                </w:tcPr>
                <w:p w14:paraId="7A8AD7A9">
                  <w:pPr>
                    <w:keepNext w:val="0"/>
                    <w:keepLines w:val="0"/>
                    <w:pageBreakBefore w:val="0"/>
                    <w:widowControl w:val="0"/>
                    <w:kinsoku/>
                    <w:wordWrap/>
                    <w:overflowPunct/>
                    <w:topLinePunct w:val="0"/>
                    <w:autoSpaceDE/>
                    <w:autoSpaceDN/>
                    <w:bidi w:val="0"/>
                    <w:spacing w:line="240" w:lineRule="auto"/>
                    <w:jc w:val="center"/>
                    <w:textAlignment w:val="auto"/>
                    <w:rPr>
                      <w:rFonts w:hint="eastAsia"/>
                      <w:color w:val="auto"/>
                      <w:sz w:val="21"/>
                      <w:szCs w:val="21"/>
                      <w:u w:val="single" w:color="auto"/>
                      <w:lang w:val="en-US" w:eastAsia="zh-CN"/>
                    </w:rPr>
                  </w:pPr>
                  <w:r>
                    <w:rPr>
                      <w:rFonts w:hint="eastAsia" w:ascii="Times New Roman" w:hAnsi="Times New Roman" w:eastAsia="宋体" w:cs="Times New Roman"/>
                      <w:sz w:val="21"/>
                      <w:szCs w:val="21"/>
                      <w:u w:val="single" w:color="auto"/>
                      <w:lang w:val="en-US" w:eastAsia="zh-CN"/>
                    </w:rPr>
                    <w:t>暂存于危废暂存间（5m</w:t>
                  </w:r>
                  <w:r>
                    <w:rPr>
                      <w:rFonts w:hint="eastAsia" w:ascii="Times New Roman" w:hAnsi="Times New Roman" w:eastAsia="宋体" w:cs="Times New Roman"/>
                      <w:sz w:val="21"/>
                      <w:szCs w:val="21"/>
                      <w:u w:val="single" w:color="auto"/>
                      <w:vertAlign w:val="superscript"/>
                      <w:lang w:val="en-US" w:eastAsia="zh-CN"/>
                    </w:rPr>
                    <w:t>2</w:t>
                  </w:r>
                  <w:r>
                    <w:rPr>
                      <w:rFonts w:hint="eastAsia" w:ascii="Times New Roman" w:hAnsi="Times New Roman" w:eastAsia="宋体" w:cs="Times New Roman"/>
                      <w:sz w:val="21"/>
                      <w:szCs w:val="21"/>
                      <w:u w:val="single" w:color="auto"/>
                      <w:lang w:val="en-US" w:eastAsia="zh-CN"/>
                    </w:rPr>
                    <w:t>），委托有资质单位处置</w:t>
                  </w:r>
                </w:p>
              </w:tc>
              <w:tc>
                <w:tcPr>
                  <w:tcW w:w="923" w:type="dxa"/>
                  <w:tcBorders>
                    <w:tl2br w:val="nil"/>
                    <w:tr2bl w:val="nil"/>
                  </w:tcBorders>
                  <w:vAlign w:val="center"/>
                </w:tcPr>
                <w:p w14:paraId="5B2D8FD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u w:val="singl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single" w:color="auto"/>
                      <w:lang w:val="en-US" w:eastAsia="zh-CN"/>
                      <w14:textFill>
                        <w14:solidFill>
                          <w14:schemeClr w14:val="tx1"/>
                        </w14:solidFill>
                      </w14:textFill>
                    </w:rPr>
                    <w:t>新建</w:t>
                  </w:r>
                </w:p>
              </w:tc>
            </w:tr>
            <w:tr w14:paraId="6999C0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55" w:type="dxa"/>
                  <w:vMerge w:val="continue"/>
                  <w:tcBorders>
                    <w:tl2br w:val="nil"/>
                    <w:tr2bl w:val="nil"/>
                  </w:tcBorders>
                  <w:vAlign w:val="center"/>
                </w:tcPr>
                <w:p w14:paraId="75D34131">
                  <w:pPr>
                    <w:keepNext w:val="0"/>
                    <w:keepLines w:val="0"/>
                    <w:pageBreakBefore w:val="0"/>
                    <w:widowControl w:val="0"/>
                    <w:kinsoku/>
                    <w:wordWrap/>
                    <w:overflowPunct/>
                    <w:topLinePunct w:val="0"/>
                    <w:autoSpaceDE/>
                    <w:autoSpaceDN/>
                    <w:bidi w:val="0"/>
                    <w:spacing w:line="240" w:lineRule="auto"/>
                    <w:jc w:val="center"/>
                    <w:textAlignment w:val="auto"/>
                    <w:rPr>
                      <w:bCs/>
                      <w:sz w:val="21"/>
                      <w:szCs w:val="21"/>
                      <w:u w:val="single" w:color="auto"/>
                    </w:rPr>
                  </w:pPr>
                </w:p>
              </w:tc>
              <w:tc>
                <w:tcPr>
                  <w:tcW w:w="914" w:type="dxa"/>
                  <w:vMerge w:val="continue"/>
                  <w:tcBorders>
                    <w:tl2br w:val="nil"/>
                    <w:tr2bl w:val="nil"/>
                  </w:tcBorders>
                  <w:vAlign w:val="center"/>
                </w:tcPr>
                <w:p w14:paraId="572AEBF9">
                  <w:pPr>
                    <w:keepNext w:val="0"/>
                    <w:keepLines w:val="0"/>
                    <w:pageBreakBefore w:val="0"/>
                    <w:widowControl w:val="0"/>
                    <w:kinsoku/>
                    <w:wordWrap/>
                    <w:overflowPunct/>
                    <w:topLinePunct w:val="0"/>
                    <w:autoSpaceDE/>
                    <w:autoSpaceDN/>
                    <w:bidi w:val="0"/>
                    <w:spacing w:line="240" w:lineRule="auto"/>
                    <w:jc w:val="center"/>
                    <w:textAlignment w:val="auto"/>
                    <w:rPr>
                      <w:sz w:val="21"/>
                      <w:szCs w:val="21"/>
                      <w:u w:val="single" w:color="auto"/>
                    </w:rPr>
                  </w:pPr>
                </w:p>
              </w:tc>
              <w:tc>
                <w:tcPr>
                  <w:tcW w:w="1533" w:type="dxa"/>
                  <w:tcBorders>
                    <w:tl2br w:val="nil"/>
                    <w:tr2bl w:val="nil"/>
                  </w:tcBorders>
                  <w:vAlign w:val="center"/>
                </w:tcPr>
                <w:p w14:paraId="1BC70810">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sz w:val="21"/>
                      <w:szCs w:val="21"/>
                      <w:u w:val="single" w:color="auto"/>
                      <w:lang w:val="en-US" w:eastAsia="zh-CN"/>
                    </w:rPr>
                  </w:pPr>
                  <w:r>
                    <w:rPr>
                      <w:rFonts w:hint="eastAsia" w:cs="Times New Roman"/>
                      <w:sz w:val="21"/>
                      <w:szCs w:val="21"/>
                      <w:u w:val="single" w:color="auto"/>
                      <w:lang w:val="en-US" w:eastAsia="zh-CN"/>
                    </w:rPr>
                    <w:t>废过滤棉</w:t>
                  </w:r>
                </w:p>
              </w:tc>
              <w:tc>
                <w:tcPr>
                  <w:tcW w:w="3902" w:type="dxa"/>
                  <w:vMerge w:val="continue"/>
                  <w:tcBorders>
                    <w:tl2br w:val="nil"/>
                    <w:tr2bl w:val="nil"/>
                  </w:tcBorders>
                  <w:vAlign w:val="center"/>
                </w:tcPr>
                <w:p w14:paraId="60D87521">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sz w:val="21"/>
                      <w:szCs w:val="21"/>
                      <w:u w:val="single" w:color="auto"/>
                      <w:lang w:val="en-US" w:eastAsia="zh-CN"/>
                    </w:rPr>
                  </w:pPr>
                </w:p>
              </w:tc>
              <w:tc>
                <w:tcPr>
                  <w:tcW w:w="923" w:type="dxa"/>
                  <w:tcBorders>
                    <w:tl2br w:val="nil"/>
                    <w:tr2bl w:val="nil"/>
                  </w:tcBorders>
                  <w:vAlign w:val="center"/>
                </w:tcPr>
                <w:p w14:paraId="300022F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新建</w:t>
                  </w:r>
                </w:p>
              </w:tc>
            </w:tr>
            <w:tr w14:paraId="681DC5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55" w:type="dxa"/>
                  <w:vMerge w:val="continue"/>
                  <w:tcBorders>
                    <w:tl2br w:val="nil"/>
                    <w:tr2bl w:val="nil"/>
                  </w:tcBorders>
                  <w:vAlign w:val="center"/>
                </w:tcPr>
                <w:p w14:paraId="109F442A">
                  <w:pPr>
                    <w:keepNext w:val="0"/>
                    <w:keepLines w:val="0"/>
                    <w:pageBreakBefore w:val="0"/>
                    <w:widowControl w:val="0"/>
                    <w:kinsoku/>
                    <w:wordWrap/>
                    <w:overflowPunct/>
                    <w:topLinePunct w:val="0"/>
                    <w:autoSpaceDE/>
                    <w:autoSpaceDN/>
                    <w:bidi w:val="0"/>
                    <w:spacing w:line="240" w:lineRule="auto"/>
                    <w:jc w:val="center"/>
                    <w:textAlignment w:val="auto"/>
                    <w:rPr>
                      <w:bCs/>
                      <w:sz w:val="21"/>
                      <w:szCs w:val="21"/>
                      <w:u w:val="single" w:color="auto"/>
                    </w:rPr>
                  </w:pPr>
                </w:p>
              </w:tc>
              <w:tc>
                <w:tcPr>
                  <w:tcW w:w="914" w:type="dxa"/>
                  <w:vMerge w:val="continue"/>
                  <w:tcBorders>
                    <w:tl2br w:val="nil"/>
                    <w:tr2bl w:val="nil"/>
                  </w:tcBorders>
                  <w:vAlign w:val="center"/>
                </w:tcPr>
                <w:p w14:paraId="5AAF68D0">
                  <w:pPr>
                    <w:keepNext w:val="0"/>
                    <w:keepLines w:val="0"/>
                    <w:pageBreakBefore w:val="0"/>
                    <w:widowControl w:val="0"/>
                    <w:kinsoku/>
                    <w:wordWrap/>
                    <w:overflowPunct/>
                    <w:topLinePunct w:val="0"/>
                    <w:autoSpaceDE/>
                    <w:autoSpaceDN/>
                    <w:bidi w:val="0"/>
                    <w:spacing w:line="240" w:lineRule="auto"/>
                    <w:jc w:val="center"/>
                    <w:textAlignment w:val="auto"/>
                    <w:rPr>
                      <w:sz w:val="21"/>
                      <w:szCs w:val="21"/>
                      <w:u w:val="single" w:color="auto"/>
                    </w:rPr>
                  </w:pPr>
                </w:p>
              </w:tc>
              <w:tc>
                <w:tcPr>
                  <w:tcW w:w="1533" w:type="dxa"/>
                  <w:tcBorders>
                    <w:tl2br w:val="nil"/>
                    <w:tr2bl w:val="nil"/>
                  </w:tcBorders>
                  <w:vAlign w:val="center"/>
                </w:tcPr>
                <w:p w14:paraId="290BF077">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sz w:val="21"/>
                      <w:szCs w:val="21"/>
                      <w:u w:val="single" w:color="auto"/>
                      <w:lang w:val="en-US" w:eastAsia="zh-CN"/>
                    </w:rPr>
                  </w:pPr>
                  <w:r>
                    <w:rPr>
                      <w:rFonts w:hint="eastAsia" w:cs="Times New Roman"/>
                      <w:sz w:val="21"/>
                      <w:szCs w:val="21"/>
                      <w:u w:val="single" w:color="auto"/>
                      <w:lang w:val="en-US" w:eastAsia="zh-CN"/>
                    </w:rPr>
                    <w:t>废润滑油</w:t>
                  </w:r>
                </w:p>
              </w:tc>
              <w:tc>
                <w:tcPr>
                  <w:tcW w:w="3902" w:type="dxa"/>
                  <w:vMerge w:val="continue"/>
                  <w:tcBorders>
                    <w:tl2br w:val="nil"/>
                    <w:tr2bl w:val="nil"/>
                  </w:tcBorders>
                  <w:vAlign w:val="center"/>
                </w:tcPr>
                <w:p w14:paraId="1142BEE6">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sz w:val="21"/>
                      <w:szCs w:val="21"/>
                      <w:u w:val="single" w:color="auto"/>
                      <w:lang w:val="en-US" w:eastAsia="zh-CN"/>
                    </w:rPr>
                  </w:pPr>
                </w:p>
              </w:tc>
              <w:tc>
                <w:tcPr>
                  <w:tcW w:w="923" w:type="dxa"/>
                  <w:tcBorders>
                    <w:tl2br w:val="nil"/>
                    <w:tr2bl w:val="nil"/>
                  </w:tcBorders>
                  <w:vAlign w:val="center"/>
                </w:tcPr>
                <w:p w14:paraId="2006548B">
                  <w:pPr>
                    <w:keepNext w:val="0"/>
                    <w:keepLines w:val="0"/>
                    <w:pageBreakBefore w:val="0"/>
                    <w:widowControl w:val="0"/>
                    <w:kinsoku/>
                    <w:wordWrap/>
                    <w:overflowPunct/>
                    <w:topLinePunct w:val="0"/>
                    <w:autoSpaceDE/>
                    <w:autoSpaceDN/>
                    <w:bidi w:val="0"/>
                    <w:spacing w:line="240" w:lineRule="auto"/>
                    <w:jc w:val="center"/>
                    <w:textAlignment w:val="auto"/>
                    <w:rPr>
                      <w:rFonts w:hint="eastAsia"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新建</w:t>
                  </w:r>
                </w:p>
              </w:tc>
            </w:tr>
            <w:tr w14:paraId="17FAE1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55" w:type="dxa"/>
                  <w:vMerge w:val="continue"/>
                  <w:tcBorders>
                    <w:tl2br w:val="nil"/>
                    <w:tr2bl w:val="nil"/>
                  </w:tcBorders>
                  <w:vAlign w:val="center"/>
                </w:tcPr>
                <w:p w14:paraId="473ADD44">
                  <w:pPr>
                    <w:keepNext w:val="0"/>
                    <w:keepLines w:val="0"/>
                    <w:pageBreakBefore w:val="0"/>
                    <w:widowControl w:val="0"/>
                    <w:kinsoku/>
                    <w:wordWrap/>
                    <w:overflowPunct/>
                    <w:topLinePunct w:val="0"/>
                    <w:autoSpaceDE/>
                    <w:autoSpaceDN/>
                    <w:bidi w:val="0"/>
                    <w:spacing w:line="240" w:lineRule="auto"/>
                    <w:jc w:val="center"/>
                    <w:textAlignment w:val="auto"/>
                    <w:rPr>
                      <w:bCs/>
                      <w:sz w:val="21"/>
                      <w:szCs w:val="21"/>
                      <w:u w:val="single" w:color="auto"/>
                    </w:rPr>
                  </w:pPr>
                </w:p>
              </w:tc>
              <w:tc>
                <w:tcPr>
                  <w:tcW w:w="914" w:type="dxa"/>
                  <w:vMerge w:val="continue"/>
                  <w:tcBorders>
                    <w:tl2br w:val="nil"/>
                    <w:tr2bl w:val="nil"/>
                  </w:tcBorders>
                  <w:vAlign w:val="center"/>
                </w:tcPr>
                <w:p w14:paraId="17D96521">
                  <w:pPr>
                    <w:keepNext w:val="0"/>
                    <w:keepLines w:val="0"/>
                    <w:pageBreakBefore w:val="0"/>
                    <w:widowControl w:val="0"/>
                    <w:kinsoku/>
                    <w:wordWrap/>
                    <w:overflowPunct/>
                    <w:topLinePunct w:val="0"/>
                    <w:autoSpaceDE/>
                    <w:autoSpaceDN/>
                    <w:bidi w:val="0"/>
                    <w:spacing w:line="240" w:lineRule="auto"/>
                    <w:jc w:val="center"/>
                    <w:textAlignment w:val="auto"/>
                    <w:rPr>
                      <w:sz w:val="21"/>
                      <w:szCs w:val="21"/>
                      <w:u w:val="single" w:color="auto"/>
                    </w:rPr>
                  </w:pPr>
                </w:p>
              </w:tc>
              <w:tc>
                <w:tcPr>
                  <w:tcW w:w="1533" w:type="dxa"/>
                  <w:tcBorders>
                    <w:tl2br w:val="nil"/>
                    <w:tr2bl w:val="nil"/>
                  </w:tcBorders>
                  <w:vAlign w:val="center"/>
                </w:tcPr>
                <w:p w14:paraId="25FF454E">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sz w:val="21"/>
                      <w:szCs w:val="21"/>
                      <w:u w:val="single" w:color="auto"/>
                      <w:lang w:val="en-US" w:eastAsia="zh-CN"/>
                    </w:rPr>
                  </w:pPr>
                  <w:r>
                    <w:rPr>
                      <w:rFonts w:hint="eastAsia" w:cs="Times New Roman"/>
                      <w:sz w:val="21"/>
                      <w:szCs w:val="21"/>
                      <w:u w:val="single" w:color="auto"/>
                      <w:lang w:val="en-US" w:eastAsia="zh-CN"/>
                    </w:rPr>
                    <w:t>废润滑油桶</w:t>
                  </w:r>
                </w:p>
              </w:tc>
              <w:tc>
                <w:tcPr>
                  <w:tcW w:w="3902" w:type="dxa"/>
                  <w:vMerge w:val="continue"/>
                  <w:tcBorders>
                    <w:tl2br w:val="nil"/>
                    <w:tr2bl w:val="nil"/>
                  </w:tcBorders>
                  <w:vAlign w:val="center"/>
                </w:tcPr>
                <w:p w14:paraId="1CB5B073">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sz w:val="21"/>
                      <w:szCs w:val="21"/>
                      <w:u w:val="single" w:color="auto"/>
                      <w:lang w:val="en-US" w:eastAsia="zh-CN"/>
                    </w:rPr>
                  </w:pPr>
                </w:p>
              </w:tc>
              <w:tc>
                <w:tcPr>
                  <w:tcW w:w="923" w:type="dxa"/>
                  <w:tcBorders>
                    <w:tl2br w:val="nil"/>
                    <w:tr2bl w:val="nil"/>
                  </w:tcBorders>
                  <w:vAlign w:val="center"/>
                </w:tcPr>
                <w:p w14:paraId="62974BEF">
                  <w:pPr>
                    <w:keepNext w:val="0"/>
                    <w:keepLines w:val="0"/>
                    <w:pageBreakBefore w:val="0"/>
                    <w:widowControl w:val="0"/>
                    <w:kinsoku/>
                    <w:wordWrap/>
                    <w:overflowPunct/>
                    <w:topLinePunct w:val="0"/>
                    <w:autoSpaceDE/>
                    <w:autoSpaceDN/>
                    <w:bidi w:val="0"/>
                    <w:spacing w:line="240" w:lineRule="auto"/>
                    <w:jc w:val="center"/>
                    <w:textAlignment w:val="auto"/>
                    <w:rPr>
                      <w:rFonts w:hint="eastAsia"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新建</w:t>
                  </w:r>
                </w:p>
              </w:tc>
            </w:tr>
            <w:tr w14:paraId="77FF4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55" w:type="dxa"/>
                  <w:vMerge w:val="continue"/>
                  <w:tcBorders>
                    <w:tl2br w:val="nil"/>
                    <w:tr2bl w:val="nil"/>
                  </w:tcBorders>
                  <w:vAlign w:val="center"/>
                </w:tcPr>
                <w:p w14:paraId="357780CE">
                  <w:pPr>
                    <w:keepNext w:val="0"/>
                    <w:keepLines w:val="0"/>
                    <w:pageBreakBefore w:val="0"/>
                    <w:widowControl w:val="0"/>
                    <w:kinsoku/>
                    <w:wordWrap/>
                    <w:overflowPunct/>
                    <w:topLinePunct w:val="0"/>
                    <w:autoSpaceDE/>
                    <w:autoSpaceDN/>
                    <w:bidi w:val="0"/>
                    <w:spacing w:line="240" w:lineRule="auto"/>
                    <w:jc w:val="center"/>
                    <w:textAlignment w:val="auto"/>
                    <w:rPr>
                      <w:bCs/>
                      <w:sz w:val="21"/>
                      <w:szCs w:val="21"/>
                      <w:u w:val="single" w:color="auto"/>
                    </w:rPr>
                  </w:pPr>
                </w:p>
              </w:tc>
              <w:tc>
                <w:tcPr>
                  <w:tcW w:w="914" w:type="dxa"/>
                  <w:vMerge w:val="continue"/>
                  <w:tcBorders>
                    <w:tl2br w:val="nil"/>
                    <w:tr2bl w:val="nil"/>
                  </w:tcBorders>
                  <w:vAlign w:val="center"/>
                </w:tcPr>
                <w:p w14:paraId="004EB77E">
                  <w:pPr>
                    <w:keepNext w:val="0"/>
                    <w:keepLines w:val="0"/>
                    <w:pageBreakBefore w:val="0"/>
                    <w:widowControl w:val="0"/>
                    <w:kinsoku/>
                    <w:wordWrap/>
                    <w:overflowPunct/>
                    <w:topLinePunct w:val="0"/>
                    <w:autoSpaceDE/>
                    <w:autoSpaceDN/>
                    <w:bidi w:val="0"/>
                    <w:spacing w:line="240" w:lineRule="auto"/>
                    <w:jc w:val="center"/>
                    <w:textAlignment w:val="auto"/>
                    <w:rPr>
                      <w:sz w:val="21"/>
                      <w:szCs w:val="21"/>
                      <w:u w:val="single" w:color="auto"/>
                    </w:rPr>
                  </w:pPr>
                </w:p>
              </w:tc>
              <w:tc>
                <w:tcPr>
                  <w:tcW w:w="1533" w:type="dxa"/>
                  <w:tcBorders>
                    <w:tl2br w:val="nil"/>
                    <w:tr2bl w:val="nil"/>
                  </w:tcBorders>
                  <w:vAlign w:val="center"/>
                </w:tcPr>
                <w:p w14:paraId="7FA36A15">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sz w:val="21"/>
                      <w:szCs w:val="21"/>
                      <w:u w:val="single" w:color="auto"/>
                      <w:lang w:val="en-US" w:eastAsia="zh-CN"/>
                    </w:rPr>
                  </w:pPr>
                  <w:r>
                    <w:rPr>
                      <w:rFonts w:hint="eastAsia" w:cs="Times New Roman"/>
                      <w:sz w:val="21"/>
                      <w:szCs w:val="21"/>
                      <w:u w:val="single" w:color="auto"/>
                      <w:lang w:val="en-US" w:eastAsia="zh-CN"/>
                    </w:rPr>
                    <w:t>废含油抹布和手套</w:t>
                  </w:r>
                </w:p>
              </w:tc>
              <w:tc>
                <w:tcPr>
                  <w:tcW w:w="3902" w:type="dxa"/>
                  <w:vMerge w:val="continue"/>
                  <w:tcBorders>
                    <w:tl2br w:val="nil"/>
                    <w:tr2bl w:val="nil"/>
                  </w:tcBorders>
                  <w:vAlign w:val="center"/>
                </w:tcPr>
                <w:p w14:paraId="7DEEE54B">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sz w:val="21"/>
                      <w:szCs w:val="21"/>
                      <w:u w:val="single" w:color="auto"/>
                      <w:lang w:val="en-US" w:eastAsia="zh-CN"/>
                    </w:rPr>
                  </w:pPr>
                </w:p>
              </w:tc>
              <w:tc>
                <w:tcPr>
                  <w:tcW w:w="923" w:type="dxa"/>
                  <w:tcBorders>
                    <w:tl2br w:val="nil"/>
                    <w:tr2bl w:val="nil"/>
                  </w:tcBorders>
                  <w:vAlign w:val="center"/>
                </w:tcPr>
                <w:p w14:paraId="212A60DA">
                  <w:pPr>
                    <w:keepNext w:val="0"/>
                    <w:keepLines w:val="0"/>
                    <w:pageBreakBefore w:val="0"/>
                    <w:widowControl w:val="0"/>
                    <w:kinsoku/>
                    <w:wordWrap/>
                    <w:overflowPunct/>
                    <w:topLinePunct w:val="0"/>
                    <w:autoSpaceDE/>
                    <w:autoSpaceDN/>
                    <w:bidi w:val="0"/>
                    <w:spacing w:line="240" w:lineRule="auto"/>
                    <w:jc w:val="center"/>
                    <w:textAlignment w:val="auto"/>
                    <w:rPr>
                      <w:rFonts w:hint="eastAsia"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新建</w:t>
                  </w:r>
                </w:p>
              </w:tc>
            </w:tr>
            <w:tr w14:paraId="161821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55" w:type="dxa"/>
                  <w:vMerge w:val="continue"/>
                  <w:tcBorders>
                    <w:tl2br w:val="nil"/>
                    <w:tr2bl w:val="nil"/>
                  </w:tcBorders>
                  <w:vAlign w:val="center"/>
                </w:tcPr>
                <w:p w14:paraId="6AB733BB">
                  <w:pPr>
                    <w:keepNext w:val="0"/>
                    <w:keepLines w:val="0"/>
                    <w:pageBreakBefore w:val="0"/>
                    <w:widowControl w:val="0"/>
                    <w:kinsoku/>
                    <w:wordWrap/>
                    <w:overflowPunct/>
                    <w:topLinePunct w:val="0"/>
                    <w:autoSpaceDE/>
                    <w:autoSpaceDN/>
                    <w:bidi w:val="0"/>
                    <w:spacing w:line="240" w:lineRule="auto"/>
                    <w:jc w:val="center"/>
                    <w:textAlignment w:val="auto"/>
                    <w:rPr>
                      <w:bCs/>
                      <w:sz w:val="21"/>
                      <w:szCs w:val="21"/>
                      <w:u w:val="single" w:color="auto"/>
                    </w:rPr>
                  </w:pPr>
                </w:p>
              </w:tc>
              <w:tc>
                <w:tcPr>
                  <w:tcW w:w="914" w:type="dxa"/>
                  <w:vMerge w:val="continue"/>
                  <w:tcBorders>
                    <w:tl2br w:val="nil"/>
                    <w:tr2bl w:val="nil"/>
                  </w:tcBorders>
                  <w:vAlign w:val="center"/>
                </w:tcPr>
                <w:p w14:paraId="3166749E">
                  <w:pPr>
                    <w:keepNext w:val="0"/>
                    <w:keepLines w:val="0"/>
                    <w:pageBreakBefore w:val="0"/>
                    <w:widowControl w:val="0"/>
                    <w:kinsoku/>
                    <w:wordWrap/>
                    <w:overflowPunct/>
                    <w:topLinePunct w:val="0"/>
                    <w:autoSpaceDE/>
                    <w:autoSpaceDN/>
                    <w:bidi w:val="0"/>
                    <w:spacing w:line="240" w:lineRule="auto"/>
                    <w:jc w:val="center"/>
                    <w:textAlignment w:val="auto"/>
                    <w:rPr>
                      <w:sz w:val="21"/>
                      <w:szCs w:val="21"/>
                      <w:u w:val="single" w:color="auto"/>
                    </w:rPr>
                  </w:pPr>
                </w:p>
              </w:tc>
              <w:tc>
                <w:tcPr>
                  <w:tcW w:w="1533" w:type="dxa"/>
                  <w:tcBorders>
                    <w:tl2br w:val="nil"/>
                    <w:tr2bl w:val="nil"/>
                  </w:tcBorders>
                  <w:vAlign w:val="center"/>
                </w:tcPr>
                <w:p w14:paraId="31AE153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sz w:val="21"/>
                      <w:szCs w:val="21"/>
                      <w:u w:val="single" w:color="auto"/>
                      <w:lang w:val="en-US" w:eastAsia="zh-CN"/>
                    </w:rPr>
                  </w:pPr>
                  <w:r>
                    <w:rPr>
                      <w:rFonts w:hint="eastAsia" w:cs="Times New Roman"/>
                      <w:sz w:val="21"/>
                      <w:szCs w:val="21"/>
                      <w:u w:val="single" w:color="auto"/>
                      <w:lang w:val="en-US" w:eastAsia="zh-CN"/>
                    </w:rPr>
                    <w:t>废活性炭</w:t>
                  </w:r>
                </w:p>
              </w:tc>
              <w:tc>
                <w:tcPr>
                  <w:tcW w:w="3902" w:type="dxa"/>
                  <w:vMerge w:val="continue"/>
                  <w:tcBorders>
                    <w:tl2br w:val="nil"/>
                    <w:tr2bl w:val="nil"/>
                  </w:tcBorders>
                  <w:vAlign w:val="center"/>
                </w:tcPr>
                <w:p w14:paraId="55DFA0B6">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sz w:val="21"/>
                      <w:szCs w:val="21"/>
                      <w:u w:val="single" w:color="auto"/>
                      <w:lang w:val="en-US" w:eastAsia="zh-CN"/>
                    </w:rPr>
                  </w:pPr>
                </w:p>
              </w:tc>
              <w:tc>
                <w:tcPr>
                  <w:tcW w:w="923" w:type="dxa"/>
                  <w:tcBorders>
                    <w:tl2br w:val="nil"/>
                    <w:tr2bl w:val="nil"/>
                  </w:tcBorders>
                  <w:vAlign w:val="center"/>
                </w:tcPr>
                <w:p w14:paraId="24149EE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新建</w:t>
                  </w:r>
                </w:p>
              </w:tc>
            </w:tr>
            <w:tr w14:paraId="0C0786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55" w:type="dxa"/>
                  <w:vMerge w:val="continue"/>
                  <w:tcBorders>
                    <w:tl2br w:val="nil"/>
                    <w:tr2bl w:val="nil"/>
                  </w:tcBorders>
                  <w:vAlign w:val="center"/>
                </w:tcPr>
                <w:p w14:paraId="535CB7BF">
                  <w:pPr>
                    <w:keepNext w:val="0"/>
                    <w:keepLines w:val="0"/>
                    <w:pageBreakBefore w:val="0"/>
                    <w:widowControl w:val="0"/>
                    <w:kinsoku/>
                    <w:wordWrap/>
                    <w:overflowPunct/>
                    <w:topLinePunct w:val="0"/>
                    <w:autoSpaceDE/>
                    <w:autoSpaceDN/>
                    <w:bidi w:val="0"/>
                    <w:spacing w:line="240" w:lineRule="auto"/>
                    <w:jc w:val="center"/>
                    <w:textAlignment w:val="auto"/>
                    <w:rPr>
                      <w:bCs/>
                      <w:sz w:val="21"/>
                      <w:szCs w:val="21"/>
                      <w:u w:val="single" w:color="auto"/>
                    </w:rPr>
                  </w:pPr>
                </w:p>
              </w:tc>
              <w:tc>
                <w:tcPr>
                  <w:tcW w:w="914" w:type="dxa"/>
                  <w:vMerge w:val="continue"/>
                  <w:tcBorders>
                    <w:tl2br w:val="nil"/>
                    <w:tr2bl w:val="nil"/>
                  </w:tcBorders>
                  <w:vAlign w:val="center"/>
                </w:tcPr>
                <w:p w14:paraId="0107FFDB">
                  <w:pPr>
                    <w:keepNext w:val="0"/>
                    <w:keepLines w:val="0"/>
                    <w:pageBreakBefore w:val="0"/>
                    <w:widowControl w:val="0"/>
                    <w:kinsoku/>
                    <w:wordWrap/>
                    <w:overflowPunct/>
                    <w:topLinePunct w:val="0"/>
                    <w:autoSpaceDE/>
                    <w:autoSpaceDN/>
                    <w:bidi w:val="0"/>
                    <w:spacing w:line="240" w:lineRule="auto"/>
                    <w:jc w:val="center"/>
                    <w:textAlignment w:val="auto"/>
                    <w:rPr>
                      <w:sz w:val="21"/>
                      <w:szCs w:val="21"/>
                      <w:u w:val="single" w:color="auto"/>
                    </w:rPr>
                  </w:pPr>
                </w:p>
              </w:tc>
              <w:tc>
                <w:tcPr>
                  <w:tcW w:w="1533" w:type="dxa"/>
                  <w:tcBorders>
                    <w:tl2br w:val="nil"/>
                    <w:tr2bl w:val="nil"/>
                  </w:tcBorders>
                  <w:vAlign w:val="center"/>
                </w:tcPr>
                <w:p w14:paraId="0A96DB44">
                  <w:pPr>
                    <w:pStyle w:val="41"/>
                    <w:keepNext w:val="0"/>
                    <w:keepLines w:val="0"/>
                    <w:pageBreakBefore w:val="0"/>
                    <w:widowControl w:val="0"/>
                    <w:kinsoku/>
                    <w:wordWrap/>
                    <w:overflowPunct/>
                    <w:topLinePunct w:val="0"/>
                    <w:autoSpaceDE/>
                    <w:autoSpaceDN/>
                    <w:bidi w:val="0"/>
                    <w:spacing w:line="240" w:lineRule="auto"/>
                    <w:textAlignment w:val="auto"/>
                    <w:rPr>
                      <w:rFonts w:hint="default"/>
                      <w:sz w:val="21"/>
                      <w:szCs w:val="21"/>
                      <w:u w:val="single" w:color="auto"/>
                      <w:lang w:val="en-US" w:eastAsia="zh-CN"/>
                    </w:rPr>
                  </w:pPr>
                  <w:r>
                    <w:rPr>
                      <w:rFonts w:hint="eastAsia"/>
                      <w:sz w:val="21"/>
                      <w:szCs w:val="21"/>
                      <w:u w:val="single" w:color="auto"/>
                      <w:lang w:val="en-US" w:eastAsia="zh-CN"/>
                    </w:rPr>
                    <w:t>生活垃圾</w:t>
                  </w:r>
                </w:p>
              </w:tc>
              <w:tc>
                <w:tcPr>
                  <w:tcW w:w="3902" w:type="dxa"/>
                  <w:tcBorders>
                    <w:tl2br w:val="nil"/>
                    <w:tr2bl w:val="nil"/>
                  </w:tcBorders>
                  <w:vAlign w:val="center"/>
                </w:tcPr>
                <w:p w14:paraId="2AA6CF0F">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auto"/>
                      <w:sz w:val="21"/>
                      <w:szCs w:val="21"/>
                      <w:u w:val="single" w:color="auto"/>
                      <w:lang w:val="en-US" w:eastAsia="zh-CN"/>
                    </w:rPr>
                  </w:pPr>
                  <w:r>
                    <w:rPr>
                      <w:rFonts w:hint="eastAsia" w:ascii="Times New Roman" w:hAnsi="Times New Roman" w:cs="Times New Roman"/>
                      <w:bCs/>
                      <w:sz w:val="21"/>
                      <w:szCs w:val="21"/>
                      <w:u w:val="single" w:color="auto"/>
                      <w:lang w:val="en-US" w:eastAsia="zh-CN"/>
                    </w:rPr>
                    <w:t>垃圾桶收集后交由环卫部门处置</w:t>
                  </w:r>
                </w:p>
              </w:tc>
              <w:tc>
                <w:tcPr>
                  <w:tcW w:w="923" w:type="dxa"/>
                  <w:tcBorders>
                    <w:tl2br w:val="nil"/>
                    <w:tr2bl w:val="nil"/>
                  </w:tcBorders>
                  <w:vAlign w:val="center"/>
                </w:tcPr>
                <w:p w14:paraId="5AD19354">
                  <w:pPr>
                    <w:keepNext w:val="0"/>
                    <w:keepLines w:val="0"/>
                    <w:pageBreakBefore w:val="0"/>
                    <w:widowControl w:val="0"/>
                    <w:kinsoku/>
                    <w:wordWrap/>
                    <w:overflowPunct/>
                    <w:topLinePunct w:val="0"/>
                    <w:autoSpaceDE/>
                    <w:autoSpaceDN/>
                    <w:bidi w:val="0"/>
                    <w:spacing w:line="240" w:lineRule="auto"/>
                    <w:jc w:val="center"/>
                    <w:textAlignment w:val="auto"/>
                    <w:rPr>
                      <w:rFonts w:hint="default"/>
                      <w:color w:val="000000" w:themeColor="text1"/>
                      <w:sz w:val="21"/>
                      <w:szCs w:val="21"/>
                      <w:u w:val="singl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single" w:color="auto"/>
                      <w:lang w:val="en-US" w:eastAsia="zh-CN"/>
                      <w14:textFill>
                        <w14:solidFill>
                          <w14:schemeClr w14:val="tx1"/>
                        </w14:solidFill>
                      </w14:textFill>
                    </w:rPr>
                    <w:t>新建</w:t>
                  </w:r>
                </w:p>
              </w:tc>
            </w:tr>
          </w:tbl>
          <w:p w14:paraId="63E48EC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2"/>
                <w:lang w:val="en-US" w:eastAsia="zh-CN" w:bidi="ar-SA"/>
              </w:rPr>
            </w:pPr>
            <w:r>
              <w:rPr>
                <w:rFonts w:hint="eastAsia" w:cs="Times New Roman"/>
                <w:b/>
                <w:bCs/>
                <w:color w:val="auto"/>
                <w:kern w:val="0"/>
                <w:sz w:val="24"/>
                <w:szCs w:val="22"/>
                <w:lang w:val="en-US" w:eastAsia="zh-CN" w:bidi="ar-SA"/>
              </w:rPr>
              <w:t>4</w:t>
            </w:r>
            <w:r>
              <w:rPr>
                <w:rFonts w:hint="eastAsia" w:ascii="Times New Roman" w:hAnsi="Times New Roman" w:eastAsia="宋体" w:cs="Times New Roman"/>
                <w:b/>
                <w:bCs/>
                <w:color w:val="auto"/>
                <w:kern w:val="0"/>
                <w:sz w:val="24"/>
                <w:szCs w:val="22"/>
                <w:lang w:val="en-US" w:eastAsia="zh-CN" w:bidi="ar-SA"/>
              </w:rPr>
              <w:t>、项目产品方案</w:t>
            </w:r>
            <w:bookmarkEnd w:id="12"/>
          </w:p>
          <w:p w14:paraId="69D9CDE0">
            <w:pPr>
              <w:pStyle w:val="60"/>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eastAsia="宋体" w:cs="Times New Roman"/>
                <w:color w:val="auto"/>
                <w:kern w:val="0"/>
                <w:sz w:val="24"/>
                <w:szCs w:val="22"/>
                <w:lang w:val="en-US" w:eastAsia="zh-CN" w:bidi="ar-SA"/>
              </w:rPr>
            </w:pPr>
            <w:r>
              <w:rPr>
                <w:rFonts w:hint="eastAsia" w:ascii="Times New Roman" w:hAnsi="Times New Roman" w:eastAsia="宋体" w:cs="Times New Roman"/>
                <w:color w:val="auto"/>
                <w:kern w:val="0"/>
                <w:sz w:val="24"/>
                <w:szCs w:val="22"/>
                <w:lang w:val="en-US" w:eastAsia="zh-CN" w:bidi="ar-SA"/>
              </w:rPr>
              <w:t>本项目产品方案见下表2-2。</w:t>
            </w:r>
          </w:p>
          <w:p w14:paraId="2DBB8B46">
            <w:pPr>
              <w:pStyle w:val="61"/>
              <w:pageBreakBefore w:val="0"/>
              <w:kinsoku/>
              <w:wordWrap/>
              <w:overflowPunct/>
              <w:topLinePunct w:val="0"/>
              <w:bidi w:val="0"/>
              <w:ind w:firstLine="422" w:firstLineChars="200"/>
              <w:rPr>
                <w:rFonts w:hint="default" w:ascii="Times New Roman" w:hAnsi="Times New Roman" w:eastAsia="宋体" w:cs="Times New Roman"/>
                <w:b/>
                <w:bCs w:val="0"/>
                <w:color w:val="000000"/>
                <w:kern w:val="2"/>
                <w:sz w:val="21"/>
                <w:szCs w:val="21"/>
                <w:lang w:val="en-US" w:eastAsia="zh-CN" w:bidi="ar-SA"/>
              </w:rPr>
            </w:pPr>
            <w:r>
              <w:rPr>
                <w:rFonts w:hint="default" w:ascii="Times New Roman" w:hAnsi="Times New Roman" w:eastAsia="宋体" w:cs="Times New Roman"/>
                <w:b/>
                <w:bCs w:val="0"/>
                <w:color w:val="000000"/>
                <w:kern w:val="2"/>
                <w:sz w:val="21"/>
                <w:szCs w:val="21"/>
                <w:lang w:val="en-US" w:eastAsia="zh-CN" w:bidi="ar-SA"/>
              </w:rPr>
              <w:t>表2-2 主要产品及产能情况一览表</w:t>
            </w:r>
          </w:p>
          <w:tbl>
            <w:tblPr>
              <w:tblStyle w:val="33"/>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73"/>
              <w:gridCol w:w="1065"/>
              <w:gridCol w:w="915"/>
              <w:gridCol w:w="1065"/>
              <w:gridCol w:w="4051"/>
            </w:tblGrid>
            <w:tr w14:paraId="4F554C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760" w:type="pct"/>
                  <w:vAlign w:val="center"/>
                </w:tcPr>
                <w:p w14:paraId="06C3A62C">
                  <w:pPr>
                    <w:pStyle w:val="62"/>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rPr>
                    <w:t>产品名称</w:t>
                  </w:r>
                </w:p>
              </w:tc>
              <w:tc>
                <w:tcPr>
                  <w:tcW w:w="636" w:type="pct"/>
                  <w:vAlign w:val="center"/>
                </w:tcPr>
                <w:p w14:paraId="5D53B061">
                  <w:pPr>
                    <w:pStyle w:val="62"/>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rPr>
                    <w:t>产品型号/规格</w:t>
                  </w:r>
                </w:p>
              </w:tc>
              <w:tc>
                <w:tcPr>
                  <w:tcW w:w="546" w:type="pct"/>
                  <w:vAlign w:val="center"/>
                </w:tcPr>
                <w:p w14:paraId="5C001DCD">
                  <w:pPr>
                    <w:pStyle w:val="62"/>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宋体" w:cs="Times New Roman"/>
                      <w:b w:val="0"/>
                      <w:color w:val="auto"/>
                      <w:sz w:val="21"/>
                      <w:szCs w:val="21"/>
                      <w:lang w:eastAsia="zh-CN"/>
                    </w:rPr>
                  </w:pPr>
                  <w:r>
                    <w:rPr>
                      <w:rFonts w:hint="eastAsia" w:ascii="Times New Roman" w:hAnsi="Times New Roman" w:eastAsia="宋体" w:cs="Times New Roman"/>
                      <w:b w:val="0"/>
                      <w:color w:val="auto"/>
                      <w:sz w:val="21"/>
                      <w:szCs w:val="21"/>
                    </w:rPr>
                    <w:t>年最大产量</w:t>
                  </w:r>
                  <w:r>
                    <w:rPr>
                      <w:rFonts w:hint="eastAsia" w:cs="Times New Roman"/>
                      <w:b w:val="0"/>
                      <w:color w:val="auto"/>
                      <w:sz w:val="21"/>
                      <w:szCs w:val="21"/>
                      <w:lang w:eastAsia="zh-CN"/>
                    </w:rPr>
                    <w:t>（</w:t>
                  </w:r>
                  <w:r>
                    <w:rPr>
                      <w:rFonts w:hint="eastAsia" w:cs="Times New Roman"/>
                      <w:b w:val="0"/>
                      <w:color w:val="auto"/>
                      <w:sz w:val="21"/>
                      <w:szCs w:val="21"/>
                      <w:lang w:val="en-US" w:eastAsia="zh-CN"/>
                    </w:rPr>
                    <w:t>万个/a</w:t>
                  </w:r>
                  <w:r>
                    <w:rPr>
                      <w:rFonts w:hint="eastAsia" w:cs="Times New Roman"/>
                      <w:b w:val="0"/>
                      <w:color w:val="auto"/>
                      <w:sz w:val="21"/>
                      <w:szCs w:val="21"/>
                      <w:lang w:eastAsia="zh-CN"/>
                    </w:rPr>
                    <w:t>）</w:t>
                  </w:r>
                </w:p>
              </w:tc>
              <w:tc>
                <w:tcPr>
                  <w:tcW w:w="636" w:type="pct"/>
                  <w:vAlign w:val="center"/>
                </w:tcPr>
                <w:p w14:paraId="79992BCD">
                  <w:pPr>
                    <w:pStyle w:val="62"/>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产品标准</w:t>
                  </w:r>
                </w:p>
              </w:tc>
              <w:tc>
                <w:tcPr>
                  <w:tcW w:w="2420" w:type="pct"/>
                  <w:vAlign w:val="center"/>
                </w:tcPr>
                <w:p w14:paraId="0E1E1971">
                  <w:pPr>
                    <w:pStyle w:val="62"/>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cs="Times New Roman"/>
                      <w:b w:val="0"/>
                      <w:color w:val="auto"/>
                      <w:sz w:val="21"/>
                      <w:szCs w:val="21"/>
                      <w:lang w:val="en-US" w:eastAsia="zh-CN"/>
                    </w:rPr>
                  </w:pPr>
                  <w:r>
                    <w:rPr>
                      <w:rFonts w:hint="eastAsia" w:cs="Times New Roman"/>
                      <w:b w:val="0"/>
                      <w:color w:val="auto"/>
                      <w:sz w:val="21"/>
                      <w:szCs w:val="21"/>
                      <w:lang w:val="en-US" w:eastAsia="zh-CN"/>
                    </w:rPr>
                    <w:t>用途</w:t>
                  </w:r>
                </w:p>
              </w:tc>
            </w:tr>
            <w:tr w14:paraId="0DBAB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60" w:type="pct"/>
                  <w:vMerge w:val="restart"/>
                  <w:vAlign w:val="center"/>
                </w:tcPr>
                <w:p w14:paraId="0F8ADCDF">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b w:val="0"/>
                      <w:bCs/>
                      <w:color w:val="auto"/>
                      <w:sz w:val="21"/>
                      <w:szCs w:val="21"/>
                      <w:lang w:val="en-US" w:eastAsia="zh-CN"/>
                    </w:rPr>
                  </w:pPr>
                  <w:r>
                    <w:rPr>
                      <w:rFonts w:hint="eastAsia"/>
                      <w:b w:val="0"/>
                      <w:bCs/>
                      <w:color w:val="auto"/>
                      <w:sz w:val="21"/>
                      <w:szCs w:val="21"/>
                      <w:lang w:val="en-US" w:eastAsia="zh-CN"/>
                    </w:rPr>
                    <w:t>电子变压器</w:t>
                  </w:r>
                </w:p>
              </w:tc>
              <w:tc>
                <w:tcPr>
                  <w:tcW w:w="636" w:type="pct"/>
                  <w:shd w:val="clear" w:color="auto" w:fill="auto"/>
                  <w:vAlign w:val="center"/>
                </w:tcPr>
                <w:p w14:paraId="7840D78F">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val="0"/>
                      <w:bCs/>
                      <w:color w:val="auto"/>
                      <w:kern w:val="2"/>
                      <w:sz w:val="21"/>
                      <w:szCs w:val="21"/>
                      <w:lang w:val="en-US" w:eastAsia="zh-CN" w:bidi="ar-SA"/>
                    </w:rPr>
                  </w:pPr>
                  <w:r>
                    <w:rPr>
                      <w:rFonts w:hint="eastAsia" w:ascii="Times New Roman" w:hAnsi="Times New Roman" w:cs="Times New Roman"/>
                      <w:b w:val="0"/>
                      <w:bCs/>
                      <w:color w:val="auto"/>
                      <w:kern w:val="2"/>
                      <w:sz w:val="21"/>
                      <w:szCs w:val="21"/>
                      <w:u w:val="none" w:color="auto"/>
                      <w:vertAlign w:val="baseline"/>
                      <w:lang w:val="en-US" w:eastAsia="zh-CN" w:bidi="ar-SA"/>
                    </w:rPr>
                    <w:t>EE16</w:t>
                  </w:r>
                </w:p>
              </w:tc>
              <w:tc>
                <w:tcPr>
                  <w:tcW w:w="546" w:type="pct"/>
                  <w:vAlign w:val="center"/>
                </w:tcPr>
                <w:p w14:paraId="5C296533">
                  <w:pPr>
                    <w:keepNext w:val="0"/>
                    <w:keepLines w:val="0"/>
                    <w:pageBreakBefore w:val="0"/>
                    <w:kinsoku/>
                    <w:wordWrap/>
                    <w:overflowPunct/>
                    <w:topLinePunct w:val="0"/>
                    <w:autoSpaceDE/>
                    <w:autoSpaceDN/>
                    <w:bidi w:val="0"/>
                    <w:adjustRightInd/>
                    <w:snapToGrid/>
                    <w:ind w:left="-120" w:leftChars="-5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600</w:t>
                  </w:r>
                </w:p>
              </w:tc>
              <w:tc>
                <w:tcPr>
                  <w:tcW w:w="636" w:type="pct"/>
                  <w:vMerge w:val="restart"/>
                  <w:vAlign w:val="center"/>
                </w:tcPr>
                <w:p w14:paraId="0E18CF81">
                  <w:pPr>
                    <w:keepNext w:val="0"/>
                    <w:keepLines w:val="0"/>
                    <w:pageBreakBefore w:val="0"/>
                    <w:kinsoku/>
                    <w:wordWrap/>
                    <w:overflowPunct/>
                    <w:topLinePunct w:val="0"/>
                    <w:autoSpaceDE/>
                    <w:autoSpaceDN/>
                    <w:bidi w:val="0"/>
                    <w:adjustRightInd/>
                    <w:snapToGrid/>
                    <w:ind w:left="-120" w:leftChars="-50"/>
                    <w:jc w:val="center"/>
                    <w:textAlignment w:val="auto"/>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GB/T14860.1-2012、GB/T19212.1-2023、GB19212.7-2012</w:t>
                  </w:r>
                </w:p>
              </w:tc>
              <w:tc>
                <w:tcPr>
                  <w:tcW w:w="2420" w:type="pct"/>
                  <w:vMerge w:val="restart"/>
                  <w:vAlign w:val="center"/>
                </w:tcPr>
                <w:p w14:paraId="53AB670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s="Times New Roman"/>
                      <w:b w:val="0"/>
                      <w:color w:val="auto"/>
                      <w:sz w:val="21"/>
                      <w:szCs w:val="21"/>
                      <w:u w:val="single"/>
                      <w:lang w:val="en-US" w:eastAsia="zh-CN"/>
                    </w:rPr>
                  </w:pPr>
                  <w:r>
                    <w:rPr>
                      <w:rFonts w:hint="eastAsia" w:cs="Times New Roman"/>
                      <w:b w:val="0"/>
                      <w:color w:val="auto"/>
                      <w:sz w:val="21"/>
                      <w:szCs w:val="21"/>
                      <w:u w:val="single"/>
                      <w:lang w:val="en-US" w:eastAsia="zh-CN"/>
                    </w:rPr>
                    <w:t>磁芯窗口大、装配加工简便，主要用于电源适配器、LED驱动电源、小家电、普通工控仪器仪表、常规通信终端等消费类及普通工业电源模块，适用于安装空间约束宽松、追求成本优势的终端设备</w:t>
                  </w:r>
                </w:p>
              </w:tc>
            </w:tr>
            <w:tr w14:paraId="57EDC0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60" w:type="pct"/>
                  <w:vMerge w:val="continue"/>
                  <w:vAlign w:val="center"/>
                </w:tcPr>
                <w:p w14:paraId="05F65A31">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b w:val="0"/>
                      <w:bCs/>
                      <w:color w:val="auto"/>
                      <w:sz w:val="21"/>
                      <w:szCs w:val="21"/>
                      <w:lang w:val="en-US" w:eastAsia="zh-CN"/>
                    </w:rPr>
                  </w:pPr>
                </w:p>
              </w:tc>
              <w:tc>
                <w:tcPr>
                  <w:tcW w:w="636" w:type="pct"/>
                  <w:shd w:val="clear" w:color="auto" w:fill="auto"/>
                  <w:vAlign w:val="center"/>
                </w:tcPr>
                <w:p w14:paraId="05E6105E">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val="0"/>
                      <w:bCs/>
                      <w:color w:val="auto"/>
                      <w:kern w:val="2"/>
                      <w:sz w:val="21"/>
                      <w:szCs w:val="21"/>
                      <w:u w:val="none" w:color="auto"/>
                      <w:vertAlign w:val="baseline"/>
                      <w:lang w:val="en-US" w:eastAsia="zh-CN" w:bidi="ar-SA"/>
                    </w:rPr>
                  </w:pPr>
                  <w:r>
                    <w:rPr>
                      <w:rFonts w:hint="eastAsia" w:ascii="Times New Roman" w:hAnsi="Times New Roman" w:cs="Times New Roman"/>
                      <w:b w:val="0"/>
                      <w:bCs/>
                      <w:color w:val="auto"/>
                      <w:kern w:val="2"/>
                      <w:sz w:val="21"/>
                      <w:szCs w:val="21"/>
                      <w:u w:val="none" w:color="auto"/>
                      <w:vertAlign w:val="baseline"/>
                      <w:lang w:val="en-US" w:eastAsia="zh-CN" w:bidi="ar-SA"/>
                    </w:rPr>
                    <w:t>EE10</w:t>
                  </w:r>
                </w:p>
              </w:tc>
              <w:tc>
                <w:tcPr>
                  <w:tcW w:w="546" w:type="pct"/>
                  <w:vAlign w:val="center"/>
                </w:tcPr>
                <w:p w14:paraId="02E4D123">
                  <w:pPr>
                    <w:keepNext w:val="0"/>
                    <w:keepLines w:val="0"/>
                    <w:pageBreakBefore w:val="0"/>
                    <w:kinsoku/>
                    <w:wordWrap/>
                    <w:overflowPunct/>
                    <w:topLinePunct w:val="0"/>
                    <w:autoSpaceDE/>
                    <w:autoSpaceDN/>
                    <w:bidi w:val="0"/>
                    <w:adjustRightInd/>
                    <w:snapToGrid/>
                    <w:ind w:left="-120" w:leftChars="-5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200</w:t>
                  </w:r>
                </w:p>
              </w:tc>
              <w:tc>
                <w:tcPr>
                  <w:tcW w:w="636" w:type="pct"/>
                  <w:vMerge w:val="continue"/>
                  <w:vAlign w:val="center"/>
                </w:tcPr>
                <w:p w14:paraId="1B80E495">
                  <w:pPr>
                    <w:keepNext w:val="0"/>
                    <w:keepLines w:val="0"/>
                    <w:pageBreakBefore w:val="0"/>
                    <w:kinsoku/>
                    <w:wordWrap/>
                    <w:overflowPunct/>
                    <w:topLinePunct w:val="0"/>
                    <w:autoSpaceDE/>
                    <w:autoSpaceDN/>
                    <w:bidi w:val="0"/>
                    <w:adjustRightInd/>
                    <w:snapToGrid/>
                    <w:ind w:left="-120" w:leftChars="-50"/>
                    <w:jc w:val="center"/>
                    <w:textAlignment w:val="auto"/>
                    <w:rPr>
                      <w:rFonts w:hint="eastAsia" w:cs="Times New Roman"/>
                      <w:b w:val="0"/>
                      <w:bCs w:val="0"/>
                      <w:color w:val="auto"/>
                      <w:sz w:val="21"/>
                      <w:szCs w:val="21"/>
                      <w:lang w:val="en-US" w:eastAsia="zh-CN"/>
                    </w:rPr>
                  </w:pPr>
                </w:p>
              </w:tc>
              <w:tc>
                <w:tcPr>
                  <w:tcW w:w="2420" w:type="pct"/>
                  <w:vMerge w:val="continue"/>
                  <w:vAlign w:val="center"/>
                </w:tcPr>
                <w:p w14:paraId="03B3CB4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s="Times New Roman"/>
                      <w:b w:val="0"/>
                      <w:color w:val="auto"/>
                      <w:sz w:val="21"/>
                      <w:szCs w:val="21"/>
                      <w:u w:val="single"/>
                      <w:lang w:val="en-US" w:eastAsia="zh-CN"/>
                    </w:rPr>
                  </w:pPr>
                </w:p>
              </w:tc>
            </w:tr>
            <w:tr w14:paraId="5B760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60" w:type="pct"/>
                  <w:vMerge w:val="continue"/>
                  <w:vAlign w:val="center"/>
                </w:tcPr>
                <w:p w14:paraId="50A0E0D4">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b w:val="0"/>
                      <w:bCs/>
                      <w:color w:val="auto"/>
                      <w:sz w:val="21"/>
                      <w:szCs w:val="21"/>
                      <w:lang w:val="en-US" w:eastAsia="zh-CN"/>
                    </w:rPr>
                  </w:pPr>
                </w:p>
              </w:tc>
              <w:tc>
                <w:tcPr>
                  <w:tcW w:w="636" w:type="pct"/>
                  <w:shd w:val="clear" w:color="auto" w:fill="auto"/>
                  <w:vAlign w:val="center"/>
                </w:tcPr>
                <w:p w14:paraId="64E40511">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val="0"/>
                      <w:bCs/>
                      <w:color w:val="auto"/>
                      <w:kern w:val="2"/>
                      <w:sz w:val="21"/>
                      <w:szCs w:val="21"/>
                      <w:u w:val="none" w:color="auto"/>
                      <w:vertAlign w:val="baseline"/>
                      <w:lang w:val="en-US" w:eastAsia="zh-CN" w:bidi="ar-SA"/>
                    </w:rPr>
                  </w:pPr>
                  <w:r>
                    <w:rPr>
                      <w:rFonts w:hint="eastAsia" w:ascii="Times New Roman" w:hAnsi="Times New Roman" w:cs="Times New Roman"/>
                      <w:b w:val="0"/>
                      <w:bCs/>
                      <w:color w:val="auto"/>
                      <w:kern w:val="2"/>
                      <w:sz w:val="21"/>
                      <w:szCs w:val="21"/>
                      <w:u w:val="none" w:color="auto"/>
                      <w:vertAlign w:val="baseline"/>
                      <w:lang w:val="en-US" w:eastAsia="zh-CN" w:bidi="ar-SA"/>
                    </w:rPr>
                    <w:t>PQ40</w:t>
                  </w:r>
                </w:p>
              </w:tc>
              <w:tc>
                <w:tcPr>
                  <w:tcW w:w="546" w:type="pct"/>
                  <w:vAlign w:val="center"/>
                </w:tcPr>
                <w:p w14:paraId="352A4C55">
                  <w:pPr>
                    <w:keepNext w:val="0"/>
                    <w:keepLines w:val="0"/>
                    <w:pageBreakBefore w:val="0"/>
                    <w:kinsoku/>
                    <w:wordWrap/>
                    <w:overflowPunct/>
                    <w:topLinePunct w:val="0"/>
                    <w:autoSpaceDE/>
                    <w:autoSpaceDN/>
                    <w:bidi w:val="0"/>
                    <w:adjustRightInd/>
                    <w:snapToGrid/>
                    <w:ind w:left="-120" w:leftChars="-5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200</w:t>
                  </w:r>
                </w:p>
              </w:tc>
              <w:tc>
                <w:tcPr>
                  <w:tcW w:w="636" w:type="pct"/>
                  <w:vMerge w:val="continue"/>
                  <w:vAlign w:val="center"/>
                </w:tcPr>
                <w:p w14:paraId="6A76CAFA">
                  <w:pPr>
                    <w:keepNext w:val="0"/>
                    <w:keepLines w:val="0"/>
                    <w:pageBreakBefore w:val="0"/>
                    <w:kinsoku/>
                    <w:wordWrap/>
                    <w:overflowPunct/>
                    <w:topLinePunct w:val="0"/>
                    <w:autoSpaceDE/>
                    <w:autoSpaceDN/>
                    <w:bidi w:val="0"/>
                    <w:adjustRightInd/>
                    <w:snapToGrid/>
                    <w:ind w:left="-120" w:leftChars="-50"/>
                    <w:jc w:val="center"/>
                    <w:textAlignment w:val="auto"/>
                    <w:rPr>
                      <w:rFonts w:hint="eastAsia" w:cs="Times New Roman"/>
                      <w:b w:val="0"/>
                      <w:bCs w:val="0"/>
                      <w:color w:val="auto"/>
                      <w:sz w:val="21"/>
                      <w:szCs w:val="21"/>
                      <w:lang w:val="en-US" w:eastAsia="zh-CN"/>
                    </w:rPr>
                  </w:pPr>
                </w:p>
              </w:tc>
              <w:tc>
                <w:tcPr>
                  <w:tcW w:w="2420" w:type="pct"/>
                  <w:vMerge w:val="restart"/>
                  <w:vAlign w:val="center"/>
                </w:tcPr>
                <w:p w14:paraId="162DB2E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s="Times New Roman"/>
                      <w:b w:val="0"/>
                      <w:color w:val="auto"/>
                      <w:sz w:val="21"/>
                      <w:szCs w:val="21"/>
                      <w:u w:val="single"/>
                      <w:lang w:val="en-US" w:eastAsia="zh-CN"/>
                    </w:rPr>
                  </w:pPr>
                  <w:r>
                    <w:rPr>
                      <w:rFonts w:hint="eastAsia" w:cs="Times New Roman"/>
                      <w:b w:val="0"/>
                      <w:color w:val="auto"/>
                      <w:sz w:val="21"/>
                      <w:szCs w:val="21"/>
                      <w:u w:val="single"/>
                      <w:lang w:val="en-US" w:eastAsia="zh-CN"/>
                    </w:rPr>
                    <w:t>功率密度高、磁损耗低、漏磁小、散热性能优，产品结构紧凑，主要应用于服务器电源、5G通信网络设备、车载电源、工业电源、医疗设备等对设备体积、电磁兼容性能要求较高的中高端电源装备</w:t>
                  </w:r>
                </w:p>
              </w:tc>
            </w:tr>
            <w:tr w14:paraId="09BE4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60" w:type="pct"/>
                  <w:vMerge w:val="continue"/>
                  <w:vAlign w:val="center"/>
                </w:tcPr>
                <w:p w14:paraId="4A053ACF">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b w:val="0"/>
                      <w:bCs/>
                      <w:color w:val="auto"/>
                      <w:sz w:val="21"/>
                      <w:szCs w:val="21"/>
                      <w:lang w:val="en-US" w:eastAsia="zh-CN"/>
                    </w:rPr>
                  </w:pPr>
                </w:p>
              </w:tc>
              <w:tc>
                <w:tcPr>
                  <w:tcW w:w="636" w:type="pct"/>
                  <w:shd w:val="clear" w:color="auto" w:fill="auto"/>
                  <w:vAlign w:val="center"/>
                </w:tcPr>
                <w:p w14:paraId="0CEAC125">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val="0"/>
                      <w:bCs/>
                      <w:color w:val="auto"/>
                      <w:kern w:val="2"/>
                      <w:sz w:val="21"/>
                      <w:szCs w:val="21"/>
                      <w:u w:val="none" w:color="auto"/>
                      <w:vertAlign w:val="baseline"/>
                      <w:lang w:val="en-US" w:eastAsia="zh-CN" w:bidi="ar-SA"/>
                    </w:rPr>
                  </w:pPr>
                  <w:r>
                    <w:rPr>
                      <w:rFonts w:hint="eastAsia" w:ascii="Times New Roman" w:hAnsi="Times New Roman" w:cs="Times New Roman"/>
                      <w:b w:val="0"/>
                      <w:bCs/>
                      <w:color w:val="auto"/>
                      <w:kern w:val="2"/>
                      <w:sz w:val="21"/>
                      <w:szCs w:val="21"/>
                      <w:u w:val="none" w:color="auto"/>
                      <w:vertAlign w:val="baseline"/>
                      <w:lang w:val="en-US" w:eastAsia="zh-CN" w:bidi="ar-SA"/>
                    </w:rPr>
                    <w:t>PQ2620</w:t>
                  </w:r>
                </w:p>
              </w:tc>
              <w:tc>
                <w:tcPr>
                  <w:tcW w:w="546" w:type="pct"/>
                  <w:vAlign w:val="center"/>
                </w:tcPr>
                <w:p w14:paraId="19C2EC3B">
                  <w:pPr>
                    <w:keepNext w:val="0"/>
                    <w:keepLines w:val="0"/>
                    <w:pageBreakBefore w:val="0"/>
                    <w:kinsoku/>
                    <w:wordWrap/>
                    <w:overflowPunct/>
                    <w:topLinePunct w:val="0"/>
                    <w:autoSpaceDE/>
                    <w:autoSpaceDN/>
                    <w:bidi w:val="0"/>
                    <w:adjustRightInd/>
                    <w:snapToGrid/>
                    <w:ind w:left="-120" w:leftChars="-5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100</w:t>
                  </w:r>
                </w:p>
              </w:tc>
              <w:tc>
                <w:tcPr>
                  <w:tcW w:w="636" w:type="pct"/>
                  <w:vMerge w:val="continue"/>
                  <w:vAlign w:val="center"/>
                </w:tcPr>
                <w:p w14:paraId="48608D11">
                  <w:pPr>
                    <w:keepNext w:val="0"/>
                    <w:keepLines w:val="0"/>
                    <w:pageBreakBefore w:val="0"/>
                    <w:kinsoku/>
                    <w:wordWrap/>
                    <w:overflowPunct/>
                    <w:topLinePunct w:val="0"/>
                    <w:autoSpaceDE/>
                    <w:autoSpaceDN/>
                    <w:bidi w:val="0"/>
                    <w:adjustRightInd/>
                    <w:snapToGrid/>
                    <w:ind w:left="-120" w:leftChars="-50"/>
                    <w:jc w:val="center"/>
                    <w:textAlignment w:val="auto"/>
                    <w:rPr>
                      <w:rFonts w:hint="eastAsia" w:cs="Times New Roman"/>
                      <w:b w:val="0"/>
                      <w:bCs w:val="0"/>
                      <w:color w:val="auto"/>
                      <w:sz w:val="21"/>
                      <w:szCs w:val="21"/>
                      <w:lang w:val="en-US" w:eastAsia="zh-CN"/>
                    </w:rPr>
                  </w:pPr>
                </w:p>
              </w:tc>
              <w:tc>
                <w:tcPr>
                  <w:tcW w:w="2420" w:type="pct"/>
                  <w:vMerge w:val="continue"/>
                  <w:vAlign w:val="center"/>
                </w:tcPr>
                <w:p w14:paraId="31CF7D9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s="Times New Roman"/>
                      <w:b w:val="0"/>
                      <w:color w:val="auto"/>
                      <w:sz w:val="21"/>
                      <w:szCs w:val="21"/>
                      <w:lang w:val="en-US" w:eastAsia="zh-CN"/>
                    </w:rPr>
                  </w:pPr>
                </w:p>
              </w:tc>
            </w:tr>
            <w:tr w14:paraId="4693FC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760" w:type="pct"/>
                  <w:vMerge w:val="continue"/>
                  <w:vAlign w:val="center"/>
                </w:tcPr>
                <w:p w14:paraId="24AC8D45">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b w:val="0"/>
                      <w:bCs/>
                      <w:color w:val="auto"/>
                      <w:sz w:val="21"/>
                      <w:szCs w:val="21"/>
                      <w:lang w:val="en-US" w:eastAsia="zh-CN"/>
                    </w:rPr>
                  </w:pPr>
                </w:p>
              </w:tc>
              <w:tc>
                <w:tcPr>
                  <w:tcW w:w="636" w:type="pct"/>
                  <w:shd w:val="clear" w:color="auto" w:fill="auto"/>
                  <w:vAlign w:val="center"/>
                </w:tcPr>
                <w:p w14:paraId="597BB119">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val="0"/>
                      <w:bCs/>
                      <w:color w:val="auto"/>
                      <w:kern w:val="2"/>
                      <w:sz w:val="21"/>
                      <w:szCs w:val="21"/>
                      <w:u w:val="none" w:color="auto"/>
                      <w:vertAlign w:val="baseline"/>
                      <w:lang w:val="en-US" w:eastAsia="zh-CN" w:bidi="ar-SA"/>
                    </w:rPr>
                  </w:pPr>
                  <w:r>
                    <w:rPr>
                      <w:rFonts w:hint="eastAsia" w:ascii="Times New Roman" w:hAnsi="Times New Roman" w:cs="Times New Roman"/>
                      <w:b w:val="0"/>
                      <w:bCs/>
                      <w:color w:val="auto"/>
                      <w:kern w:val="2"/>
                      <w:sz w:val="21"/>
                      <w:szCs w:val="21"/>
                      <w:u w:val="none" w:color="auto"/>
                      <w:vertAlign w:val="baseline"/>
                      <w:lang w:val="en-US" w:eastAsia="zh-CN" w:bidi="ar-SA"/>
                    </w:rPr>
                    <w:t>PQ3220</w:t>
                  </w:r>
                </w:p>
              </w:tc>
              <w:tc>
                <w:tcPr>
                  <w:tcW w:w="546" w:type="pct"/>
                  <w:vAlign w:val="center"/>
                </w:tcPr>
                <w:p w14:paraId="2EE87DD5">
                  <w:pPr>
                    <w:keepNext w:val="0"/>
                    <w:keepLines w:val="0"/>
                    <w:pageBreakBefore w:val="0"/>
                    <w:kinsoku/>
                    <w:wordWrap/>
                    <w:overflowPunct/>
                    <w:topLinePunct w:val="0"/>
                    <w:autoSpaceDE/>
                    <w:autoSpaceDN/>
                    <w:bidi w:val="0"/>
                    <w:adjustRightInd/>
                    <w:snapToGrid/>
                    <w:ind w:left="-120" w:leftChars="-5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100</w:t>
                  </w:r>
                </w:p>
              </w:tc>
              <w:tc>
                <w:tcPr>
                  <w:tcW w:w="636" w:type="pct"/>
                  <w:vMerge w:val="continue"/>
                  <w:vAlign w:val="center"/>
                </w:tcPr>
                <w:p w14:paraId="68DAE6F8">
                  <w:pPr>
                    <w:keepNext w:val="0"/>
                    <w:keepLines w:val="0"/>
                    <w:pageBreakBefore w:val="0"/>
                    <w:kinsoku/>
                    <w:wordWrap/>
                    <w:overflowPunct/>
                    <w:topLinePunct w:val="0"/>
                    <w:autoSpaceDE/>
                    <w:autoSpaceDN/>
                    <w:bidi w:val="0"/>
                    <w:adjustRightInd/>
                    <w:snapToGrid/>
                    <w:ind w:left="-120" w:leftChars="-50"/>
                    <w:jc w:val="center"/>
                    <w:textAlignment w:val="auto"/>
                    <w:rPr>
                      <w:rFonts w:hint="eastAsia" w:cs="Times New Roman"/>
                      <w:b w:val="0"/>
                      <w:bCs w:val="0"/>
                      <w:color w:val="auto"/>
                      <w:sz w:val="21"/>
                      <w:szCs w:val="21"/>
                      <w:lang w:val="en-US" w:eastAsia="zh-CN"/>
                    </w:rPr>
                  </w:pPr>
                </w:p>
              </w:tc>
              <w:tc>
                <w:tcPr>
                  <w:tcW w:w="2420" w:type="pct"/>
                  <w:vMerge w:val="continue"/>
                  <w:vAlign w:val="center"/>
                </w:tcPr>
                <w:p w14:paraId="35C8BE1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s="Times New Roman"/>
                      <w:b w:val="0"/>
                      <w:color w:val="auto"/>
                      <w:sz w:val="21"/>
                      <w:szCs w:val="21"/>
                      <w:lang w:val="en-US" w:eastAsia="zh-CN"/>
                    </w:rPr>
                  </w:pPr>
                </w:p>
              </w:tc>
            </w:tr>
          </w:tbl>
          <w:p w14:paraId="2D55B98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color w:val="auto"/>
                <w:kern w:val="0"/>
                <w:sz w:val="24"/>
                <w:szCs w:val="22"/>
                <w:lang w:val="en-US" w:eastAsia="zh-CN" w:bidi="ar-SA"/>
              </w:rPr>
            </w:pPr>
            <w:r>
              <w:rPr>
                <w:rFonts w:hint="eastAsia" w:cs="Times New Roman"/>
                <w:b/>
                <w:bCs/>
                <w:color w:val="auto"/>
                <w:kern w:val="0"/>
                <w:sz w:val="24"/>
                <w:szCs w:val="22"/>
                <w:lang w:val="en-US" w:eastAsia="zh-CN" w:bidi="ar-SA"/>
              </w:rPr>
              <w:t>5</w:t>
            </w:r>
            <w:r>
              <w:rPr>
                <w:rFonts w:hint="eastAsia" w:ascii="Times New Roman" w:hAnsi="Times New Roman" w:eastAsia="宋体" w:cs="Times New Roman"/>
                <w:b/>
                <w:bCs/>
                <w:color w:val="auto"/>
                <w:kern w:val="0"/>
                <w:sz w:val="24"/>
                <w:szCs w:val="22"/>
                <w:lang w:val="en-US" w:eastAsia="zh-CN" w:bidi="ar-SA"/>
              </w:rPr>
              <w:t>、项目主要生产设备</w:t>
            </w:r>
          </w:p>
          <w:p w14:paraId="177FBB10">
            <w:pPr>
              <w:pStyle w:val="60"/>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eastAsia="宋体" w:cs="Times New Roman"/>
                <w:color w:val="auto"/>
                <w:kern w:val="0"/>
                <w:sz w:val="24"/>
                <w:szCs w:val="22"/>
                <w:lang w:val="en-US" w:eastAsia="zh-CN" w:bidi="ar-SA"/>
              </w:rPr>
            </w:pPr>
            <w:r>
              <w:rPr>
                <w:rFonts w:hint="eastAsia" w:ascii="Times New Roman" w:hAnsi="Times New Roman" w:eastAsia="宋体" w:cs="Times New Roman"/>
                <w:color w:val="auto"/>
                <w:kern w:val="0"/>
                <w:sz w:val="24"/>
                <w:szCs w:val="22"/>
                <w:lang w:val="en-US" w:eastAsia="zh-CN" w:bidi="ar-SA"/>
              </w:rPr>
              <w:t>本项目主要生产设备见表2-3。</w:t>
            </w:r>
          </w:p>
          <w:p w14:paraId="4D35152E">
            <w:pPr>
              <w:pStyle w:val="61"/>
              <w:pageBreakBefore w:val="0"/>
              <w:kinsoku/>
              <w:wordWrap/>
              <w:overflowPunct/>
              <w:topLinePunct w:val="0"/>
              <w:bidi w:val="0"/>
              <w:ind w:firstLine="422" w:firstLineChars="200"/>
              <w:rPr>
                <w:rFonts w:hint="eastAsia" w:ascii="Times New Roman" w:hAnsi="Times New Roman" w:eastAsia="宋体" w:cs="Times New Roman"/>
                <w:b/>
                <w:bCs w:val="0"/>
                <w:color w:val="000000"/>
                <w:kern w:val="2"/>
                <w:sz w:val="21"/>
                <w:szCs w:val="21"/>
                <w:lang w:val="en-US" w:eastAsia="zh-CN" w:bidi="ar-SA"/>
              </w:rPr>
            </w:pPr>
            <w:r>
              <w:rPr>
                <w:rFonts w:hint="eastAsia" w:ascii="Times New Roman" w:hAnsi="Times New Roman" w:eastAsia="宋体" w:cs="Times New Roman"/>
                <w:b/>
                <w:bCs w:val="0"/>
                <w:color w:val="000000"/>
                <w:kern w:val="2"/>
                <w:sz w:val="21"/>
                <w:szCs w:val="21"/>
                <w:lang w:val="en-US" w:eastAsia="zh-CN" w:bidi="ar-SA"/>
              </w:rPr>
              <w:t>表2-3 项目主要生产设备一览表</w:t>
            </w:r>
          </w:p>
          <w:tbl>
            <w:tblPr>
              <w:tblStyle w:val="33"/>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7"/>
              <w:gridCol w:w="2072"/>
              <w:gridCol w:w="1687"/>
              <w:gridCol w:w="1253"/>
              <w:gridCol w:w="1239"/>
              <w:gridCol w:w="1241"/>
            </w:tblGrid>
            <w:tr w14:paraId="04757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23" w:type="pct"/>
                  <w:vAlign w:val="center"/>
                </w:tcPr>
                <w:p w14:paraId="039AA8FE">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237" w:type="pct"/>
                  <w:vAlign w:val="center"/>
                </w:tcPr>
                <w:p w14:paraId="5FDB14E5">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设备名称</w:t>
                  </w:r>
                </w:p>
              </w:tc>
              <w:tc>
                <w:tcPr>
                  <w:tcW w:w="1007" w:type="pct"/>
                  <w:vAlign w:val="center"/>
                </w:tcPr>
                <w:p w14:paraId="502B4591">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规格型号</w:t>
                  </w:r>
                </w:p>
              </w:tc>
              <w:tc>
                <w:tcPr>
                  <w:tcW w:w="748" w:type="pct"/>
                  <w:vAlign w:val="center"/>
                </w:tcPr>
                <w:p w14:paraId="4633966C">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740" w:type="pct"/>
                  <w:vAlign w:val="center"/>
                </w:tcPr>
                <w:p w14:paraId="1D4950A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使用工序</w:t>
                  </w:r>
                </w:p>
              </w:tc>
              <w:tc>
                <w:tcPr>
                  <w:tcW w:w="741" w:type="pct"/>
                  <w:vAlign w:val="center"/>
                </w:tcPr>
                <w:p w14:paraId="011C6E0C">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备注</w:t>
                  </w:r>
                </w:p>
              </w:tc>
            </w:tr>
            <w:tr w14:paraId="563110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23" w:type="pct"/>
                  <w:vAlign w:val="center"/>
                </w:tcPr>
                <w:p w14:paraId="0A556F30">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c>
                <w:tcPr>
                  <w:tcW w:w="1237" w:type="pct"/>
                  <w:vAlign w:val="center"/>
                </w:tcPr>
                <w:p w14:paraId="527F7242">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rPr>
                  </w:pPr>
                  <w:r>
                    <w:rPr>
                      <w:rFonts w:hint="eastAsia" w:ascii="Times New Roman" w:hAnsi="Times New Roman" w:cs="Times New Roman"/>
                      <w:b w:val="0"/>
                      <w:bCs/>
                      <w:color w:val="auto"/>
                      <w:sz w:val="21"/>
                      <w:szCs w:val="21"/>
                      <w:u w:val="none" w:color="auto"/>
                      <w:vertAlign w:val="baseline"/>
                      <w:lang w:val="en-US" w:eastAsia="zh-CN"/>
                    </w:rPr>
                    <w:t>绕线机</w:t>
                  </w:r>
                </w:p>
              </w:tc>
              <w:tc>
                <w:tcPr>
                  <w:tcW w:w="1007" w:type="pct"/>
                  <w:vAlign w:val="center"/>
                </w:tcPr>
                <w:p w14:paraId="12A1E9E4">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b w:val="0"/>
                      <w:bCs/>
                      <w:color w:val="auto"/>
                      <w:sz w:val="21"/>
                      <w:szCs w:val="21"/>
                      <w:u w:val="none" w:color="auto"/>
                      <w:vertAlign w:val="baseline"/>
                      <w:lang w:val="en-US" w:eastAsia="zh-CN"/>
                    </w:rPr>
                    <w:t>/</w:t>
                  </w:r>
                </w:p>
              </w:tc>
              <w:tc>
                <w:tcPr>
                  <w:tcW w:w="748" w:type="pct"/>
                  <w:vAlign w:val="center"/>
                </w:tcPr>
                <w:p w14:paraId="51566C68">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b w:val="0"/>
                      <w:bCs/>
                      <w:color w:val="auto"/>
                      <w:sz w:val="21"/>
                      <w:szCs w:val="21"/>
                      <w:u w:val="none" w:color="auto"/>
                      <w:vertAlign w:val="baseline"/>
                      <w:lang w:val="en-US" w:eastAsia="zh-CN"/>
                    </w:rPr>
                    <w:t>24</w:t>
                  </w:r>
                </w:p>
              </w:tc>
              <w:tc>
                <w:tcPr>
                  <w:tcW w:w="740" w:type="pct"/>
                  <w:vAlign w:val="center"/>
                </w:tcPr>
                <w:p w14:paraId="0D31006A">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绕线</w:t>
                  </w:r>
                </w:p>
              </w:tc>
              <w:tc>
                <w:tcPr>
                  <w:tcW w:w="741" w:type="pct"/>
                  <w:vAlign w:val="center"/>
                </w:tcPr>
                <w:p w14:paraId="6376980C">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w:t>
                  </w:r>
                </w:p>
              </w:tc>
            </w:tr>
            <w:tr w14:paraId="162FC8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23" w:type="pct"/>
                  <w:vAlign w:val="center"/>
                </w:tcPr>
                <w:p w14:paraId="1AD7E418">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w:t>
                  </w:r>
                </w:p>
              </w:tc>
              <w:tc>
                <w:tcPr>
                  <w:tcW w:w="1237" w:type="pct"/>
                  <w:vAlign w:val="center"/>
                </w:tcPr>
                <w:p w14:paraId="7BE0BCDB">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i w:val="0"/>
                      <w:iCs w:val="0"/>
                      <w:caps w:val="0"/>
                      <w:spacing w:val="0"/>
                      <w:sz w:val="21"/>
                      <w:szCs w:val="21"/>
                      <w:shd w:val="clear" w:fill="FAFAFA"/>
                      <w:lang w:val="en-US" w:eastAsia="zh-CN"/>
                    </w:rPr>
                    <w:t>包胶机</w:t>
                  </w:r>
                </w:p>
              </w:tc>
              <w:tc>
                <w:tcPr>
                  <w:tcW w:w="1007" w:type="pct"/>
                  <w:vAlign w:val="center"/>
                </w:tcPr>
                <w:p w14:paraId="38600B4C">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rPr>
                  </w:pPr>
                  <w:r>
                    <w:rPr>
                      <w:rFonts w:hint="eastAsia" w:ascii="Times New Roman" w:hAnsi="Times New Roman" w:cs="Times New Roman"/>
                      <w:b w:val="0"/>
                      <w:bCs/>
                      <w:color w:val="auto"/>
                      <w:sz w:val="21"/>
                      <w:szCs w:val="21"/>
                      <w:u w:val="none" w:color="auto"/>
                      <w:vertAlign w:val="baseline"/>
                      <w:lang w:val="en-US" w:eastAsia="zh-CN"/>
                    </w:rPr>
                    <w:t>M1000</w:t>
                  </w:r>
                </w:p>
              </w:tc>
              <w:tc>
                <w:tcPr>
                  <w:tcW w:w="748" w:type="pct"/>
                  <w:vAlign w:val="center"/>
                </w:tcPr>
                <w:p w14:paraId="697FC0E0">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b w:val="0"/>
                      <w:bCs/>
                      <w:color w:val="auto"/>
                      <w:sz w:val="21"/>
                      <w:szCs w:val="21"/>
                      <w:u w:val="none" w:color="auto"/>
                      <w:vertAlign w:val="baseline"/>
                      <w:lang w:val="en-US" w:eastAsia="zh-CN"/>
                    </w:rPr>
                    <w:t>4</w:t>
                  </w:r>
                </w:p>
              </w:tc>
              <w:tc>
                <w:tcPr>
                  <w:tcW w:w="740" w:type="pct"/>
                  <w:vAlign w:val="center"/>
                </w:tcPr>
                <w:p w14:paraId="70684F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kern w:val="2"/>
                      <w:sz w:val="21"/>
                      <w:szCs w:val="21"/>
                      <w:lang w:val="en-US" w:eastAsia="zh-CN" w:bidi="ar-SA"/>
                    </w:rPr>
                    <w:t>包胶</w:t>
                  </w:r>
                </w:p>
              </w:tc>
              <w:tc>
                <w:tcPr>
                  <w:tcW w:w="741" w:type="pct"/>
                  <w:vAlign w:val="center"/>
                </w:tcPr>
                <w:p w14:paraId="55A065A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lang w:val="en-US" w:eastAsia="zh-CN"/>
                    </w:rPr>
                  </w:pPr>
                </w:p>
              </w:tc>
            </w:tr>
            <w:tr w14:paraId="75DE8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 w:hRule="atLeast"/>
              </w:trPr>
              <w:tc>
                <w:tcPr>
                  <w:tcW w:w="523" w:type="pct"/>
                  <w:vAlign w:val="center"/>
                </w:tcPr>
                <w:p w14:paraId="55E5E0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Cs w:val="21"/>
                    </w:rPr>
                    <w:t>3</w:t>
                  </w:r>
                </w:p>
              </w:tc>
              <w:tc>
                <w:tcPr>
                  <w:tcW w:w="1237" w:type="pct"/>
                  <w:vAlign w:val="center"/>
                </w:tcPr>
                <w:p w14:paraId="1B308E6F">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aps w:val="0"/>
                      <w:spacing w:val="0"/>
                      <w:sz w:val="21"/>
                      <w:szCs w:val="21"/>
                      <w:shd w:val="clear" w:fill="FAFAFA"/>
                      <w:lang w:val="en-US" w:eastAsia="zh-CN"/>
                    </w:rPr>
                  </w:pPr>
                  <w:r>
                    <w:rPr>
                      <w:rFonts w:hint="eastAsia" w:ascii="Times New Roman" w:hAnsi="Times New Roman" w:cs="Times New Roman"/>
                      <w:b w:val="0"/>
                      <w:bCs/>
                      <w:color w:val="auto"/>
                      <w:sz w:val="21"/>
                      <w:szCs w:val="21"/>
                      <w:u w:val="none" w:color="auto"/>
                      <w:vertAlign w:val="baseline"/>
                      <w:lang w:val="en-US" w:eastAsia="zh-CN"/>
                    </w:rPr>
                    <w:t>无铅熔锡炉</w:t>
                  </w:r>
                </w:p>
              </w:tc>
              <w:tc>
                <w:tcPr>
                  <w:tcW w:w="1007" w:type="pct"/>
                  <w:vAlign w:val="center"/>
                </w:tcPr>
                <w:p w14:paraId="28AEBFB5">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aps w:val="0"/>
                      <w:spacing w:val="0"/>
                      <w:kern w:val="0"/>
                      <w:sz w:val="21"/>
                      <w:szCs w:val="21"/>
                      <w:lang w:val="en-US" w:eastAsia="zh-CN" w:bidi="ar"/>
                    </w:rPr>
                  </w:pPr>
                  <w:r>
                    <w:rPr>
                      <w:rFonts w:hint="eastAsia" w:ascii="Times New Roman" w:hAnsi="Times New Roman" w:cs="Times New Roman"/>
                      <w:i w:val="0"/>
                      <w:iCs w:val="0"/>
                      <w:caps w:val="0"/>
                      <w:spacing w:val="0"/>
                      <w:kern w:val="0"/>
                      <w:sz w:val="21"/>
                      <w:szCs w:val="21"/>
                      <w:lang w:val="en-US" w:eastAsia="zh-CN" w:bidi="ar"/>
                    </w:rPr>
                    <w:t>/</w:t>
                  </w:r>
                </w:p>
              </w:tc>
              <w:tc>
                <w:tcPr>
                  <w:tcW w:w="748" w:type="pct"/>
                  <w:vAlign w:val="center"/>
                </w:tcPr>
                <w:p w14:paraId="291E8DDF">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b w:val="0"/>
                      <w:bCs/>
                      <w:color w:val="auto"/>
                      <w:sz w:val="21"/>
                      <w:szCs w:val="21"/>
                      <w:u w:val="none" w:color="auto"/>
                      <w:vertAlign w:val="baseline"/>
                      <w:lang w:val="en-US" w:eastAsia="zh-CN"/>
                    </w:rPr>
                    <w:t>2</w:t>
                  </w:r>
                </w:p>
              </w:tc>
              <w:tc>
                <w:tcPr>
                  <w:tcW w:w="740" w:type="pct"/>
                  <w:shd w:val="clear" w:color="auto" w:fill="auto"/>
                  <w:vAlign w:val="center"/>
                </w:tcPr>
                <w:p w14:paraId="57C1D5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焊锡</w:t>
                  </w:r>
                </w:p>
              </w:tc>
              <w:tc>
                <w:tcPr>
                  <w:tcW w:w="741" w:type="pct"/>
                  <w:shd w:val="clear" w:color="auto" w:fill="auto"/>
                  <w:vAlign w:val="center"/>
                </w:tcPr>
                <w:p w14:paraId="2195DD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w:t>
                  </w:r>
                </w:p>
              </w:tc>
            </w:tr>
            <w:tr w14:paraId="5C90C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523" w:type="pct"/>
                  <w:vAlign w:val="center"/>
                </w:tcPr>
                <w:p w14:paraId="195F20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Cs w:val="21"/>
                    </w:rPr>
                    <w:t>4</w:t>
                  </w:r>
                </w:p>
              </w:tc>
              <w:tc>
                <w:tcPr>
                  <w:tcW w:w="1237" w:type="pct"/>
                  <w:vAlign w:val="center"/>
                </w:tcPr>
                <w:p w14:paraId="0572C2F0">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Segoe UI" w:cs="Times New Roman"/>
                      <w:i w:val="0"/>
                      <w:iCs w:val="0"/>
                      <w:caps w:val="0"/>
                      <w:spacing w:val="0"/>
                      <w:sz w:val="21"/>
                      <w:szCs w:val="21"/>
                      <w:shd w:val="clear" w:fill="FAFAFA"/>
                      <w:lang w:val="en-US"/>
                    </w:rPr>
                  </w:pPr>
                  <w:r>
                    <w:rPr>
                      <w:rFonts w:hint="eastAsia" w:ascii="Times New Roman" w:hAnsi="Times New Roman" w:cs="Times New Roman"/>
                      <w:b w:val="0"/>
                      <w:bCs/>
                      <w:color w:val="auto"/>
                      <w:sz w:val="21"/>
                      <w:szCs w:val="21"/>
                      <w:u w:val="none" w:color="auto"/>
                      <w:vertAlign w:val="baseline"/>
                      <w:lang w:val="en-US" w:eastAsia="zh-CN"/>
                    </w:rPr>
                    <w:t>综合测试仪</w:t>
                  </w:r>
                </w:p>
              </w:tc>
              <w:tc>
                <w:tcPr>
                  <w:tcW w:w="1007" w:type="pct"/>
                  <w:vAlign w:val="center"/>
                </w:tcPr>
                <w:p w14:paraId="6ECFF58A">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aps w:val="0"/>
                      <w:spacing w:val="0"/>
                      <w:kern w:val="0"/>
                      <w:sz w:val="21"/>
                      <w:szCs w:val="21"/>
                      <w:lang w:val="en-US" w:eastAsia="zh-CN" w:bidi="ar"/>
                    </w:rPr>
                  </w:pPr>
                  <w:r>
                    <w:rPr>
                      <w:rFonts w:hint="eastAsia" w:ascii="Times New Roman" w:hAnsi="Times New Roman" w:cs="Times New Roman"/>
                      <w:b w:val="0"/>
                      <w:bCs/>
                      <w:color w:val="auto"/>
                      <w:sz w:val="21"/>
                      <w:szCs w:val="21"/>
                      <w:u w:val="none" w:color="auto"/>
                      <w:vertAlign w:val="baseline"/>
                      <w:lang w:val="en-US" w:eastAsia="zh-CN"/>
                    </w:rPr>
                    <w:t>2X2789</w:t>
                  </w:r>
                </w:p>
              </w:tc>
              <w:tc>
                <w:tcPr>
                  <w:tcW w:w="748" w:type="pct"/>
                  <w:vAlign w:val="center"/>
                </w:tcPr>
                <w:p w14:paraId="531636E4">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b w:val="0"/>
                      <w:bCs/>
                      <w:color w:val="auto"/>
                      <w:sz w:val="21"/>
                      <w:szCs w:val="21"/>
                      <w:u w:val="none" w:color="auto"/>
                      <w:vertAlign w:val="baseline"/>
                      <w:lang w:val="en-US" w:eastAsia="zh-CN"/>
                    </w:rPr>
                    <w:t>2</w:t>
                  </w:r>
                </w:p>
              </w:tc>
              <w:tc>
                <w:tcPr>
                  <w:tcW w:w="740" w:type="pct"/>
                  <w:vAlign w:val="center"/>
                </w:tcPr>
                <w:p w14:paraId="2C870D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综合测试</w:t>
                  </w:r>
                </w:p>
              </w:tc>
              <w:tc>
                <w:tcPr>
                  <w:tcW w:w="741" w:type="pct"/>
                  <w:vAlign w:val="center"/>
                </w:tcPr>
                <w:p w14:paraId="55E0AB03">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r>
            <w:tr w14:paraId="3C0B28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 w:hRule="atLeast"/>
              </w:trPr>
              <w:tc>
                <w:tcPr>
                  <w:tcW w:w="523" w:type="pct"/>
                  <w:vAlign w:val="center"/>
                </w:tcPr>
                <w:p w14:paraId="086B6A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Cs w:val="21"/>
                    </w:rPr>
                  </w:pPr>
                  <w:r>
                    <w:rPr>
                      <w:rFonts w:hint="default" w:ascii="Times New Roman" w:hAnsi="Times New Roman" w:cs="Times New Roman"/>
                      <w:szCs w:val="21"/>
                    </w:rPr>
                    <w:t>5</w:t>
                  </w:r>
                </w:p>
              </w:tc>
              <w:tc>
                <w:tcPr>
                  <w:tcW w:w="1237" w:type="pct"/>
                  <w:vAlign w:val="center"/>
                </w:tcPr>
                <w:p w14:paraId="035E65C4">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aps w:val="0"/>
                      <w:spacing w:val="0"/>
                      <w:sz w:val="21"/>
                      <w:szCs w:val="21"/>
                      <w:shd w:val="clear" w:fill="FAFAFA"/>
                      <w:lang w:val="en-US" w:eastAsia="zh-CN"/>
                    </w:rPr>
                  </w:pPr>
                  <w:r>
                    <w:rPr>
                      <w:rFonts w:hint="eastAsia" w:ascii="Times New Roman" w:hAnsi="Times New Roman" w:cs="Times New Roman"/>
                      <w:b w:val="0"/>
                      <w:bCs/>
                      <w:color w:val="auto"/>
                      <w:sz w:val="21"/>
                      <w:szCs w:val="21"/>
                      <w:u w:val="none" w:color="auto"/>
                      <w:vertAlign w:val="baseline"/>
                      <w:lang w:val="en-US" w:eastAsia="zh-CN"/>
                    </w:rPr>
                    <w:t>真空含浸机</w:t>
                  </w:r>
                </w:p>
              </w:tc>
              <w:tc>
                <w:tcPr>
                  <w:tcW w:w="1007" w:type="pct"/>
                  <w:vAlign w:val="center"/>
                </w:tcPr>
                <w:p w14:paraId="06CBA1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i w:val="0"/>
                      <w:iCs w:val="0"/>
                      <w:caps w:val="0"/>
                      <w:spacing w:val="0"/>
                      <w:sz w:val="21"/>
                      <w:szCs w:val="21"/>
                      <w:shd w:val="clear" w:fill="FAFAFA"/>
                      <w:lang w:val="en-US" w:eastAsia="zh-CN"/>
                    </w:rPr>
                  </w:pPr>
                  <w:r>
                    <w:rPr>
                      <w:rFonts w:hint="eastAsia" w:ascii="Times New Roman" w:hAnsi="Times New Roman" w:eastAsia="宋体" w:cs="Times New Roman"/>
                      <w:b w:val="0"/>
                      <w:bCs/>
                      <w:color w:val="auto"/>
                      <w:sz w:val="21"/>
                      <w:szCs w:val="21"/>
                      <w:u w:val="none" w:color="auto"/>
                      <w:vertAlign w:val="baseline"/>
                      <w:lang w:val="en-US" w:eastAsia="zh-CN"/>
                    </w:rPr>
                    <w:t>/</w:t>
                  </w:r>
                </w:p>
              </w:tc>
              <w:tc>
                <w:tcPr>
                  <w:tcW w:w="748" w:type="pct"/>
                  <w:vAlign w:val="center"/>
                </w:tcPr>
                <w:p w14:paraId="45481362">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b w:val="0"/>
                      <w:bCs/>
                      <w:color w:val="auto"/>
                      <w:sz w:val="21"/>
                      <w:szCs w:val="21"/>
                      <w:u w:val="none" w:color="auto"/>
                      <w:vertAlign w:val="baseline"/>
                      <w:lang w:val="en-US" w:eastAsia="zh-CN"/>
                    </w:rPr>
                    <w:t>1</w:t>
                  </w:r>
                </w:p>
              </w:tc>
              <w:tc>
                <w:tcPr>
                  <w:tcW w:w="740" w:type="pct"/>
                  <w:vAlign w:val="center"/>
                </w:tcPr>
                <w:p w14:paraId="5AA4CF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含浸</w:t>
                  </w:r>
                </w:p>
              </w:tc>
              <w:tc>
                <w:tcPr>
                  <w:tcW w:w="741" w:type="pct"/>
                  <w:vAlign w:val="center"/>
                </w:tcPr>
                <w:p w14:paraId="30D25AB3">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两条生产线共用</w:t>
                  </w:r>
                </w:p>
              </w:tc>
            </w:tr>
            <w:tr w14:paraId="577185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 w:hRule="atLeast"/>
              </w:trPr>
              <w:tc>
                <w:tcPr>
                  <w:tcW w:w="523" w:type="pct"/>
                  <w:vAlign w:val="center"/>
                </w:tcPr>
                <w:p w14:paraId="1DFAFF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Cs w:val="21"/>
                    </w:rPr>
                    <w:t>6</w:t>
                  </w:r>
                </w:p>
              </w:tc>
              <w:tc>
                <w:tcPr>
                  <w:tcW w:w="1237" w:type="pct"/>
                  <w:vAlign w:val="center"/>
                </w:tcPr>
                <w:p w14:paraId="6F455095">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Segoe UI" w:cs="Times New Roman"/>
                      <w:i w:val="0"/>
                      <w:iCs w:val="0"/>
                      <w:caps w:val="0"/>
                      <w:spacing w:val="0"/>
                      <w:sz w:val="21"/>
                      <w:szCs w:val="21"/>
                      <w:shd w:val="clear" w:fill="FAFAFA"/>
                    </w:rPr>
                  </w:pPr>
                  <w:r>
                    <w:rPr>
                      <w:rFonts w:hint="eastAsia" w:ascii="Times New Roman" w:hAnsi="Times New Roman" w:cs="Times New Roman"/>
                      <w:b w:val="0"/>
                      <w:bCs/>
                      <w:color w:val="auto"/>
                      <w:sz w:val="21"/>
                      <w:szCs w:val="21"/>
                      <w:u w:val="none" w:color="auto"/>
                      <w:vertAlign w:val="baseline"/>
                      <w:lang w:val="en-US" w:eastAsia="zh-CN"/>
                    </w:rPr>
                    <w:t>隧道式烘箱</w:t>
                  </w:r>
                </w:p>
              </w:tc>
              <w:tc>
                <w:tcPr>
                  <w:tcW w:w="1007" w:type="pct"/>
                  <w:vAlign w:val="center"/>
                </w:tcPr>
                <w:p w14:paraId="5284D8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Segoe UI" w:cs="Times New Roman"/>
                      <w:i w:val="0"/>
                      <w:iCs w:val="0"/>
                      <w:caps w:val="0"/>
                      <w:spacing w:val="0"/>
                      <w:kern w:val="0"/>
                      <w:sz w:val="21"/>
                      <w:szCs w:val="21"/>
                      <w:lang w:val="en-US" w:eastAsia="zh-CN" w:bidi="ar"/>
                    </w:rPr>
                  </w:pPr>
                  <w:r>
                    <w:rPr>
                      <w:rFonts w:hint="eastAsia" w:ascii="Times New Roman" w:hAnsi="Times New Roman" w:cs="Times New Roman"/>
                      <w:b w:val="0"/>
                      <w:bCs/>
                      <w:color w:val="auto"/>
                      <w:sz w:val="21"/>
                      <w:szCs w:val="21"/>
                      <w:u w:val="none" w:color="auto"/>
                      <w:vertAlign w:val="baseline"/>
                      <w:lang w:val="en-US" w:eastAsia="zh-CN"/>
                    </w:rPr>
                    <w:t>HF-202</w:t>
                  </w:r>
                </w:p>
              </w:tc>
              <w:tc>
                <w:tcPr>
                  <w:tcW w:w="748" w:type="pct"/>
                  <w:vAlign w:val="center"/>
                </w:tcPr>
                <w:p w14:paraId="312212C8">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ascii="Times New Roman" w:hAnsi="Times New Roman" w:cs="Times New Roman"/>
                      <w:b w:val="0"/>
                      <w:bCs/>
                      <w:color w:val="auto"/>
                      <w:sz w:val="21"/>
                      <w:szCs w:val="21"/>
                      <w:u w:val="none" w:color="auto"/>
                      <w:vertAlign w:val="baseline"/>
                      <w:lang w:val="en-US" w:eastAsia="zh-CN"/>
                    </w:rPr>
                    <w:t>1</w:t>
                  </w:r>
                </w:p>
              </w:tc>
              <w:tc>
                <w:tcPr>
                  <w:tcW w:w="740" w:type="pct"/>
                  <w:vAlign w:val="center"/>
                </w:tcPr>
                <w:p w14:paraId="03C03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烘干</w:t>
                  </w:r>
                </w:p>
              </w:tc>
              <w:tc>
                <w:tcPr>
                  <w:tcW w:w="741" w:type="pct"/>
                  <w:vAlign w:val="center"/>
                </w:tcPr>
                <w:p w14:paraId="76B86BD0">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电烘干，两条生产线共用</w:t>
                  </w:r>
                </w:p>
              </w:tc>
            </w:tr>
            <w:tr w14:paraId="07C766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 w:hRule="atLeast"/>
              </w:trPr>
              <w:tc>
                <w:tcPr>
                  <w:tcW w:w="523" w:type="pct"/>
                  <w:vAlign w:val="center"/>
                </w:tcPr>
                <w:p w14:paraId="6FAFA6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Cs w:val="21"/>
                    </w:rPr>
                    <w:t>7</w:t>
                  </w:r>
                </w:p>
              </w:tc>
              <w:tc>
                <w:tcPr>
                  <w:tcW w:w="1237" w:type="pct"/>
                  <w:vAlign w:val="center"/>
                </w:tcPr>
                <w:p w14:paraId="3F349475">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aps w:val="0"/>
                      <w:spacing w:val="0"/>
                      <w:sz w:val="21"/>
                      <w:szCs w:val="21"/>
                      <w:shd w:val="clear" w:fill="FAFAFA"/>
                      <w:lang w:val="en-US" w:eastAsia="zh-CN"/>
                    </w:rPr>
                  </w:pPr>
                  <w:r>
                    <w:rPr>
                      <w:rFonts w:hint="eastAsia"/>
                      <w:b w:val="0"/>
                      <w:color w:val="auto"/>
                      <w:sz w:val="21"/>
                      <w:szCs w:val="21"/>
                      <w:lang w:val="en-US" w:eastAsia="zh-CN"/>
                    </w:rPr>
                    <w:t>切脚机</w:t>
                  </w:r>
                </w:p>
              </w:tc>
              <w:tc>
                <w:tcPr>
                  <w:tcW w:w="1007" w:type="pct"/>
                  <w:vAlign w:val="center"/>
                </w:tcPr>
                <w:p w14:paraId="2A338E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i w:val="0"/>
                      <w:iCs w:val="0"/>
                      <w:caps w:val="0"/>
                      <w:spacing w:val="0"/>
                      <w:kern w:val="0"/>
                      <w:sz w:val="21"/>
                      <w:szCs w:val="21"/>
                      <w:lang w:val="en-US" w:eastAsia="zh-CN" w:bidi="ar"/>
                    </w:rPr>
                  </w:pPr>
                </w:p>
              </w:tc>
              <w:tc>
                <w:tcPr>
                  <w:tcW w:w="748" w:type="pct"/>
                  <w:vAlign w:val="center"/>
                </w:tcPr>
                <w:p w14:paraId="1B144AA3">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b w:val="0"/>
                      <w:color w:val="auto"/>
                      <w:sz w:val="21"/>
                      <w:szCs w:val="21"/>
                      <w:lang w:val="en-US" w:eastAsia="zh-CN"/>
                    </w:rPr>
                    <w:t>2</w:t>
                  </w:r>
                </w:p>
              </w:tc>
              <w:tc>
                <w:tcPr>
                  <w:tcW w:w="740" w:type="pct"/>
                  <w:vAlign w:val="center"/>
                </w:tcPr>
                <w:p w14:paraId="34EA9B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切脚</w:t>
                  </w:r>
                </w:p>
              </w:tc>
              <w:tc>
                <w:tcPr>
                  <w:tcW w:w="741" w:type="pct"/>
                  <w:vAlign w:val="center"/>
                </w:tcPr>
                <w:p w14:paraId="706F09D2">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r>
            <w:tr w14:paraId="22D4F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 w:hRule="atLeast"/>
              </w:trPr>
              <w:tc>
                <w:tcPr>
                  <w:tcW w:w="523" w:type="pct"/>
                  <w:vAlign w:val="center"/>
                </w:tcPr>
                <w:p w14:paraId="61D299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zCs w:val="21"/>
                      <w:lang w:val="en-US" w:eastAsia="zh-CN"/>
                    </w:rPr>
                  </w:pPr>
                  <w:r>
                    <w:rPr>
                      <w:rFonts w:hint="eastAsia" w:cs="Times New Roman"/>
                      <w:szCs w:val="21"/>
                      <w:lang w:val="en-US" w:eastAsia="zh-CN"/>
                    </w:rPr>
                    <w:t>8</w:t>
                  </w:r>
                </w:p>
              </w:tc>
              <w:tc>
                <w:tcPr>
                  <w:tcW w:w="1237" w:type="pct"/>
                  <w:vAlign w:val="center"/>
                </w:tcPr>
                <w:p w14:paraId="6C1A6116">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单耐压测试仪</w:t>
                  </w:r>
                </w:p>
              </w:tc>
              <w:tc>
                <w:tcPr>
                  <w:tcW w:w="1007" w:type="pct"/>
                  <w:vAlign w:val="center"/>
                </w:tcPr>
                <w:p w14:paraId="04EA967B">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u w:val="none" w:color="auto"/>
                      <w:vertAlign w:val="baseline"/>
                      <w:lang w:val="en-US" w:eastAsia="zh-CN"/>
                    </w:rPr>
                  </w:pPr>
                  <w:r>
                    <w:rPr>
                      <w:rFonts w:hint="eastAsia" w:ascii="Times New Roman" w:hAnsi="Times New Roman" w:cs="Times New Roman"/>
                      <w:b w:val="0"/>
                      <w:bCs/>
                      <w:color w:val="auto"/>
                      <w:sz w:val="21"/>
                      <w:szCs w:val="21"/>
                      <w:u w:val="none" w:color="auto"/>
                      <w:vertAlign w:val="baseline"/>
                      <w:lang w:val="en-US" w:eastAsia="zh-CN"/>
                    </w:rPr>
                    <w:t>LK2672X</w:t>
                  </w:r>
                </w:p>
              </w:tc>
              <w:tc>
                <w:tcPr>
                  <w:tcW w:w="748" w:type="pct"/>
                  <w:vAlign w:val="center"/>
                </w:tcPr>
                <w:p w14:paraId="6C5B5308">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u w:val="none" w:color="auto"/>
                      <w:vertAlign w:val="baseline"/>
                      <w:lang w:val="en-US" w:eastAsia="zh-CN"/>
                    </w:rPr>
                  </w:pPr>
                  <w:r>
                    <w:rPr>
                      <w:rFonts w:hint="default" w:ascii="Times New Roman" w:hAnsi="Times New Roman" w:cs="Times New Roman"/>
                      <w:b w:val="0"/>
                      <w:bCs/>
                      <w:color w:val="auto"/>
                      <w:kern w:val="2"/>
                      <w:sz w:val="21"/>
                      <w:szCs w:val="21"/>
                      <w:u w:val="none" w:color="auto"/>
                      <w:vertAlign w:val="baseline"/>
                      <w:lang w:val="en-US" w:eastAsia="zh-CN" w:bidi="ar-SA"/>
                    </w:rPr>
                    <w:t>2</w:t>
                  </w:r>
                </w:p>
              </w:tc>
              <w:tc>
                <w:tcPr>
                  <w:tcW w:w="740" w:type="pct"/>
                  <w:vAlign w:val="center"/>
                </w:tcPr>
                <w:p w14:paraId="74494A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测压</w:t>
                  </w:r>
                </w:p>
              </w:tc>
              <w:tc>
                <w:tcPr>
                  <w:tcW w:w="741" w:type="pct"/>
                  <w:vAlign w:val="center"/>
                </w:tcPr>
                <w:p w14:paraId="216F9E1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w:t>
                  </w:r>
                </w:p>
              </w:tc>
            </w:tr>
            <w:tr w14:paraId="777ACF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 w:hRule="atLeast"/>
              </w:trPr>
              <w:tc>
                <w:tcPr>
                  <w:tcW w:w="523" w:type="pct"/>
                  <w:vAlign w:val="center"/>
                </w:tcPr>
                <w:p w14:paraId="300331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z w:val="21"/>
                      <w:szCs w:val="21"/>
                      <w:lang w:val="en-US" w:eastAsia="zh-CN"/>
                    </w:rPr>
                  </w:pPr>
                  <w:r>
                    <w:rPr>
                      <w:rFonts w:hint="eastAsia" w:cs="Times New Roman"/>
                      <w:szCs w:val="21"/>
                      <w:lang w:val="en-US" w:eastAsia="zh-CN"/>
                    </w:rPr>
                    <w:t>9</w:t>
                  </w:r>
                </w:p>
              </w:tc>
              <w:tc>
                <w:tcPr>
                  <w:tcW w:w="1237" w:type="pct"/>
                  <w:vAlign w:val="center"/>
                </w:tcPr>
                <w:p w14:paraId="3C6E21C3">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i w:val="0"/>
                      <w:iCs w:val="0"/>
                      <w:caps w:val="0"/>
                      <w:spacing w:val="0"/>
                      <w:sz w:val="21"/>
                      <w:szCs w:val="21"/>
                      <w:shd w:val="clear" w:fill="FAFAFA"/>
                      <w:lang w:eastAsia="zh-CN"/>
                    </w:rPr>
                  </w:pPr>
                  <w:r>
                    <w:rPr>
                      <w:rFonts w:hint="eastAsia" w:ascii="Times New Roman" w:hAnsi="Times New Roman" w:cs="Times New Roman"/>
                      <w:b w:val="0"/>
                      <w:bCs/>
                      <w:color w:val="auto"/>
                      <w:sz w:val="21"/>
                      <w:szCs w:val="21"/>
                      <w:u w:val="none" w:color="auto"/>
                      <w:vertAlign w:val="baseline"/>
                      <w:lang w:val="en-US" w:eastAsia="zh-CN"/>
                    </w:rPr>
                    <w:t>喷码机</w:t>
                  </w:r>
                </w:p>
              </w:tc>
              <w:tc>
                <w:tcPr>
                  <w:tcW w:w="1007" w:type="pct"/>
                  <w:vAlign w:val="center"/>
                </w:tcPr>
                <w:p w14:paraId="1EB687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i w:val="0"/>
                      <w:iCs w:val="0"/>
                      <w:caps w:val="0"/>
                      <w:spacing w:val="0"/>
                      <w:kern w:val="0"/>
                      <w:sz w:val="21"/>
                      <w:szCs w:val="21"/>
                      <w:lang w:val="en-US" w:eastAsia="zh-CN" w:bidi="ar"/>
                    </w:rPr>
                  </w:pPr>
                  <w:r>
                    <w:rPr>
                      <w:rFonts w:hint="eastAsia" w:ascii="Times New Roman" w:hAnsi="Times New Roman" w:eastAsia="宋体" w:cs="Times New Roman"/>
                      <w:b w:val="0"/>
                      <w:bCs/>
                      <w:color w:val="auto"/>
                      <w:sz w:val="21"/>
                      <w:szCs w:val="21"/>
                      <w:u w:val="none" w:color="auto"/>
                      <w:vertAlign w:val="baseline"/>
                      <w:lang w:val="en-US" w:eastAsia="zh-CN"/>
                    </w:rPr>
                    <w:t>/</w:t>
                  </w:r>
                </w:p>
              </w:tc>
              <w:tc>
                <w:tcPr>
                  <w:tcW w:w="748" w:type="pct"/>
                  <w:vAlign w:val="center"/>
                </w:tcPr>
                <w:p w14:paraId="292DC2EA">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b w:val="0"/>
                      <w:bCs/>
                      <w:color w:val="auto"/>
                      <w:sz w:val="21"/>
                      <w:szCs w:val="21"/>
                      <w:u w:val="none" w:color="auto"/>
                      <w:vertAlign w:val="baseline"/>
                      <w:lang w:val="en-US" w:eastAsia="zh-CN"/>
                    </w:rPr>
                    <w:t>1</w:t>
                  </w:r>
                </w:p>
              </w:tc>
              <w:tc>
                <w:tcPr>
                  <w:tcW w:w="740" w:type="pct"/>
                  <w:vAlign w:val="center"/>
                </w:tcPr>
                <w:p w14:paraId="0E2F2A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喷码</w:t>
                  </w:r>
                </w:p>
              </w:tc>
              <w:tc>
                <w:tcPr>
                  <w:tcW w:w="741" w:type="pct"/>
                  <w:vAlign w:val="center"/>
                </w:tcPr>
                <w:p w14:paraId="4A1FAB40">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激光喷码，两条生产线共用</w:t>
                  </w:r>
                </w:p>
              </w:tc>
            </w:tr>
            <w:tr w14:paraId="5CA237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 w:hRule="atLeast"/>
              </w:trPr>
              <w:tc>
                <w:tcPr>
                  <w:tcW w:w="523" w:type="pct"/>
                  <w:vAlign w:val="center"/>
                </w:tcPr>
                <w:p w14:paraId="389165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Cs w:val="21"/>
                      <w:lang w:val="en-US" w:eastAsia="zh-CN"/>
                    </w:rPr>
                  </w:pPr>
                  <w:r>
                    <w:rPr>
                      <w:rFonts w:hint="eastAsia" w:cs="Times New Roman"/>
                      <w:szCs w:val="21"/>
                      <w:lang w:val="en-US" w:eastAsia="zh-CN"/>
                    </w:rPr>
                    <w:t>10</w:t>
                  </w:r>
                </w:p>
              </w:tc>
              <w:tc>
                <w:tcPr>
                  <w:tcW w:w="1237" w:type="pct"/>
                  <w:vAlign w:val="center"/>
                </w:tcPr>
                <w:p w14:paraId="3CB78877">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val="0"/>
                      <w:color w:val="auto"/>
                      <w:sz w:val="21"/>
                      <w:szCs w:val="21"/>
                      <w:lang w:val="en-US" w:eastAsia="zh-CN"/>
                    </w:rPr>
                  </w:pPr>
                  <w:r>
                    <w:rPr>
                      <w:rFonts w:hint="eastAsia" w:ascii="Times New Roman" w:hAnsi="Times New Roman" w:cs="Times New Roman"/>
                      <w:b w:val="0"/>
                      <w:bCs/>
                      <w:color w:val="auto"/>
                      <w:sz w:val="21"/>
                      <w:szCs w:val="21"/>
                      <w:u w:val="none" w:color="auto"/>
                      <w:vertAlign w:val="baseline"/>
                      <w:lang w:val="en-US" w:eastAsia="zh-CN"/>
                    </w:rPr>
                    <w:t>空压机</w:t>
                  </w:r>
                </w:p>
              </w:tc>
              <w:tc>
                <w:tcPr>
                  <w:tcW w:w="1007" w:type="pct"/>
                  <w:vAlign w:val="center"/>
                </w:tcPr>
                <w:p w14:paraId="12BC46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i w:val="0"/>
                      <w:iCs w:val="0"/>
                      <w:caps w:val="0"/>
                      <w:spacing w:val="0"/>
                      <w:kern w:val="0"/>
                      <w:sz w:val="21"/>
                      <w:szCs w:val="21"/>
                      <w:lang w:val="en-US" w:eastAsia="zh-CN" w:bidi="ar"/>
                    </w:rPr>
                  </w:pPr>
                  <w:r>
                    <w:rPr>
                      <w:rFonts w:hint="eastAsia" w:ascii="Times New Roman" w:hAnsi="Times New Roman" w:eastAsia="宋体" w:cs="Times New Roman"/>
                      <w:b w:val="0"/>
                      <w:bCs/>
                      <w:color w:val="auto"/>
                      <w:sz w:val="21"/>
                      <w:szCs w:val="21"/>
                      <w:u w:val="none" w:color="auto"/>
                      <w:vertAlign w:val="baseline"/>
                      <w:lang w:val="en-US" w:eastAsia="zh-CN"/>
                    </w:rPr>
                    <w:t>/</w:t>
                  </w:r>
                </w:p>
              </w:tc>
              <w:tc>
                <w:tcPr>
                  <w:tcW w:w="748" w:type="pct"/>
                  <w:vAlign w:val="center"/>
                </w:tcPr>
                <w:p w14:paraId="08ADC1B2">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auto"/>
                      <w:sz w:val="21"/>
                      <w:szCs w:val="21"/>
                      <w:lang w:val="en-US" w:eastAsia="zh-CN"/>
                    </w:rPr>
                  </w:pPr>
                  <w:r>
                    <w:rPr>
                      <w:rFonts w:hint="default" w:ascii="Times New Roman" w:hAnsi="Times New Roman" w:cs="Times New Roman"/>
                      <w:b w:val="0"/>
                      <w:bCs/>
                      <w:color w:val="auto"/>
                      <w:sz w:val="21"/>
                      <w:szCs w:val="21"/>
                      <w:u w:val="none" w:color="auto"/>
                      <w:vertAlign w:val="baseline"/>
                      <w:lang w:val="en-US" w:eastAsia="zh-CN"/>
                    </w:rPr>
                    <w:t>1</w:t>
                  </w:r>
                </w:p>
              </w:tc>
              <w:tc>
                <w:tcPr>
                  <w:tcW w:w="740" w:type="pct"/>
                  <w:vAlign w:val="center"/>
                </w:tcPr>
                <w:p w14:paraId="00845D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提供压缩空气</w:t>
                  </w:r>
                </w:p>
              </w:tc>
              <w:tc>
                <w:tcPr>
                  <w:tcW w:w="741" w:type="pct"/>
                  <w:vAlign w:val="center"/>
                </w:tcPr>
                <w:p w14:paraId="3E9C73D5">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两条生产线共用</w:t>
                  </w:r>
                </w:p>
              </w:tc>
            </w:tr>
          </w:tbl>
          <w:p w14:paraId="06A3ECDD">
            <w:pPr>
              <w:pStyle w:val="60"/>
              <w:keepNext w:val="0"/>
              <w:keepLines w:val="0"/>
              <w:pageBreakBefore w:val="0"/>
              <w:widowControl w:val="0"/>
              <w:kinsoku/>
              <w:wordWrap/>
              <w:overflowPunct/>
              <w:topLinePunct w:val="0"/>
              <w:autoSpaceDE/>
              <w:autoSpaceDN/>
              <w:bidi w:val="0"/>
              <w:adjustRightInd/>
              <w:snapToGrid/>
              <w:ind w:left="0" w:leftChars="0" w:firstLine="482" w:firstLineChars="200"/>
              <w:textAlignment w:val="auto"/>
              <w:rPr>
                <w:rFonts w:hint="eastAsia" w:ascii="Times New Roman" w:hAnsi="Times New Roman" w:eastAsia="宋体" w:cs="Times New Roman"/>
                <w:b/>
                <w:bCs w:val="0"/>
                <w:color w:val="auto"/>
                <w:kern w:val="0"/>
                <w:sz w:val="24"/>
                <w:szCs w:val="22"/>
                <w:lang w:val="en-US" w:eastAsia="zh-CN" w:bidi="ar-SA"/>
              </w:rPr>
            </w:pPr>
            <w:r>
              <w:rPr>
                <w:rFonts w:hint="eastAsia" w:ascii="Times New Roman" w:hAnsi="Times New Roman" w:cs="Times New Roman"/>
                <w:b/>
                <w:bCs w:val="0"/>
                <w:color w:val="auto"/>
                <w:kern w:val="0"/>
                <w:sz w:val="24"/>
                <w:szCs w:val="22"/>
                <w:lang w:val="en-US" w:eastAsia="zh-CN" w:bidi="ar-SA"/>
              </w:rPr>
              <w:t>6</w:t>
            </w:r>
            <w:r>
              <w:rPr>
                <w:rFonts w:hint="eastAsia" w:ascii="Times New Roman" w:hAnsi="Times New Roman" w:eastAsia="宋体" w:cs="Times New Roman"/>
                <w:b/>
                <w:bCs w:val="0"/>
                <w:color w:val="auto"/>
                <w:kern w:val="0"/>
                <w:sz w:val="24"/>
                <w:szCs w:val="22"/>
                <w:lang w:val="en-US" w:eastAsia="zh-CN" w:bidi="ar-SA"/>
              </w:rPr>
              <w:t>、项目主要原辅材料</w:t>
            </w:r>
          </w:p>
          <w:p w14:paraId="601FAF64">
            <w:pPr>
              <w:pStyle w:val="50"/>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2"/>
                <w:lang w:val="en-US" w:eastAsia="zh-CN" w:bidi="ar-SA"/>
              </w:rPr>
            </w:pPr>
            <w:r>
              <w:rPr>
                <w:rFonts w:hint="eastAsia" w:ascii="Times New Roman" w:hAnsi="Times New Roman" w:eastAsia="宋体" w:cs="Times New Roman"/>
                <w:color w:val="auto"/>
                <w:kern w:val="0"/>
                <w:sz w:val="24"/>
                <w:szCs w:val="22"/>
                <w:lang w:val="en-US" w:eastAsia="zh-CN" w:bidi="ar-SA"/>
              </w:rPr>
              <w:t>项目主要原辅材料用量见下表2-4。</w:t>
            </w:r>
          </w:p>
          <w:p w14:paraId="7A1B9077">
            <w:pPr>
              <w:pStyle w:val="6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
                <w:bCs w:val="0"/>
                <w:color w:val="000000"/>
                <w:kern w:val="2"/>
                <w:sz w:val="21"/>
                <w:szCs w:val="21"/>
                <w:lang w:val="en-US" w:eastAsia="zh-CN" w:bidi="ar-SA"/>
              </w:rPr>
            </w:pPr>
            <w:r>
              <w:rPr>
                <w:rFonts w:hint="default" w:ascii="Times New Roman" w:hAnsi="Times New Roman" w:eastAsia="宋体" w:cs="Times New Roman"/>
                <w:b/>
                <w:bCs w:val="0"/>
                <w:color w:val="000000"/>
                <w:kern w:val="2"/>
                <w:sz w:val="21"/>
                <w:szCs w:val="21"/>
                <w:lang w:val="en-US" w:eastAsia="zh-CN" w:bidi="ar-SA"/>
              </w:rPr>
              <w:t>表2-</w:t>
            </w:r>
            <w:r>
              <w:rPr>
                <w:rFonts w:hint="eastAsia" w:ascii="Times New Roman" w:hAnsi="Times New Roman" w:eastAsia="宋体" w:cs="Times New Roman"/>
                <w:b/>
                <w:bCs w:val="0"/>
                <w:color w:val="000000"/>
                <w:kern w:val="2"/>
                <w:sz w:val="21"/>
                <w:szCs w:val="21"/>
                <w:lang w:val="en-US" w:eastAsia="zh-CN" w:bidi="ar-SA"/>
              </w:rPr>
              <w:t>4</w:t>
            </w:r>
            <w:r>
              <w:rPr>
                <w:rFonts w:hint="default" w:ascii="Times New Roman" w:hAnsi="Times New Roman" w:eastAsia="宋体" w:cs="Times New Roman"/>
                <w:b/>
                <w:bCs w:val="0"/>
                <w:color w:val="000000"/>
                <w:kern w:val="2"/>
                <w:sz w:val="21"/>
                <w:szCs w:val="21"/>
                <w:lang w:val="en-US" w:eastAsia="zh-CN" w:bidi="ar-SA"/>
              </w:rPr>
              <w:t xml:space="preserve"> </w:t>
            </w:r>
            <w:r>
              <w:rPr>
                <w:rFonts w:hint="eastAsia" w:ascii="Times New Roman" w:hAnsi="Times New Roman" w:eastAsia="宋体" w:cs="Times New Roman"/>
                <w:b/>
                <w:bCs w:val="0"/>
                <w:color w:val="000000"/>
                <w:kern w:val="2"/>
                <w:sz w:val="21"/>
                <w:szCs w:val="21"/>
                <w:lang w:val="en-US" w:eastAsia="zh-CN" w:bidi="ar-SA"/>
              </w:rPr>
              <w:t>项目主要原辅材料</w:t>
            </w:r>
            <w:r>
              <w:rPr>
                <w:rFonts w:hint="eastAsia" w:cs="Times New Roman"/>
                <w:b/>
                <w:bCs w:val="0"/>
                <w:color w:val="000000"/>
                <w:kern w:val="2"/>
                <w:sz w:val="21"/>
                <w:szCs w:val="21"/>
                <w:lang w:val="en-US" w:eastAsia="zh-CN" w:bidi="ar-SA"/>
              </w:rPr>
              <w:t>年</w:t>
            </w:r>
            <w:r>
              <w:rPr>
                <w:rFonts w:hint="eastAsia" w:ascii="Times New Roman" w:hAnsi="Times New Roman" w:eastAsia="宋体" w:cs="Times New Roman"/>
                <w:b/>
                <w:bCs w:val="0"/>
                <w:color w:val="000000"/>
                <w:kern w:val="2"/>
                <w:sz w:val="21"/>
                <w:szCs w:val="21"/>
                <w:lang w:val="en-US" w:eastAsia="zh-CN" w:bidi="ar-SA"/>
              </w:rPr>
              <w:t>用量一览表</w:t>
            </w:r>
          </w:p>
          <w:tbl>
            <w:tblPr>
              <w:tblStyle w:val="64"/>
              <w:tblW w:w="4998" w:type="pct"/>
              <w:tblInd w:w="-15"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857"/>
              <w:gridCol w:w="864"/>
              <w:gridCol w:w="717"/>
              <w:gridCol w:w="977"/>
              <w:gridCol w:w="925"/>
              <w:gridCol w:w="828"/>
              <w:gridCol w:w="1307"/>
              <w:gridCol w:w="901"/>
              <w:gridCol w:w="993"/>
            </w:tblGrid>
            <w:tr w14:paraId="1AC48B9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50" w:hRule="atLeast"/>
              </w:trPr>
              <w:tc>
                <w:tcPr>
                  <w:tcW w:w="512" w:type="pct"/>
                  <w:tcBorders>
                    <w:tl2br w:val="nil"/>
                    <w:tr2bl w:val="nil"/>
                  </w:tcBorders>
                  <w:vAlign w:val="center"/>
                </w:tcPr>
                <w:p w14:paraId="3EC3FE4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类别</w:t>
                  </w:r>
                </w:p>
              </w:tc>
              <w:tc>
                <w:tcPr>
                  <w:tcW w:w="516" w:type="pct"/>
                  <w:tcBorders>
                    <w:tl2br w:val="nil"/>
                    <w:tr2bl w:val="nil"/>
                  </w:tcBorders>
                  <w:vAlign w:val="center"/>
                </w:tcPr>
                <w:p w14:paraId="3566388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名称</w:t>
                  </w:r>
                </w:p>
              </w:tc>
              <w:tc>
                <w:tcPr>
                  <w:tcW w:w="428" w:type="pct"/>
                  <w:tcBorders>
                    <w:tl2br w:val="nil"/>
                    <w:tr2bl w:val="nil"/>
                  </w:tcBorders>
                  <w:vAlign w:val="center"/>
                </w:tcPr>
                <w:p w14:paraId="02C3839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单位</w:t>
                  </w:r>
                </w:p>
              </w:tc>
              <w:tc>
                <w:tcPr>
                  <w:tcW w:w="583" w:type="pct"/>
                  <w:tcBorders>
                    <w:tl2br w:val="nil"/>
                    <w:tr2bl w:val="nil"/>
                  </w:tcBorders>
                  <w:vAlign w:val="center"/>
                </w:tcPr>
                <w:p w14:paraId="6FF9349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数量</w:t>
                  </w:r>
                </w:p>
              </w:tc>
              <w:tc>
                <w:tcPr>
                  <w:tcW w:w="552" w:type="pct"/>
                  <w:tcBorders>
                    <w:tl2br w:val="nil"/>
                    <w:tr2bl w:val="nil"/>
                  </w:tcBorders>
                  <w:vAlign w:val="center"/>
                </w:tcPr>
                <w:p w14:paraId="4EF5BAD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规格</w:t>
                  </w:r>
                </w:p>
              </w:tc>
              <w:tc>
                <w:tcPr>
                  <w:tcW w:w="494" w:type="pct"/>
                  <w:tcBorders>
                    <w:tl2br w:val="nil"/>
                    <w:tr2bl w:val="nil"/>
                  </w:tcBorders>
                  <w:vAlign w:val="center"/>
                </w:tcPr>
                <w:p w14:paraId="3BE30B9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最大储存量</w:t>
                  </w:r>
                </w:p>
              </w:tc>
              <w:tc>
                <w:tcPr>
                  <w:tcW w:w="780" w:type="pct"/>
                  <w:tcBorders>
                    <w:tl2br w:val="nil"/>
                    <w:tr2bl w:val="nil"/>
                  </w:tcBorders>
                  <w:vAlign w:val="center"/>
                </w:tcPr>
                <w:p w14:paraId="1C66C7E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储存位置</w:t>
                  </w:r>
                </w:p>
              </w:tc>
              <w:tc>
                <w:tcPr>
                  <w:tcW w:w="538" w:type="pct"/>
                  <w:tcBorders>
                    <w:tl2br w:val="nil"/>
                    <w:tr2bl w:val="nil"/>
                  </w:tcBorders>
                  <w:vAlign w:val="center"/>
                </w:tcPr>
                <w:p w14:paraId="2B0158E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来源</w:t>
                  </w:r>
                </w:p>
              </w:tc>
              <w:tc>
                <w:tcPr>
                  <w:tcW w:w="593" w:type="pct"/>
                  <w:tcBorders>
                    <w:tl2br w:val="nil"/>
                    <w:tr2bl w:val="nil"/>
                  </w:tcBorders>
                  <w:vAlign w:val="center"/>
                </w:tcPr>
                <w:p w14:paraId="66A01B4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备注</w:t>
                  </w:r>
                </w:p>
              </w:tc>
            </w:tr>
            <w:tr w14:paraId="098145F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32" w:hRule="atLeast"/>
              </w:trPr>
              <w:tc>
                <w:tcPr>
                  <w:tcW w:w="512" w:type="pct"/>
                  <w:vMerge w:val="restart"/>
                  <w:tcBorders>
                    <w:tl2br w:val="nil"/>
                    <w:tr2bl w:val="nil"/>
                  </w:tcBorders>
                  <w:vAlign w:val="center"/>
                </w:tcPr>
                <w:p w14:paraId="1A2560B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原辅材料</w:t>
                  </w:r>
                </w:p>
              </w:tc>
              <w:tc>
                <w:tcPr>
                  <w:tcW w:w="516" w:type="pct"/>
                  <w:tcBorders>
                    <w:tl2br w:val="nil"/>
                    <w:tr2bl w:val="nil"/>
                  </w:tcBorders>
                  <w:vAlign w:val="center"/>
                </w:tcPr>
                <w:p w14:paraId="5170F840">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b w:val="0"/>
                      <w:color w:val="auto"/>
                      <w:sz w:val="21"/>
                      <w:szCs w:val="21"/>
                      <w:lang w:val="en-US" w:eastAsia="zh-CN"/>
                    </w:rPr>
                    <w:t>漆包铜线</w:t>
                  </w:r>
                </w:p>
              </w:tc>
              <w:tc>
                <w:tcPr>
                  <w:tcW w:w="428" w:type="pct"/>
                  <w:tcBorders>
                    <w:tl2br w:val="nil"/>
                    <w:tr2bl w:val="nil"/>
                  </w:tcBorders>
                  <w:vAlign w:val="center"/>
                </w:tcPr>
                <w:p w14:paraId="7D70EE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t</w:t>
                  </w:r>
                </w:p>
              </w:tc>
              <w:tc>
                <w:tcPr>
                  <w:tcW w:w="583" w:type="pct"/>
                  <w:tcBorders>
                    <w:tl2br w:val="nil"/>
                    <w:tr2bl w:val="nil"/>
                  </w:tcBorders>
                  <w:vAlign w:val="center"/>
                </w:tcPr>
                <w:p w14:paraId="41417654">
                  <w:pPr>
                    <w:pStyle w:val="65"/>
                    <w:keepNext w:val="0"/>
                    <w:keepLines w:val="0"/>
                    <w:pageBreakBefore w:val="0"/>
                    <w:widowControl w:val="0"/>
                    <w:kinsoku/>
                    <w:wordWrap/>
                    <w:overflowPunct w:val="0"/>
                    <w:topLinePunct w:val="0"/>
                    <w:autoSpaceDE w:val="0"/>
                    <w:autoSpaceDN w:val="0"/>
                    <w:bidi w:val="0"/>
                    <w:adjustRightInd w:val="0"/>
                    <w:snapToGrid/>
                    <w:spacing w:before="0" w:after="0" w:line="240" w:lineRule="auto"/>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10</w:t>
                  </w:r>
                </w:p>
              </w:tc>
              <w:tc>
                <w:tcPr>
                  <w:tcW w:w="552" w:type="pct"/>
                  <w:tcBorders>
                    <w:tl2br w:val="nil"/>
                    <w:tr2bl w:val="nil"/>
                  </w:tcBorders>
                  <w:vAlign w:val="center"/>
                </w:tcPr>
                <w:p w14:paraId="5C361D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494" w:type="pct"/>
                  <w:tcBorders>
                    <w:tl2br w:val="nil"/>
                    <w:tr2bl w:val="nil"/>
                  </w:tcBorders>
                  <w:vAlign w:val="center"/>
                </w:tcPr>
                <w:p w14:paraId="6BC979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lang w:val="en-US" w:eastAsia="zh-CN" w:bidi="ar-SA"/>
                    </w:rPr>
                  </w:pPr>
                  <w:r>
                    <w:rPr>
                      <w:rFonts w:hint="eastAsia" w:cs="Times New Roman"/>
                      <w:color w:val="auto"/>
                      <w:kern w:val="0"/>
                      <w:sz w:val="21"/>
                      <w:szCs w:val="21"/>
                      <w:lang w:val="en-US" w:eastAsia="zh-CN" w:bidi="ar-SA"/>
                    </w:rPr>
                    <w:t>1.5</w:t>
                  </w:r>
                </w:p>
              </w:tc>
              <w:tc>
                <w:tcPr>
                  <w:tcW w:w="780" w:type="pct"/>
                  <w:tcBorders>
                    <w:tl2br w:val="nil"/>
                    <w:tr2bl w:val="nil"/>
                  </w:tcBorders>
                  <w:vAlign w:val="center"/>
                </w:tcPr>
                <w:p w14:paraId="2DC62F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val="en-US" w:eastAsia="zh-CN"/>
                    </w:rPr>
                    <w:t>原材料区</w:t>
                  </w:r>
                </w:p>
              </w:tc>
              <w:tc>
                <w:tcPr>
                  <w:tcW w:w="538" w:type="pct"/>
                  <w:tcBorders>
                    <w:tl2br w:val="nil"/>
                    <w:tr2bl w:val="nil"/>
                  </w:tcBorders>
                  <w:vAlign w:val="center"/>
                </w:tcPr>
                <w:p w14:paraId="187841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sz w:val="21"/>
                      <w:szCs w:val="21"/>
                      <w:lang w:val="en-US" w:eastAsia="zh-CN"/>
                    </w:rPr>
                    <w:t>外购</w:t>
                  </w:r>
                </w:p>
              </w:tc>
              <w:tc>
                <w:tcPr>
                  <w:tcW w:w="593" w:type="pct"/>
                  <w:tcBorders>
                    <w:tl2br w:val="nil"/>
                    <w:tr2bl w:val="nil"/>
                  </w:tcBorders>
                  <w:vAlign w:val="center"/>
                </w:tcPr>
                <w:p w14:paraId="5D1C9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w:t>
                  </w:r>
                </w:p>
              </w:tc>
            </w:tr>
            <w:tr w14:paraId="4AE3158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2EA6618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1E6C9D67">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b w:val="0"/>
                      <w:color w:val="auto"/>
                      <w:sz w:val="21"/>
                      <w:szCs w:val="21"/>
                      <w:lang w:val="en-US" w:eastAsia="zh-CN"/>
                    </w:rPr>
                    <w:t>EE骨架</w:t>
                  </w:r>
                </w:p>
              </w:tc>
              <w:tc>
                <w:tcPr>
                  <w:tcW w:w="428" w:type="pct"/>
                  <w:tcBorders>
                    <w:tl2br w:val="nil"/>
                    <w:tr2bl w:val="nil"/>
                  </w:tcBorders>
                  <w:vAlign w:val="center"/>
                </w:tcPr>
                <w:p w14:paraId="22DD36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lang w:val="en-US" w:eastAsia="zh-CN"/>
                    </w:rPr>
                  </w:pPr>
                  <w:r>
                    <w:rPr>
                      <w:rFonts w:hint="eastAsia" w:cs="Times New Roman"/>
                      <w:sz w:val="21"/>
                      <w:szCs w:val="21"/>
                      <w:lang w:val="en-US" w:eastAsia="zh-CN"/>
                    </w:rPr>
                    <w:t>万个</w:t>
                  </w:r>
                </w:p>
              </w:tc>
              <w:tc>
                <w:tcPr>
                  <w:tcW w:w="583" w:type="pct"/>
                  <w:tcBorders>
                    <w:tl2br w:val="nil"/>
                    <w:tr2bl w:val="nil"/>
                  </w:tcBorders>
                  <w:vAlign w:val="center"/>
                </w:tcPr>
                <w:p w14:paraId="01FD64D0">
                  <w:pPr>
                    <w:pStyle w:val="65"/>
                    <w:keepNext w:val="0"/>
                    <w:keepLines w:val="0"/>
                    <w:pageBreakBefore w:val="0"/>
                    <w:widowControl w:val="0"/>
                    <w:kinsoku/>
                    <w:wordWrap/>
                    <w:overflowPunct w:val="0"/>
                    <w:topLinePunct w:val="0"/>
                    <w:autoSpaceDE w:val="0"/>
                    <w:autoSpaceDN w:val="0"/>
                    <w:bidi w:val="0"/>
                    <w:adjustRightInd w:val="0"/>
                    <w:snapToGrid/>
                    <w:spacing w:before="0" w:after="0" w:line="240" w:lineRule="auto"/>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8001</w:t>
                  </w:r>
                </w:p>
              </w:tc>
              <w:tc>
                <w:tcPr>
                  <w:tcW w:w="552" w:type="pct"/>
                  <w:tcBorders>
                    <w:tl2br w:val="nil"/>
                    <w:tr2bl w:val="nil"/>
                  </w:tcBorders>
                  <w:vAlign w:val="center"/>
                </w:tcPr>
                <w:p w14:paraId="07F1EB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494" w:type="pct"/>
                  <w:tcBorders>
                    <w:tl2br w:val="nil"/>
                    <w:tr2bl w:val="nil"/>
                  </w:tcBorders>
                  <w:vAlign w:val="center"/>
                </w:tcPr>
                <w:p w14:paraId="265EF7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lang w:val="en-US" w:eastAsia="zh-CN" w:bidi="ar-SA"/>
                    </w:rPr>
                  </w:pPr>
                  <w:r>
                    <w:rPr>
                      <w:rFonts w:hint="eastAsia" w:cs="Times New Roman"/>
                      <w:color w:val="auto"/>
                      <w:kern w:val="0"/>
                      <w:sz w:val="21"/>
                      <w:szCs w:val="21"/>
                      <w:lang w:val="en-US" w:eastAsia="zh-CN" w:bidi="ar-SA"/>
                    </w:rPr>
                    <w:t>30</w:t>
                  </w:r>
                </w:p>
              </w:tc>
              <w:tc>
                <w:tcPr>
                  <w:tcW w:w="780" w:type="pct"/>
                  <w:tcBorders>
                    <w:tl2br w:val="nil"/>
                    <w:tr2bl w:val="nil"/>
                  </w:tcBorders>
                  <w:vAlign w:val="center"/>
                </w:tcPr>
                <w:p w14:paraId="74BEB4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val="en-US" w:eastAsia="zh-CN"/>
                    </w:rPr>
                    <w:t>原材料区</w:t>
                  </w:r>
                </w:p>
              </w:tc>
              <w:tc>
                <w:tcPr>
                  <w:tcW w:w="538" w:type="pct"/>
                  <w:tcBorders>
                    <w:tl2br w:val="nil"/>
                    <w:tr2bl w:val="nil"/>
                  </w:tcBorders>
                  <w:vAlign w:val="center"/>
                </w:tcPr>
                <w:p w14:paraId="38FD9C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sz w:val="21"/>
                      <w:szCs w:val="21"/>
                      <w:lang w:val="en-US" w:eastAsia="zh-CN"/>
                    </w:rPr>
                    <w:t>外购</w:t>
                  </w:r>
                </w:p>
              </w:tc>
              <w:tc>
                <w:tcPr>
                  <w:tcW w:w="593" w:type="pct"/>
                  <w:tcBorders>
                    <w:tl2br w:val="nil"/>
                    <w:tr2bl w:val="nil"/>
                  </w:tcBorders>
                  <w:vAlign w:val="center"/>
                </w:tcPr>
                <w:p w14:paraId="779521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w:t>
                  </w:r>
                </w:p>
              </w:tc>
            </w:tr>
            <w:tr w14:paraId="3A80A5B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5E04C84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67F9AFCF">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lang w:val="en-US" w:eastAsia="zh-CN" w:bidi="ar-SA"/>
                    </w:rPr>
                  </w:pPr>
                  <w:r>
                    <w:rPr>
                      <w:rFonts w:hint="eastAsia"/>
                      <w:b w:val="0"/>
                      <w:color w:val="auto"/>
                      <w:sz w:val="21"/>
                      <w:szCs w:val="21"/>
                      <w:lang w:val="en-US" w:eastAsia="zh-CN"/>
                    </w:rPr>
                    <w:t>EE磁芯</w:t>
                  </w:r>
                </w:p>
              </w:tc>
              <w:tc>
                <w:tcPr>
                  <w:tcW w:w="428" w:type="pct"/>
                  <w:tcBorders>
                    <w:tl2br w:val="nil"/>
                    <w:tr2bl w:val="nil"/>
                  </w:tcBorders>
                  <w:vAlign w:val="center"/>
                </w:tcPr>
                <w:p w14:paraId="1AD942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s="Times New Roman"/>
                      <w:sz w:val="21"/>
                      <w:szCs w:val="21"/>
                      <w:lang w:val="en-US" w:eastAsia="zh-CN"/>
                    </w:rPr>
                  </w:pPr>
                  <w:r>
                    <w:rPr>
                      <w:rFonts w:hint="eastAsia" w:cs="Times New Roman"/>
                      <w:sz w:val="21"/>
                      <w:szCs w:val="21"/>
                      <w:lang w:val="en-US" w:eastAsia="zh-CN"/>
                    </w:rPr>
                    <w:t>万付</w:t>
                  </w:r>
                </w:p>
              </w:tc>
              <w:tc>
                <w:tcPr>
                  <w:tcW w:w="583" w:type="pct"/>
                  <w:tcBorders>
                    <w:tl2br w:val="nil"/>
                    <w:tr2bl w:val="nil"/>
                  </w:tcBorders>
                  <w:vAlign w:val="center"/>
                </w:tcPr>
                <w:p w14:paraId="249E661A">
                  <w:pPr>
                    <w:pStyle w:val="65"/>
                    <w:keepNext w:val="0"/>
                    <w:keepLines w:val="0"/>
                    <w:pageBreakBefore w:val="0"/>
                    <w:widowControl w:val="0"/>
                    <w:kinsoku/>
                    <w:wordWrap/>
                    <w:overflowPunct w:val="0"/>
                    <w:topLinePunct w:val="0"/>
                    <w:autoSpaceDE w:val="0"/>
                    <w:autoSpaceDN w:val="0"/>
                    <w:bidi w:val="0"/>
                    <w:adjustRightInd w:val="0"/>
                    <w:snapToGrid/>
                    <w:spacing w:before="0" w:after="0" w:line="240" w:lineRule="auto"/>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ar-SA"/>
                    </w:rPr>
                  </w:pPr>
                  <w:r>
                    <w:rPr>
                      <w:rFonts w:hint="eastAsia" w:cs="Times New Roman"/>
                      <w:color w:val="000000" w:themeColor="text1"/>
                      <w:kern w:val="2"/>
                      <w:sz w:val="21"/>
                      <w:szCs w:val="21"/>
                      <w:lang w:val="en-US" w:eastAsia="zh-CN" w:bidi="ar-SA"/>
                      <w14:textFill>
                        <w14:solidFill>
                          <w14:schemeClr w14:val="tx1"/>
                        </w14:solidFill>
                      </w14:textFill>
                    </w:rPr>
                    <w:t>8001</w:t>
                  </w:r>
                </w:p>
              </w:tc>
              <w:tc>
                <w:tcPr>
                  <w:tcW w:w="552" w:type="pct"/>
                  <w:tcBorders>
                    <w:tl2br w:val="nil"/>
                    <w:tr2bl w:val="nil"/>
                  </w:tcBorders>
                  <w:vAlign w:val="center"/>
                </w:tcPr>
                <w:p w14:paraId="6CECC8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494" w:type="pct"/>
                  <w:tcBorders>
                    <w:tl2br w:val="nil"/>
                    <w:tr2bl w:val="nil"/>
                  </w:tcBorders>
                  <w:vAlign w:val="center"/>
                </w:tcPr>
                <w:p w14:paraId="6A4958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30</w:t>
                  </w:r>
                </w:p>
              </w:tc>
              <w:tc>
                <w:tcPr>
                  <w:tcW w:w="780" w:type="pct"/>
                  <w:tcBorders>
                    <w:tl2br w:val="nil"/>
                    <w:tr2bl w:val="nil"/>
                  </w:tcBorders>
                  <w:vAlign w:val="center"/>
                </w:tcPr>
                <w:p w14:paraId="7E4B74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val="en-US" w:eastAsia="zh-CN"/>
                    </w:rPr>
                    <w:t>原材料区</w:t>
                  </w:r>
                </w:p>
              </w:tc>
              <w:tc>
                <w:tcPr>
                  <w:tcW w:w="538" w:type="pct"/>
                  <w:tcBorders>
                    <w:tl2br w:val="nil"/>
                    <w:tr2bl w:val="nil"/>
                  </w:tcBorders>
                  <w:vAlign w:val="center"/>
                </w:tcPr>
                <w:p w14:paraId="7D3EC2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sz w:val="21"/>
                      <w:szCs w:val="21"/>
                      <w:lang w:val="en-US" w:eastAsia="zh-CN"/>
                    </w:rPr>
                    <w:t>外购</w:t>
                  </w:r>
                </w:p>
              </w:tc>
              <w:tc>
                <w:tcPr>
                  <w:tcW w:w="593" w:type="pct"/>
                  <w:tcBorders>
                    <w:tl2br w:val="nil"/>
                    <w:tr2bl w:val="nil"/>
                  </w:tcBorders>
                  <w:vAlign w:val="center"/>
                </w:tcPr>
                <w:p w14:paraId="609B63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w:t>
                  </w:r>
                </w:p>
              </w:tc>
            </w:tr>
            <w:tr w14:paraId="3BDB8CA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7186F60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3B718FA7">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b w:val="0"/>
                      <w:color w:val="auto"/>
                      <w:sz w:val="21"/>
                      <w:szCs w:val="21"/>
                      <w:lang w:val="en-US" w:eastAsia="zh-CN"/>
                    </w:rPr>
                  </w:pPr>
                  <w:r>
                    <w:rPr>
                      <w:rFonts w:hint="eastAsia"/>
                      <w:b w:val="0"/>
                      <w:color w:val="auto"/>
                      <w:sz w:val="21"/>
                      <w:szCs w:val="21"/>
                      <w:lang w:val="en-US" w:eastAsia="zh-CN"/>
                    </w:rPr>
                    <w:t>PQ骨架</w:t>
                  </w:r>
                </w:p>
              </w:tc>
              <w:tc>
                <w:tcPr>
                  <w:tcW w:w="716" w:type="dxa"/>
                  <w:tcBorders>
                    <w:tl2br w:val="nil"/>
                    <w:tr2bl w:val="nil"/>
                  </w:tcBorders>
                  <w:vAlign w:val="center"/>
                </w:tcPr>
                <w:p w14:paraId="702367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lang w:val="en-US" w:eastAsia="zh-CN"/>
                    </w:rPr>
                  </w:pPr>
                  <w:r>
                    <w:rPr>
                      <w:rFonts w:hint="eastAsia" w:cs="Times New Roman"/>
                      <w:sz w:val="21"/>
                      <w:szCs w:val="21"/>
                      <w:lang w:val="en-US" w:eastAsia="zh-CN"/>
                    </w:rPr>
                    <w:t>万个</w:t>
                  </w:r>
                </w:p>
              </w:tc>
              <w:tc>
                <w:tcPr>
                  <w:tcW w:w="583" w:type="pct"/>
                  <w:tcBorders>
                    <w:tl2br w:val="nil"/>
                    <w:tr2bl w:val="nil"/>
                  </w:tcBorders>
                  <w:vAlign w:val="center"/>
                </w:tcPr>
                <w:p w14:paraId="03D524F8">
                  <w:pPr>
                    <w:pStyle w:val="65"/>
                    <w:keepNext w:val="0"/>
                    <w:keepLines w:val="0"/>
                    <w:pageBreakBefore w:val="0"/>
                    <w:widowControl w:val="0"/>
                    <w:kinsoku/>
                    <w:wordWrap/>
                    <w:overflowPunct w:val="0"/>
                    <w:topLinePunct w:val="0"/>
                    <w:autoSpaceDE w:val="0"/>
                    <w:autoSpaceDN w:val="0"/>
                    <w:bidi w:val="0"/>
                    <w:adjustRightInd w:val="0"/>
                    <w:snapToGrid/>
                    <w:spacing w:before="0" w:after="0" w:line="240" w:lineRule="auto"/>
                    <w:ind w:left="0" w:leftChars="0" w:right="0" w:rightChars="0" w:firstLine="0" w:firstLineChars="0"/>
                    <w:jc w:val="center"/>
                    <w:textAlignment w:val="baseline"/>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401</w:t>
                  </w:r>
                </w:p>
              </w:tc>
              <w:tc>
                <w:tcPr>
                  <w:tcW w:w="552" w:type="pct"/>
                  <w:tcBorders>
                    <w:tl2br w:val="nil"/>
                    <w:tr2bl w:val="nil"/>
                  </w:tcBorders>
                  <w:vAlign w:val="center"/>
                </w:tcPr>
                <w:p w14:paraId="603D61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494" w:type="pct"/>
                  <w:tcBorders>
                    <w:tl2br w:val="nil"/>
                    <w:tr2bl w:val="nil"/>
                  </w:tcBorders>
                  <w:vAlign w:val="center"/>
                </w:tcPr>
                <w:p w14:paraId="09CC3B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lang w:val="en-US" w:eastAsia="zh-CN"/>
                    </w:rPr>
                  </w:pPr>
                  <w:r>
                    <w:rPr>
                      <w:rFonts w:hint="eastAsia" w:cs="Times New Roman"/>
                      <w:sz w:val="21"/>
                      <w:szCs w:val="21"/>
                      <w:lang w:val="en-US" w:eastAsia="zh-CN"/>
                    </w:rPr>
                    <w:t>10</w:t>
                  </w:r>
                </w:p>
              </w:tc>
              <w:tc>
                <w:tcPr>
                  <w:tcW w:w="780" w:type="pct"/>
                  <w:tcBorders>
                    <w:tl2br w:val="nil"/>
                    <w:tr2bl w:val="nil"/>
                  </w:tcBorders>
                  <w:vAlign w:val="center"/>
                </w:tcPr>
                <w:p w14:paraId="697B03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原材料区</w:t>
                  </w:r>
                </w:p>
              </w:tc>
              <w:tc>
                <w:tcPr>
                  <w:tcW w:w="538" w:type="pct"/>
                  <w:tcBorders>
                    <w:tl2br w:val="nil"/>
                    <w:tr2bl w:val="nil"/>
                  </w:tcBorders>
                  <w:vAlign w:val="center"/>
                </w:tcPr>
                <w:p w14:paraId="67BD19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外购</w:t>
                  </w:r>
                </w:p>
              </w:tc>
              <w:tc>
                <w:tcPr>
                  <w:tcW w:w="593" w:type="pct"/>
                  <w:tcBorders>
                    <w:tl2br w:val="nil"/>
                    <w:tr2bl w:val="nil"/>
                  </w:tcBorders>
                  <w:vAlign w:val="center"/>
                </w:tcPr>
                <w:p w14:paraId="35E18B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lang w:val="en-US" w:eastAsia="zh-CN"/>
                    </w:rPr>
                  </w:pPr>
                </w:p>
              </w:tc>
            </w:tr>
            <w:tr w14:paraId="2BD406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0392365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523570C5">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b w:val="0"/>
                      <w:color w:val="auto"/>
                      <w:sz w:val="21"/>
                      <w:szCs w:val="21"/>
                      <w:lang w:val="en-US" w:eastAsia="zh-CN"/>
                    </w:rPr>
                  </w:pPr>
                  <w:r>
                    <w:rPr>
                      <w:rFonts w:hint="eastAsia"/>
                      <w:b w:val="0"/>
                      <w:color w:val="auto"/>
                      <w:sz w:val="21"/>
                      <w:szCs w:val="21"/>
                      <w:lang w:val="en-US" w:eastAsia="zh-CN"/>
                    </w:rPr>
                    <w:t>PQ磁芯</w:t>
                  </w:r>
                </w:p>
              </w:tc>
              <w:tc>
                <w:tcPr>
                  <w:tcW w:w="716" w:type="dxa"/>
                  <w:tcBorders>
                    <w:tl2br w:val="nil"/>
                    <w:tr2bl w:val="nil"/>
                  </w:tcBorders>
                  <w:vAlign w:val="center"/>
                </w:tcPr>
                <w:p w14:paraId="496A2A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lang w:val="en-US" w:eastAsia="zh-CN"/>
                    </w:rPr>
                  </w:pPr>
                  <w:r>
                    <w:rPr>
                      <w:rFonts w:hint="eastAsia" w:cs="Times New Roman"/>
                      <w:sz w:val="21"/>
                      <w:szCs w:val="21"/>
                      <w:lang w:val="en-US" w:eastAsia="zh-CN"/>
                    </w:rPr>
                    <w:t>万付</w:t>
                  </w:r>
                </w:p>
              </w:tc>
              <w:tc>
                <w:tcPr>
                  <w:tcW w:w="583" w:type="pct"/>
                  <w:tcBorders>
                    <w:tl2br w:val="nil"/>
                    <w:tr2bl w:val="nil"/>
                  </w:tcBorders>
                  <w:vAlign w:val="center"/>
                </w:tcPr>
                <w:p w14:paraId="38FAA5D7">
                  <w:pPr>
                    <w:pStyle w:val="65"/>
                    <w:keepNext w:val="0"/>
                    <w:keepLines w:val="0"/>
                    <w:pageBreakBefore w:val="0"/>
                    <w:widowControl w:val="0"/>
                    <w:kinsoku/>
                    <w:wordWrap/>
                    <w:overflowPunct w:val="0"/>
                    <w:topLinePunct w:val="0"/>
                    <w:autoSpaceDE w:val="0"/>
                    <w:autoSpaceDN w:val="0"/>
                    <w:bidi w:val="0"/>
                    <w:adjustRightInd w:val="0"/>
                    <w:snapToGrid/>
                    <w:spacing w:before="0" w:after="0" w:line="240" w:lineRule="auto"/>
                    <w:ind w:left="0" w:leftChars="0" w:right="0" w:rightChars="0" w:firstLine="0" w:firstLineChars="0"/>
                    <w:jc w:val="center"/>
                    <w:textAlignment w:val="baseline"/>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401</w:t>
                  </w:r>
                </w:p>
              </w:tc>
              <w:tc>
                <w:tcPr>
                  <w:tcW w:w="552" w:type="pct"/>
                  <w:tcBorders>
                    <w:tl2br w:val="nil"/>
                    <w:tr2bl w:val="nil"/>
                  </w:tcBorders>
                  <w:vAlign w:val="center"/>
                </w:tcPr>
                <w:p w14:paraId="5FE0F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w:t>
                  </w:r>
                </w:p>
              </w:tc>
              <w:tc>
                <w:tcPr>
                  <w:tcW w:w="494" w:type="pct"/>
                  <w:tcBorders>
                    <w:tl2br w:val="nil"/>
                    <w:tr2bl w:val="nil"/>
                  </w:tcBorders>
                  <w:vAlign w:val="center"/>
                </w:tcPr>
                <w:p w14:paraId="43A25E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lang w:val="en-US" w:eastAsia="zh-CN"/>
                    </w:rPr>
                  </w:pPr>
                  <w:r>
                    <w:rPr>
                      <w:rFonts w:hint="eastAsia" w:cs="Times New Roman"/>
                      <w:sz w:val="21"/>
                      <w:szCs w:val="21"/>
                      <w:lang w:val="en-US" w:eastAsia="zh-CN"/>
                    </w:rPr>
                    <w:t>10</w:t>
                  </w:r>
                </w:p>
              </w:tc>
              <w:tc>
                <w:tcPr>
                  <w:tcW w:w="780" w:type="pct"/>
                  <w:tcBorders>
                    <w:tl2br w:val="nil"/>
                    <w:tr2bl w:val="nil"/>
                  </w:tcBorders>
                  <w:vAlign w:val="center"/>
                </w:tcPr>
                <w:p w14:paraId="3E8153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原材料区</w:t>
                  </w:r>
                </w:p>
              </w:tc>
              <w:tc>
                <w:tcPr>
                  <w:tcW w:w="538" w:type="pct"/>
                  <w:tcBorders>
                    <w:tl2br w:val="nil"/>
                    <w:tr2bl w:val="nil"/>
                  </w:tcBorders>
                  <w:vAlign w:val="center"/>
                </w:tcPr>
                <w:p w14:paraId="3A5DBF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外购</w:t>
                  </w:r>
                </w:p>
              </w:tc>
              <w:tc>
                <w:tcPr>
                  <w:tcW w:w="593" w:type="pct"/>
                  <w:tcBorders>
                    <w:tl2br w:val="nil"/>
                    <w:tr2bl w:val="nil"/>
                  </w:tcBorders>
                  <w:vAlign w:val="center"/>
                </w:tcPr>
                <w:p w14:paraId="754217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lang w:val="en-US" w:eastAsia="zh-CN"/>
                    </w:rPr>
                  </w:pPr>
                </w:p>
              </w:tc>
            </w:tr>
            <w:tr w14:paraId="6F06079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4B94362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45C6B508">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b w:val="0"/>
                      <w:color w:val="auto"/>
                      <w:sz w:val="21"/>
                      <w:szCs w:val="21"/>
                      <w:lang w:val="en-US" w:eastAsia="zh-CN"/>
                    </w:rPr>
                    <w:t>胶带</w:t>
                  </w:r>
                </w:p>
              </w:tc>
              <w:tc>
                <w:tcPr>
                  <w:tcW w:w="428" w:type="pct"/>
                  <w:tcBorders>
                    <w:tl2br w:val="nil"/>
                    <w:tr2bl w:val="nil"/>
                  </w:tcBorders>
                  <w:vAlign w:val="center"/>
                </w:tcPr>
                <w:p w14:paraId="5C82B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万卷</w:t>
                  </w:r>
                </w:p>
              </w:tc>
              <w:tc>
                <w:tcPr>
                  <w:tcW w:w="583" w:type="pct"/>
                  <w:tcBorders>
                    <w:tl2br w:val="nil"/>
                    <w:tr2bl w:val="nil"/>
                  </w:tcBorders>
                  <w:vAlign w:val="center"/>
                </w:tcPr>
                <w:p w14:paraId="0EF646F9">
                  <w:pPr>
                    <w:pStyle w:val="65"/>
                    <w:keepNext w:val="0"/>
                    <w:keepLines w:val="0"/>
                    <w:pageBreakBefore w:val="0"/>
                    <w:widowControl w:val="0"/>
                    <w:kinsoku/>
                    <w:wordWrap/>
                    <w:overflowPunct w:val="0"/>
                    <w:topLinePunct w:val="0"/>
                    <w:autoSpaceDE w:val="0"/>
                    <w:autoSpaceDN w:val="0"/>
                    <w:bidi w:val="0"/>
                    <w:adjustRightInd w:val="0"/>
                    <w:snapToGrid/>
                    <w:spacing w:before="0" w:after="0" w:line="240" w:lineRule="auto"/>
                    <w:ind w:left="0" w:leftChars="0" w:right="0" w:rightChars="0" w:firstLine="0" w:firstLineChars="0"/>
                    <w:jc w:val="center"/>
                    <w:textAlignment w:val="baseline"/>
                    <w:rPr>
                      <w:rFonts w:hint="default" w:cs="Times New Roman"/>
                      <w:color w:val="auto"/>
                      <w:sz w:val="21"/>
                      <w:szCs w:val="21"/>
                      <w:u w:val="none"/>
                      <w:lang w:val="en-US" w:eastAsia="zh-CN"/>
                    </w:rPr>
                  </w:pP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20</w:t>
                  </w:r>
                </w:p>
              </w:tc>
              <w:tc>
                <w:tcPr>
                  <w:tcW w:w="552" w:type="pct"/>
                  <w:tcBorders>
                    <w:tl2br w:val="nil"/>
                    <w:tr2bl w:val="nil"/>
                  </w:tcBorders>
                  <w:vAlign w:val="center"/>
                </w:tcPr>
                <w:p w14:paraId="092C8E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w:t>
                  </w:r>
                </w:p>
              </w:tc>
              <w:tc>
                <w:tcPr>
                  <w:tcW w:w="494" w:type="pct"/>
                  <w:tcBorders>
                    <w:tl2br w:val="nil"/>
                    <w:tr2bl w:val="nil"/>
                  </w:tcBorders>
                  <w:vAlign w:val="center"/>
                </w:tcPr>
                <w:p w14:paraId="784EB8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u w:val="none"/>
                      <w:lang w:val="en-US" w:eastAsia="zh-CN" w:bidi="ar-SA"/>
                    </w:rPr>
                  </w:pPr>
                  <w:r>
                    <w:rPr>
                      <w:rFonts w:hint="eastAsia" w:cs="Times New Roman"/>
                      <w:color w:val="auto"/>
                      <w:kern w:val="0"/>
                      <w:sz w:val="21"/>
                      <w:szCs w:val="21"/>
                      <w:u w:val="none"/>
                      <w:lang w:val="en-US" w:eastAsia="zh-CN" w:bidi="ar-SA"/>
                    </w:rPr>
                    <w:t>0.1</w:t>
                  </w:r>
                </w:p>
              </w:tc>
              <w:tc>
                <w:tcPr>
                  <w:tcW w:w="780" w:type="pct"/>
                  <w:tcBorders>
                    <w:tl2br w:val="nil"/>
                    <w:tr2bl w:val="nil"/>
                  </w:tcBorders>
                  <w:vAlign w:val="center"/>
                </w:tcPr>
                <w:p w14:paraId="4766CD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u w:val="none"/>
                      <w:lang w:val="en-US" w:eastAsia="zh-CN"/>
                    </w:rPr>
                  </w:pPr>
                  <w:r>
                    <w:rPr>
                      <w:rFonts w:hint="eastAsia" w:cs="Times New Roman"/>
                      <w:sz w:val="21"/>
                      <w:szCs w:val="21"/>
                      <w:u w:val="none"/>
                      <w:lang w:val="en-US" w:eastAsia="zh-CN"/>
                    </w:rPr>
                    <w:t>原材料区</w:t>
                  </w:r>
                </w:p>
              </w:tc>
              <w:tc>
                <w:tcPr>
                  <w:tcW w:w="538" w:type="pct"/>
                  <w:tcBorders>
                    <w:tl2br w:val="nil"/>
                    <w:tr2bl w:val="nil"/>
                  </w:tcBorders>
                  <w:vAlign w:val="center"/>
                </w:tcPr>
                <w:p w14:paraId="67B15A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u w:val="none"/>
                      <w:lang w:val="en-US" w:eastAsia="zh-CN"/>
                    </w:rPr>
                  </w:pPr>
                  <w:r>
                    <w:rPr>
                      <w:rFonts w:hint="eastAsia" w:cs="Times New Roman"/>
                      <w:sz w:val="21"/>
                      <w:szCs w:val="21"/>
                      <w:u w:val="none"/>
                      <w:lang w:val="en-US" w:eastAsia="zh-CN"/>
                    </w:rPr>
                    <w:t>外购</w:t>
                  </w:r>
                </w:p>
              </w:tc>
              <w:tc>
                <w:tcPr>
                  <w:tcW w:w="593" w:type="pct"/>
                  <w:tcBorders>
                    <w:tl2br w:val="nil"/>
                    <w:tr2bl w:val="nil"/>
                  </w:tcBorders>
                  <w:vAlign w:val="center"/>
                </w:tcPr>
                <w:p w14:paraId="768E31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lang w:val="en-US" w:eastAsia="zh-CN"/>
                    </w:rPr>
                    <w:t>/</w:t>
                  </w:r>
                </w:p>
              </w:tc>
            </w:tr>
            <w:tr w14:paraId="6D29C60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7D6A4AC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51900EFB">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b w:val="0"/>
                      <w:color w:val="auto"/>
                      <w:sz w:val="21"/>
                      <w:szCs w:val="21"/>
                      <w:lang w:val="en-US" w:eastAsia="zh-CN"/>
                    </w:rPr>
                    <w:t>无铅锡条</w:t>
                  </w:r>
                </w:p>
              </w:tc>
              <w:tc>
                <w:tcPr>
                  <w:tcW w:w="428" w:type="pct"/>
                  <w:tcBorders>
                    <w:tl2br w:val="nil"/>
                    <w:tr2bl w:val="nil"/>
                  </w:tcBorders>
                  <w:vAlign w:val="center"/>
                </w:tcPr>
                <w:p w14:paraId="67A83E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u w:val="none"/>
                      <w:lang w:val="en-US" w:eastAsia="zh-CN"/>
                    </w:rPr>
                    <w:t>t</w:t>
                  </w:r>
                </w:p>
              </w:tc>
              <w:tc>
                <w:tcPr>
                  <w:tcW w:w="583" w:type="pct"/>
                  <w:tcBorders>
                    <w:tl2br w:val="nil"/>
                    <w:tr2bl w:val="nil"/>
                  </w:tcBorders>
                  <w:vAlign w:val="center"/>
                </w:tcPr>
                <w:p w14:paraId="6EF077F3">
                  <w:pPr>
                    <w:pStyle w:val="65"/>
                    <w:keepNext w:val="0"/>
                    <w:keepLines w:val="0"/>
                    <w:pageBreakBefore w:val="0"/>
                    <w:widowControl w:val="0"/>
                    <w:kinsoku/>
                    <w:wordWrap/>
                    <w:overflowPunct w:val="0"/>
                    <w:topLinePunct w:val="0"/>
                    <w:autoSpaceDE w:val="0"/>
                    <w:autoSpaceDN w:val="0"/>
                    <w:bidi w:val="0"/>
                    <w:adjustRightInd w:val="0"/>
                    <w:snapToGrid/>
                    <w:spacing w:before="0" w:after="0" w:line="240" w:lineRule="auto"/>
                    <w:ind w:left="0" w:leftChars="0" w:right="0" w:rightChars="0" w:firstLine="0" w:firstLineChars="0"/>
                    <w:jc w:val="center"/>
                    <w:textAlignment w:val="baseline"/>
                    <w:rPr>
                      <w:rFonts w:hint="default" w:cs="Times New Roman"/>
                      <w:color w:val="auto"/>
                      <w:sz w:val="21"/>
                      <w:szCs w:val="21"/>
                      <w:u w:val="none"/>
                      <w:lang w:val="en-US" w:eastAsia="zh-CN"/>
                    </w:rPr>
                  </w:pPr>
                  <w:r>
                    <w:rPr>
                      <w:rFonts w:hint="eastAsia" w:ascii="Times New Roman" w:hAnsi="Times New Roman" w:eastAsia="宋体" w:cs="Times New Roman"/>
                      <w:color w:val="auto"/>
                      <w:kern w:val="2"/>
                      <w:sz w:val="21"/>
                      <w:szCs w:val="21"/>
                      <w:lang w:val="en-US" w:eastAsia="zh-CN" w:bidi="ar-SA"/>
                    </w:rPr>
                    <w:t>0.8</w:t>
                  </w:r>
                </w:p>
              </w:tc>
              <w:tc>
                <w:tcPr>
                  <w:tcW w:w="552" w:type="pct"/>
                  <w:tcBorders>
                    <w:tl2br w:val="nil"/>
                    <w:tr2bl w:val="nil"/>
                  </w:tcBorders>
                  <w:vAlign w:val="center"/>
                </w:tcPr>
                <w:p w14:paraId="12E33C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w:t>
                  </w:r>
                </w:p>
              </w:tc>
              <w:tc>
                <w:tcPr>
                  <w:tcW w:w="494" w:type="pct"/>
                  <w:tcBorders>
                    <w:tl2br w:val="nil"/>
                    <w:tr2bl w:val="nil"/>
                  </w:tcBorders>
                  <w:vAlign w:val="center"/>
                </w:tcPr>
                <w:p w14:paraId="3E9BF8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u w:val="none"/>
                      <w:lang w:val="en-US" w:eastAsia="zh-CN" w:bidi="ar-SA"/>
                    </w:rPr>
                  </w:pPr>
                  <w:r>
                    <w:rPr>
                      <w:rFonts w:hint="eastAsia" w:cs="Times New Roman"/>
                      <w:color w:val="auto"/>
                      <w:kern w:val="0"/>
                      <w:sz w:val="21"/>
                      <w:szCs w:val="21"/>
                      <w:u w:val="none"/>
                      <w:lang w:val="en-US" w:eastAsia="zh-CN" w:bidi="ar-SA"/>
                    </w:rPr>
                    <w:t>0.1</w:t>
                  </w:r>
                </w:p>
              </w:tc>
              <w:tc>
                <w:tcPr>
                  <w:tcW w:w="780" w:type="pct"/>
                  <w:tcBorders>
                    <w:tl2br w:val="nil"/>
                    <w:tr2bl w:val="nil"/>
                  </w:tcBorders>
                  <w:vAlign w:val="center"/>
                </w:tcPr>
                <w:p w14:paraId="7321E1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原材料区</w:t>
                  </w:r>
                </w:p>
              </w:tc>
              <w:tc>
                <w:tcPr>
                  <w:tcW w:w="538" w:type="pct"/>
                  <w:tcBorders>
                    <w:tl2br w:val="nil"/>
                    <w:tr2bl w:val="nil"/>
                  </w:tcBorders>
                  <w:vAlign w:val="center"/>
                </w:tcPr>
                <w:p w14:paraId="436BB4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s="Times New Roman"/>
                      <w:sz w:val="21"/>
                      <w:szCs w:val="21"/>
                      <w:u w:val="none"/>
                      <w:lang w:val="en-US" w:eastAsia="zh-CN"/>
                    </w:rPr>
                  </w:pPr>
                  <w:r>
                    <w:rPr>
                      <w:rFonts w:hint="eastAsia" w:cs="Times New Roman"/>
                      <w:sz w:val="21"/>
                      <w:szCs w:val="21"/>
                      <w:u w:val="none"/>
                      <w:lang w:val="en-US" w:eastAsia="zh-CN"/>
                    </w:rPr>
                    <w:t>外购</w:t>
                  </w:r>
                </w:p>
              </w:tc>
              <w:tc>
                <w:tcPr>
                  <w:tcW w:w="593" w:type="pct"/>
                  <w:tcBorders>
                    <w:tl2br w:val="nil"/>
                    <w:tr2bl w:val="nil"/>
                  </w:tcBorders>
                  <w:vAlign w:val="center"/>
                </w:tcPr>
                <w:p w14:paraId="407A35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lang w:val="en-US" w:eastAsia="zh-CN"/>
                    </w:rPr>
                    <w:t>/</w:t>
                  </w:r>
                </w:p>
              </w:tc>
            </w:tr>
            <w:tr w14:paraId="798C99A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0AE84BE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7ED85EE3">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b w:val="0"/>
                      <w:color w:val="auto"/>
                      <w:sz w:val="21"/>
                      <w:szCs w:val="21"/>
                      <w:lang w:val="en-US" w:eastAsia="zh-CN"/>
                    </w:rPr>
                    <w:t>绝缘漆</w:t>
                  </w:r>
                </w:p>
              </w:tc>
              <w:tc>
                <w:tcPr>
                  <w:tcW w:w="428" w:type="pct"/>
                  <w:tcBorders>
                    <w:tl2br w:val="nil"/>
                    <w:tr2bl w:val="nil"/>
                  </w:tcBorders>
                  <w:vAlign w:val="center"/>
                </w:tcPr>
                <w:p w14:paraId="2B00F1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u w:val="none"/>
                      <w:lang w:val="en-US" w:eastAsia="zh-CN"/>
                    </w:rPr>
                    <w:t>t</w:t>
                  </w:r>
                </w:p>
              </w:tc>
              <w:tc>
                <w:tcPr>
                  <w:tcW w:w="583" w:type="pct"/>
                  <w:tcBorders>
                    <w:tl2br w:val="nil"/>
                    <w:tr2bl w:val="nil"/>
                  </w:tcBorders>
                  <w:vAlign w:val="center"/>
                </w:tcPr>
                <w:p w14:paraId="5642130B">
                  <w:pPr>
                    <w:pStyle w:val="65"/>
                    <w:keepNext w:val="0"/>
                    <w:keepLines w:val="0"/>
                    <w:pageBreakBefore w:val="0"/>
                    <w:widowControl w:val="0"/>
                    <w:kinsoku/>
                    <w:wordWrap/>
                    <w:overflowPunct w:val="0"/>
                    <w:topLinePunct w:val="0"/>
                    <w:autoSpaceDE w:val="0"/>
                    <w:autoSpaceDN w:val="0"/>
                    <w:bidi w:val="0"/>
                    <w:adjustRightInd w:val="0"/>
                    <w:snapToGrid/>
                    <w:spacing w:before="0" w:after="0" w:line="240" w:lineRule="auto"/>
                    <w:ind w:left="0" w:leftChars="0" w:right="0" w:rightChars="0" w:firstLine="0" w:firstLineChars="0"/>
                    <w:jc w:val="center"/>
                    <w:textAlignment w:val="baseline"/>
                    <w:rPr>
                      <w:rFonts w:hint="default" w:cs="Times New Roman"/>
                      <w:color w:val="auto"/>
                      <w:sz w:val="21"/>
                      <w:szCs w:val="21"/>
                      <w:u w:val="none"/>
                      <w:lang w:val="en-US" w:eastAsia="zh-CN"/>
                    </w:rPr>
                  </w:pPr>
                  <w:r>
                    <w:rPr>
                      <w:rFonts w:hint="eastAsia" w:cs="Times New Roman"/>
                      <w:color w:val="auto"/>
                      <w:sz w:val="21"/>
                      <w:szCs w:val="21"/>
                      <w:u w:val="none"/>
                      <w:lang w:val="en-US" w:eastAsia="zh-CN"/>
                    </w:rPr>
                    <w:t>1.14</w:t>
                  </w:r>
                </w:p>
              </w:tc>
              <w:tc>
                <w:tcPr>
                  <w:tcW w:w="552" w:type="pct"/>
                  <w:tcBorders>
                    <w:tl2br w:val="nil"/>
                    <w:tr2bl w:val="nil"/>
                  </w:tcBorders>
                  <w:vAlign w:val="center"/>
                </w:tcPr>
                <w:p w14:paraId="2F61ED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17kg/桶</w:t>
                  </w:r>
                </w:p>
              </w:tc>
              <w:tc>
                <w:tcPr>
                  <w:tcW w:w="494" w:type="pct"/>
                  <w:tcBorders>
                    <w:tl2br w:val="nil"/>
                    <w:tr2bl w:val="nil"/>
                  </w:tcBorders>
                  <w:vAlign w:val="center"/>
                </w:tcPr>
                <w:p w14:paraId="4957A9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u w:val="none"/>
                      <w:lang w:val="en-US" w:eastAsia="zh-CN" w:bidi="ar-SA"/>
                    </w:rPr>
                  </w:pPr>
                  <w:r>
                    <w:rPr>
                      <w:rFonts w:hint="eastAsia" w:cs="Times New Roman"/>
                      <w:color w:val="auto"/>
                      <w:kern w:val="0"/>
                      <w:sz w:val="21"/>
                      <w:szCs w:val="21"/>
                      <w:u w:val="none"/>
                      <w:lang w:val="en-US" w:eastAsia="zh-CN" w:bidi="ar-SA"/>
                    </w:rPr>
                    <w:t>5桶</w:t>
                  </w:r>
                </w:p>
              </w:tc>
              <w:tc>
                <w:tcPr>
                  <w:tcW w:w="780" w:type="pct"/>
                  <w:tcBorders>
                    <w:tl2br w:val="nil"/>
                    <w:tr2bl w:val="nil"/>
                  </w:tcBorders>
                  <w:vAlign w:val="center"/>
                </w:tcPr>
                <w:p w14:paraId="215CDC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危化品库</w:t>
                  </w:r>
                </w:p>
              </w:tc>
              <w:tc>
                <w:tcPr>
                  <w:tcW w:w="538" w:type="pct"/>
                  <w:tcBorders>
                    <w:tl2br w:val="nil"/>
                    <w:tr2bl w:val="nil"/>
                  </w:tcBorders>
                  <w:vAlign w:val="center"/>
                </w:tcPr>
                <w:p w14:paraId="3C4D49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外购</w:t>
                  </w:r>
                </w:p>
              </w:tc>
              <w:tc>
                <w:tcPr>
                  <w:tcW w:w="593" w:type="pct"/>
                  <w:vMerge w:val="restart"/>
                  <w:tcBorders>
                    <w:tl2br w:val="nil"/>
                    <w:tr2bl w:val="nil"/>
                  </w:tcBorders>
                  <w:vAlign w:val="center"/>
                </w:tcPr>
                <w:p w14:paraId="34CBCC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u w:val="none"/>
                      <w:lang w:val="en-US" w:eastAsia="zh-CN"/>
                    </w:rPr>
                    <w:t>比例为1∶1</w:t>
                  </w:r>
                </w:p>
              </w:tc>
            </w:tr>
            <w:tr w14:paraId="1DFE864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0BF29E4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00B94E8E">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b w:val="0"/>
                      <w:color w:val="auto"/>
                      <w:sz w:val="21"/>
                      <w:szCs w:val="21"/>
                      <w:lang w:val="en-US" w:eastAsia="zh-CN"/>
                    </w:rPr>
                    <w:t>稀释剂</w:t>
                  </w:r>
                </w:p>
              </w:tc>
              <w:tc>
                <w:tcPr>
                  <w:tcW w:w="428" w:type="pct"/>
                  <w:tcBorders>
                    <w:tl2br w:val="nil"/>
                    <w:tr2bl w:val="nil"/>
                  </w:tcBorders>
                  <w:vAlign w:val="center"/>
                </w:tcPr>
                <w:p w14:paraId="33BC1C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t</w:t>
                  </w:r>
                </w:p>
              </w:tc>
              <w:tc>
                <w:tcPr>
                  <w:tcW w:w="583" w:type="pct"/>
                  <w:tcBorders>
                    <w:tl2br w:val="nil"/>
                    <w:tr2bl w:val="nil"/>
                  </w:tcBorders>
                  <w:vAlign w:val="center"/>
                </w:tcPr>
                <w:p w14:paraId="7245E219">
                  <w:pPr>
                    <w:pStyle w:val="65"/>
                    <w:keepNext w:val="0"/>
                    <w:keepLines w:val="0"/>
                    <w:pageBreakBefore w:val="0"/>
                    <w:widowControl w:val="0"/>
                    <w:kinsoku/>
                    <w:wordWrap/>
                    <w:overflowPunct w:val="0"/>
                    <w:topLinePunct w:val="0"/>
                    <w:autoSpaceDE w:val="0"/>
                    <w:autoSpaceDN w:val="0"/>
                    <w:bidi w:val="0"/>
                    <w:adjustRightInd w:val="0"/>
                    <w:snapToGrid/>
                    <w:spacing w:before="0" w:after="0" w:line="240" w:lineRule="auto"/>
                    <w:ind w:left="0" w:leftChars="0" w:right="0" w:rightChars="0" w:firstLine="0" w:firstLineChars="0"/>
                    <w:jc w:val="center"/>
                    <w:textAlignment w:val="baseline"/>
                    <w:rPr>
                      <w:rFonts w:hint="default" w:cs="Times New Roman"/>
                      <w:color w:val="auto"/>
                      <w:sz w:val="21"/>
                      <w:szCs w:val="21"/>
                      <w:u w:val="none"/>
                      <w:lang w:val="en-US" w:eastAsia="zh-CN"/>
                    </w:rPr>
                  </w:pPr>
                  <w:r>
                    <w:rPr>
                      <w:rFonts w:hint="eastAsia" w:cs="Times New Roman"/>
                      <w:color w:val="auto"/>
                      <w:sz w:val="21"/>
                      <w:szCs w:val="21"/>
                      <w:u w:val="none"/>
                      <w:lang w:val="en-US" w:eastAsia="zh-CN"/>
                    </w:rPr>
                    <w:t>1.14</w:t>
                  </w:r>
                </w:p>
              </w:tc>
              <w:tc>
                <w:tcPr>
                  <w:tcW w:w="552" w:type="pct"/>
                  <w:tcBorders>
                    <w:tl2br w:val="nil"/>
                    <w:tr2bl w:val="nil"/>
                  </w:tcBorders>
                  <w:vAlign w:val="center"/>
                </w:tcPr>
                <w:p w14:paraId="2A0930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15kg/桶</w:t>
                  </w:r>
                </w:p>
              </w:tc>
              <w:tc>
                <w:tcPr>
                  <w:tcW w:w="494" w:type="pct"/>
                  <w:tcBorders>
                    <w:tl2br w:val="nil"/>
                    <w:tr2bl w:val="nil"/>
                  </w:tcBorders>
                  <w:vAlign w:val="center"/>
                </w:tcPr>
                <w:p w14:paraId="257B0B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u w:val="none"/>
                      <w:lang w:val="en-US" w:eastAsia="zh-CN" w:bidi="ar-SA"/>
                    </w:rPr>
                  </w:pPr>
                  <w:r>
                    <w:rPr>
                      <w:rFonts w:hint="eastAsia" w:cs="Times New Roman"/>
                      <w:color w:val="auto"/>
                      <w:kern w:val="0"/>
                      <w:sz w:val="21"/>
                      <w:szCs w:val="21"/>
                      <w:u w:val="none"/>
                      <w:lang w:val="en-US" w:eastAsia="zh-CN" w:bidi="ar-SA"/>
                    </w:rPr>
                    <w:t>5桶</w:t>
                  </w:r>
                </w:p>
              </w:tc>
              <w:tc>
                <w:tcPr>
                  <w:tcW w:w="780" w:type="pct"/>
                  <w:tcBorders>
                    <w:tl2br w:val="nil"/>
                    <w:tr2bl w:val="nil"/>
                  </w:tcBorders>
                  <w:vAlign w:val="center"/>
                </w:tcPr>
                <w:p w14:paraId="7395E6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u w:val="none"/>
                      <w:lang w:val="en-US" w:eastAsia="zh-CN"/>
                    </w:rPr>
                    <w:t>危化品库</w:t>
                  </w:r>
                </w:p>
              </w:tc>
              <w:tc>
                <w:tcPr>
                  <w:tcW w:w="538" w:type="pct"/>
                  <w:tcBorders>
                    <w:tl2br w:val="nil"/>
                    <w:tr2bl w:val="nil"/>
                  </w:tcBorders>
                  <w:vAlign w:val="center"/>
                </w:tcPr>
                <w:p w14:paraId="2FF701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u w:val="none"/>
                      <w:lang w:val="en-US" w:eastAsia="zh-CN"/>
                    </w:rPr>
                    <w:t>外购</w:t>
                  </w:r>
                </w:p>
              </w:tc>
              <w:tc>
                <w:tcPr>
                  <w:tcW w:w="593" w:type="pct"/>
                  <w:vMerge w:val="continue"/>
                  <w:tcBorders>
                    <w:tl2br w:val="nil"/>
                    <w:tr2bl w:val="nil"/>
                  </w:tcBorders>
                  <w:vAlign w:val="center"/>
                </w:tcPr>
                <w:p w14:paraId="620638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p>
              </w:tc>
            </w:tr>
            <w:tr w14:paraId="36A4C5C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605860E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3B34D32A">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b w:val="0"/>
                      <w:color w:val="auto"/>
                      <w:sz w:val="21"/>
                      <w:szCs w:val="21"/>
                      <w:lang w:val="en-US" w:eastAsia="zh-CN"/>
                    </w:rPr>
                    <w:t>环氧树脂AB胶</w:t>
                  </w:r>
                </w:p>
              </w:tc>
              <w:tc>
                <w:tcPr>
                  <w:tcW w:w="428" w:type="pct"/>
                  <w:tcBorders>
                    <w:tl2br w:val="nil"/>
                    <w:tr2bl w:val="nil"/>
                  </w:tcBorders>
                  <w:vAlign w:val="center"/>
                </w:tcPr>
                <w:p w14:paraId="352C9D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kg</w:t>
                  </w:r>
                </w:p>
              </w:tc>
              <w:tc>
                <w:tcPr>
                  <w:tcW w:w="583" w:type="pct"/>
                  <w:tcBorders>
                    <w:tl2br w:val="nil"/>
                    <w:tr2bl w:val="nil"/>
                  </w:tcBorders>
                  <w:vAlign w:val="center"/>
                </w:tcPr>
                <w:p w14:paraId="6465C345">
                  <w:pPr>
                    <w:pStyle w:val="65"/>
                    <w:keepNext w:val="0"/>
                    <w:keepLines w:val="0"/>
                    <w:pageBreakBefore w:val="0"/>
                    <w:widowControl w:val="0"/>
                    <w:kinsoku/>
                    <w:wordWrap/>
                    <w:overflowPunct w:val="0"/>
                    <w:topLinePunct w:val="0"/>
                    <w:autoSpaceDE w:val="0"/>
                    <w:autoSpaceDN w:val="0"/>
                    <w:bidi w:val="0"/>
                    <w:adjustRightInd w:val="0"/>
                    <w:snapToGrid/>
                    <w:spacing w:before="0" w:after="0" w:line="240" w:lineRule="auto"/>
                    <w:ind w:left="0" w:leftChars="0" w:right="0" w:rightChars="0" w:firstLine="0" w:firstLineChars="0"/>
                    <w:jc w:val="center"/>
                    <w:textAlignment w:val="baseline"/>
                    <w:rPr>
                      <w:rFonts w:hint="eastAsia" w:cs="Times New Roman"/>
                      <w:color w:val="auto"/>
                      <w:sz w:val="21"/>
                      <w:szCs w:val="21"/>
                      <w:u w:val="none"/>
                      <w:lang w:val="en-US" w:eastAsia="zh-CN"/>
                    </w:rPr>
                  </w:pPr>
                  <w:r>
                    <w:rPr>
                      <w:rFonts w:hint="eastAsia" w:cs="Times New Roman"/>
                      <w:color w:val="auto"/>
                      <w:kern w:val="2"/>
                      <w:sz w:val="21"/>
                      <w:szCs w:val="21"/>
                      <w:lang w:val="en-US" w:eastAsia="zh-CN"/>
                    </w:rPr>
                    <w:t>150</w:t>
                  </w:r>
                </w:p>
              </w:tc>
              <w:tc>
                <w:tcPr>
                  <w:tcW w:w="552" w:type="pct"/>
                  <w:tcBorders>
                    <w:tl2br w:val="nil"/>
                    <w:tr2bl w:val="nil"/>
                  </w:tcBorders>
                  <w:vAlign w:val="center"/>
                </w:tcPr>
                <w:p w14:paraId="77F12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5kg/桶</w:t>
                  </w:r>
                </w:p>
              </w:tc>
              <w:tc>
                <w:tcPr>
                  <w:tcW w:w="494" w:type="pct"/>
                  <w:tcBorders>
                    <w:tl2br w:val="nil"/>
                    <w:tr2bl w:val="nil"/>
                  </w:tcBorders>
                  <w:vAlign w:val="center"/>
                </w:tcPr>
                <w:p w14:paraId="25F86B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u w:val="none"/>
                      <w:lang w:val="en-US" w:eastAsia="zh-CN" w:bidi="ar-SA"/>
                    </w:rPr>
                  </w:pPr>
                  <w:r>
                    <w:rPr>
                      <w:rFonts w:hint="eastAsia" w:cs="Times New Roman"/>
                      <w:color w:val="auto"/>
                      <w:kern w:val="0"/>
                      <w:sz w:val="21"/>
                      <w:szCs w:val="21"/>
                      <w:u w:val="none"/>
                      <w:lang w:val="en-US" w:eastAsia="zh-CN" w:bidi="ar-SA"/>
                    </w:rPr>
                    <w:t>2桶</w:t>
                  </w:r>
                </w:p>
              </w:tc>
              <w:tc>
                <w:tcPr>
                  <w:tcW w:w="780" w:type="pct"/>
                  <w:tcBorders>
                    <w:tl2br w:val="nil"/>
                    <w:tr2bl w:val="nil"/>
                  </w:tcBorders>
                  <w:vAlign w:val="center"/>
                </w:tcPr>
                <w:p w14:paraId="63EDD9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u w:val="none"/>
                      <w:lang w:val="en-US" w:eastAsia="zh-CN"/>
                    </w:rPr>
                    <w:t>危化品库</w:t>
                  </w:r>
                </w:p>
              </w:tc>
              <w:tc>
                <w:tcPr>
                  <w:tcW w:w="538" w:type="pct"/>
                  <w:tcBorders>
                    <w:tl2br w:val="nil"/>
                    <w:tr2bl w:val="nil"/>
                  </w:tcBorders>
                  <w:vAlign w:val="center"/>
                </w:tcPr>
                <w:p w14:paraId="3A277D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u w:val="none"/>
                      <w:lang w:val="en-US" w:eastAsia="zh-CN"/>
                    </w:rPr>
                    <w:t>外购</w:t>
                  </w:r>
                </w:p>
              </w:tc>
              <w:tc>
                <w:tcPr>
                  <w:tcW w:w="593" w:type="pct"/>
                  <w:tcBorders>
                    <w:tl2br w:val="nil"/>
                    <w:tr2bl w:val="nil"/>
                  </w:tcBorders>
                  <w:vAlign w:val="center"/>
                </w:tcPr>
                <w:p w14:paraId="76C56A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比例为1∶1</w:t>
                  </w:r>
                </w:p>
              </w:tc>
            </w:tr>
            <w:tr w14:paraId="7CE1B84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10EF30D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771E78B0">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b w:val="0"/>
                      <w:color w:val="auto"/>
                      <w:sz w:val="21"/>
                      <w:szCs w:val="21"/>
                      <w:lang w:val="en-US" w:eastAsia="zh-CN"/>
                    </w:rPr>
                  </w:pPr>
                  <w:r>
                    <w:rPr>
                      <w:rFonts w:hint="eastAsia"/>
                      <w:b w:val="0"/>
                      <w:color w:val="auto"/>
                      <w:sz w:val="21"/>
                      <w:szCs w:val="21"/>
                      <w:lang w:val="en-US" w:eastAsia="zh-CN"/>
                    </w:rPr>
                    <w:t>助焊剂</w:t>
                  </w:r>
                </w:p>
              </w:tc>
              <w:tc>
                <w:tcPr>
                  <w:tcW w:w="428" w:type="pct"/>
                  <w:tcBorders>
                    <w:tl2br w:val="nil"/>
                    <w:tr2bl w:val="nil"/>
                  </w:tcBorders>
                  <w:vAlign w:val="center"/>
                </w:tcPr>
                <w:p w14:paraId="3A4E8F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kg</w:t>
                  </w:r>
                </w:p>
              </w:tc>
              <w:tc>
                <w:tcPr>
                  <w:tcW w:w="583" w:type="pct"/>
                  <w:tcBorders>
                    <w:tl2br w:val="nil"/>
                    <w:tr2bl w:val="nil"/>
                  </w:tcBorders>
                  <w:vAlign w:val="center"/>
                </w:tcPr>
                <w:p w14:paraId="5B6B1ADA">
                  <w:pPr>
                    <w:pStyle w:val="65"/>
                    <w:keepNext w:val="0"/>
                    <w:keepLines w:val="0"/>
                    <w:pageBreakBefore w:val="0"/>
                    <w:widowControl w:val="0"/>
                    <w:kinsoku/>
                    <w:wordWrap/>
                    <w:overflowPunct w:val="0"/>
                    <w:topLinePunct w:val="0"/>
                    <w:autoSpaceDE w:val="0"/>
                    <w:autoSpaceDN w:val="0"/>
                    <w:bidi w:val="0"/>
                    <w:adjustRightInd w:val="0"/>
                    <w:snapToGrid/>
                    <w:spacing w:before="0" w:after="0" w:line="240" w:lineRule="auto"/>
                    <w:ind w:left="0" w:leftChars="0" w:right="0" w:rightChars="0" w:firstLine="0" w:firstLineChars="0"/>
                    <w:jc w:val="center"/>
                    <w:textAlignment w:val="baseline"/>
                    <w:rPr>
                      <w:rFonts w:hint="default" w:cs="Times New Roman"/>
                      <w:color w:val="auto"/>
                      <w:sz w:val="21"/>
                      <w:szCs w:val="21"/>
                      <w:u w:val="none"/>
                      <w:lang w:val="en-US" w:eastAsia="zh-CN"/>
                    </w:rPr>
                  </w:pPr>
                  <w:r>
                    <w:rPr>
                      <w:rFonts w:hint="eastAsia" w:cs="Times New Roman"/>
                      <w:color w:val="auto"/>
                      <w:kern w:val="2"/>
                      <w:sz w:val="21"/>
                      <w:szCs w:val="21"/>
                      <w:lang w:val="en-US" w:eastAsia="zh-CN"/>
                    </w:rPr>
                    <w:t>50</w:t>
                  </w:r>
                </w:p>
              </w:tc>
              <w:tc>
                <w:tcPr>
                  <w:tcW w:w="552" w:type="pct"/>
                  <w:tcBorders>
                    <w:tl2br w:val="nil"/>
                    <w:tr2bl w:val="nil"/>
                  </w:tcBorders>
                  <w:vAlign w:val="center"/>
                </w:tcPr>
                <w:p w14:paraId="0B2A9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10kg/桶</w:t>
                  </w:r>
                </w:p>
              </w:tc>
              <w:tc>
                <w:tcPr>
                  <w:tcW w:w="494" w:type="pct"/>
                  <w:tcBorders>
                    <w:tl2br w:val="nil"/>
                    <w:tr2bl w:val="nil"/>
                  </w:tcBorders>
                  <w:vAlign w:val="center"/>
                </w:tcPr>
                <w:p w14:paraId="67CC00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u w:val="none"/>
                      <w:lang w:val="en-US" w:eastAsia="zh-CN" w:bidi="ar-SA"/>
                    </w:rPr>
                  </w:pPr>
                  <w:r>
                    <w:rPr>
                      <w:rFonts w:hint="eastAsia" w:cs="Times New Roman"/>
                      <w:color w:val="auto"/>
                      <w:kern w:val="0"/>
                      <w:sz w:val="21"/>
                      <w:szCs w:val="21"/>
                      <w:u w:val="none"/>
                      <w:lang w:val="en-US" w:eastAsia="zh-CN" w:bidi="ar-SA"/>
                    </w:rPr>
                    <w:t>2桶</w:t>
                  </w:r>
                </w:p>
              </w:tc>
              <w:tc>
                <w:tcPr>
                  <w:tcW w:w="780" w:type="pct"/>
                  <w:tcBorders>
                    <w:tl2br w:val="nil"/>
                    <w:tr2bl w:val="nil"/>
                  </w:tcBorders>
                  <w:vAlign w:val="center"/>
                </w:tcPr>
                <w:p w14:paraId="7D4B93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u w:val="none"/>
                      <w:lang w:val="en-US" w:eastAsia="zh-CN"/>
                    </w:rPr>
                    <w:t>危化品库</w:t>
                  </w:r>
                </w:p>
              </w:tc>
              <w:tc>
                <w:tcPr>
                  <w:tcW w:w="538" w:type="pct"/>
                  <w:tcBorders>
                    <w:tl2br w:val="nil"/>
                    <w:tr2bl w:val="nil"/>
                  </w:tcBorders>
                  <w:vAlign w:val="center"/>
                </w:tcPr>
                <w:p w14:paraId="509013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u w:val="none"/>
                      <w:lang w:val="en-US" w:eastAsia="zh-CN"/>
                    </w:rPr>
                    <w:t>外购</w:t>
                  </w:r>
                </w:p>
              </w:tc>
              <w:tc>
                <w:tcPr>
                  <w:tcW w:w="593" w:type="pct"/>
                  <w:tcBorders>
                    <w:tl2br w:val="nil"/>
                    <w:tr2bl w:val="nil"/>
                  </w:tcBorders>
                  <w:vAlign w:val="center"/>
                </w:tcPr>
                <w:p w14:paraId="2A748C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lang w:val="en-US" w:eastAsia="zh-CN"/>
                    </w:rPr>
                    <w:t>/</w:t>
                  </w:r>
                </w:p>
              </w:tc>
            </w:tr>
            <w:tr w14:paraId="23FB4B0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62AF0D1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74214523">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b w:val="0"/>
                      <w:color w:val="auto"/>
                      <w:sz w:val="21"/>
                      <w:szCs w:val="21"/>
                      <w:lang w:val="en-US" w:eastAsia="zh-CN"/>
                    </w:rPr>
                  </w:pPr>
                  <w:r>
                    <w:rPr>
                      <w:rFonts w:hint="eastAsia"/>
                      <w:b w:val="0"/>
                      <w:color w:val="auto"/>
                      <w:sz w:val="21"/>
                      <w:szCs w:val="21"/>
                      <w:lang w:val="en-US" w:eastAsia="zh-CN"/>
                    </w:rPr>
                    <w:t>新鲜水</w:t>
                  </w:r>
                </w:p>
              </w:tc>
              <w:tc>
                <w:tcPr>
                  <w:tcW w:w="428" w:type="pct"/>
                  <w:tcBorders>
                    <w:tl2br w:val="nil"/>
                    <w:tr2bl w:val="nil"/>
                  </w:tcBorders>
                  <w:vAlign w:val="center"/>
                </w:tcPr>
                <w:p w14:paraId="7F32B5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m</w:t>
                  </w:r>
                  <w:r>
                    <w:rPr>
                      <w:rFonts w:hint="eastAsia" w:cs="Times New Roman"/>
                      <w:sz w:val="21"/>
                      <w:szCs w:val="21"/>
                      <w:u w:val="none"/>
                      <w:vertAlign w:val="superscript"/>
                      <w:lang w:val="en-US" w:eastAsia="zh-CN"/>
                    </w:rPr>
                    <w:t>3</w:t>
                  </w:r>
                  <w:r>
                    <w:rPr>
                      <w:rFonts w:hint="eastAsia" w:cs="Times New Roman"/>
                      <w:sz w:val="21"/>
                      <w:szCs w:val="21"/>
                      <w:u w:val="none"/>
                      <w:lang w:val="en-US" w:eastAsia="zh-CN"/>
                    </w:rPr>
                    <w:t>/a</w:t>
                  </w:r>
                </w:p>
              </w:tc>
              <w:tc>
                <w:tcPr>
                  <w:tcW w:w="583" w:type="pct"/>
                  <w:tcBorders>
                    <w:tl2br w:val="nil"/>
                    <w:tr2bl w:val="nil"/>
                  </w:tcBorders>
                  <w:vAlign w:val="center"/>
                </w:tcPr>
                <w:p w14:paraId="6A109F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u w:val="none"/>
                      <w:lang w:val="en-US" w:eastAsia="zh-CN"/>
                    </w:rPr>
                  </w:pPr>
                  <w:r>
                    <w:rPr>
                      <w:rFonts w:hint="eastAsia" w:cs="Times New Roman"/>
                      <w:color w:val="auto"/>
                      <w:sz w:val="21"/>
                      <w:szCs w:val="21"/>
                      <w:u w:val="none"/>
                      <w:lang w:val="en-US" w:eastAsia="zh-CN"/>
                    </w:rPr>
                    <w:t>1200</w:t>
                  </w:r>
                </w:p>
              </w:tc>
              <w:tc>
                <w:tcPr>
                  <w:tcW w:w="552" w:type="pct"/>
                  <w:tcBorders>
                    <w:tl2br w:val="nil"/>
                    <w:tr2bl w:val="nil"/>
                  </w:tcBorders>
                  <w:vAlign w:val="center"/>
                </w:tcPr>
                <w:p w14:paraId="462504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w:t>
                  </w:r>
                </w:p>
              </w:tc>
              <w:tc>
                <w:tcPr>
                  <w:tcW w:w="494" w:type="pct"/>
                  <w:tcBorders>
                    <w:tl2br w:val="nil"/>
                    <w:tr2bl w:val="nil"/>
                  </w:tcBorders>
                  <w:vAlign w:val="center"/>
                </w:tcPr>
                <w:p w14:paraId="1BB671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u w:val="none"/>
                      <w:lang w:val="en-US" w:eastAsia="zh-CN" w:bidi="ar-SA"/>
                    </w:rPr>
                  </w:pPr>
                  <w:r>
                    <w:rPr>
                      <w:rFonts w:hint="eastAsia" w:cs="Times New Roman"/>
                      <w:color w:val="auto"/>
                      <w:kern w:val="0"/>
                      <w:sz w:val="21"/>
                      <w:szCs w:val="21"/>
                      <w:u w:val="none"/>
                      <w:lang w:val="en-US" w:eastAsia="zh-CN" w:bidi="ar-SA"/>
                    </w:rPr>
                    <w:t>/</w:t>
                  </w:r>
                </w:p>
              </w:tc>
              <w:tc>
                <w:tcPr>
                  <w:tcW w:w="780" w:type="pct"/>
                  <w:tcBorders>
                    <w:tl2br w:val="nil"/>
                    <w:tr2bl w:val="nil"/>
                  </w:tcBorders>
                  <w:vAlign w:val="center"/>
                </w:tcPr>
                <w:p w14:paraId="107FB6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w:t>
                  </w:r>
                </w:p>
              </w:tc>
              <w:tc>
                <w:tcPr>
                  <w:tcW w:w="538" w:type="pct"/>
                  <w:tcBorders>
                    <w:tl2br w:val="nil"/>
                    <w:tr2bl w:val="nil"/>
                  </w:tcBorders>
                  <w:vAlign w:val="center"/>
                </w:tcPr>
                <w:p w14:paraId="6B0CB8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u w:val="none"/>
                      <w:lang w:val="en-US" w:eastAsia="zh-CN"/>
                    </w:rPr>
                    <w:t>市政管网</w:t>
                  </w:r>
                </w:p>
              </w:tc>
              <w:tc>
                <w:tcPr>
                  <w:tcW w:w="593" w:type="pct"/>
                  <w:tcBorders>
                    <w:tl2br w:val="nil"/>
                    <w:tr2bl w:val="nil"/>
                  </w:tcBorders>
                  <w:vAlign w:val="center"/>
                </w:tcPr>
                <w:p w14:paraId="3A7737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lang w:val="en-US" w:eastAsia="zh-CN"/>
                    </w:rPr>
                    <w:t>/</w:t>
                  </w:r>
                </w:p>
              </w:tc>
            </w:tr>
            <w:tr w14:paraId="25860F7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512" w:type="pct"/>
                  <w:vMerge w:val="continue"/>
                  <w:tcBorders>
                    <w:tl2br w:val="nil"/>
                    <w:tr2bl w:val="nil"/>
                  </w:tcBorders>
                  <w:vAlign w:val="center"/>
                </w:tcPr>
                <w:p w14:paraId="58319A0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0"/>
                      <w:sz w:val="21"/>
                      <w:szCs w:val="21"/>
                      <w:lang w:val="en-US" w:eastAsia="zh-CN" w:bidi="ar-SA"/>
                    </w:rPr>
                  </w:pPr>
                </w:p>
              </w:tc>
              <w:tc>
                <w:tcPr>
                  <w:tcW w:w="516" w:type="pct"/>
                  <w:tcBorders>
                    <w:tl2br w:val="nil"/>
                    <w:tr2bl w:val="nil"/>
                  </w:tcBorders>
                  <w:vAlign w:val="center"/>
                </w:tcPr>
                <w:p w14:paraId="18CAF882">
                  <w:pPr>
                    <w:pStyle w:val="6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b w:val="0"/>
                      <w:color w:val="auto"/>
                      <w:sz w:val="21"/>
                      <w:szCs w:val="21"/>
                      <w:lang w:val="en-US" w:eastAsia="zh-CN"/>
                    </w:rPr>
                  </w:pPr>
                  <w:r>
                    <w:rPr>
                      <w:rFonts w:hint="eastAsia"/>
                      <w:b w:val="0"/>
                      <w:color w:val="auto"/>
                      <w:sz w:val="21"/>
                      <w:szCs w:val="21"/>
                      <w:lang w:val="en-US" w:eastAsia="zh-CN"/>
                    </w:rPr>
                    <w:t>电</w:t>
                  </w:r>
                </w:p>
              </w:tc>
              <w:tc>
                <w:tcPr>
                  <w:tcW w:w="428" w:type="pct"/>
                  <w:tcBorders>
                    <w:tl2br w:val="nil"/>
                    <w:tr2bl w:val="nil"/>
                  </w:tcBorders>
                  <w:vAlign w:val="center"/>
                </w:tcPr>
                <w:p w14:paraId="1EFADA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万Kw.h</w:t>
                  </w:r>
                </w:p>
              </w:tc>
              <w:tc>
                <w:tcPr>
                  <w:tcW w:w="583" w:type="pct"/>
                  <w:tcBorders>
                    <w:tl2br w:val="nil"/>
                    <w:tr2bl w:val="nil"/>
                  </w:tcBorders>
                  <w:vAlign w:val="center"/>
                </w:tcPr>
                <w:p w14:paraId="092D22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u w:val="none"/>
                      <w:lang w:val="en-US" w:eastAsia="zh-CN"/>
                    </w:rPr>
                  </w:pPr>
                  <w:r>
                    <w:rPr>
                      <w:rFonts w:hint="eastAsia" w:cs="Times New Roman"/>
                      <w:color w:val="auto"/>
                      <w:sz w:val="21"/>
                      <w:szCs w:val="21"/>
                      <w:u w:val="none"/>
                      <w:lang w:val="en-US" w:eastAsia="zh-CN"/>
                    </w:rPr>
                    <w:t>100</w:t>
                  </w:r>
                </w:p>
              </w:tc>
              <w:tc>
                <w:tcPr>
                  <w:tcW w:w="552" w:type="pct"/>
                  <w:tcBorders>
                    <w:tl2br w:val="nil"/>
                    <w:tr2bl w:val="nil"/>
                  </w:tcBorders>
                  <w:vAlign w:val="center"/>
                </w:tcPr>
                <w:p w14:paraId="1E1688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w:t>
                  </w:r>
                </w:p>
              </w:tc>
              <w:tc>
                <w:tcPr>
                  <w:tcW w:w="494" w:type="pct"/>
                  <w:tcBorders>
                    <w:tl2br w:val="nil"/>
                    <w:tr2bl w:val="nil"/>
                  </w:tcBorders>
                  <w:vAlign w:val="center"/>
                </w:tcPr>
                <w:p w14:paraId="0AC39F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kern w:val="0"/>
                      <w:sz w:val="21"/>
                      <w:szCs w:val="21"/>
                      <w:u w:val="none"/>
                      <w:lang w:val="en-US" w:eastAsia="zh-CN" w:bidi="ar-SA"/>
                    </w:rPr>
                  </w:pPr>
                  <w:r>
                    <w:rPr>
                      <w:rFonts w:hint="eastAsia" w:cs="Times New Roman"/>
                      <w:color w:val="auto"/>
                      <w:kern w:val="0"/>
                      <w:sz w:val="21"/>
                      <w:szCs w:val="21"/>
                      <w:u w:val="none"/>
                      <w:lang w:val="en-US" w:eastAsia="zh-CN" w:bidi="ar-SA"/>
                    </w:rPr>
                    <w:t>/</w:t>
                  </w:r>
                </w:p>
              </w:tc>
              <w:tc>
                <w:tcPr>
                  <w:tcW w:w="780" w:type="pct"/>
                  <w:tcBorders>
                    <w:tl2br w:val="nil"/>
                    <w:tr2bl w:val="nil"/>
                  </w:tcBorders>
                  <w:vAlign w:val="center"/>
                </w:tcPr>
                <w:p w14:paraId="01CB7A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w:t>
                  </w:r>
                </w:p>
              </w:tc>
              <w:tc>
                <w:tcPr>
                  <w:tcW w:w="538" w:type="pct"/>
                  <w:tcBorders>
                    <w:tl2br w:val="nil"/>
                    <w:tr2bl w:val="nil"/>
                  </w:tcBorders>
                  <w:vAlign w:val="center"/>
                </w:tcPr>
                <w:p w14:paraId="611C40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u w:val="none"/>
                      <w:lang w:val="en-US" w:eastAsia="zh-CN"/>
                    </w:rPr>
                    <w:t>市政电网</w:t>
                  </w:r>
                </w:p>
              </w:tc>
              <w:tc>
                <w:tcPr>
                  <w:tcW w:w="593" w:type="pct"/>
                  <w:tcBorders>
                    <w:tl2br w:val="nil"/>
                    <w:tr2bl w:val="nil"/>
                  </w:tcBorders>
                  <w:vAlign w:val="center"/>
                </w:tcPr>
                <w:p w14:paraId="13D43F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sz w:val="21"/>
                      <w:szCs w:val="21"/>
                      <w:u w:val="none"/>
                      <w:lang w:val="en-US" w:eastAsia="zh-CN"/>
                    </w:rPr>
                  </w:pPr>
                  <w:r>
                    <w:rPr>
                      <w:rFonts w:hint="eastAsia" w:cs="Times New Roman"/>
                      <w:sz w:val="21"/>
                      <w:szCs w:val="21"/>
                      <w:lang w:val="en-US" w:eastAsia="zh-CN"/>
                    </w:rPr>
                    <w:t>/</w:t>
                  </w:r>
                </w:p>
              </w:tc>
            </w:tr>
          </w:tbl>
          <w:p w14:paraId="38B84CE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val="0"/>
                <w:bCs/>
                <w:color w:val="auto"/>
                <w:sz w:val="24"/>
                <w:szCs w:val="24"/>
                <w:u w:val="single"/>
                <w:lang w:val="en-US" w:eastAsia="zh-CN"/>
              </w:rPr>
            </w:pPr>
            <w:r>
              <w:rPr>
                <w:rFonts w:hint="eastAsia"/>
                <w:b/>
                <w:bCs w:val="0"/>
                <w:color w:val="auto"/>
                <w:sz w:val="24"/>
                <w:szCs w:val="24"/>
                <w:u w:val="single"/>
                <w:lang w:val="en-US" w:eastAsia="zh-CN"/>
              </w:rPr>
              <w:t>绝缘漆用量计算：</w:t>
            </w:r>
            <w:r>
              <w:rPr>
                <w:rFonts w:hint="eastAsia"/>
                <w:b w:val="0"/>
                <w:bCs/>
                <w:color w:val="auto"/>
                <w:sz w:val="24"/>
                <w:szCs w:val="24"/>
                <w:u w:val="single"/>
                <w:lang w:val="en-US" w:eastAsia="zh-CN"/>
              </w:rPr>
              <w:t>绝缘漆用于电子变压器的线圈真空含浸，主要进入绕制的线圈内，附着在电子变压器外壁的绝缘漆，在含浸后排多余浸渍液的过程中，绝大部分掉落返回含浸机，残留较少，因此，结合行业特点，无法使用漆膜厚度、面积等参数来计算绝缘漆用量。</w:t>
            </w:r>
          </w:p>
          <w:p w14:paraId="55C283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color w:val="auto"/>
                <w:sz w:val="24"/>
                <w:szCs w:val="24"/>
                <w:u w:val="single"/>
                <w:lang w:eastAsia="zh-CN"/>
              </w:rPr>
            </w:pPr>
            <w:r>
              <w:rPr>
                <w:rFonts w:hint="eastAsia"/>
                <w:b w:val="0"/>
                <w:bCs/>
                <w:color w:val="auto"/>
                <w:sz w:val="24"/>
                <w:szCs w:val="24"/>
                <w:u w:val="single"/>
                <w:lang w:eastAsia="zh-CN"/>
              </w:rPr>
              <w:t>根据建设单位提供资料，由于本项目生产的电子变压器体积小，平均体积约为</w:t>
            </w:r>
            <w:r>
              <w:rPr>
                <w:rFonts w:hint="eastAsia"/>
                <w:b w:val="0"/>
                <w:bCs/>
                <w:color w:val="auto"/>
                <w:sz w:val="24"/>
                <w:szCs w:val="24"/>
                <w:u w:val="single"/>
                <w:lang w:val="en-US" w:eastAsia="zh-CN"/>
              </w:rPr>
              <w:t>0.73</w:t>
            </w:r>
            <w:r>
              <w:rPr>
                <w:rFonts w:hint="eastAsia"/>
                <w:b w:val="0"/>
                <w:bCs/>
                <w:color w:val="auto"/>
                <w:sz w:val="24"/>
                <w:szCs w:val="24"/>
                <w:u w:val="single"/>
                <w:lang w:eastAsia="zh-CN"/>
              </w:rPr>
              <w:t>cm</w:t>
            </w:r>
            <w:r>
              <w:rPr>
                <w:rFonts w:hint="eastAsia"/>
                <w:b w:val="0"/>
                <w:bCs/>
                <w:color w:val="auto"/>
                <w:sz w:val="24"/>
                <w:szCs w:val="24"/>
                <w:u w:val="single"/>
                <w:vertAlign w:val="superscript"/>
                <w:lang w:val="en-US" w:eastAsia="zh-CN"/>
              </w:rPr>
              <w:t>3</w:t>
            </w:r>
            <w:r>
              <w:rPr>
                <w:rFonts w:hint="eastAsia"/>
                <w:b w:val="0"/>
                <w:bCs/>
                <w:color w:val="auto"/>
                <w:sz w:val="24"/>
                <w:szCs w:val="24"/>
                <w:u w:val="single"/>
                <w:lang w:eastAsia="zh-CN"/>
              </w:rPr>
              <w:t>(即长、宽、高的平均值约为</w:t>
            </w:r>
            <w:r>
              <w:rPr>
                <w:rFonts w:hint="eastAsia"/>
                <w:b w:val="0"/>
                <w:bCs/>
                <w:color w:val="auto"/>
                <w:sz w:val="24"/>
                <w:szCs w:val="24"/>
                <w:u w:val="single"/>
                <w:lang w:val="en-US" w:eastAsia="zh-CN"/>
              </w:rPr>
              <w:t>0.9</w:t>
            </w:r>
            <w:r>
              <w:rPr>
                <w:rFonts w:hint="eastAsia"/>
                <w:b w:val="0"/>
                <w:bCs/>
                <w:color w:val="auto"/>
                <w:sz w:val="24"/>
                <w:szCs w:val="24"/>
                <w:u w:val="single"/>
                <w:lang w:eastAsia="zh-CN"/>
              </w:rPr>
              <w:t>cm</w:t>
            </w:r>
            <w:r>
              <w:rPr>
                <w:rFonts w:hint="eastAsia"/>
                <w:b w:val="0"/>
                <w:bCs/>
                <w:color w:val="auto"/>
                <w:sz w:val="24"/>
                <w:szCs w:val="24"/>
                <w:u w:val="single"/>
                <w:vertAlign w:val="superscript"/>
                <w:lang w:val="en-US" w:eastAsia="zh-CN"/>
              </w:rPr>
              <w:t>3</w:t>
            </w:r>
            <w:r>
              <w:rPr>
                <w:rFonts w:hint="eastAsia"/>
                <w:b w:val="0"/>
                <w:bCs/>
                <w:color w:val="auto"/>
                <w:sz w:val="24"/>
                <w:szCs w:val="24"/>
                <w:u w:val="single"/>
                <w:lang w:eastAsia="zh-CN"/>
              </w:rPr>
              <w:t>)，且内部大部分空间被线圈、骨架等填充，含浸完成后，还需要排出多余浸渍液，单个电子变压器含浸的绝缘漆最大量不超过0.</w:t>
            </w:r>
            <w:r>
              <w:rPr>
                <w:rFonts w:hint="eastAsia"/>
                <w:b w:val="0"/>
                <w:bCs/>
                <w:color w:val="auto"/>
                <w:sz w:val="24"/>
                <w:szCs w:val="24"/>
                <w:u w:val="single"/>
                <w:lang w:val="en-US" w:eastAsia="zh-CN"/>
              </w:rPr>
              <w:t>1</w:t>
            </w:r>
            <w:r>
              <w:rPr>
                <w:rFonts w:hint="eastAsia"/>
                <w:b w:val="0"/>
                <w:bCs/>
                <w:color w:val="auto"/>
                <w:sz w:val="24"/>
                <w:szCs w:val="24"/>
                <w:u w:val="single"/>
                <w:lang w:eastAsia="zh-CN"/>
              </w:rPr>
              <w:t>ml，</w:t>
            </w:r>
            <w:r>
              <w:rPr>
                <w:rFonts w:hint="eastAsia"/>
                <w:b w:val="0"/>
                <w:bCs/>
                <w:color w:val="auto"/>
                <w:sz w:val="24"/>
                <w:szCs w:val="24"/>
                <w:u w:val="single"/>
                <w:lang w:val="en-US" w:eastAsia="zh-CN"/>
              </w:rPr>
              <w:t>项目</w:t>
            </w:r>
            <w:r>
              <w:rPr>
                <w:rFonts w:hint="eastAsia"/>
                <w:b w:val="0"/>
                <w:bCs/>
                <w:color w:val="auto"/>
                <w:sz w:val="24"/>
                <w:szCs w:val="24"/>
                <w:u w:val="single"/>
                <w:lang w:eastAsia="zh-CN"/>
              </w:rPr>
              <w:t>需要含浸的电子变压器产量为1</w:t>
            </w:r>
            <w:r>
              <w:rPr>
                <w:rFonts w:hint="eastAsia"/>
                <w:b w:val="0"/>
                <w:bCs/>
                <w:color w:val="auto"/>
                <w:sz w:val="24"/>
                <w:szCs w:val="24"/>
                <w:u w:val="single"/>
                <w:lang w:val="en-US" w:eastAsia="zh-CN"/>
              </w:rPr>
              <w:t>2</w:t>
            </w:r>
            <w:r>
              <w:rPr>
                <w:rFonts w:hint="eastAsia"/>
                <w:b w:val="0"/>
                <w:bCs/>
                <w:color w:val="auto"/>
                <w:sz w:val="24"/>
                <w:szCs w:val="24"/>
                <w:u w:val="single"/>
                <w:lang w:eastAsia="zh-CN"/>
              </w:rPr>
              <w:t>00万只，</w:t>
            </w:r>
            <w:r>
              <w:rPr>
                <w:rFonts w:hint="eastAsia"/>
                <w:b w:val="0"/>
                <w:bCs/>
                <w:color w:val="auto"/>
                <w:sz w:val="24"/>
                <w:szCs w:val="24"/>
                <w:u w:val="single"/>
                <w:lang w:val="en-US" w:eastAsia="zh-CN"/>
              </w:rPr>
              <w:t>绝缘漆</w:t>
            </w:r>
            <w:r>
              <w:rPr>
                <w:rFonts w:hint="eastAsia"/>
                <w:b w:val="0"/>
                <w:bCs/>
                <w:color w:val="auto"/>
                <w:sz w:val="24"/>
                <w:szCs w:val="24"/>
                <w:u w:val="single"/>
                <w:lang w:eastAsia="zh-CN"/>
              </w:rPr>
              <w:t>的用量为</w:t>
            </w:r>
            <w:r>
              <w:rPr>
                <w:rFonts w:hint="eastAsia"/>
                <w:b w:val="0"/>
                <w:bCs/>
                <w:color w:val="auto"/>
                <w:sz w:val="24"/>
                <w:szCs w:val="24"/>
                <w:u w:val="single"/>
                <w:lang w:val="en-US" w:eastAsia="zh-CN"/>
              </w:rPr>
              <w:t>1.2</w:t>
            </w:r>
            <w:r>
              <w:rPr>
                <w:rFonts w:hint="eastAsia"/>
                <w:b w:val="0"/>
                <w:bCs/>
                <w:color w:val="auto"/>
                <w:sz w:val="24"/>
                <w:szCs w:val="24"/>
                <w:u w:val="single"/>
                <w:lang w:eastAsia="zh-CN"/>
              </w:rPr>
              <w:t>m</w:t>
            </w:r>
            <w:r>
              <w:rPr>
                <w:rFonts w:hint="eastAsia"/>
                <w:b w:val="0"/>
                <w:bCs/>
                <w:color w:val="auto"/>
                <w:sz w:val="24"/>
                <w:szCs w:val="24"/>
                <w:u w:val="single"/>
                <w:vertAlign w:val="superscript"/>
                <w:lang w:val="en-US" w:eastAsia="zh-CN"/>
              </w:rPr>
              <w:t>3</w:t>
            </w:r>
            <w:r>
              <w:rPr>
                <w:rFonts w:hint="eastAsia"/>
                <w:b w:val="0"/>
                <w:bCs/>
                <w:color w:val="auto"/>
                <w:sz w:val="24"/>
                <w:szCs w:val="24"/>
                <w:u w:val="single"/>
                <w:lang w:eastAsia="zh-CN"/>
              </w:rPr>
              <w:t>，</w:t>
            </w:r>
            <w:r>
              <w:rPr>
                <w:rFonts w:hint="eastAsia"/>
                <w:b w:val="0"/>
                <w:bCs/>
                <w:color w:val="auto"/>
                <w:sz w:val="24"/>
                <w:szCs w:val="24"/>
                <w:u w:val="single"/>
                <w:lang w:val="en-US" w:eastAsia="zh-CN"/>
              </w:rPr>
              <w:t>绝缘漆</w:t>
            </w:r>
            <w:r>
              <w:rPr>
                <w:rFonts w:hint="eastAsia"/>
                <w:b w:val="0"/>
                <w:bCs/>
                <w:color w:val="auto"/>
                <w:sz w:val="24"/>
                <w:szCs w:val="24"/>
                <w:u w:val="single"/>
                <w:lang w:eastAsia="zh-CN"/>
              </w:rPr>
              <w:t>密度约为0.95t/m</w:t>
            </w:r>
            <w:r>
              <w:rPr>
                <w:rFonts w:hint="eastAsia"/>
                <w:b w:val="0"/>
                <w:bCs/>
                <w:color w:val="auto"/>
                <w:sz w:val="24"/>
                <w:szCs w:val="24"/>
                <w:u w:val="single"/>
                <w:vertAlign w:val="superscript"/>
                <w:lang w:eastAsia="zh-CN"/>
              </w:rPr>
              <w:t>3</w:t>
            </w:r>
            <w:r>
              <w:rPr>
                <w:rFonts w:hint="eastAsia"/>
                <w:b w:val="0"/>
                <w:bCs/>
                <w:color w:val="auto"/>
                <w:sz w:val="24"/>
                <w:szCs w:val="24"/>
                <w:u w:val="single"/>
                <w:lang w:eastAsia="zh-CN"/>
              </w:rPr>
              <w:t>，则</w:t>
            </w:r>
            <w:r>
              <w:rPr>
                <w:rFonts w:hint="eastAsia"/>
                <w:b w:val="0"/>
                <w:bCs/>
                <w:color w:val="auto"/>
                <w:sz w:val="24"/>
                <w:szCs w:val="24"/>
                <w:u w:val="single"/>
                <w:lang w:val="en-US" w:eastAsia="zh-CN"/>
              </w:rPr>
              <w:t>绝缘漆</w:t>
            </w:r>
            <w:r>
              <w:rPr>
                <w:rFonts w:hint="eastAsia"/>
                <w:b w:val="0"/>
                <w:bCs/>
                <w:color w:val="auto"/>
                <w:sz w:val="24"/>
                <w:szCs w:val="24"/>
                <w:u w:val="single"/>
                <w:lang w:eastAsia="zh-CN"/>
              </w:rPr>
              <w:t>年用量为1.</w:t>
            </w:r>
            <w:r>
              <w:rPr>
                <w:rFonts w:hint="eastAsia"/>
                <w:b w:val="0"/>
                <w:bCs/>
                <w:color w:val="auto"/>
                <w:sz w:val="24"/>
                <w:szCs w:val="24"/>
                <w:u w:val="single"/>
                <w:lang w:val="en-US" w:eastAsia="zh-CN"/>
              </w:rPr>
              <w:t>14</w:t>
            </w:r>
            <w:r>
              <w:rPr>
                <w:rFonts w:hint="eastAsia"/>
                <w:b w:val="0"/>
                <w:bCs/>
                <w:color w:val="auto"/>
                <w:sz w:val="24"/>
                <w:szCs w:val="24"/>
                <w:u w:val="single"/>
                <w:lang w:eastAsia="zh-CN"/>
              </w:rPr>
              <w:t>t/a。</w:t>
            </w:r>
          </w:p>
          <w:p w14:paraId="7C8EC7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color w:val="auto"/>
                <w:sz w:val="24"/>
                <w:szCs w:val="24"/>
                <w:u w:val="single"/>
                <w:lang w:eastAsia="zh-CN"/>
              </w:rPr>
            </w:pPr>
            <w:r>
              <w:rPr>
                <w:rFonts w:hint="eastAsia"/>
                <w:b w:val="0"/>
                <w:bCs/>
                <w:color w:val="auto"/>
                <w:sz w:val="24"/>
                <w:szCs w:val="24"/>
                <w:u w:val="single"/>
                <w:lang w:eastAsia="zh-CN"/>
              </w:rPr>
              <w:t>同类项目绝缘漆用量调查:根据《衡阳市连捷电子科技有限公司电源电感、电子变压器及电子线束生产项目环境影响报告表》(2025年5月)，其生产的电子变压器、电感均需要含浸，总产量3800万只，</w:t>
            </w:r>
            <w:r>
              <w:rPr>
                <w:rFonts w:hint="eastAsia"/>
                <w:b w:val="0"/>
                <w:bCs/>
                <w:color w:val="auto"/>
                <w:sz w:val="24"/>
                <w:szCs w:val="24"/>
                <w:u w:val="single"/>
                <w:lang w:val="en-US" w:eastAsia="zh-CN"/>
              </w:rPr>
              <w:t>绝缘漆</w:t>
            </w:r>
            <w:r>
              <w:rPr>
                <w:rFonts w:hint="eastAsia"/>
                <w:b w:val="0"/>
                <w:bCs/>
                <w:color w:val="auto"/>
                <w:sz w:val="24"/>
                <w:szCs w:val="24"/>
                <w:u w:val="single"/>
                <w:lang w:eastAsia="zh-CN"/>
              </w:rPr>
              <w:t>年用量为4.5吨，折合1.18吨//千万只产品，《永州向日创能电子有限公司年产3000万只变压器生产线建设项目环境影响报告表》(2025年5月)，该项目产品均需要含浸，年产量3000万只，</w:t>
            </w:r>
            <w:r>
              <w:rPr>
                <w:rFonts w:hint="eastAsia"/>
                <w:b w:val="0"/>
                <w:bCs/>
                <w:color w:val="auto"/>
                <w:sz w:val="24"/>
                <w:szCs w:val="24"/>
                <w:u w:val="single"/>
                <w:lang w:val="en-US" w:eastAsia="zh-CN"/>
              </w:rPr>
              <w:t>绝缘漆</w:t>
            </w:r>
            <w:r>
              <w:rPr>
                <w:rFonts w:hint="eastAsia"/>
                <w:b w:val="0"/>
                <w:bCs/>
                <w:color w:val="auto"/>
                <w:sz w:val="24"/>
                <w:szCs w:val="24"/>
                <w:u w:val="single"/>
                <w:lang w:eastAsia="zh-CN"/>
              </w:rPr>
              <w:t>用量为4吨，折合1.33吨/千万只产品。本项目生产产品、工艺、原辅料与以上两个项目类似，电子变压器年设计产量1200万只，绝缘漆年用量为1.14t，折合</w:t>
            </w:r>
            <w:r>
              <w:rPr>
                <w:rFonts w:hint="eastAsia"/>
                <w:b w:val="0"/>
                <w:bCs/>
                <w:color w:val="auto"/>
                <w:sz w:val="24"/>
                <w:szCs w:val="24"/>
                <w:u w:val="single"/>
                <w:lang w:val="en-US" w:eastAsia="zh-CN"/>
              </w:rPr>
              <w:t>0.95</w:t>
            </w:r>
            <w:r>
              <w:rPr>
                <w:rFonts w:hint="eastAsia"/>
                <w:b w:val="0"/>
                <w:bCs/>
                <w:color w:val="auto"/>
                <w:sz w:val="24"/>
                <w:szCs w:val="24"/>
                <w:u w:val="single"/>
                <w:lang w:eastAsia="zh-CN"/>
              </w:rPr>
              <w:t>吨/千万只产品。绝缘漆年用量和同行业水平相当。</w:t>
            </w:r>
          </w:p>
          <w:p w14:paraId="14A1B8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b w:val="0"/>
                <w:bCs/>
                <w:color w:val="auto"/>
                <w:sz w:val="24"/>
                <w:szCs w:val="24"/>
                <w:lang w:val="en-US" w:eastAsia="zh-CN"/>
              </w:rPr>
            </w:pPr>
            <w:r>
              <w:rPr>
                <w:rFonts w:hint="eastAsia"/>
                <w:b w:val="0"/>
                <w:bCs/>
                <w:color w:val="auto"/>
                <w:sz w:val="24"/>
                <w:szCs w:val="24"/>
                <w:lang w:eastAsia="zh-CN"/>
              </w:rPr>
              <w:t>本项目</w:t>
            </w:r>
            <w:r>
              <w:rPr>
                <w:rFonts w:hint="eastAsia"/>
                <w:b w:val="0"/>
                <w:bCs/>
                <w:color w:val="auto"/>
                <w:sz w:val="24"/>
                <w:szCs w:val="24"/>
                <w:lang w:val="en-US" w:eastAsia="zh-CN"/>
              </w:rPr>
              <w:t>含VOCs物料</w:t>
            </w:r>
            <w:r>
              <w:rPr>
                <w:rFonts w:hint="eastAsia"/>
                <w:b w:val="0"/>
                <w:bCs/>
                <w:color w:val="auto"/>
                <w:sz w:val="24"/>
                <w:szCs w:val="24"/>
                <w:lang w:eastAsia="zh-CN"/>
              </w:rPr>
              <w:t>主要成分比例见下表</w:t>
            </w:r>
            <w:r>
              <w:rPr>
                <w:rFonts w:hint="eastAsia"/>
                <w:b w:val="0"/>
                <w:bCs/>
                <w:color w:val="auto"/>
                <w:sz w:val="24"/>
                <w:szCs w:val="24"/>
                <w:lang w:val="en-US" w:eastAsia="zh-CN"/>
              </w:rPr>
              <w:t>2-5，MSDS文件详见附件6</w:t>
            </w:r>
            <w:r>
              <w:rPr>
                <w:rFonts w:ascii="Times New Roman" w:cs="Times New Roman"/>
                <w:b w:val="0"/>
                <w:bCs/>
                <w:color w:val="auto"/>
                <w:sz w:val="24"/>
                <w:szCs w:val="24"/>
              </w:rPr>
              <w:t>。</w:t>
            </w:r>
          </w:p>
          <w:p w14:paraId="69607FDE">
            <w:pPr>
              <w:pStyle w:val="60"/>
              <w:spacing w:line="240" w:lineRule="auto"/>
              <w:ind w:firstLine="0" w:firstLineChars="0"/>
              <w:jc w:val="center"/>
              <w:rPr>
                <w:rFonts w:hint="eastAsia" w:ascii="Times New Roman" w:eastAsia="宋体" w:cs="Times New Roman"/>
                <w:b/>
                <w:bCs w:val="0"/>
                <w:color w:val="auto"/>
                <w:sz w:val="21"/>
                <w:lang w:eastAsia="zh-CN"/>
              </w:rPr>
            </w:pPr>
            <w:r>
              <w:rPr>
                <w:rFonts w:ascii="Times New Roman" w:cs="Times New Roman"/>
                <w:b/>
                <w:bCs w:val="0"/>
                <w:color w:val="auto"/>
                <w:sz w:val="21"/>
              </w:rPr>
              <w:t>表2-</w:t>
            </w:r>
            <w:r>
              <w:rPr>
                <w:rFonts w:hint="eastAsia" w:ascii="Times New Roman" w:cs="Times New Roman"/>
                <w:b/>
                <w:bCs w:val="0"/>
                <w:color w:val="auto"/>
                <w:sz w:val="21"/>
                <w:lang w:val="en-US" w:eastAsia="zh-CN"/>
              </w:rPr>
              <w:t>5</w:t>
            </w:r>
            <w:r>
              <w:rPr>
                <w:rFonts w:hint="eastAsia" w:ascii="Times New Roman" w:cs="Times New Roman"/>
                <w:b/>
                <w:bCs w:val="0"/>
                <w:color w:val="auto"/>
                <w:sz w:val="21"/>
              </w:rPr>
              <w:t xml:space="preserve"> </w:t>
            </w:r>
            <w:r>
              <w:rPr>
                <w:rFonts w:hint="eastAsia" w:ascii="Times New Roman" w:cs="Times New Roman"/>
                <w:b/>
                <w:bCs w:val="0"/>
                <w:color w:val="auto"/>
                <w:sz w:val="21"/>
                <w:lang w:eastAsia="zh-CN"/>
              </w:rPr>
              <w:t>油漆主要成分一览表</w:t>
            </w:r>
          </w:p>
          <w:tbl>
            <w:tblPr>
              <w:tblStyle w:val="34"/>
              <w:tblW w:w="4998" w:type="pc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482"/>
              <w:gridCol w:w="2595"/>
              <w:gridCol w:w="1845"/>
              <w:gridCol w:w="1675"/>
            </w:tblGrid>
            <w:tr w14:paraId="6F77E7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restart"/>
                  <w:tcBorders>
                    <w:tl2br w:val="nil"/>
                    <w:tr2bl w:val="nil"/>
                  </w:tcBorders>
                  <w:noWrap w:val="0"/>
                  <w:vAlign w:val="center"/>
                </w:tcPr>
                <w:p w14:paraId="57B398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序号</w:t>
                  </w:r>
                </w:p>
              </w:tc>
              <w:tc>
                <w:tcPr>
                  <w:tcW w:w="885" w:type="pct"/>
                  <w:vMerge w:val="restart"/>
                  <w:tcBorders>
                    <w:tl2br w:val="nil"/>
                    <w:tr2bl w:val="nil"/>
                  </w:tcBorders>
                  <w:noWrap w:val="0"/>
                  <w:vAlign w:val="center"/>
                </w:tcPr>
                <w:p w14:paraId="0B0ADD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名称</w:t>
                  </w:r>
                </w:p>
              </w:tc>
              <w:tc>
                <w:tcPr>
                  <w:tcW w:w="2652" w:type="pct"/>
                  <w:gridSpan w:val="2"/>
                  <w:tcBorders>
                    <w:tl2br w:val="nil"/>
                    <w:tr2bl w:val="nil"/>
                  </w:tcBorders>
                  <w:noWrap w:val="0"/>
                  <w:vAlign w:val="center"/>
                </w:tcPr>
                <w:p w14:paraId="786135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r>
                    <w:rPr>
                      <w:rFonts w:hint="default" w:ascii="Times New Roman" w:hAnsi="Times New Roman" w:eastAsia="宋体" w:cs="Times New Roman"/>
                      <w:b w:val="0"/>
                      <w:bCs/>
                      <w:color w:val="000000"/>
                      <w:sz w:val="21"/>
                      <w:szCs w:val="21"/>
                      <w:u w:val="none"/>
                    </w:rPr>
                    <w:t>主要成分/组成信息</w:t>
                  </w:r>
                </w:p>
              </w:tc>
              <w:tc>
                <w:tcPr>
                  <w:tcW w:w="1000" w:type="pct"/>
                  <w:vMerge w:val="restart"/>
                  <w:tcBorders>
                    <w:tl2br w:val="nil"/>
                    <w:tr2bl w:val="nil"/>
                  </w:tcBorders>
                  <w:noWrap w:val="0"/>
                  <w:vAlign w:val="center"/>
                </w:tcPr>
                <w:p w14:paraId="354DF8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备注</w:t>
                  </w:r>
                </w:p>
              </w:tc>
            </w:tr>
            <w:tr w14:paraId="645F3F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77B19A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643184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653E5A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主要成分</w:t>
                  </w:r>
                </w:p>
              </w:tc>
              <w:tc>
                <w:tcPr>
                  <w:tcW w:w="1102" w:type="pct"/>
                  <w:tcBorders>
                    <w:tl2br w:val="nil"/>
                    <w:tr2bl w:val="nil"/>
                  </w:tcBorders>
                  <w:noWrap w:val="0"/>
                  <w:vAlign w:val="center"/>
                </w:tcPr>
                <w:p w14:paraId="49802D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所占比例（</w:t>
                  </w:r>
                  <w:r>
                    <w:rPr>
                      <w:rFonts w:hint="default" w:ascii="Times New Roman" w:hAnsi="Times New Roman" w:cs="Times New Roman"/>
                      <w:b w:val="0"/>
                      <w:bCs/>
                      <w:color w:val="000000"/>
                      <w:sz w:val="21"/>
                      <w:szCs w:val="21"/>
                      <w:vertAlign w:val="baseline"/>
                      <w:lang w:val="en-US" w:eastAsia="zh-CN"/>
                    </w:rPr>
                    <w:t>%</w:t>
                  </w:r>
                  <w:r>
                    <w:rPr>
                      <w:rFonts w:hint="default" w:ascii="Times New Roman" w:hAnsi="Times New Roman" w:cs="Times New Roman"/>
                      <w:b w:val="0"/>
                      <w:bCs/>
                      <w:color w:val="000000"/>
                      <w:sz w:val="21"/>
                      <w:szCs w:val="21"/>
                      <w:vertAlign w:val="baseline"/>
                      <w:lang w:eastAsia="zh-CN"/>
                    </w:rPr>
                    <w:t>）</w:t>
                  </w:r>
                </w:p>
              </w:tc>
              <w:tc>
                <w:tcPr>
                  <w:tcW w:w="1000" w:type="pct"/>
                  <w:vMerge w:val="continue"/>
                  <w:tcBorders>
                    <w:tl2br w:val="nil"/>
                    <w:tr2bl w:val="nil"/>
                  </w:tcBorders>
                  <w:noWrap w:val="0"/>
                  <w:vAlign w:val="center"/>
                </w:tcPr>
                <w:p w14:paraId="4B0F7A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p>
              </w:tc>
            </w:tr>
            <w:tr w14:paraId="698A51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restart"/>
                  <w:tcBorders>
                    <w:tl2br w:val="nil"/>
                    <w:tr2bl w:val="nil"/>
                  </w:tcBorders>
                  <w:noWrap w:val="0"/>
                  <w:vAlign w:val="center"/>
                </w:tcPr>
                <w:p w14:paraId="2FDBAF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1</w:t>
                  </w:r>
                </w:p>
              </w:tc>
              <w:tc>
                <w:tcPr>
                  <w:tcW w:w="885" w:type="pct"/>
                  <w:vMerge w:val="restart"/>
                  <w:tcBorders>
                    <w:tl2br w:val="nil"/>
                    <w:tr2bl w:val="nil"/>
                  </w:tcBorders>
                  <w:noWrap w:val="0"/>
                  <w:vAlign w:val="center"/>
                </w:tcPr>
                <w:p w14:paraId="5C47B8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eastAsia" w:cs="Times New Roman"/>
                      <w:b w:val="0"/>
                      <w:bCs/>
                      <w:color w:val="000000"/>
                      <w:sz w:val="21"/>
                      <w:szCs w:val="21"/>
                      <w:vertAlign w:val="baseline"/>
                      <w:lang w:val="en-US" w:eastAsia="zh-CN"/>
                    </w:rPr>
                    <w:t>绝缘漆</w:t>
                  </w:r>
                </w:p>
              </w:tc>
              <w:tc>
                <w:tcPr>
                  <w:tcW w:w="1550" w:type="pct"/>
                  <w:tcBorders>
                    <w:tl2br w:val="nil"/>
                    <w:tr2bl w:val="nil"/>
                  </w:tcBorders>
                  <w:noWrap w:val="0"/>
                  <w:vAlign w:val="center"/>
                </w:tcPr>
                <w:p w14:paraId="0DEBC8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val="en-US" w:eastAsia="zh-CN"/>
                    </w:rPr>
                    <w:t>聚氨</w:t>
                  </w:r>
                  <w:r>
                    <w:rPr>
                      <w:rFonts w:hint="default" w:ascii="Times New Roman" w:hAnsi="Times New Roman" w:cs="Times New Roman"/>
                      <w:b w:val="0"/>
                      <w:bCs/>
                      <w:color w:val="000000"/>
                      <w:sz w:val="21"/>
                      <w:szCs w:val="21"/>
                      <w:vertAlign w:val="baseline"/>
                      <w:lang w:eastAsia="zh-CN"/>
                    </w:rPr>
                    <w:t>树脂</w:t>
                  </w:r>
                </w:p>
              </w:tc>
              <w:tc>
                <w:tcPr>
                  <w:tcW w:w="1102" w:type="pct"/>
                  <w:tcBorders>
                    <w:tl2br w:val="nil"/>
                    <w:tr2bl w:val="nil"/>
                  </w:tcBorders>
                  <w:noWrap w:val="0"/>
                  <w:vAlign w:val="center"/>
                </w:tcPr>
                <w:p w14:paraId="0F5531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50</w:t>
                  </w:r>
                </w:p>
              </w:tc>
              <w:tc>
                <w:tcPr>
                  <w:tcW w:w="1000" w:type="pct"/>
                  <w:tcBorders>
                    <w:tl2br w:val="nil"/>
                    <w:tr2bl w:val="nil"/>
                  </w:tcBorders>
                  <w:noWrap w:val="0"/>
                  <w:vAlign w:val="center"/>
                </w:tcPr>
                <w:p w14:paraId="0E8470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固体份</w:t>
                  </w:r>
                </w:p>
              </w:tc>
            </w:tr>
            <w:tr w14:paraId="2EDE3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1F677C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481007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761AFB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氨基树脂</w:t>
                  </w:r>
                </w:p>
              </w:tc>
              <w:tc>
                <w:tcPr>
                  <w:tcW w:w="1102" w:type="pct"/>
                  <w:tcBorders>
                    <w:tl2br w:val="nil"/>
                    <w:tr2bl w:val="nil"/>
                  </w:tcBorders>
                  <w:noWrap w:val="0"/>
                  <w:vAlign w:val="center"/>
                </w:tcPr>
                <w:p w14:paraId="597437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17</w:t>
                  </w:r>
                </w:p>
              </w:tc>
              <w:tc>
                <w:tcPr>
                  <w:tcW w:w="1000" w:type="pct"/>
                  <w:tcBorders>
                    <w:tl2br w:val="nil"/>
                    <w:tr2bl w:val="nil"/>
                  </w:tcBorders>
                  <w:noWrap w:val="0"/>
                  <w:vAlign w:val="center"/>
                </w:tcPr>
                <w:p w14:paraId="700133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rPr>
                  </w:pPr>
                  <w:r>
                    <w:rPr>
                      <w:rFonts w:hint="default" w:ascii="Times New Roman" w:hAnsi="Times New Roman" w:cs="Times New Roman"/>
                      <w:b w:val="0"/>
                      <w:bCs/>
                      <w:color w:val="000000"/>
                      <w:sz w:val="21"/>
                      <w:szCs w:val="21"/>
                      <w:vertAlign w:val="baseline"/>
                      <w:lang w:eastAsia="zh-CN"/>
                    </w:rPr>
                    <w:t>固体份</w:t>
                  </w:r>
                </w:p>
              </w:tc>
            </w:tr>
            <w:tr w14:paraId="04141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3331FB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3D2D1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1C0F64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脱芳烃</w:t>
                  </w:r>
                </w:p>
              </w:tc>
              <w:tc>
                <w:tcPr>
                  <w:tcW w:w="1102" w:type="pct"/>
                  <w:tcBorders>
                    <w:tl2br w:val="nil"/>
                    <w:tr2bl w:val="nil"/>
                  </w:tcBorders>
                  <w:noWrap w:val="0"/>
                  <w:vAlign w:val="center"/>
                </w:tcPr>
                <w:p w14:paraId="537F2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10</w:t>
                  </w:r>
                </w:p>
              </w:tc>
              <w:tc>
                <w:tcPr>
                  <w:tcW w:w="1000" w:type="pct"/>
                  <w:tcBorders>
                    <w:tl2br w:val="nil"/>
                    <w:tr2bl w:val="nil"/>
                  </w:tcBorders>
                  <w:noWrap w:val="0"/>
                  <w:vAlign w:val="center"/>
                </w:tcPr>
                <w:p w14:paraId="445A6C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挥发份</w:t>
                  </w:r>
                </w:p>
              </w:tc>
            </w:tr>
            <w:tr w14:paraId="01396F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6D9157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28C544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3303A6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val="en-US" w:eastAsia="zh-CN"/>
                    </w:rPr>
                    <w:t>二甲苯</w:t>
                  </w:r>
                </w:p>
              </w:tc>
              <w:tc>
                <w:tcPr>
                  <w:tcW w:w="1102" w:type="pct"/>
                  <w:tcBorders>
                    <w:tl2br w:val="nil"/>
                    <w:tr2bl w:val="nil"/>
                  </w:tcBorders>
                  <w:noWrap w:val="0"/>
                  <w:vAlign w:val="center"/>
                </w:tcPr>
                <w:p w14:paraId="73CCA2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20</w:t>
                  </w:r>
                </w:p>
              </w:tc>
              <w:tc>
                <w:tcPr>
                  <w:tcW w:w="1000" w:type="pct"/>
                  <w:tcBorders>
                    <w:tl2br w:val="nil"/>
                    <w:tr2bl w:val="nil"/>
                  </w:tcBorders>
                  <w:noWrap w:val="0"/>
                  <w:vAlign w:val="center"/>
                </w:tcPr>
                <w:p w14:paraId="73EE28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挥发份</w:t>
                  </w:r>
                </w:p>
              </w:tc>
            </w:tr>
            <w:tr w14:paraId="71093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60083F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7168CD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5BED9C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助剂</w:t>
                  </w:r>
                </w:p>
              </w:tc>
              <w:tc>
                <w:tcPr>
                  <w:tcW w:w="1102" w:type="pct"/>
                  <w:tcBorders>
                    <w:tl2br w:val="nil"/>
                    <w:tr2bl w:val="nil"/>
                  </w:tcBorders>
                  <w:noWrap w:val="0"/>
                  <w:vAlign w:val="center"/>
                </w:tcPr>
                <w:p w14:paraId="6ACFC9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微软雅黑" w:cs="Times New Roman"/>
                      <w:b w:val="0"/>
                      <w:bCs/>
                      <w:color w:val="000000"/>
                      <w:sz w:val="21"/>
                      <w:szCs w:val="21"/>
                      <w:vertAlign w:val="baseline"/>
                      <w:lang w:val="en-US" w:eastAsia="zh-CN"/>
                    </w:rPr>
                    <w:t>3</w:t>
                  </w:r>
                </w:p>
              </w:tc>
              <w:tc>
                <w:tcPr>
                  <w:tcW w:w="1000" w:type="pct"/>
                  <w:tcBorders>
                    <w:tl2br w:val="nil"/>
                    <w:tr2bl w:val="nil"/>
                  </w:tcBorders>
                  <w:noWrap w:val="0"/>
                  <w:vAlign w:val="center"/>
                </w:tcPr>
                <w:p w14:paraId="0A903B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val="en-US" w:eastAsia="zh-CN"/>
                    </w:rPr>
                    <w:t>固体</w:t>
                  </w:r>
                  <w:r>
                    <w:rPr>
                      <w:rFonts w:hint="default" w:ascii="Times New Roman" w:hAnsi="Times New Roman" w:cs="Times New Roman"/>
                      <w:b w:val="0"/>
                      <w:bCs/>
                      <w:color w:val="000000"/>
                      <w:sz w:val="21"/>
                      <w:szCs w:val="21"/>
                      <w:vertAlign w:val="baseline"/>
                      <w:lang w:eastAsia="zh-CN"/>
                    </w:rPr>
                    <w:t>份</w:t>
                  </w:r>
                </w:p>
              </w:tc>
            </w:tr>
            <w:tr w14:paraId="162CD9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restart"/>
                  <w:tcBorders>
                    <w:tl2br w:val="nil"/>
                    <w:tr2bl w:val="nil"/>
                  </w:tcBorders>
                  <w:noWrap w:val="0"/>
                  <w:vAlign w:val="center"/>
                </w:tcPr>
                <w:p w14:paraId="0234D0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2</w:t>
                  </w:r>
                </w:p>
              </w:tc>
              <w:tc>
                <w:tcPr>
                  <w:tcW w:w="885" w:type="pct"/>
                  <w:vMerge w:val="restart"/>
                  <w:tcBorders>
                    <w:tl2br w:val="nil"/>
                    <w:tr2bl w:val="nil"/>
                  </w:tcBorders>
                  <w:noWrap w:val="0"/>
                  <w:vAlign w:val="center"/>
                </w:tcPr>
                <w:p w14:paraId="32C57C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稀释剂</w:t>
                  </w:r>
                </w:p>
              </w:tc>
              <w:tc>
                <w:tcPr>
                  <w:tcW w:w="1550" w:type="pct"/>
                  <w:tcBorders>
                    <w:tl2br w:val="nil"/>
                    <w:tr2bl w:val="nil"/>
                  </w:tcBorders>
                  <w:noWrap w:val="0"/>
                  <w:vAlign w:val="center"/>
                </w:tcPr>
                <w:p w14:paraId="11533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val="en-US" w:eastAsia="zh-CN"/>
                    </w:rPr>
                    <w:t>脱芳烃</w:t>
                  </w:r>
                </w:p>
              </w:tc>
              <w:tc>
                <w:tcPr>
                  <w:tcW w:w="1102" w:type="pct"/>
                  <w:tcBorders>
                    <w:tl2br w:val="nil"/>
                    <w:tr2bl w:val="nil"/>
                  </w:tcBorders>
                  <w:noWrap w:val="0"/>
                  <w:vAlign w:val="center"/>
                </w:tcPr>
                <w:p w14:paraId="23E800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99</w:t>
                  </w:r>
                </w:p>
              </w:tc>
              <w:tc>
                <w:tcPr>
                  <w:tcW w:w="1000" w:type="pct"/>
                  <w:tcBorders>
                    <w:tl2br w:val="nil"/>
                    <w:tr2bl w:val="nil"/>
                  </w:tcBorders>
                  <w:noWrap w:val="0"/>
                  <w:vAlign w:val="center"/>
                </w:tcPr>
                <w:p w14:paraId="6690F0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val="en-US" w:eastAsia="zh-CN"/>
                    </w:rPr>
                    <w:t>挥发</w:t>
                  </w:r>
                  <w:r>
                    <w:rPr>
                      <w:rFonts w:hint="default" w:ascii="Times New Roman" w:hAnsi="Times New Roman" w:cs="Times New Roman"/>
                      <w:b w:val="0"/>
                      <w:bCs/>
                      <w:color w:val="000000"/>
                      <w:sz w:val="21"/>
                      <w:szCs w:val="21"/>
                      <w:vertAlign w:val="baseline"/>
                      <w:lang w:eastAsia="zh-CN"/>
                    </w:rPr>
                    <w:t>份</w:t>
                  </w:r>
                </w:p>
              </w:tc>
            </w:tr>
            <w:tr w14:paraId="3CB25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4D1B52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26AB5A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44F0CA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val="en-US" w:eastAsia="zh-CN"/>
                    </w:rPr>
                    <w:t>助剂</w:t>
                  </w:r>
                </w:p>
              </w:tc>
              <w:tc>
                <w:tcPr>
                  <w:tcW w:w="1102" w:type="pct"/>
                  <w:tcBorders>
                    <w:tl2br w:val="nil"/>
                    <w:tr2bl w:val="nil"/>
                  </w:tcBorders>
                  <w:noWrap w:val="0"/>
                  <w:vAlign w:val="center"/>
                </w:tcPr>
                <w:p w14:paraId="50E203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1</w:t>
                  </w:r>
                </w:p>
              </w:tc>
              <w:tc>
                <w:tcPr>
                  <w:tcW w:w="1000" w:type="pct"/>
                  <w:tcBorders>
                    <w:tl2br w:val="nil"/>
                    <w:tr2bl w:val="nil"/>
                  </w:tcBorders>
                  <w:noWrap w:val="0"/>
                  <w:vAlign w:val="center"/>
                </w:tcPr>
                <w:p w14:paraId="04C7BF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挥发份</w:t>
                  </w:r>
                </w:p>
              </w:tc>
            </w:tr>
            <w:tr w14:paraId="2B0197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restart"/>
                  <w:tcBorders>
                    <w:tl2br w:val="nil"/>
                    <w:tr2bl w:val="nil"/>
                  </w:tcBorders>
                  <w:noWrap w:val="0"/>
                  <w:vAlign w:val="center"/>
                </w:tcPr>
                <w:p w14:paraId="789030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3</w:t>
                  </w:r>
                </w:p>
              </w:tc>
              <w:tc>
                <w:tcPr>
                  <w:tcW w:w="885" w:type="pct"/>
                  <w:vMerge w:val="restart"/>
                  <w:tcBorders>
                    <w:tl2br w:val="nil"/>
                    <w:tr2bl w:val="nil"/>
                  </w:tcBorders>
                  <w:noWrap w:val="0"/>
                  <w:vAlign w:val="center"/>
                </w:tcPr>
                <w:p w14:paraId="7247DC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环氧树脂胶A</w:t>
                  </w:r>
                </w:p>
              </w:tc>
              <w:tc>
                <w:tcPr>
                  <w:tcW w:w="1550" w:type="pct"/>
                  <w:tcBorders>
                    <w:tl2br w:val="nil"/>
                    <w:tr2bl w:val="nil"/>
                  </w:tcBorders>
                  <w:noWrap w:val="0"/>
                  <w:vAlign w:val="center"/>
                </w:tcPr>
                <w:p w14:paraId="3002BD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环氧树脂</w:t>
                  </w:r>
                </w:p>
              </w:tc>
              <w:tc>
                <w:tcPr>
                  <w:tcW w:w="1102" w:type="pct"/>
                  <w:tcBorders>
                    <w:tl2br w:val="nil"/>
                    <w:tr2bl w:val="nil"/>
                  </w:tcBorders>
                  <w:noWrap w:val="0"/>
                  <w:vAlign w:val="center"/>
                </w:tcPr>
                <w:p w14:paraId="64507C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45</w:t>
                  </w:r>
                </w:p>
              </w:tc>
              <w:tc>
                <w:tcPr>
                  <w:tcW w:w="1000" w:type="pct"/>
                  <w:tcBorders>
                    <w:tl2br w:val="nil"/>
                    <w:tr2bl w:val="nil"/>
                  </w:tcBorders>
                  <w:noWrap w:val="0"/>
                  <w:vAlign w:val="center"/>
                </w:tcPr>
                <w:p w14:paraId="7A5C90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固体份</w:t>
                  </w:r>
                </w:p>
              </w:tc>
            </w:tr>
            <w:tr w14:paraId="3A9AF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44185B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29B6EB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20871A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val="en-US" w:eastAsia="zh-CN"/>
                    </w:rPr>
                    <w:t>色粉</w:t>
                  </w:r>
                </w:p>
              </w:tc>
              <w:tc>
                <w:tcPr>
                  <w:tcW w:w="1102" w:type="pct"/>
                  <w:tcBorders>
                    <w:tl2br w:val="nil"/>
                    <w:tr2bl w:val="nil"/>
                  </w:tcBorders>
                  <w:noWrap w:val="0"/>
                  <w:vAlign w:val="center"/>
                </w:tcPr>
                <w:p w14:paraId="4A94FD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eastAsia="微软雅黑" w:cs="Times New Roman"/>
                      <w:b w:val="0"/>
                      <w:bCs/>
                      <w:color w:val="000000"/>
                      <w:sz w:val="21"/>
                      <w:szCs w:val="21"/>
                      <w:vertAlign w:val="baseline"/>
                      <w:lang w:val="en-US" w:eastAsia="zh-CN"/>
                    </w:rPr>
                    <w:t>1</w:t>
                  </w:r>
                </w:p>
              </w:tc>
              <w:tc>
                <w:tcPr>
                  <w:tcW w:w="1000" w:type="pct"/>
                  <w:tcBorders>
                    <w:tl2br w:val="nil"/>
                    <w:tr2bl w:val="nil"/>
                  </w:tcBorders>
                  <w:noWrap w:val="0"/>
                  <w:vAlign w:val="center"/>
                </w:tcPr>
                <w:p w14:paraId="41AED3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val="en-US" w:eastAsia="zh-CN"/>
                    </w:rPr>
                    <w:t>固体份</w:t>
                  </w:r>
                </w:p>
              </w:tc>
            </w:tr>
            <w:tr w14:paraId="550A9E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25E588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453634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180E7F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稀释剂</w:t>
                  </w:r>
                  <w:r>
                    <w:rPr>
                      <w:rFonts w:hint="eastAsia" w:ascii="Times New Roman" w:hAnsi="Times New Roman" w:cs="Times New Roman"/>
                      <w:b w:val="0"/>
                      <w:bCs/>
                      <w:color w:val="000000"/>
                      <w:sz w:val="21"/>
                      <w:szCs w:val="21"/>
                      <w:vertAlign w:val="baseline"/>
                      <w:lang w:val="en-US" w:eastAsia="zh-CN"/>
                    </w:rPr>
                    <w:t>（苯基缩水甘油醚）</w:t>
                  </w:r>
                </w:p>
              </w:tc>
              <w:tc>
                <w:tcPr>
                  <w:tcW w:w="1102" w:type="pct"/>
                  <w:tcBorders>
                    <w:tl2br w:val="nil"/>
                    <w:tr2bl w:val="nil"/>
                  </w:tcBorders>
                  <w:noWrap w:val="0"/>
                  <w:vAlign w:val="center"/>
                </w:tcPr>
                <w:p w14:paraId="768D6A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6</w:t>
                  </w:r>
                </w:p>
              </w:tc>
              <w:tc>
                <w:tcPr>
                  <w:tcW w:w="1000" w:type="pct"/>
                  <w:tcBorders>
                    <w:tl2br w:val="nil"/>
                    <w:tr2bl w:val="nil"/>
                  </w:tcBorders>
                  <w:noWrap w:val="0"/>
                  <w:vAlign w:val="center"/>
                </w:tcPr>
                <w:p w14:paraId="69ED84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挥发份</w:t>
                  </w:r>
                </w:p>
              </w:tc>
            </w:tr>
            <w:tr w14:paraId="30E04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521E8B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17D91B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346254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eastAsia="zh-CN"/>
                    </w:rPr>
                  </w:pPr>
                  <w:r>
                    <w:rPr>
                      <w:rFonts w:hint="default" w:ascii="Times New Roman" w:hAnsi="Times New Roman" w:eastAsia="宋体" w:cs="Times New Roman"/>
                      <w:b w:val="0"/>
                      <w:bCs/>
                      <w:color w:val="000000"/>
                      <w:sz w:val="21"/>
                      <w:szCs w:val="21"/>
                      <w:vertAlign w:val="baseline"/>
                      <w:lang w:val="en-US" w:eastAsia="zh-CN"/>
                    </w:rPr>
                    <w:t>助剂</w:t>
                  </w:r>
                </w:p>
              </w:tc>
              <w:tc>
                <w:tcPr>
                  <w:tcW w:w="1102" w:type="pct"/>
                  <w:tcBorders>
                    <w:tl2br w:val="nil"/>
                    <w:tr2bl w:val="nil"/>
                  </w:tcBorders>
                  <w:noWrap w:val="0"/>
                  <w:vAlign w:val="center"/>
                </w:tcPr>
                <w:p w14:paraId="04CD71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2</w:t>
                  </w:r>
                </w:p>
              </w:tc>
              <w:tc>
                <w:tcPr>
                  <w:tcW w:w="1000" w:type="pct"/>
                  <w:tcBorders>
                    <w:tl2br w:val="nil"/>
                    <w:tr2bl w:val="nil"/>
                  </w:tcBorders>
                  <w:noWrap w:val="0"/>
                  <w:vAlign w:val="center"/>
                </w:tcPr>
                <w:p w14:paraId="551A29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val="en-US" w:eastAsia="zh-CN"/>
                    </w:rPr>
                    <w:t>固体份</w:t>
                  </w:r>
                </w:p>
              </w:tc>
            </w:tr>
            <w:tr w14:paraId="009E5F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64F8F3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29E01C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08A2A2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sz w:val="21"/>
                      <w:szCs w:val="21"/>
                      <w:lang w:val="en-US" w:eastAsia="zh-CN"/>
                    </w:rPr>
                    <w:t>填充料</w:t>
                  </w:r>
                </w:p>
              </w:tc>
              <w:tc>
                <w:tcPr>
                  <w:tcW w:w="1102" w:type="pct"/>
                  <w:tcBorders>
                    <w:tl2br w:val="nil"/>
                    <w:tr2bl w:val="nil"/>
                  </w:tcBorders>
                  <w:noWrap w:val="0"/>
                  <w:vAlign w:val="center"/>
                </w:tcPr>
                <w:p w14:paraId="19E29D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38</w:t>
                  </w:r>
                </w:p>
              </w:tc>
              <w:tc>
                <w:tcPr>
                  <w:tcW w:w="1000" w:type="pct"/>
                  <w:tcBorders>
                    <w:tl2br w:val="nil"/>
                    <w:tr2bl w:val="nil"/>
                  </w:tcBorders>
                  <w:noWrap w:val="0"/>
                  <w:vAlign w:val="center"/>
                </w:tcPr>
                <w:p w14:paraId="000B17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val="en-US" w:eastAsia="zh-CN"/>
                    </w:rPr>
                    <w:t>固体份</w:t>
                  </w:r>
                </w:p>
              </w:tc>
            </w:tr>
            <w:tr w14:paraId="60AAC3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4CF923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2CA43A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561397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阻燃剂</w:t>
                  </w:r>
                </w:p>
              </w:tc>
              <w:tc>
                <w:tcPr>
                  <w:tcW w:w="1102" w:type="pct"/>
                  <w:tcBorders>
                    <w:tl2br w:val="nil"/>
                    <w:tr2bl w:val="nil"/>
                  </w:tcBorders>
                  <w:noWrap w:val="0"/>
                  <w:vAlign w:val="center"/>
                </w:tcPr>
                <w:p w14:paraId="35E733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6</w:t>
                  </w:r>
                </w:p>
              </w:tc>
              <w:tc>
                <w:tcPr>
                  <w:tcW w:w="1000" w:type="pct"/>
                  <w:tcBorders>
                    <w:tl2br w:val="nil"/>
                    <w:tr2bl w:val="nil"/>
                  </w:tcBorders>
                  <w:noWrap w:val="0"/>
                  <w:vAlign w:val="center"/>
                </w:tcPr>
                <w:p w14:paraId="2ABC23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固体份</w:t>
                  </w:r>
                </w:p>
              </w:tc>
            </w:tr>
            <w:tr w14:paraId="2271CD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2A9D89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7DFAA6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6D6171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添加剂</w:t>
                  </w:r>
                </w:p>
              </w:tc>
              <w:tc>
                <w:tcPr>
                  <w:tcW w:w="1102" w:type="pct"/>
                  <w:tcBorders>
                    <w:tl2br w:val="nil"/>
                    <w:tr2bl w:val="nil"/>
                  </w:tcBorders>
                  <w:noWrap w:val="0"/>
                  <w:vAlign w:val="center"/>
                </w:tcPr>
                <w:p w14:paraId="600F0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2</w:t>
                  </w:r>
                </w:p>
              </w:tc>
              <w:tc>
                <w:tcPr>
                  <w:tcW w:w="1000" w:type="pct"/>
                  <w:tcBorders>
                    <w:tl2br w:val="nil"/>
                    <w:tr2bl w:val="nil"/>
                  </w:tcBorders>
                  <w:noWrap w:val="0"/>
                  <w:vAlign w:val="center"/>
                </w:tcPr>
                <w:p w14:paraId="2CAF53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固体份</w:t>
                  </w:r>
                </w:p>
              </w:tc>
            </w:tr>
            <w:tr w14:paraId="45C555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restart"/>
                  <w:tcBorders>
                    <w:tl2br w:val="nil"/>
                    <w:tr2bl w:val="nil"/>
                  </w:tcBorders>
                  <w:noWrap w:val="0"/>
                  <w:vAlign w:val="center"/>
                </w:tcPr>
                <w:p w14:paraId="382A17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4</w:t>
                  </w:r>
                </w:p>
              </w:tc>
              <w:tc>
                <w:tcPr>
                  <w:tcW w:w="885" w:type="pct"/>
                  <w:vMerge w:val="restart"/>
                  <w:tcBorders>
                    <w:tl2br w:val="nil"/>
                    <w:tr2bl w:val="nil"/>
                  </w:tcBorders>
                  <w:noWrap w:val="0"/>
                  <w:vAlign w:val="center"/>
                </w:tcPr>
                <w:p w14:paraId="71E6C3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环氧树脂胶B</w:t>
                  </w:r>
                </w:p>
              </w:tc>
              <w:tc>
                <w:tcPr>
                  <w:tcW w:w="1550" w:type="pct"/>
                  <w:tcBorders>
                    <w:tl2br w:val="nil"/>
                    <w:tr2bl w:val="nil"/>
                  </w:tcBorders>
                  <w:noWrap w:val="0"/>
                  <w:vAlign w:val="center"/>
                </w:tcPr>
                <w:p w14:paraId="010C8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sz w:val="21"/>
                      <w:szCs w:val="21"/>
                      <w:vertAlign w:val="baseline"/>
                      <w:lang w:eastAsia="zh-CN"/>
                    </w:rPr>
                  </w:pPr>
                  <w:r>
                    <w:rPr>
                      <w:rFonts w:hint="eastAsia" w:ascii="Times New Roman" w:hAnsi="Times New Roman" w:cs="Times New Roman"/>
                      <w:sz w:val="21"/>
                      <w:szCs w:val="21"/>
                      <w:lang w:val="en-US" w:eastAsia="zh-CN"/>
                    </w:rPr>
                    <w:t>固化剂</w:t>
                  </w:r>
                </w:p>
              </w:tc>
              <w:tc>
                <w:tcPr>
                  <w:tcW w:w="1102" w:type="pct"/>
                  <w:tcBorders>
                    <w:tl2br w:val="nil"/>
                    <w:tr2bl w:val="nil"/>
                  </w:tcBorders>
                  <w:noWrap w:val="0"/>
                  <w:vAlign w:val="center"/>
                </w:tcPr>
                <w:p w14:paraId="1FF63F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eastAsia" w:ascii="Times New Roman" w:hAnsi="Times New Roman" w:cs="Times New Roman"/>
                      <w:b w:val="0"/>
                      <w:bCs/>
                      <w:color w:val="000000"/>
                      <w:sz w:val="21"/>
                      <w:szCs w:val="21"/>
                      <w:vertAlign w:val="baseline"/>
                      <w:lang w:val="en-US" w:eastAsia="zh-CN"/>
                    </w:rPr>
                    <w:t>90</w:t>
                  </w:r>
                </w:p>
              </w:tc>
              <w:tc>
                <w:tcPr>
                  <w:tcW w:w="1000" w:type="pct"/>
                  <w:tcBorders>
                    <w:tl2br w:val="nil"/>
                    <w:tr2bl w:val="nil"/>
                  </w:tcBorders>
                  <w:noWrap w:val="0"/>
                  <w:vAlign w:val="center"/>
                </w:tcPr>
                <w:p w14:paraId="44B4A2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eastAsia" w:ascii="Times New Roman" w:hAnsi="Times New Roman" w:cs="Times New Roman"/>
                      <w:b w:val="0"/>
                      <w:bCs/>
                      <w:color w:val="000000"/>
                      <w:sz w:val="21"/>
                      <w:szCs w:val="21"/>
                      <w:vertAlign w:val="baseline"/>
                      <w:lang w:val="en-US" w:eastAsia="zh-CN"/>
                    </w:rPr>
                    <w:t>固体</w:t>
                  </w:r>
                  <w:r>
                    <w:rPr>
                      <w:rFonts w:hint="default" w:ascii="Times New Roman" w:hAnsi="Times New Roman" w:cs="Times New Roman"/>
                      <w:b w:val="0"/>
                      <w:bCs/>
                      <w:color w:val="000000"/>
                      <w:sz w:val="21"/>
                      <w:szCs w:val="21"/>
                      <w:vertAlign w:val="baseline"/>
                      <w:lang w:val="en-US" w:eastAsia="zh-CN"/>
                    </w:rPr>
                    <w:t>份</w:t>
                  </w:r>
                </w:p>
              </w:tc>
            </w:tr>
            <w:tr w14:paraId="0EC700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42EEF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885" w:type="pct"/>
                  <w:vMerge w:val="continue"/>
                  <w:tcBorders>
                    <w:tl2br w:val="nil"/>
                    <w:tr2bl w:val="nil"/>
                  </w:tcBorders>
                  <w:noWrap w:val="0"/>
                  <w:vAlign w:val="center"/>
                </w:tcPr>
                <w:p w14:paraId="7C05DF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rPr>
                  </w:pPr>
                </w:p>
              </w:tc>
              <w:tc>
                <w:tcPr>
                  <w:tcW w:w="1550" w:type="pct"/>
                  <w:tcBorders>
                    <w:tl2br w:val="nil"/>
                    <w:tr2bl w:val="nil"/>
                  </w:tcBorders>
                  <w:noWrap w:val="0"/>
                  <w:vAlign w:val="center"/>
                </w:tcPr>
                <w:p w14:paraId="654C42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eastAsia="zh-CN"/>
                    </w:rPr>
                  </w:pPr>
                  <w:r>
                    <w:rPr>
                      <w:rFonts w:hint="eastAsia" w:ascii="Times New Roman" w:hAnsi="Times New Roman" w:cs="Times New Roman"/>
                      <w:b w:val="0"/>
                      <w:bCs/>
                      <w:color w:val="000000"/>
                      <w:sz w:val="21"/>
                      <w:szCs w:val="21"/>
                      <w:vertAlign w:val="baseline"/>
                      <w:lang w:val="en-US" w:eastAsia="zh-CN"/>
                    </w:rPr>
                    <w:t>助剂</w:t>
                  </w:r>
                </w:p>
              </w:tc>
              <w:tc>
                <w:tcPr>
                  <w:tcW w:w="1102" w:type="pct"/>
                  <w:tcBorders>
                    <w:tl2br w:val="nil"/>
                    <w:tr2bl w:val="nil"/>
                  </w:tcBorders>
                  <w:noWrap w:val="0"/>
                  <w:vAlign w:val="center"/>
                </w:tcPr>
                <w:p w14:paraId="7A9C9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eastAsia" w:ascii="Times New Roman" w:hAnsi="Times New Roman" w:eastAsia="微软雅黑" w:cs="Times New Roman"/>
                      <w:b w:val="0"/>
                      <w:bCs/>
                      <w:color w:val="000000"/>
                      <w:sz w:val="21"/>
                      <w:szCs w:val="21"/>
                      <w:vertAlign w:val="baseline"/>
                      <w:lang w:val="en-US" w:eastAsia="zh-CN"/>
                    </w:rPr>
                    <w:t>10</w:t>
                  </w:r>
                </w:p>
              </w:tc>
              <w:tc>
                <w:tcPr>
                  <w:tcW w:w="1000" w:type="pct"/>
                  <w:tcBorders>
                    <w:tl2br w:val="nil"/>
                    <w:tr2bl w:val="nil"/>
                  </w:tcBorders>
                  <w:noWrap w:val="0"/>
                  <w:vAlign w:val="center"/>
                </w:tcPr>
                <w:p w14:paraId="759BAD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eastAsia="zh-CN"/>
                    </w:rPr>
                  </w:pPr>
                  <w:r>
                    <w:rPr>
                      <w:rFonts w:hint="eastAsia" w:ascii="Times New Roman" w:hAnsi="Times New Roman" w:cs="Times New Roman"/>
                      <w:b w:val="0"/>
                      <w:bCs/>
                      <w:color w:val="000000"/>
                      <w:sz w:val="21"/>
                      <w:szCs w:val="21"/>
                      <w:vertAlign w:val="baseline"/>
                      <w:lang w:val="en-US" w:eastAsia="zh-CN"/>
                    </w:rPr>
                    <w:t>固体</w:t>
                  </w:r>
                  <w:r>
                    <w:rPr>
                      <w:rFonts w:hint="default" w:ascii="Times New Roman" w:hAnsi="Times New Roman" w:cs="Times New Roman"/>
                      <w:b w:val="0"/>
                      <w:bCs/>
                      <w:color w:val="000000"/>
                      <w:sz w:val="21"/>
                      <w:szCs w:val="21"/>
                      <w:vertAlign w:val="baseline"/>
                      <w:lang w:eastAsia="zh-CN"/>
                    </w:rPr>
                    <w:t>份</w:t>
                  </w:r>
                </w:p>
              </w:tc>
            </w:tr>
            <w:tr w14:paraId="3890EE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restart"/>
                  <w:tcBorders>
                    <w:tl2br w:val="nil"/>
                    <w:tr2bl w:val="nil"/>
                  </w:tcBorders>
                  <w:noWrap w:val="0"/>
                  <w:vAlign w:val="center"/>
                </w:tcPr>
                <w:p w14:paraId="757339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5</w:t>
                  </w:r>
                </w:p>
              </w:tc>
              <w:tc>
                <w:tcPr>
                  <w:tcW w:w="885" w:type="pct"/>
                  <w:vMerge w:val="restart"/>
                  <w:tcBorders>
                    <w:tl2br w:val="nil"/>
                    <w:tr2bl w:val="nil"/>
                  </w:tcBorders>
                  <w:noWrap w:val="0"/>
                  <w:vAlign w:val="center"/>
                </w:tcPr>
                <w:p w14:paraId="0410F5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vertAlign w:val="baseline"/>
                      <w:lang w:eastAsia="zh-CN"/>
                    </w:rPr>
                  </w:pPr>
                  <w:r>
                    <w:rPr>
                      <w:rFonts w:hint="eastAsia" w:ascii="Times New Roman" w:hAnsi="Times New Roman" w:cs="Times New Roman"/>
                      <w:b w:val="0"/>
                      <w:bCs/>
                      <w:color w:val="auto"/>
                      <w:sz w:val="21"/>
                      <w:szCs w:val="21"/>
                      <w:vertAlign w:val="baseline"/>
                      <w:lang w:val="en-US" w:eastAsia="zh-CN"/>
                    </w:rPr>
                    <w:t>助焊剂</w:t>
                  </w:r>
                </w:p>
              </w:tc>
              <w:tc>
                <w:tcPr>
                  <w:tcW w:w="1550" w:type="pct"/>
                  <w:tcBorders>
                    <w:tl2br w:val="nil"/>
                    <w:tr2bl w:val="nil"/>
                  </w:tcBorders>
                  <w:noWrap w:val="0"/>
                  <w:vAlign w:val="center"/>
                </w:tcPr>
                <w:p w14:paraId="1F2DF0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lang w:eastAsia="zh-CN"/>
                    </w:rPr>
                  </w:pPr>
                  <w:r>
                    <w:rPr>
                      <w:rFonts w:hint="eastAsia" w:cs="Times New Roman"/>
                      <w:b w:val="0"/>
                      <w:bCs/>
                      <w:color w:val="auto"/>
                      <w:sz w:val="21"/>
                      <w:szCs w:val="21"/>
                      <w:vertAlign w:val="baseline"/>
                      <w:lang w:val="en-US" w:eastAsia="zh-CN"/>
                    </w:rPr>
                    <w:t>甲醇</w:t>
                  </w:r>
                </w:p>
              </w:tc>
              <w:tc>
                <w:tcPr>
                  <w:tcW w:w="1102" w:type="pct"/>
                  <w:tcBorders>
                    <w:tl2br w:val="nil"/>
                    <w:tr2bl w:val="nil"/>
                  </w:tcBorders>
                  <w:noWrap w:val="0"/>
                  <w:vAlign w:val="center"/>
                </w:tcPr>
                <w:p w14:paraId="356ED4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lang w:val="en-US" w:eastAsia="zh-CN"/>
                    </w:rPr>
                  </w:pPr>
                  <w:r>
                    <w:rPr>
                      <w:rFonts w:hint="eastAsia" w:cs="Times New Roman"/>
                      <w:b w:val="0"/>
                      <w:bCs/>
                      <w:color w:val="auto"/>
                      <w:sz w:val="21"/>
                      <w:szCs w:val="21"/>
                      <w:vertAlign w:val="baseline"/>
                      <w:lang w:val="en-US" w:eastAsia="zh-CN"/>
                    </w:rPr>
                    <w:t>75</w:t>
                  </w:r>
                </w:p>
              </w:tc>
              <w:tc>
                <w:tcPr>
                  <w:tcW w:w="1000" w:type="pct"/>
                  <w:tcBorders>
                    <w:tl2br w:val="nil"/>
                    <w:tr2bl w:val="nil"/>
                  </w:tcBorders>
                  <w:noWrap w:val="0"/>
                  <w:vAlign w:val="center"/>
                </w:tcPr>
                <w:p w14:paraId="4A8659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lang w:eastAsia="zh-CN"/>
                    </w:rPr>
                  </w:pPr>
                  <w:r>
                    <w:rPr>
                      <w:rFonts w:hint="default" w:ascii="Times New Roman" w:hAnsi="Times New Roman" w:cs="Times New Roman"/>
                      <w:b w:val="0"/>
                      <w:bCs/>
                      <w:color w:val="auto"/>
                      <w:sz w:val="21"/>
                      <w:szCs w:val="21"/>
                      <w:vertAlign w:val="baseline"/>
                      <w:lang w:eastAsia="zh-CN"/>
                    </w:rPr>
                    <w:t>挥发份</w:t>
                  </w:r>
                </w:p>
              </w:tc>
            </w:tr>
            <w:tr w14:paraId="07318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102F35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rPr>
                  </w:pPr>
                </w:p>
              </w:tc>
              <w:tc>
                <w:tcPr>
                  <w:tcW w:w="885" w:type="pct"/>
                  <w:vMerge w:val="continue"/>
                  <w:tcBorders>
                    <w:tl2br w:val="nil"/>
                    <w:tr2bl w:val="nil"/>
                  </w:tcBorders>
                  <w:noWrap w:val="0"/>
                  <w:vAlign w:val="center"/>
                </w:tcPr>
                <w:p w14:paraId="62A883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rPr>
                  </w:pPr>
                </w:p>
              </w:tc>
              <w:tc>
                <w:tcPr>
                  <w:tcW w:w="1550" w:type="pct"/>
                  <w:tcBorders>
                    <w:tl2br w:val="nil"/>
                    <w:tr2bl w:val="nil"/>
                  </w:tcBorders>
                  <w:noWrap w:val="0"/>
                  <w:vAlign w:val="center"/>
                </w:tcPr>
                <w:p w14:paraId="6EB6FD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lang w:eastAsia="zh-CN"/>
                    </w:rPr>
                  </w:pPr>
                  <w:r>
                    <w:rPr>
                      <w:rFonts w:hint="eastAsia" w:cs="Times New Roman"/>
                      <w:b w:val="0"/>
                      <w:bCs/>
                      <w:color w:val="auto"/>
                      <w:sz w:val="21"/>
                      <w:szCs w:val="21"/>
                      <w:vertAlign w:val="baseline"/>
                      <w:lang w:val="en-US" w:eastAsia="zh-CN"/>
                    </w:rPr>
                    <w:t>异丙醇</w:t>
                  </w:r>
                </w:p>
              </w:tc>
              <w:tc>
                <w:tcPr>
                  <w:tcW w:w="1102" w:type="pct"/>
                  <w:tcBorders>
                    <w:tl2br w:val="nil"/>
                    <w:tr2bl w:val="nil"/>
                  </w:tcBorders>
                  <w:noWrap w:val="0"/>
                  <w:vAlign w:val="center"/>
                </w:tcPr>
                <w:p w14:paraId="647E06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lang w:val="en-US" w:eastAsia="zh-CN"/>
                    </w:rPr>
                  </w:pPr>
                  <w:r>
                    <w:rPr>
                      <w:rFonts w:hint="eastAsia" w:eastAsia="微软雅黑" w:cs="Times New Roman"/>
                      <w:b w:val="0"/>
                      <w:bCs/>
                      <w:color w:val="auto"/>
                      <w:sz w:val="21"/>
                      <w:szCs w:val="21"/>
                      <w:vertAlign w:val="baseline"/>
                      <w:lang w:val="en-US" w:eastAsia="zh-CN"/>
                    </w:rPr>
                    <w:t>20</w:t>
                  </w:r>
                </w:p>
              </w:tc>
              <w:tc>
                <w:tcPr>
                  <w:tcW w:w="1000" w:type="pct"/>
                  <w:tcBorders>
                    <w:tl2br w:val="nil"/>
                    <w:tr2bl w:val="nil"/>
                  </w:tcBorders>
                  <w:noWrap w:val="0"/>
                  <w:vAlign w:val="center"/>
                </w:tcPr>
                <w:p w14:paraId="01BF56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lang w:eastAsia="zh-CN"/>
                    </w:rPr>
                  </w:pPr>
                  <w:r>
                    <w:rPr>
                      <w:rFonts w:hint="default" w:ascii="Times New Roman" w:hAnsi="Times New Roman" w:cs="Times New Roman"/>
                      <w:b w:val="0"/>
                      <w:bCs/>
                      <w:color w:val="auto"/>
                      <w:sz w:val="21"/>
                      <w:szCs w:val="21"/>
                      <w:vertAlign w:val="baseline"/>
                      <w:lang w:eastAsia="zh-CN"/>
                    </w:rPr>
                    <w:t>挥发份</w:t>
                  </w:r>
                </w:p>
              </w:tc>
            </w:tr>
            <w:tr w14:paraId="2BF7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1FBDE8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rPr>
                  </w:pPr>
                </w:p>
              </w:tc>
              <w:tc>
                <w:tcPr>
                  <w:tcW w:w="885" w:type="pct"/>
                  <w:vMerge w:val="continue"/>
                  <w:tcBorders>
                    <w:tl2br w:val="nil"/>
                    <w:tr2bl w:val="nil"/>
                  </w:tcBorders>
                  <w:noWrap w:val="0"/>
                  <w:vAlign w:val="center"/>
                </w:tcPr>
                <w:p w14:paraId="32B386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rPr>
                  </w:pPr>
                </w:p>
              </w:tc>
              <w:tc>
                <w:tcPr>
                  <w:tcW w:w="1550" w:type="pct"/>
                  <w:tcBorders>
                    <w:tl2br w:val="nil"/>
                    <w:tr2bl w:val="nil"/>
                  </w:tcBorders>
                  <w:noWrap w:val="0"/>
                  <w:vAlign w:val="center"/>
                </w:tcPr>
                <w:p w14:paraId="292545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lang w:val="en-US" w:eastAsia="zh-CN"/>
                    </w:rPr>
                  </w:pPr>
                  <w:r>
                    <w:rPr>
                      <w:rFonts w:hint="eastAsia" w:cs="Times New Roman"/>
                      <w:b w:val="0"/>
                      <w:bCs/>
                      <w:color w:val="auto"/>
                      <w:sz w:val="21"/>
                      <w:szCs w:val="21"/>
                      <w:vertAlign w:val="baseline"/>
                      <w:lang w:val="en-US" w:eastAsia="zh-CN"/>
                    </w:rPr>
                    <w:t>二丙二醇甲醚</w:t>
                  </w:r>
                </w:p>
              </w:tc>
              <w:tc>
                <w:tcPr>
                  <w:tcW w:w="1102" w:type="pct"/>
                  <w:tcBorders>
                    <w:tl2br w:val="nil"/>
                    <w:tr2bl w:val="nil"/>
                  </w:tcBorders>
                  <w:noWrap w:val="0"/>
                  <w:vAlign w:val="center"/>
                </w:tcPr>
                <w:p w14:paraId="6FA06D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b w:val="0"/>
                      <w:bCs/>
                      <w:color w:val="auto"/>
                      <w:sz w:val="21"/>
                      <w:szCs w:val="21"/>
                      <w:vertAlign w:val="baseline"/>
                      <w:lang w:val="en-US" w:eastAsia="zh-CN"/>
                    </w:rPr>
                  </w:pPr>
                  <w:r>
                    <w:rPr>
                      <w:rFonts w:hint="eastAsia" w:eastAsia="微软雅黑" w:cs="Times New Roman"/>
                      <w:b w:val="0"/>
                      <w:bCs/>
                      <w:color w:val="auto"/>
                      <w:sz w:val="21"/>
                      <w:szCs w:val="21"/>
                      <w:vertAlign w:val="baseline"/>
                      <w:lang w:val="en-US" w:eastAsia="zh-CN"/>
                    </w:rPr>
                    <w:t>2</w:t>
                  </w:r>
                </w:p>
              </w:tc>
              <w:tc>
                <w:tcPr>
                  <w:tcW w:w="1000" w:type="pct"/>
                  <w:tcBorders>
                    <w:tl2br w:val="nil"/>
                    <w:tr2bl w:val="nil"/>
                  </w:tcBorders>
                  <w:noWrap w:val="0"/>
                  <w:vAlign w:val="center"/>
                </w:tcPr>
                <w:p w14:paraId="5E6214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lang w:eastAsia="zh-CN"/>
                    </w:rPr>
                  </w:pPr>
                  <w:r>
                    <w:rPr>
                      <w:rFonts w:hint="default" w:ascii="Times New Roman" w:hAnsi="Times New Roman" w:cs="Times New Roman"/>
                      <w:b w:val="0"/>
                      <w:bCs/>
                      <w:color w:val="auto"/>
                      <w:sz w:val="21"/>
                      <w:szCs w:val="21"/>
                      <w:vertAlign w:val="baseline"/>
                      <w:lang w:eastAsia="zh-CN"/>
                    </w:rPr>
                    <w:t>挥发份</w:t>
                  </w:r>
                </w:p>
              </w:tc>
            </w:tr>
            <w:tr w14:paraId="56C192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61" w:type="pct"/>
                  <w:vMerge w:val="continue"/>
                  <w:tcBorders>
                    <w:tl2br w:val="nil"/>
                    <w:tr2bl w:val="nil"/>
                  </w:tcBorders>
                  <w:noWrap w:val="0"/>
                  <w:vAlign w:val="center"/>
                </w:tcPr>
                <w:p w14:paraId="2A590F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rPr>
                  </w:pPr>
                </w:p>
              </w:tc>
              <w:tc>
                <w:tcPr>
                  <w:tcW w:w="885" w:type="pct"/>
                  <w:vMerge w:val="continue"/>
                  <w:tcBorders>
                    <w:tl2br w:val="nil"/>
                    <w:tr2bl w:val="nil"/>
                  </w:tcBorders>
                  <w:noWrap w:val="0"/>
                  <w:vAlign w:val="center"/>
                </w:tcPr>
                <w:p w14:paraId="45067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rPr>
                  </w:pPr>
                </w:p>
              </w:tc>
              <w:tc>
                <w:tcPr>
                  <w:tcW w:w="1550" w:type="pct"/>
                  <w:tcBorders>
                    <w:tl2br w:val="nil"/>
                    <w:tr2bl w:val="nil"/>
                  </w:tcBorders>
                  <w:noWrap w:val="0"/>
                  <w:vAlign w:val="center"/>
                </w:tcPr>
                <w:p w14:paraId="3E71AB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lang w:val="en-US" w:eastAsia="zh-CN"/>
                    </w:rPr>
                  </w:pPr>
                  <w:r>
                    <w:rPr>
                      <w:rFonts w:hint="eastAsia" w:cs="Times New Roman"/>
                      <w:b w:val="0"/>
                      <w:bCs/>
                      <w:color w:val="auto"/>
                      <w:sz w:val="21"/>
                      <w:szCs w:val="21"/>
                      <w:vertAlign w:val="baseline"/>
                      <w:lang w:val="en-US" w:eastAsia="zh-CN"/>
                    </w:rPr>
                    <w:t>其他助剂</w:t>
                  </w:r>
                </w:p>
              </w:tc>
              <w:tc>
                <w:tcPr>
                  <w:tcW w:w="1102" w:type="pct"/>
                  <w:tcBorders>
                    <w:tl2br w:val="nil"/>
                    <w:tr2bl w:val="nil"/>
                  </w:tcBorders>
                  <w:noWrap w:val="0"/>
                  <w:vAlign w:val="center"/>
                </w:tcPr>
                <w:p w14:paraId="4528F7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微软雅黑" w:cs="Times New Roman"/>
                      <w:b w:val="0"/>
                      <w:bCs/>
                      <w:color w:val="auto"/>
                      <w:sz w:val="21"/>
                      <w:szCs w:val="21"/>
                      <w:vertAlign w:val="baseline"/>
                      <w:lang w:val="en-US" w:eastAsia="zh-CN"/>
                    </w:rPr>
                  </w:pPr>
                  <w:r>
                    <w:rPr>
                      <w:rFonts w:hint="eastAsia" w:eastAsia="微软雅黑" w:cs="Times New Roman"/>
                      <w:b w:val="0"/>
                      <w:bCs/>
                      <w:color w:val="auto"/>
                      <w:sz w:val="21"/>
                      <w:szCs w:val="21"/>
                      <w:vertAlign w:val="baseline"/>
                      <w:lang w:val="en-US" w:eastAsia="zh-CN"/>
                    </w:rPr>
                    <w:t>3</w:t>
                  </w:r>
                </w:p>
              </w:tc>
              <w:tc>
                <w:tcPr>
                  <w:tcW w:w="1000" w:type="pct"/>
                  <w:tcBorders>
                    <w:tl2br w:val="nil"/>
                    <w:tr2bl w:val="nil"/>
                  </w:tcBorders>
                  <w:noWrap w:val="0"/>
                  <w:vAlign w:val="center"/>
                </w:tcPr>
                <w:p w14:paraId="6614A4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vertAlign w:val="baseline"/>
                      <w:lang w:val="en-US" w:eastAsia="zh-CN"/>
                    </w:rPr>
                  </w:pPr>
                  <w:r>
                    <w:rPr>
                      <w:rFonts w:hint="eastAsia" w:cs="Times New Roman"/>
                      <w:b w:val="0"/>
                      <w:bCs/>
                      <w:color w:val="auto"/>
                      <w:sz w:val="21"/>
                      <w:szCs w:val="21"/>
                      <w:vertAlign w:val="baseline"/>
                      <w:lang w:val="en-US" w:eastAsia="zh-CN"/>
                    </w:rPr>
                    <w:t>固体份</w:t>
                  </w:r>
                </w:p>
              </w:tc>
            </w:tr>
          </w:tbl>
          <w:p w14:paraId="0E4FF7A1">
            <w:pPr>
              <w:pStyle w:val="60"/>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b/>
                <w:bCs w:val="0"/>
                <w:color w:val="auto"/>
                <w:sz w:val="21"/>
              </w:rPr>
            </w:pPr>
            <w:r>
              <w:rPr>
                <w:rFonts w:hint="default" w:ascii="Times New Roman" w:hAnsi="Times New Roman" w:cs="Times New Roman"/>
                <w:b w:val="0"/>
                <w:bCs/>
                <w:color w:val="auto"/>
                <w:sz w:val="24"/>
                <w:szCs w:val="24"/>
                <w:lang w:val="en-US" w:eastAsia="zh-CN"/>
              </w:rPr>
              <w:t>本项目主要原辅材料理化性质见下表2-6。</w:t>
            </w:r>
          </w:p>
          <w:p w14:paraId="2DAF02CE">
            <w:pPr>
              <w:pStyle w:val="60"/>
              <w:spacing w:line="240" w:lineRule="auto"/>
              <w:ind w:firstLine="0" w:firstLineChars="0"/>
              <w:jc w:val="center"/>
              <w:rPr>
                <w:rFonts w:hint="eastAsia" w:ascii="Times New Roman" w:eastAsia="宋体" w:cs="Times New Roman"/>
                <w:b/>
                <w:bCs w:val="0"/>
                <w:color w:val="auto"/>
                <w:sz w:val="21"/>
                <w:lang w:eastAsia="zh-CN"/>
              </w:rPr>
            </w:pPr>
            <w:r>
              <w:rPr>
                <w:rFonts w:ascii="Times New Roman" w:cs="Times New Roman"/>
                <w:b/>
                <w:bCs w:val="0"/>
                <w:color w:val="auto"/>
                <w:sz w:val="21"/>
              </w:rPr>
              <w:t>表2-</w:t>
            </w:r>
            <w:r>
              <w:rPr>
                <w:rFonts w:hint="eastAsia" w:ascii="Times New Roman" w:cs="Times New Roman"/>
                <w:b/>
                <w:bCs w:val="0"/>
                <w:color w:val="auto"/>
                <w:sz w:val="21"/>
                <w:lang w:val="en-US" w:eastAsia="zh-CN"/>
              </w:rPr>
              <w:t>6</w:t>
            </w:r>
            <w:r>
              <w:rPr>
                <w:rFonts w:hint="eastAsia" w:ascii="Times New Roman" w:cs="Times New Roman"/>
                <w:b/>
                <w:bCs w:val="0"/>
                <w:color w:val="auto"/>
                <w:sz w:val="21"/>
              </w:rPr>
              <w:t xml:space="preserve"> </w:t>
            </w:r>
            <w:r>
              <w:rPr>
                <w:rFonts w:hint="eastAsia" w:ascii="Times New Roman" w:cs="Times New Roman"/>
                <w:b/>
                <w:bCs w:val="0"/>
                <w:color w:val="auto"/>
                <w:sz w:val="21"/>
                <w:lang w:val="en-US" w:eastAsia="zh-CN"/>
              </w:rPr>
              <w:t>主要原辅材料</w:t>
            </w:r>
            <w:r>
              <w:rPr>
                <w:rFonts w:hint="eastAsia" w:ascii="Times New Roman" w:cs="Times New Roman"/>
                <w:b/>
                <w:bCs w:val="0"/>
                <w:color w:val="auto"/>
                <w:sz w:val="21"/>
                <w:lang w:eastAsia="zh-CN"/>
              </w:rPr>
              <w:t>理化性质一览表</w:t>
            </w:r>
          </w:p>
          <w:tbl>
            <w:tblPr>
              <w:tblStyle w:val="34"/>
              <w:tblW w:w="4998" w:type="pc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67"/>
              <w:gridCol w:w="1532"/>
              <w:gridCol w:w="6070"/>
            </w:tblGrid>
            <w:tr w14:paraId="488F2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8" w:type="pct"/>
                  <w:tcBorders>
                    <w:tl2br w:val="nil"/>
                    <w:tr2bl w:val="nil"/>
                  </w:tcBorders>
                  <w:noWrap w:val="0"/>
                  <w:vAlign w:val="center"/>
                </w:tcPr>
                <w:p w14:paraId="523C3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序号</w:t>
                  </w:r>
                </w:p>
              </w:tc>
              <w:tc>
                <w:tcPr>
                  <w:tcW w:w="915" w:type="pct"/>
                  <w:tcBorders>
                    <w:tl2br w:val="nil"/>
                    <w:tr2bl w:val="nil"/>
                  </w:tcBorders>
                  <w:noWrap w:val="0"/>
                  <w:vAlign w:val="center"/>
                </w:tcPr>
                <w:p w14:paraId="453CBD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名称</w:t>
                  </w:r>
                </w:p>
              </w:tc>
              <w:tc>
                <w:tcPr>
                  <w:tcW w:w="3625" w:type="pct"/>
                  <w:tcBorders>
                    <w:tl2br w:val="nil"/>
                    <w:tr2bl w:val="nil"/>
                  </w:tcBorders>
                  <w:noWrap w:val="0"/>
                  <w:vAlign w:val="center"/>
                </w:tcPr>
                <w:p w14:paraId="0A41D8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b w:val="0"/>
                      <w:bCs/>
                      <w:color w:val="000000"/>
                      <w:sz w:val="21"/>
                      <w:szCs w:val="21"/>
                      <w:vertAlign w:val="baseline"/>
                      <w:lang w:eastAsia="zh-CN"/>
                    </w:rPr>
                    <w:t>理化性质</w:t>
                  </w:r>
                </w:p>
              </w:tc>
            </w:tr>
            <w:tr w14:paraId="6F7C48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8" w:type="pct"/>
                  <w:tcBorders>
                    <w:tl2br w:val="nil"/>
                    <w:tr2bl w:val="nil"/>
                  </w:tcBorders>
                  <w:noWrap w:val="0"/>
                  <w:vAlign w:val="center"/>
                </w:tcPr>
                <w:p w14:paraId="13F758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1</w:t>
                  </w:r>
                </w:p>
              </w:tc>
              <w:tc>
                <w:tcPr>
                  <w:tcW w:w="915" w:type="pct"/>
                  <w:tcBorders>
                    <w:tl2br w:val="nil"/>
                    <w:tr2bl w:val="nil"/>
                  </w:tcBorders>
                  <w:noWrap w:val="0"/>
                  <w:vAlign w:val="center"/>
                </w:tcPr>
                <w:p w14:paraId="64D6B8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sz w:val="21"/>
                      <w:szCs w:val="21"/>
                      <w:vertAlign w:val="baseline"/>
                      <w:lang w:eastAsia="zh-CN"/>
                    </w:rPr>
                  </w:pPr>
                  <w:r>
                    <w:rPr>
                      <w:rFonts w:hint="eastAsia" w:cs="Times New Roman"/>
                      <w:b w:val="0"/>
                      <w:bCs/>
                      <w:color w:val="000000"/>
                      <w:sz w:val="21"/>
                      <w:szCs w:val="21"/>
                      <w:vertAlign w:val="baseline"/>
                      <w:lang w:val="en-US" w:eastAsia="zh-CN"/>
                    </w:rPr>
                    <w:t>绝缘漆</w:t>
                  </w:r>
                </w:p>
              </w:tc>
              <w:tc>
                <w:tcPr>
                  <w:tcW w:w="3625" w:type="pct"/>
                  <w:tcBorders>
                    <w:tl2br w:val="nil"/>
                    <w:tr2bl w:val="nil"/>
                  </w:tcBorders>
                  <w:noWrap w:val="0"/>
                  <w:vAlign w:val="center"/>
                </w:tcPr>
                <w:p w14:paraId="2B2CFF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000000"/>
                      <w:sz w:val="21"/>
                      <w:szCs w:val="21"/>
                      <w:vertAlign w:val="baseline"/>
                    </w:rPr>
                  </w:pPr>
                  <w:r>
                    <w:rPr>
                      <w:rFonts w:hint="default" w:ascii="Times New Roman" w:hAnsi="Times New Roman" w:eastAsia="宋体" w:cs="Times New Roman"/>
                      <w:color w:val="000000"/>
                      <w:sz w:val="21"/>
                      <w:szCs w:val="21"/>
                      <w:u w:val="none"/>
                    </w:rPr>
                    <w:t>混合树脂溶液，浅黄色</w:t>
                  </w:r>
                  <w:r>
                    <w:rPr>
                      <w:rFonts w:hint="eastAsia" w:cs="Times New Roman"/>
                      <w:color w:val="000000"/>
                      <w:sz w:val="21"/>
                      <w:szCs w:val="21"/>
                      <w:u w:val="none"/>
                      <w:lang w:eastAsia="zh-CN"/>
                    </w:rPr>
                    <w:t>黏稠</w:t>
                  </w:r>
                  <w:r>
                    <w:rPr>
                      <w:rFonts w:hint="default" w:ascii="Times New Roman" w:hAnsi="Times New Roman" w:eastAsia="宋体" w:cs="Times New Roman"/>
                      <w:color w:val="000000"/>
                      <w:sz w:val="21"/>
                      <w:szCs w:val="21"/>
                      <w:u w:val="none"/>
                    </w:rPr>
                    <w:t>透明液体，密度0.95g/cm³，闪点33℃，可与醇类溶剂互溶，120℃烘干固化，有机溶剂高温挥发，蒸气易形成爆炸性混合气，属于第3类易燃液体。</w:t>
                  </w:r>
                </w:p>
              </w:tc>
            </w:tr>
            <w:tr w14:paraId="20CB13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8" w:type="pct"/>
                  <w:tcBorders>
                    <w:tl2br w:val="nil"/>
                    <w:tr2bl w:val="nil"/>
                  </w:tcBorders>
                  <w:noWrap w:val="0"/>
                  <w:vAlign w:val="center"/>
                </w:tcPr>
                <w:p w14:paraId="5C7CA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2</w:t>
                  </w:r>
                </w:p>
              </w:tc>
              <w:tc>
                <w:tcPr>
                  <w:tcW w:w="915" w:type="pct"/>
                  <w:tcBorders>
                    <w:tl2br w:val="nil"/>
                    <w:tr2bl w:val="nil"/>
                  </w:tcBorders>
                  <w:noWrap w:val="0"/>
                  <w:vAlign w:val="center"/>
                </w:tcPr>
                <w:p w14:paraId="267DB8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eastAsia="zh-CN"/>
                    </w:rPr>
                  </w:pPr>
                  <w:r>
                    <w:rPr>
                      <w:rFonts w:hint="eastAsia" w:cs="Times New Roman"/>
                      <w:b w:val="0"/>
                      <w:bCs/>
                      <w:color w:val="000000"/>
                      <w:sz w:val="21"/>
                      <w:szCs w:val="21"/>
                      <w:vertAlign w:val="baseline"/>
                      <w:lang w:val="en-US" w:eastAsia="zh-CN"/>
                    </w:rPr>
                    <w:t>稀释剂</w:t>
                  </w:r>
                </w:p>
              </w:tc>
              <w:tc>
                <w:tcPr>
                  <w:tcW w:w="3625" w:type="pct"/>
                  <w:tcBorders>
                    <w:tl2br w:val="nil"/>
                    <w:tr2bl w:val="nil"/>
                  </w:tcBorders>
                  <w:noWrap w:val="0"/>
                  <w:vAlign w:val="center"/>
                </w:tcPr>
                <w:p w14:paraId="34A5DA7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color w:val="000000"/>
                      <w:sz w:val="21"/>
                      <w:szCs w:val="21"/>
                      <w:vertAlign w:val="baseline"/>
                      <w:lang w:eastAsia="zh-CN"/>
                    </w:rPr>
                  </w:pPr>
                  <w:r>
                    <w:rPr>
                      <w:rFonts w:hint="default" w:ascii="Times New Roman" w:hAnsi="Times New Roman" w:cs="Times New Roman"/>
                      <w:color w:val="000000"/>
                      <w:sz w:val="21"/>
                      <w:szCs w:val="21"/>
                      <w:u w:val="none"/>
                      <w:shd w:val="clear" w:color="auto" w:fill="FFFFFF"/>
                    </w:rPr>
                    <w:t>主要成分为95%~99%脱芳烃溶剂油、1%~5%助剂，常温下为无色透明液体，无机械杂质，不溶于水，可溶于乙醇、乙醚、甲醇、丙酮等多数有机溶剂；闪点30℃，爆炸下限1.10%、爆炸上限6.10%，临界温度357.2℃，其蒸气可与空气形成爆炸性混合气体，遇明火、高热极易燃烧爆炸，属于第3.3类高闪点易燃液体。</w:t>
                  </w:r>
                </w:p>
              </w:tc>
            </w:tr>
            <w:tr w14:paraId="080B9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8" w:type="pct"/>
                  <w:tcBorders>
                    <w:tl2br w:val="nil"/>
                    <w:tr2bl w:val="nil"/>
                  </w:tcBorders>
                  <w:noWrap w:val="0"/>
                  <w:vAlign w:val="center"/>
                </w:tcPr>
                <w:p w14:paraId="104995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3</w:t>
                  </w:r>
                </w:p>
              </w:tc>
              <w:tc>
                <w:tcPr>
                  <w:tcW w:w="915" w:type="pct"/>
                  <w:tcBorders>
                    <w:tl2br w:val="nil"/>
                    <w:tr2bl w:val="nil"/>
                  </w:tcBorders>
                  <w:noWrap w:val="0"/>
                  <w:vAlign w:val="center"/>
                </w:tcPr>
                <w:p w14:paraId="61D1F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eastAsia" w:cs="Times New Roman"/>
                      <w:b w:val="0"/>
                      <w:bCs/>
                      <w:color w:val="000000"/>
                      <w:sz w:val="21"/>
                      <w:szCs w:val="21"/>
                      <w:vertAlign w:val="baseline"/>
                      <w:lang w:val="en-US" w:eastAsia="zh-CN"/>
                    </w:rPr>
                    <w:t>环氧树脂AB胶</w:t>
                  </w:r>
                </w:p>
              </w:tc>
              <w:tc>
                <w:tcPr>
                  <w:tcW w:w="3625" w:type="pct"/>
                  <w:tcBorders>
                    <w:tl2br w:val="nil"/>
                    <w:tr2bl w:val="nil"/>
                  </w:tcBorders>
                  <w:noWrap w:val="0"/>
                  <w:vAlign w:val="center"/>
                </w:tcPr>
                <w:p w14:paraId="24A57B8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u w:val="none"/>
                      <w:shd w:val="clear" w:color="auto" w:fill="FFFFFF"/>
                    </w:rPr>
                  </w:pPr>
                  <w:r>
                    <w:rPr>
                      <w:rFonts w:hint="default" w:ascii="Times New Roman" w:hAnsi="Times New Roman" w:cs="Times New Roman"/>
                      <w:color w:val="000000"/>
                      <w:sz w:val="21"/>
                      <w:szCs w:val="21"/>
                      <w:u w:val="none"/>
                      <w:shd w:val="clear" w:color="auto" w:fill="FFFFFF"/>
                    </w:rPr>
                    <w:t>分为A剂环氧树脂组分、B剂固化剂组分，常温下均为液态膏状物料，无明显气味；闭口闪点大于140℃，常温化学性质稳定，无爆炸极限数据，吸入挥发蒸汽会轻微刺激呼吸道，接触皮肤、眼部会产生轻微刺激性，混合后可常温固化成型，不属于易燃高危液体。</w:t>
                  </w:r>
                </w:p>
              </w:tc>
            </w:tr>
            <w:tr w14:paraId="26550F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8" w:type="pct"/>
                  <w:tcBorders>
                    <w:tl2br w:val="nil"/>
                    <w:tr2bl w:val="nil"/>
                  </w:tcBorders>
                  <w:noWrap w:val="0"/>
                  <w:vAlign w:val="center"/>
                </w:tcPr>
                <w:p w14:paraId="2DCF19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default" w:ascii="Times New Roman" w:hAnsi="Times New Roman" w:cs="Times New Roman"/>
                      <w:b w:val="0"/>
                      <w:bCs/>
                      <w:color w:val="000000"/>
                      <w:sz w:val="21"/>
                      <w:szCs w:val="21"/>
                      <w:vertAlign w:val="baseline"/>
                      <w:lang w:val="en-US" w:eastAsia="zh-CN"/>
                    </w:rPr>
                    <w:t>4</w:t>
                  </w:r>
                </w:p>
              </w:tc>
              <w:tc>
                <w:tcPr>
                  <w:tcW w:w="915" w:type="pct"/>
                  <w:tcBorders>
                    <w:tl2br w:val="nil"/>
                    <w:tr2bl w:val="nil"/>
                  </w:tcBorders>
                  <w:noWrap w:val="0"/>
                  <w:vAlign w:val="center"/>
                </w:tcPr>
                <w:p w14:paraId="28192B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sz w:val="21"/>
                      <w:szCs w:val="21"/>
                      <w:vertAlign w:val="baseline"/>
                      <w:lang w:val="en-US" w:eastAsia="zh-CN"/>
                    </w:rPr>
                  </w:pPr>
                  <w:r>
                    <w:rPr>
                      <w:rFonts w:hint="eastAsia" w:cs="Times New Roman"/>
                      <w:b w:val="0"/>
                      <w:bCs/>
                      <w:color w:val="000000"/>
                      <w:sz w:val="21"/>
                      <w:szCs w:val="21"/>
                      <w:vertAlign w:val="baseline"/>
                      <w:lang w:val="en-US" w:eastAsia="zh-CN"/>
                    </w:rPr>
                    <w:t>助焊剂</w:t>
                  </w:r>
                </w:p>
              </w:tc>
              <w:tc>
                <w:tcPr>
                  <w:tcW w:w="3625" w:type="pct"/>
                  <w:tcBorders>
                    <w:tl2br w:val="nil"/>
                    <w:tr2bl w:val="nil"/>
                  </w:tcBorders>
                  <w:noWrap w:val="0"/>
                  <w:vAlign w:val="center"/>
                </w:tcPr>
                <w:p w14:paraId="59BCCDB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sz w:val="21"/>
                      <w:szCs w:val="21"/>
                      <w:u w:val="none"/>
                      <w:shd w:val="clear" w:color="auto" w:fill="FFFFFF"/>
                    </w:rPr>
                  </w:pPr>
                  <w:r>
                    <w:rPr>
                      <w:rFonts w:hint="default" w:ascii="Times New Roman" w:hAnsi="Times New Roman" w:cs="Times New Roman"/>
                      <w:color w:val="000000"/>
                      <w:sz w:val="21"/>
                      <w:szCs w:val="21"/>
                      <w:u w:val="none"/>
                      <w:shd w:val="clear" w:color="auto" w:fill="FFFFFF"/>
                    </w:rPr>
                    <w:t>GR-J2助焊剂</w:t>
                  </w:r>
                  <w:r>
                    <w:rPr>
                      <w:rFonts w:hint="default" w:ascii="Times New Roman" w:hAnsi="Times New Roman" w:cs="Times New Roman"/>
                      <w:color w:val="000000"/>
                      <w:sz w:val="21"/>
                      <w:szCs w:val="21"/>
                      <w:u w:val="none"/>
                      <w:shd w:val="clear" w:color="auto" w:fill="FFFFFF"/>
                    </w:rPr>
                    <w:tab/>
                  </w:r>
                  <w:r>
                    <w:rPr>
                      <w:rFonts w:hint="default" w:ascii="Times New Roman" w:hAnsi="Times New Roman" w:cs="Times New Roman"/>
                      <w:color w:val="000000"/>
                      <w:sz w:val="21"/>
                      <w:szCs w:val="21"/>
                      <w:u w:val="none"/>
                      <w:shd w:val="clear" w:color="auto" w:fill="FFFFFF"/>
                    </w:rPr>
                    <w:t>混合溶剂体系，主要由75%</w:t>
                  </w:r>
                  <w:r>
                    <w:rPr>
                      <w:rFonts w:hint="eastAsia" w:cs="Times New Roman"/>
                      <w:color w:val="000000"/>
                      <w:sz w:val="21"/>
                      <w:szCs w:val="21"/>
                      <w:u w:val="none"/>
                      <w:shd w:val="clear" w:color="auto" w:fill="FFFFFF"/>
                      <w:lang w:val="en-US" w:eastAsia="zh-CN"/>
                    </w:rPr>
                    <w:t>甲</w:t>
                  </w:r>
                  <w:r>
                    <w:rPr>
                      <w:rFonts w:hint="default" w:ascii="Times New Roman" w:hAnsi="Times New Roman" w:cs="Times New Roman"/>
                      <w:color w:val="000000"/>
                      <w:sz w:val="21"/>
                      <w:szCs w:val="21"/>
                      <w:u w:val="none"/>
                      <w:shd w:val="clear" w:color="auto" w:fill="FFFFFF"/>
                    </w:rPr>
                    <w:t>醇、20%</w:t>
                  </w:r>
                  <w:r>
                    <w:rPr>
                      <w:rFonts w:hint="eastAsia" w:cs="Times New Roman"/>
                      <w:color w:val="000000"/>
                      <w:sz w:val="21"/>
                      <w:szCs w:val="21"/>
                      <w:u w:val="none"/>
                      <w:shd w:val="clear" w:color="auto" w:fill="FFFFFF"/>
                      <w:lang w:val="en-US" w:eastAsia="zh-CN"/>
                    </w:rPr>
                    <w:t>异丙</w:t>
                  </w:r>
                  <w:r>
                    <w:rPr>
                      <w:rFonts w:hint="default" w:ascii="Times New Roman" w:hAnsi="Times New Roman" w:cs="Times New Roman"/>
                      <w:color w:val="000000"/>
                      <w:sz w:val="21"/>
                      <w:szCs w:val="21"/>
                      <w:u w:val="none"/>
                      <w:shd w:val="clear" w:color="auto" w:fill="FFFFFF"/>
                    </w:rPr>
                    <w:t>醇、2%二丙二醇甲醚、3%</w:t>
                  </w:r>
                  <w:r>
                    <w:rPr>
                      <w:rFonts w:hint="eastAsia" w:cs="Times New Roman"/>
                      <w:color w:val="000000"/>
                      <w:sz w:val="21"/>
                      <w:szCs w:val="21"/>
                      <w:u w:val="none"/>
                      <w:shd w:val="clear" w:color="auto" w:fill="FFFFFF"/>
                      <w:lang w:val="en-US" w:eastAsia="zh-CN"/>
                    </w:rPr>
                    <w:t>其他助剂</w:t>
                  </w:r>
                  <w:r>
                    <w:rPr>
                      <w:rFonts w:hint="default" w:ascii="Times New Roman" w:hAnsi="Times New Roman" w:cs="Times New Roman"/>
                      <w:color w:val="000000"/>
                      <w:sz w:val="21"/>
                      <w:szCs w:val="21"/>
                      <w:u w:val="none"/>
                      <w:shd w:val="clear" w:color="auto" w:fill="FFFFFF"/>
                    </w:rPr>
                    <w:t>复配而成，常温为浅黄色透明易挥发液体，带有醇类气味；可与水、多数有机溶剂混溶，各组分蒸汽均可与空气形成爆炸性混合气，闪点低，属于第3类易燃液体，加热焊接时醇类溶剂快速挥发，</w:t>
                  </w:r>
                  <w:r>
                    <w:rPr>
                      <w:rFonts w:hint="eastAsia" w:cs="Times New Roman"/>
                      <w:color w:val="000000"/>
                      <w:sz w:val="21"/>
                      <w:szCs w:val="21"/>
                      <w:u w:val="none"/>
                      <w:shd w:val="clear" w:color="auto" w:fill="FFFFFF"/>
                      <w:lang w:val="en-US" w:eastAsia="zh-CN"/>
                    </w:rPr>
                    <w:t>助剂</w:t>
                  </w:r>
                  <w:r>
                    <w:rPr>
                      <w:rFonts w:hint="default" w:ascii="Times New Roman" w:hAnsi="Times New Roman" w:cs="Times New Roman"/>
                      <w:color w:val="000000"/>
                      <w:sz w:val="21"/>
                      <w:szCs w:val="21"/>
                      <w:u w:val="none"/>
                      <w:shd w:val="clear" w:color="auto" w:fill="FFFFFF"/>
                    </w:rPr>
                    <w:t>受热熔融起到助焊作用。</w:t>
                  </w:r>
                </w:p>
              </w:tc>
            </w:tr>
          </w:tbl>
          <w:p w14:paraId="39E7264B">
            <w:pPr>
              <w:spacing w:line="360" w:lineRule="auto"/>
              <w:ind w:firstLine="480" w:firstLineChars="200"/>
              <w:rPr>
                <w:rFonts w:hint="default" w:eastAsia="宋体"/>
                <w:b w:val="0"/>
                <w:bCs/>
                <w:color w:val="000000"/>
                <w:sz w:val="24"/>
                <w:lang w:val="en-US" w:eastAsia="zh-CN"/>
              </w:rPr>
            </w:pPr>
            <w:r>
              <w:rPr>
                <w:rFonts w:hint="eastAsia"/>
                <w:b w:val="0"/>
                <w:bCs/>
                <w:color w:val="000000"/>
                <w:sz w:val="24"/>
                <w:lang w:val="en-US" w:eastAsia="zh-CN"/>
              </w:rPr>
              <w:t>根据建设单位提供的绝缘漆、稀释剂、环氧树脂AB胶、助焊剂用量，并结合MSDS文件（见附件6），项目含VOCs物料中固体份、挥发份总量见下表2-7</w:t>
            </w:r>
            <w:r>
              <w:rPr>
                <w:rFonts w:ascii="Times New Roman" w:cs="Times New Roman"/>
                <w:b w:val="0"/>
                <w:bCs/>
                <w:sz w:val="24"/>
                <w:szCs w:val="24"/>
              </w:rPr>
              <w:t>。</w:t>
            </w:r>
          </w:p>
          <w:p w14:paraId="42FA53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
                <w:bCs w:val="0"/>
                <w:color w:val="auto"/>
                <w:sz w:val="21"/>
                <w:szCs w:val="21"/>
                <w:lang w:val="en-US" w:eastAsia="zh-CN"/>
              </w:rPr>
            </w:pPr>
            <w:r>
              <w:rPr>
                <w:rFonts w:hint="eastAsia"/>
                <w:b/>
                <w:bCs w:val="0"/>
                <w:color w:val="auto"/>
                <w:sz w:val="21"/>
                <w:szCs w:val="21"/>
                <w:lang w:eastAsia="zh-CN"/>
              </w:rPr>
              <w:t>表</w:t>
            </w:r>
            <w:r>
              <w:rPr>
                <w:rFonts w:hint="eastAsia"/>
                <w:b/>
                <w:bCs w:val="0"/>
                <w:color w:val="auto"/>
                <w:sz w:val="21"/>
                <w:szCs w:val="21"/>
                <w:lang w:val="en-US" w:eastAsia="zh-CN"/>
              </w:rPr>
              <w:t>2-7 项目物料固体份、挥发份总量一览表</w:t>
            </w:r>
          </w:p>
          <w:tbl>
            <w:tblPr>
              <w:tblStyle w:val="34"/>
              <w:tblW w:w="4998" w:type="pc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0"/>
              <w:gridCol w:w="1045"/>
              <w:gridCol w:w="1045"/>
              <w:gridCol w:w="1047"/>
              <w:gridCol w:w="1045"/>
              <w:gridCol w:w="1047"/>
              <w:gridCol w:w="1045"/>
              <w:gridCol w:w="1055"/>
            </w:tblGrid>
            <w:tr w14:paraId="658A7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6" w:hRule="atLeast"/>
              </w:trPr>
              <w:tc>
                <w:tcPr>
                  <w:tcW w:w="622" w:type="pct"/>
                  <w:vMerge w:val="restart"/>
                  <w:tcBorders>
                    <w:tl2br w:val="nil"/>
                    <w:tr2bl w:val="nil"/>
                  </w:tcBorders>
                  <w:noWrap w:val="0"/>
                  <w:vAlign w:val="center"/>
                </w:tcPr>
                <w:p w14:paraId="5A250B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r>
                    <w:rPr>
                      <w:rFonts w:hint="eastAsia"/>
                      <w:b w:val="0"/>
                      <w:bCs/>
                      <w:color w:val="000000"/>
                      <w:sz w:val="21"/>
                      <w:szCs w:val="21"/>
                      <w:vertAlign w:val="baseline"/>
                      <w:lang w:eastAsia="zh-CN"/>
                    </w:rPr>
                    <w:t>名称</w:t>
                  </w:r>
                </w:p>
              </w:tc>
              <w:tc>
                <w:tcPr>
                  <w:tcW w:w="624" w:type="pct"/>
                  <w:vMerge w:val="restart"/>
                  <w:tcBorders>
                    <w:tl2br w:val="nil"/>
                    <w:tr2bl w:val="nil"/>
                  </w:tcBorders>
                  <w:noWrap w:val="0"/>
                  <w:vAlign w:val="center"/>
                </w:tcPr>
                <w:p w14:paraId="19F15D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color w:val="000000"/>
                      <w:sz w:val="21"/>
                      <w:szCs w:val="21"/>
                      <w:vertAlign w:val="baseline"/>
                      <w:lang w:val="en-US" w:eastAsia="zh-CN"/>
                    </w:rPr>
                  </w:pPr>
                  <w:r>
                    <w:rPr>
                      <w:rFonts w:hint="eastAsia"/>
                      <w:b w:val="0"/>
                      <w:bCs/>
                      <w:color w:val="000000"/>
                      <w:sz w:val="21"/>
                      <w:szCs w:val="21"/>
                      <w:vertAlign w:val="baseline"/>
                      <w:lang w:eastAsia="zh-CN"/>
                    </w:rPr>
                    <w:t>用量</w:t>
                  </w:r>
                </w:p>
              </w:tc>
              <w:tc>
                <w:tcPr>
                  <w:tcW w:w="1249" w:type="pct"/>
                  <w:gridSpan w:val="2"/>
                  <w:vMerge w:val="restart"/>
                  <w:tcBorders>
                    <w:tl2br w:val="nil"/>
                    <w:tr2bl w:val="nil"/>
                  </w:tcBorders>
                  <w:noWrap w:val="0"/>
                  <w:vAlign w:val="center"/>
                </w:tcPr>
                <w:p w14:paraId="78BE8D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r>
                    <w:rPr>
                      <w:rFonts w:hint="eastAsia"/>
                      <w:b w:val="0"/>
                      <w:bCs/>
                      <w:color w:val="000000"/>
                      <w:sz w:val="21"/>
                      <w:szCs w:val="21"/>
                      <w:vertAlign w:val="baseline"/>
                      <w:lang w:eastAsia="zh-CN"/>
                    </w:rPr>
                    <w:t>固体份</w:t>
                  </w:r>
                </w:p>
              </w:tc>
              <w:tc>
                <w:tcPr>
                  <w:tcW w:w="2503" w:type="pct"/>
                  <w:gridSpan w:val="4"/>
                  <w:tcBorders>
                    <w:tl2br w:val="nil"/>
                    <w:tr2bl w:val="nil"/>
                  </w:tcBorders>
                  <w:noWrap w:val="0"/>
                  <w:vAlign w:val="center"/>
                </w:tcPr>
                <w:p w14:paraId="0B4339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r>
                    <w:rPr>
                      <w:rFonts w:hint="eastAsia"/>
                      <w:b w:val="0"/>
                      <w:bCs/>
                      <w:color w:val="000000"/>
                      <w:sz w:val="21"/>
                      <w:szCs w:val="21"/>
                      <w:vertAlign w:val="baseline"/>
                      <w:lang w:eastAsia="zh-CN"/>
                    </w:rPr>
                    <w:t>挥发份</w:t>
                  </w:r>
                </w:p>
              </w:tc>
            </w:tr>
            <w:tr w14:paraId="4999E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22" w:type="pct"/>
                  <w:vMerge w:val="continue"/>
                  <w:tcBorders>
                    <w:tl2br w:val="nil"/>
                    <w:tr2bl w:val="nil"/>
                  </w:tcBorders>
                  <w:noWrap w:val="0"/>
                  <w:vAlign w:val="center"/>
                </w:tcPr>
                <w:p w14:paraId="7CE76D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p>
              </w:tc>
              <w:tc>
                <w:tcPr>
                  <w:tcW w:w="624" w:type="pct"/>
                  <w:vMerge w:val="continue"/>
                  <w:tcBorders>
                    <w:tl2br w:val="nil"/>
                    <w:tr2bl w:val="nil"/>
                  </w:tcBorders>
                  <w:noWrap w:val="0"/>
                  <w:vAlign w:val="center"/>
                </w:tcPr>
                <w:p w14:paraId="136B8A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p>
              </w:tc>
              <w:tc>
                <w:tcPr>
                  <w:tcW w:w="1249" w:type="pct"/>
                  <w:gridSpan w:val="2"/>
                  <w:vMerge w:val="continue"/>
                  <w:tcBorders>
                    <w:tl2br w:val="nil"/>
                    <w:tr2bl w:val="nil"/>
                  </w:tcBorders>
                  <w:noWrap w:val="0"/>
                  <w:vAlign w:val="center"/>
                </w:tcPr>
                <w:p w14:paraId="51BC95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p>
              </w:tc>
              <w:tc>
                <w:tcPr>
                  <w:tcW w:w="1249" w:type="pct"/>
                  <w:gridSpan w:val="2"/>
                  <w:tcBorders>
                    <w:tl2br w:val="nil"/>
                    <w:tr2bl w:val="nil"/>
                  </w:tcBorders>
                  <w:noWrap w:val="0"/>
                  <w:vAlign w:val="center"/>
                </w:tcPr>
                <w:p w14:paraId="5FB063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r>
                    <w:rPr>
                      <w:rFonts w:hint="eastAsia"/>
                      <w:b w:val="0"/>
                      <w:bCs/>
                      <w:color w:val="000000"/>
                      <w:sz w:val="21"/>
                      <w:szCs w:val="21"/>
                      <w:vertAlign w:val="baseline"/>
                      <w:lang w:eastAsia="zh-CN"/>
                    </w:rPr>
                    <w:t>二甲苯含量</w:t>
                  </w:r>
                </w:p>
              </w:tc>
              <w:tc>
                <w:tcPr>
                  <w:tcW w:w="1253" w:type="pct"/>
                  <w:gridSpan w:val="2"/>
                  <w:tcBorders>
                    <w:tl2br w:val="nil"/>
                    <w:tr2bl w:val="nil"/>
                  </w:tcBorders>
                  <w:noWrap w:val="0"/>
                  <w:vAlign w:val="center"/>
                </w:tcPr>
                <w:p w14:paraId="46682E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r>
                    <w:rPr>
                      <w:rFonts w:hint="eastAsia"/>
                      <w:b w:val="0"/>
                      <w:bCs/>
                      <w:color w:val="000000"/>
                      <w:sz w:val="21"/>
                      <w:szCs w:val="21"/>
                      <w:vertAlign w:val="baseline"/>
                      <w:lang w:eastAsia="zh-CN"/>
                    </w:rPr>
                    <w:t>其他含量</w:t>
                  </w:r>
                </w:p>
              </w:tc>
            </w:tr>
            <w:tr w14:paraId="588F0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622" w:type="pct"/>
                  <w:vMerge w:val="continue"/>
                  <w:tcBorders>
                    <w:tl2br w:val="nil"/>
                    <w:tr2bl w:val="nil"/>
                  </w:tcBorders>
                  <w:noWrap w:val="0"/>
                  <w:vAlign w:val="center"/>
                </w:tcPr>
                <w:p w14:paraId="04DC08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p>
              </w:tc>
              <w:tc>
                <w:tcPr>
                  <w:tcW w:w="624" w:type="pct"/>
                  <w:tcBorders>
                    <w:tl2br w:val="nil"/>
                    <w:tr2bl w:val="nil"/>
                  </w:tcBorders>
                  <w:noWrap w:val="0"/>
                  <w:vAlign w:val="center"/>
                </w:tcPr>
                <w:p w14:paraId="06C8A0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r>
                    <w:rPr>
                      <w:rFonts w:hint="eastAsia"/>
                      <w:b w:val="0"/>
                      <w:bCs/>
                      <w:color w:val="000000"/>
                      <w:sz w:val="21"/>
                      <w:szCs w:val="21"/>
                      <w:vertAlign w:val="baseline"/>
                      <w:lang w:val="en-US" w:eastAsia="zh-CN"/>
                    </w:rPr>
                    <w:t>t/a</w:t>
                  </w:r>
                </w:p>
              </w:tc>
              <w:tc>
                <w:tcPr>
                  <w:tcW w:w="624" w:type="pct"/>
                  <w:tcBorders>
                    <w:tl2br w:val="nil"/>
                    <w:tr2bl w:val="nil"/>
                  </w:tcBorders>
                  <w:noWrap w:val="0"/>
                  <w:vAlign w:val="center"/>
                </w:tcPr>
                <w:p w14:paraId="06E2AB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r>
                    <w:rPr>
                      <w:rFonts w:hint="eastAsia"/>
                      <w:b w:val="0"/>
                      <w:bCs/>
                      <w:color w:val="000000"/>
                      <w:sz w:val="21"/>
                      <w:szCs w:val="21"/>
                      <w:vertAlign w:val="baseline"/>
                      <w:lang w:val="en-US" w:eastAsia="zh-CN"/>
                    </w:rPr>
                    <w:t>%</w:t>
                  </w:r>
                </w:p>
              </w:tc>
              <w:tc>
                <w:tcPr>
                  <w:tcW w:w="625" w:type="pct"/>
                  <w:tcBorders>
                    <w:tl2br w:val="nil"/>
                    <w:tr2bl w:val="nil"/>
                  </w:tcBorders>
                  <w:noWrap w:val="0"/>
                  <w:vAlign w:val="center"/>
                </w:tcPr>
                <w:p w14:paraId="7E6427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color w:val="000000"/>
                      <w:sz w:val="21"/>
                      <w:szCs w:val="21"/>
                      <w:vertAlign w:val="baseline"/>
                      <w:lang w:val="en-US" w:eastAsia="zh-CN"/>
                    </w:rPr>
                  </w:pPr>
                  <w:r>
                    <w:rPr>
                      <w:rFonts w:hint="eastAsia"/>
                      <w:b w:val="0"/>
                      <w:bCs/>
                      <w:color w:val="000000"/>
                      <w:sz w:val="21"/>
                      <w:szCs w:val="21"/>
                      <w:vertAlign w:val="baseline"/>
                      <w:lang w:val="en-US" w:eastAsia="zh-CN"/>
                    </w:rPr>
                    <w:t>t/a</w:t>
                  </w:r>
                </w:p>
              </w:tc>
              <w:tc>
                <w:tcPr>
                  <w:tcW w:w="624" w:type="pct"/>
                  <w:tcBorders>
                    <w:tl2br w:val="nil"/>
                    <w:tr2bl w:val="nil"/>
                  </w:tcBorders>
                  <w:noWrap w:val="0"/>
                  <w:vAlign w:val="center"/>
                </w:tcPr>
                <w:p w14:paraId="4676C2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color w:val="000000"/>
                      <w:sz w:val="21"/>
                      <w:szCs w:val="21"/>
                      <w:vertAlign w:val="baseline"/>
                      <w:lang w:val="en-US" w:eastAsia="zh-CN"/>
                    </w:rPr>
                  </w:pPr>
                  <w:r>
                    <w:rPr>
                      <w:rFonts w:hint="eastAsia"/>
                      <w:b w:val="0"/>
                      <w:bCs/>
                      <w:color w:val="000000"/>
                      <w:sz w:val="21"/>
                      <w:szCs w:val="21"/>
                      <w:vertAlign w:val="baseline"/>
                      <w:lang w:val="en-US" w:eastAsia="zh-CN"/>
                    </w:rPr>
                    <w:t>%</w:t>
                  </w:r>
                </w:p>
              </w:tc>
              <w:tc>
                <w:tcPr>
                  <w:tcW w:w="625" w:type="pct"/>
                  <w:tcBorders>
                    <w:tl2br w:val="nil"/>
                    <w:tr2bl w:val="nil"/>
                  </w:tcBorders>
                  <w:noWrap w:val="0"/>
                  <w:vAlign w:val="center"/>
                </w:tcPr>
                <w:p w14:paraId="3D84AE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color w:val="000000"/>
                      <w:sz w:val="21"/>
                      <w:szCs w:val="21"/>
                      <w:vertAlign w:val="baseline"/>
                      <w:lang w:val="en-US" w:eastAsia="zh-CN"/>
                    </w:rPr>
                  </w:pPr>
                  <w:r>
                    <w:rPr>
                      <w:rFonts w:hint="eastAsia"/>
                      <w:b w:val="0"/>
                      <w:bCs/>
                      <w:color w:val="000000"/>
                      <w:sz w:val="21"/>
                      <w:szCs w:val="21"/>
                      <w:vertAlign w:val="baseline"/>
                      <w:lang w:val="en-US" w:eastAsia="zh-CN"/>
                    </w:rPr>
                    <w:t>t/a</w:t>
                  </w:r>
                </w:p>
              </w:tc>
              <w:tc>
                <w:tcPr>
                  <w:tcW w:w="624" w:type="pct"/>
                  <w:tcBorders>
                    <w:tl2br w:val="nil"/>
                    <w:tr2bl w:val="nil"/>
                  </w:tcBorders>
                  <w:noWrap w:val="0"/>
                  <w:vAlign w:val="center"/>
                </w:tcPr>
                <w:p w14:paraId="157DE3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r>
                    <w:rPr>
                      <w:rFonts w:hint="eastAsia"/>
                      <w:b w:val="0"/>
                      <w:bCs/>
                      <w:color w:val="000000"/>
                      <w:sz w:val="21"/>
                      <w:szCs w:val="21"/>
                      <w:vertAlign w:val="baseline"/>
                      <w:lang w:val="en-US" w:eastAsia="zh-CN"/>
                    </w:rPr>
                    <w:t>%</w:t>
                  </w:r>
                </w:p>
              </w:tc>
              <w:tc>
                <w:tcPr>
                  <w:tcW w:w="629" w:type="pct"/>
                  <w:tcBorders>
                    <w:tl2br w:val="nil"/>
                    <w:tr2bl w:val="nil"/>
                  </w:tcBorders>
                  <w:noWrap w:val="0"/>
                  <w:vAlign w:val="center"/>
                </w:tcPr>
                <w:p w14:paraId="42A015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color w:val="000000"/>
                      <w:sz w:val="21"/>
                      <w:szCs w:val="21"/>
                      <w:vertAlign w:val="baseline"/>
                      <w:lang w:eastAsia="zh-CN"/>
                    </w:rPr>
                  </w:pPr>
                  <w:r>
                    <w:rPr>
                      <w:rFonts w:hint="eastAsia"/>
                      <w:b w:val="0"/>
                      <w:bCs/>
                      <w:color w:val="000000"/>
                      <w:sz w:val="21"/>
                      <w:szCs w:val="21"/>
                      <w:vertAlign w:val="baseline"/>
                      <w:lang w:val="en-US" w:eastAsia="zh-CN"/>
                    </w:rPr>
                    <w:t>t/a</w:t>
                  </w:r>
                </w:p>
              </w:tc>
            </w:tr>
            <w:tr w14:paraId="46B12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22" w:type="pct"/>
                  <w:tcBorders>
                    <w:tl2br w:val="nil"/>
                    <w:tr2bl w:val="nil"/>
                  </w:tcBorders>
                  <w:noWrap w:val="0"/>
                  <w:vAlign w:val="center"/>
                </w:tcPr>
                <w:p w14:paraId="4DF4A1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color w:val="000000"/>
                      <w:sz w:val="21"/>
                      <w:szCs w:val="21"/>
                      <w:vertAlign w:val="baseline"/>
                      <w:lang w:val="en-US" w:eastAsia="zh-CN"/>
                    </w:rPr>
                  </w:pPr>
                  <w:r>
                    <w:rPr>
                      <w:rFonts w:hint="eastAsia"/>
                      <w:b w:val="0"/>
                      <w:bCs/>
                      <w:color w:val="000000"/>
                      <w:sz w:val="21"/>
                      <w:szCs w:val="21"/>
                      <w:vertAlign w:val="baseline"/>
                      <w:lang w:val="en-US" w:eastAsia="zh-CN"/>
                    </w:rPr>
                    <w:t>绝缘漆</w:t>
                  </w:r>
                </w:p>
              </w:tc>
              <w:tc>
                <w:tcPr>
                  <w:tcW w:w="624" w:type="pct"/>
                  <w:tcBorders>
                    <w:tl2br w:val="nil"/>
                    <w:tr2bl w:val="nil"/>
                  </w:tcBorders>
                  <w:noWrap w:val="0"/>
                  <w:vAlign w:val="center"/>
                </w:tcPr>
                <w:p w14:paraId="0F8D9698">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1.14</w:t>
                  </w:r>
                </w:p>
              </w:tc>
              <w:tc>
                <w:tcPr>
                  <w:tcW w:w="624" w:type="pct"/>
                  <w:tcBorders>
                    <w:tl2br w:val="nil"/>
                    <w:tr2bl w:val="nil"/>
                  </w:tcBorders>
                  <w:noWrap w:val="0"/>
                  <w:vAlign w:val="center"/>
                </w:tcPr>
                <w:p w14:paraId="5B34055D">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70</w:t>
                  </w:r>
                </w:p>
              </w:tc>
              <w:tc>
                <w:tcPr>
                  <w:tcW w:w="625" w:type="pct"/>
                  <w:tcBorders>
                    <w:tl2br w:val="nil"/>
                    <w:tr2bl w:val="nil"/>
                  </w:tcBorders>
                  <w:noWrap w:val="0"/>
                  <w:vAlign w:val="center"/>
                </w:tcPr>
                <w:p w14:paraId="6A1BD99F">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0.80</w:t>
                  </w:r>
                </w:p>
              </w:tc>
              <w:tc>
                <w:tcPr>
                  <w:tcW w:w="624" w:type="pct"/>
                  <w:tcBorders>
                    <w:tl2br w:val="nil"/>
                    <w:tr2bl w:val="nil"/>
                  </w:tcBorders>
                  <w:noWrap w:val="0"/>
                  <w:vAlign w:val="center"/>
                </w:tcPr>
                <w:p w14:paraId="59F0BFC9">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20</w:t>
                  </w:r>
                </w:p>
              </w:tc>
              <w:tc>
                <w:tcPr>
                  <w:tcW w:w="625" w:type="pct"/>
                  <w:tcBorders>
                    <w:tl2br w:val="nil"/>
                    <w:tr2bl w:val="nil"/>
                  </w:tcBorders>
                  <w:noWrap w:val="0"/>
                  <w:vAlign w:val="center"/>
                </w:tcPr>
                <w:p w14:paraId="510B2FCA">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0.23</w:t>
                  </w:r>
                </w:p>
              </w:tc>
              <w:tc>
                <w:tcPr>
                  <w:tcW w:w="624" w:type="pct"/>
                  <w:tcBorders>
                    <w:tl2br w:val="nil"/>
                    <w:tr2bl w:val="nil"/>
                  </w:tcBorders>
                  <w:noWrap w:val="0"/>
                  <w:vAlign w:val="center"/>
                </w:tcPr>
                <w:p w14:paraId="2A4B92B0">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10</w:t>
                  </w:r>
                </w:p>
              </w:tc>
              <w:tc>
                <w:tcPr>
                  <w:tcW w:w="629" w:type="pct"/>
                  <w:tcBorders>
                    <w:tl2br w:val="nil"/>
                    <w:tr2bl w:val="nil"/>
                  </w:tcBorders>
                  <w:noWrap w:val="0"/>
                  <w:vAlign w:val="center"/>
                </w:tcPr>
                <w:p w14:paraId="56507632">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0.11</w:t>
                  </w:r>
                </w:p>
              </w:tc>
            </w:tr>
            <w:tr w14:paraId="3EAD3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22" w:type="pct"/>
                  <w:tcBorders>
                    <w:tl2br w:val="nil"/>
                    <w:tr2bl w:val="nil"/>
                  </w:tcBorders>
                  <w:noWrap w:val="0"/>
                  <w:vAlign w:val="center"/>
                </w:tcPr>
                <w:p w14:paraId="257634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color w:val="000000"/>
                      <w:sz w:val="21"/>
                      <w:szCs w:val="21"/>
                      <w:vertAlign w:val="baseline"/>
                      <w:lang w:val="en-US" w:eastAsia="zh-CN"/>
                    </w:rPr>
                  </w:pPr>
                  <w:r>
                    <w:rPr>
                      <w:rFonts w:hint="eastAsia" w:eastAsia="宋体"/>
                      <w:b w:val="0"/>
                      <w:bCs/>
                      <w:color w:val="000000"/>
                      <w:sz w:val="21"/>
                      <w:szCs w:val="21"/>
                      <w:vertAlign w:val="baseline"/>
                      <w:lang w:val="en-US" w:eastAsia="zh-CN"/>
                    </w:rPr>
                    <w:t>稀释剂</w:t>
                  </w:r>
                </w:p>
              </w:tc>
              <w:tc>
                <w:tcPr>
                  <w:tcW w:w="624" w:type="pct"/>
                  <w:tcBorders>
                    <w:tl2br w:val="nil"/>
                    <w:tr2bl w:val="nil"/>
                  </w:tcBorders>
                  <w:noWrap w:val="0"/>
                  <w:vAlign w:val="center"/>
                </w:tcPr>
                <w:p w14:paraId="5354803C">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1.14</w:t>
                  </w:r>
                </w:p>
              </w:tc>
              <w:tc>
                <w:tcPr>
                  <w:tcW w:w="624" w:type="pct"/>
                  <w:tcBorders>
                    <w:tl2br w:val="nil"/>
                    <w:tr2bl w:val="nil"/>
                  </w:tcBorders>
                  <w:noWrap w:val="0"/>
                  <w:vAlign w:val="center"/>
                </w:tcPr>
                <w:p w14:paraId="75D46FFF">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w:t>
                  </w:r>
                </w:p>
              </w:tc>
              <w:tc>
                <w:tcPr>
                  <w:tcW w:w="625" w:type="pct"/>
                  <w:tcBorders>
                    <w:tl2br w:val="nil"/>
                    <w:tr2bl w:val="nil"/>
                  </w:tcBorders>
                  <w:noWrap w:val="0"/>
                  <w:vAlign w:val="center"/>
                </w:tcPr>
                <w:p w14:paraId="7E0929A3">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w:t>
                  </w:r>
                </w:p>
              </w:tc>
              <w:tc>
                <w:tcPr>
                  <w:tcW w:w="624" w:type="pct"/>
                  <w:tcBorders>
                    <w:tl2br w:val="nil"/>
                    <w:tr2bl w:val="nil"/>
                  </w:tcBorders>
                  <w:noWrap w:val="0"/>
                  <w:vAlign w:val="center"/>
                </w:tcPr>
                <w:p w14:paraId="12D15D81">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w:t>
                  </w:r>
                </w:p>
              </w:tc>
              <w:tc>
                <w:tcPr>
                  <w:tcW w:w="625" w:type="pct"/>
                  <w:tcBorders>
                    <w:tl2br w:val="nil"/>
                    <w:tr2bl w:val="nil"/>
                  </w:tcBorders>
                  <w:noWrap w:val="0"/>
                  <w:vAlign w:val="center"/>
                </w:tcPr>
                <w:p w14:paraId="283D9263">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w:t>
                  </w:r>
                </w:p>
              </w:tc>
              <w:tc>
                <w:tcPr>
                  <w:tcW w:w="624" w:type="pct"/>
                  <w:tcBorders>
                    <w:tl2br w:val="nil"/>
                    <w:tr2bl w:val="nil"/>
                  </w:tcBorders>
                  <w:noWrap w:val="0"/>
                  <w:vAlign w:val="center"/>
                </w:tcPr>
                <w:p w14:paraId="75827B3C">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100</w:t>
                  </w:r>
                </w:p>
              </w:tc>
              <w:tc>
                <w:tcPr>
                  <w:tcW w:w="629" w:type="pct"/>
                  <w:tcBorders>
                    <w:tl2br w:val="nil"/>
                    <w:tr2bl w:val="nil"/>
                  </w:tcBorders>
                  <w:noWrap w:val="0"/>
                  <w:vAlign w:val="center"/>
                </w:tcPr>
                <w:p w14:paraId="78E9E0BD">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1.14</w:t>
                  </w:r>
                </w:p>
              </w:tc>
            </w:tr>
            <w:tr w14:paraId="165302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22" w:type="pct"/>
                  <w:tcBorders>
                    <w:tl2br w:val="nil"/>
                    <w:tr2bl w:val="nil"/>
                  </w:tcBorders>
                  <w:noWrap w:val="0"/>
                  <w:vAlign w:val="center"/>
                </w:tcPr>
                <w:p w14:paraId="6024A2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color w:val="000000"/>
                      <w:sz w:val="21"/>
                      <w:szCs w:val="21"/>
                      <w:vertAlign w:val="baseline"/>
                      <w:lang w:val="en-US" w:eastAsia="zh-CN"/>
                    </w:rPr>
                  </w:pPr>
                  <w:r>
                    <w:rPr>
                      <w:rFonts w:hint="eastAsia" w:eastAsia="宋体"/>
                      <w:b w:val="0"/>
                      <w:bCs/>
                      <w:color w:val="000000"/>
                      <w:sz w:val="21"/>
                      <w:szCs w:val="21"/>
                      <w:vertAlign w:val="baseline"/>
                      <w:lang w:val="en-US" w:eastAsia="zh-CN"/>
                    </w:rPr>
                    <w:t>环氧树脂胶A</w:t>
                  </w:r>
                </w:p>
              </w:tc>
              <w:tc>
                <w:tcPr>
                  <w:tcW w:w="624" w:type="pct"/>
                  <w:tcBorders>
                    <w:tl2br w:val="nil"/>
                    <w:tr2bl w:val="nil"/>
                  </w:tcBorders>
                  <w:noWrap w:val="0"/>
                  <w:vAlign w:val="center"/>
                </w:tcPr>
                <w:p w14:paraId="4DA5DD91">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0.075</w:t>
                  </w:r>
                </w:p>
              </w:tc>
              <w:tc>
                <w:tcPr>
                  <w:tcW w:w="624" w:type="pct"/>
                  <w:tcBorders>
                    <w:tl2br w:val="nil"/>
                    <w:tr2bl w:val="nil"/>
                  </w:tcBorders>
                  <w:noWrap w:val="0"/>
                  <w:vAlign w:val="center"/>
                </w:tcPr>
                <w:p w14:paraId="645C45F5">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94</w:t>
                  </w:r>
                </w:p>
              </w:tc>
              <w:tc>
                <w:tcPr>
                  <w:tcW w:w="625" w:type="pct"/>
                  <w:tcBorders>
                    <w:tl2br w:val="nil"/>
                    <w:tr2bl w:val="nil"/>
                  </w:tcBorders>
                  <w:noWrap w:val="0"/>
                  <w:vAlign w:val="center"/>
                </w:tcPr>
                <w:p w14:paraId="03C6F357">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0.0705</w:t>
                  </w:r>
                </w:p>
              </w:tc>
              <w:tc>
                <w:tcPr>
                  <w:tcW w:w="624" w:type="pct"/>
                  <w:tcBorders>
                    <w:tl2br w:val="nil"/>
                    <w:tr2bl w:val="nil"/>
                  </w:tcBorders>
                  <w:noWrap w:val="0"/>
                  <w:vAlign w:val="center"/>
                </w:tcPr>
                <w:p w14:paraId="27804794">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w:t>
                  </w:r>
                </w:p>
              </w:tc>
              <w:tc>
                <w:tcPr>
                  <w:tcW w:w="625" w:type="pct"/>
                  <w:tcBorders>
                    <w:tl2br w:val="nil"/>
                    <w:tr2bl w:val="nil"/>
                  </w:tcBorders>
                  <w:noWrap w:val="0"/>
                  <w:vAlign w:val="center"/>
                </w:tcPr>
                <w:p w14:paraId="3E48519F">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w:t>
                  </w:r>
                </w:p>
              </w:tc>
              <w:tc>
                <w:tcPr>
                  <w:tcW w:w="624" w:type="pct"/>
                  <w:tcBorders>
                    <w:tl2br w:val="nil"/>
                    <w:tr2bl w:val="nil"/>
                  </w:tcBorders>
                  <w:noWrap w:val="0"/>
                  <w:vAlign w:val="center"/>
                </w:tcPr>
                <w:p w14:paraId="18AD8F4F">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6</w:t>
                  </w:r>
                </w:p>
              </w:tc>
              <w:tc>
                <w:tcPr>
                  <w:tcW w:w="629" w:type="pct"/>
                  <w:tcBorders>
                    <w:tl2br w:val="nil"/>
                    <w:tr2bl w:val="nil"/>
                  </w:tcBorders>
                  <w:noWrap w:val="0"/>
                  <w:vAlign w:val="center"/>
                </w:tcPr>
                <w:p w14:paraId="5723C553">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0.0045</w:t>
                  </w:r>
                </w:p>
              </w:tc>
            </w:tr>
            <w:tr w14:paraId="2F6A71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22" w:type="pct"/>
                  <w:tcBorders>
                    <w:tl2br w:val="nil"/>
                    <w:tr2bl w:val="nil"/>
                  </w:tcBorders>
                  <w:noWrap w:val="0"/>
                  <w:vAlign w:val="center"/>
                </w:tcPr>
                <w:p w14:paraId="0E5F74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color w:val="000000"/>
                      <w:sz w:val="21"/>
                      <w:szCs w:val="21"/>
                      <w:vertAlign w:val="baseline"/>
                      <w:lang w:val="en-US" w:eastAsia="zh-CN"/>
                    </w:rPr>
                  </w:pPr>
                  <w:r>
                    <w:rPr>
                      <w:rFonts w:hint="eastAsia"/>
                      <w:b w:val="0"/>
                      <w:bCs/>
                      <w:color w:val="000000"/>
                      <w:sz w:val="21"/>
                      <w:szCs w:val="21"/>
                      <w:vertAlign w:val="baseline"/>
                      <w:lang w:val="en-US" w:eastAsia="zh-CN"/>
                    </w:rPr>
                    <w:t>环氧树脂胶B</w:t>
                  </w:r>
                </w:p>
              </w:tc>
              <w:tc>
                <w:tcPr>
                  <w:tcW w:w="624" w:type="pct"/>
                  <w:tcBorders>
                    <w:tl2br w:val="nil"/>
                    <w:tr2bl w:val="nil"/>
                  </w:tcBorders>
                  <w:noWrap w:val="0"/>
                  <w:vAlign w:val="center"/>
                </w:tcPr>
                <w:p w14:paraId="2AD0EDC0">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0.075</w:t>
                  </w:r>
                </w:p>
              </w:tc>
              <w:tc>
                <w:tcPr>
                  <w:tcW w:w="624" w:type="pct"/>
                  <w:tcBorders>
                    <w:tl2br w:val="nil"/>
                    <w:tr2bl w:val="nil"/>
                  </w:tcBorders>
                  <w:noWrap w:val="0"/>
                  <w:vAlign w:val="center"/>
                </w:tcPr>
                <w:p w14:paraId="4F2D0885">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100</w:t>
                  </w:r>
                </w:p>
              </w:tc>
              <w:tc>
                <w:tcPr>
                  <w:tcW w:w="625" w:type="pct"/>
                  <w:tcBorders>
                    <w:tl2br w:val="nil"/>
                    <w:tr2bl w:val="nil"/>
                  </w:tcBorders>
                  <w:noWrap w:val="0"/>
                  <w:vAlign w:val="center"/>
                </w:tcPr>
                <w:p w14:paraId="02696E88">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0.075</w:t>
                  </w:r>
                </w:p>
              </w:tc>
              <w:tc>
                <w:tcPr>
                  <w:tcW w:w="624" w:type="pct"/>
                  <w:tcBorders>
                    <w:tl2br w:val="nil"/>
                    <w:tr2bl w:val="nil"/>
                  </w:tcBorders>
                  <w:noWrap w:val="0"/>
                  <w:vAlign w:val="center"/>
                </w:tcPr>
                <w:p w14:paraId="0048518B">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w:t>
                  </w:r>
                </w:p>
              </w:tc>
              <w:tc>
                <w:tcPr>
                  <w:tcW w:w="625" w:type="pct"/>
                  <w:tcBorders>
                    <w:tl2br w:val="nil"/>
                    <w:tr2bl w:val="nil"/>
                  </w:tcBorders>
                  <w:noWrap w:val="0"/>
                  <w:vAlign w:val="center"/>
                </w:tcPr>
                <w:p w14:paraId="34F7A8D5">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w:t>
                  </w:r>
                </w:p>
              </w:tc>
              <w:tc>
                <w:tcPr>
                  <w:tcW w:w="624" w:type="pct"/>
                  <w:tcBorders>
                    <w:tl2br w:val="nil"/>
                    <w:tr2bl w:val="nil"/>
                  </w:tcBorders>
                  <w:noWrap w:val="0"/>
                  <w:vAlign w:val="center"/>
                </w:tcPr>
                <w:p w14:paraId="399062DC">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w:t>
                  </w:r>
                </w:p>
              </w:tc>
              <w:tc>
                <w:tcPr>
                  <w:tcW w:w="629" w:type="pct"/>
                  <w:tcBorders>
                    <w:tl2br w:val="nil"/>
                    <w:tr2bl w:val="nil"/>
                  </w:tcBorders>
                  <w:noWrap w:val="0"/>
                  <w:vAlign w:val="center"/>
                </w:tcPr>
                <w:p w14:paraId="660E49A7">
                  <w:pPr>
                    <w:keepNext w:val="0"/>
                    <w:keepLines w:val="0"/>
                    <w:widowControl/>
                    <w:suppressLineNumbers w:val="0"/>
                    <w:jc w:val="center"/>
                    <w:textAlignment w:val="center"/>
                    <w:rPr>
                      <w:rFonts w:hint="default" w:cs="Times New Roman"/>
                      <w:bCs/>
                      <w:sz w:val="21"/>
                      <w:szCs w:val="21"/>
                      <w:vertAlign w:val="baseline"/>
                      <w:lang w:val="en-US" w:eastAsia="zh-CN"/>
                    </w:rPr>
                  </w:pPr>
                  <w:r>
                    <w:rPr>
                      <w:rFonts w:hint="eastAsia" w:cs="Times New Roman"/>
                      <w:bCs/>
                      <w:sz w:val="21"/>
                      <w:szCs w:val="21"/>
                      <w:vertAlign w:val="baseline"/>
                      <w:lang w:val="en-US" w:eastAsia="zh-CN"/>
                    </w:rPr>
                    <w:t>0</w:t>
                  </w:r>
                </w:p>
              </w:tc>
            </w:tr>
            <w:tr w14:paraId="37D00B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22" w:type="pct"/>
                  <w:tcBorders>
                    <w:tl2br w:val="nil"/>
                    <w:tr2bl w:val="nil"/>
                  </w:tcBorders>
                  <w:noWrap w:val="0"/>
                  <w:vAlign w:val="center"/>
                </w:tcPr>
                <w:p w14:paraId="02E7F0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color w:val="auto"/>
                      <w:sz w:val="21"/>
                      <w:szCs w:val="21"/>
                      <w:vertAlign w:val="baseline"/>
                      <w:lang w:val="en-US" w:eastAsia="zh-CN"/>
                    </w:rPr>
                  </w:pPr>
                  <w:r>
                    <w:rPr>
                      <w:rFonts w:hint="eastAsia"/>
                      <w:b w:val="0"/>
                      <w:bCs/>
                      <w:color w:val="auto"/>
                      <w:sz w:val="21"/>
                      <w:szCs w:val="21"/>
                      <w:vertAlign w:val="baseline"/>
                      <w:lang w:val="en-US" w:eastAsia="zh-CN"/>
                    </w:rPr>
                    <w:t>助焊剂</w:t>
                  </w:r>
                </w:p>
              </w:tc>
              <w:tc>
                <w:tcPr>
                  <w:tcW w:w="624" w:type="pct"/>
                  <w:tcBorders>
                    <w:tl2br w:val="nil"/>
                    <w:tr2bl w:val="nil"/>
                  </w:tcBorders>
                  <w:noWrap w:val="0"/>
                  <w:vAlign w:val="center"/>
                </w:tcPr>
                <w:p w14:paraId="78934AB5">
                  <w:pPr>
                    <w:keepNext w:val="0"/>
                    <w:keepLines w:val="0"/>
                    <w:widowControl/>
                    <w:suppressLineNumbers w:val="0"/>
                    <w:jc w:val="center"/>
                    <w:textAlignment w:val="center"/>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0.05</w:t>
                  </w:r>
                </w:p>
              </w:tc>
              <w:tc>
                <w:tcPr>
                  <w:tcW w:w="624" w:type="pct"/>
                  <w:tcBorders>
                    <w:tl2br w:val="nil"/>
                    <w:tr2bl w:val="nil"/>
                  </w:tcBorders>
                  <w:noWrap w:val="0"/>
                  <w:vAlign w:val="center"/>
                </w:tcPr>
                <w:p w14:paraId="504D194B">
                  <w:pPr>
                    <w:keepNext w:val="0"/>
                    <w:keepLines w:val="0"/>
                    <w:widowControl/>
                    <w:suppressLineNumbers w:val="0"/>
                    <w:jc w:val="center"/>
                    <w:textAlignment w:val="center"/>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0</w:t>
                  </w:r>
                </w:p>
              </w:tc>
              <w:tc>
                <w:tcPr>
                  <w:tcW w:w="625" w:type="pct"/>
                  <w:tcBorders>
                    <w:tl2br w:val="nil"/>
                    <w:tr2bl w:val="nil"/>
                  </w:tcBorders>
                  <w:noWrap w:val="0"/>
                  <w:vAlign w:val="center"/>
                </w:tcPr>
                <w:p w14:paraId="3CB1B087">
                  <w:pPr>
                    <w:keepNext w:val="0"/>
                    <w:keepLines w:val="0"/>
                    <w:widowControl/>
                    <w:suppressLineNumbers w:val="0"/>
                    <w:jc w:val="center"/>
                    <w:textAlignment w:val="center"/>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0</w:t>
                  </w:r>
                </w:p>
              </w:tc>
              <w:tc>
                <w:tcPr>
                  <w:tcW w:w="624" w:type="pct"/>
                  <w:tcBorders>
                    <w:tl2br w:val="nil"/>
                    <w:tr2bl w:val="nil"/>
                  </w:tcBorders>
                  <w:noWrap w:val="0"/>
                  <w:vAlign w:val="center"/>
                </w:tcPr>
                <w:p w14:paraId="31D2C328">
                  <w:pPr>
                    <w:keepNext w:val="0"/>
                    <w:keepLines w:val="0"/>
                    <w:widowControl/>
                    <w:suppressLineNumbers w:val="0"/>
                    <w:jc w:val="center"/>
                    <w:textAlignment w:val="center"/>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0</w:t>
                  </w:r>
                </w:p>
              </w:tc>
              <w:tc>
                <w:tcPr>
                  <w:tcW w:w="625" w:type="pct"/>
                  <w:tcBorders>
                    <w:tl2br w:val="nil"/>
                    <w:tr2bl w:val="nil"/>
                  </w:tcBorders>
                  <w:noWrap w:val="0"/>
                  <w:vAlign w:val="center"/>
                </w:tcPr>
                <w:p w14:paraId="46358802">
                  <w:pPr>
                    <w:keepNext w:val="0"/>
                    <w:keepLines w:val="0"/>
                    <w:widowControl/>
                    <w:suppressLineNumbers w:val="0"/>
                    <w:jc w:val="center"/>
                    <w:textAlignment w:val="center"/>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0</w:t>
                  </w:r>
                </w:p>
              </w:tc>
              <w:tc>
                <w:tcPr>
                  <w:tcW w:w="624" w:type="pct"/>
                  <w:tcBorders>
                    <w:tl2br w:val="nil"/>
                    <w:tr2bl w:val="nil"/>
                  </w:tcBorders>
                  <w:noWrap w:val="0"/>
                  <w:vAlign w:val="center"/>
                </w:tcPr>
                <w:p w14:paraId="32F64F4D">
                  <w:pPr>
                    <w:keepNext w:val="0"/>
                    <w:keepLines w:val="0"/>
                    <w:widowControl/>
                    <w:suppressLineNumbers w:val="0"/>
                    <w:jc w:val="center"/>
                    <w:textAlignment w:val="center"/>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100</w:t>
                  </w:r>
                </w:p>
              </w:tc>
              <w:tc>
                <w:tcPr>
                  <w:tcW w:w="629" w:type="pct"/>
                  <w:tcBorders>
                    <w:tl2br w:val="nil"/>
                    <w:tr2bl w:val="nil"/>
                  </w:tcBorders>
                  <w:noWrap w:val="0"/>
                  <w:vAlign w:val="center"/>
                </w:tcPr>
                <w:p w14:paraId="792D921A">
                  <w:pPr>
                    <w:keepNext w:val="0"/>
                    <w:keepLines w:val="0"/>
                    <w:widowControl/>
                    <w:suppressLineNumbers w:val="0"/>
                    <w:jc w:val="center"/>
                    <w:textAlignment w:val="center"/>
                    <w:rPr>
                      <w:rFonts w:hint="default" w:cs="Times New Roman"/>
                      <w:bCs/>
                      <w:color w:val="auto"/>
                      <w:sz w:val="21"/>
                      <w:szCs w:val="21"/>
                      <w:vertAlign w:val="baseline"/>
                      <w:lang w:val="en-US" w:eastAsia="zh-CN"/>
                    </w:rPr>
                  </w:pPr>
                  <w:r>
                    <w:rPr>
                      <w:rFonts w:hint="eastAsia" w:cs="Times New Roman"/>
                      <w:bCs/>
                      <w:color w:val="auto"/>
                      <w:sz w:val="21"/>
                      <w:szCs w:val="21"/>
                      <w:vertAlign w:val="baseline"/>
                      <w:lang w:val="en-US" w:eastAsia="zh-CN"/>
                    </w:rPr>
                    <w:t>0.05</w:t>
                  </w:r>
                </w:p>
              </w:tc>
            </w:tr>
            <w:tr w14:paraId="1A19EF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trPr>
              <w:tc>
                <w:tcPr>
                  <w:tcW w:w="622" w:type="pct"/>
                  <w:tcBorders>
                    <w:tl2br w:val="nil"/>
                    <w:tr2bl w:val="nil"/>
                  </w:tcBorders>
                  <w:noWrap w:val="0"/>
                  <w:vAlign w:val="center"/>
                </w:tcPr>
                <w:p w14:paraId="796A56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color w:val="000000"/>
                      <w:sz w:val="21"/>
                      <w:szCs w:val="21"/>
                      <w:vertAlign w:val="baseline"/>
                      <w:lang w:eastAsia="zh-CN"/>
                    </w:rPr>
                  </w:pPr>
                  <w:r>
                    <w:rPr>
                      <w:rFonts w:hint="eastAsia"/>
                      <w:b w:val="0"/>
                      <w:bCs/>
                      <w:color w:val="000000"/>
                      <w:sz w:val="21"/>
                      <w:szCs w:val="21"/>
                      <w:vertAlign w:val="baseline"/>
                      <w:lang w:eastAsia="zh-CN"/>
                    </w:rPr>
                    <w:t>合计</w:t>
                  </w:r>
                </w:p>
              </w:tc>
              <w:tc>
                <w:tcPr>
                  <w:tcW w:w="624" w:type="pct"/>
                  <w:tcBorders>
                    <w:tl2br w:val="nil"/>
                    <w:tr2bl w:val="nil"/>
                  </w:tcBorders>
                  <w:noWrap w:val="0"/>
                  <w:vAlign w:val="center"/>
                </w:tcPr>
                <w:p w14:paraId="2B6886A5">
                  <w:pPr>
                    <w:keepNext w:val="0"/>
                    <w:keepLines w:val="0"/>
                    <w:widowControl/>
                    <w:suppressLineNumbers w:val="0"/>
                    <w:jc w:val="center"/>
                    <w:textAlignment w:val="center"/>
                    <w:rPr>
                      <w:rFonts w:hint="default" w:ascii="Times New Roman" w:hAnsi="Times New Roman" w:cs="Times New Roman"/>
                      <w:b w:val="0"/>
                      <w:bCs/>
                      <w:sz w:val="21"/>
                      <w:szCs w:val="21"/>
                      <w:vertAlign w:val="baseline"/>
                      <w:lang w:val="en-US" w:eastAsia="zh-CN"/>
                    </w:rPr>
                  </w:pPr>
                  <w:r>
                    <w:rPr>
                      <w:rFonts w:hint="eastAsia" w:cs="Times New Roman"/>
                      <w:b w:val="0"/>
                      <w:bCs/>
                      <w:sz w:val="21"/>
                      <w:szCs w:val="21"/>
                      <w:vertAlign w:val="baseline"/>
                      <w:lang w:val="en-US" w:eastAsia="zh-CN"/>
                    </w:rPr>
                    <w:t>2.48</w:t>
                  </w:r>
                </w:p>
              </w:tc>
              <w:tc>
                <w:tcPr>
                  <w:tcW w:w="624" w:type="pct"/>
                  <w:tcBorders>
                    <w:tl2br w:val="nil"/>
                    <w:tr2bl w:val="nil"/>
                  </w:tcBorders>
                  <w:noWrap w:val="0"/>
                  <w:vAlign w:val="center"/>
                </w:tcPr>
                <w:p w14:paraId="24FC061A">
                  <w:pPr>
                    <w:keepNext w:val="0"/>
                    <w:keepLines w:val="0"/>
                    <w:widowControl/>
                    <w:suppressLineNumbers w:val="0"/>
                    <w:jc w:val="center"/>
                    <w:textAlignment w:val="center"/>
                    <w:rPr>
                      <w:rFonts w:hint="default" w:ascii="Times New Roman" w:hAnsi="Times New Roman"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w:t>
                  </w:r>
                </w:p>
              </w:tc>
              <w:tc>
                <w:tcPr>
                  <w:tcW w:w="625" w:type="pct"/>
                  <w:tcBorders>
                    <w:tl2br w:val="nil"/>
                    <w:tr2bl w:val="nil"/>
                  </w:tcBorders>
                  <w:noWrap w:val="0"/>
                  <w:vAlign w:val="center"/>
                </w:tcPr>
                <w:p w14:paraId="52539636">
                  <w:pPr>
                    <w:keepNext w:val="0"/>
                    <w:keepLines w:val="0"/>
                    <w:widowControl/>
                    <w:suppressLineNumbers w:val="0"/>
                    <w:jc w:val="center"/>
                    <w:textAlignment w:val="center"/>
                    <w:rPr>
                      <w:rFonts w:hint="default" w:ascii="Times New Roman" w:hAnsi="Times New Roman" w:cs="Times New Roman"/>
                      <w:b w:val="0"/>
                      <w:bCs/>
                      <w:sz w:val="21"/>
                      <w:szCs w:val="21"/>
                      <w:vertAlign w:val="baseline"/>
                      <w:lang w:val="en-US" w:eastAsia="zh-CN"/>
                    </w:rPr>
                  </w:pPr>
                  <w:r>
                    <w:rPr>
                      <w:rFonts w:hint="eastAsia" w:cs="Times New Roman"/>
                      <w:b w:val="0"/>
                      <w:bCs/>
                      <w:sz w:val="21"/>
                      <w:szCs w:val="21"/>
                      <w:vertAlign w:val="baseline"/>
                      <w:lang w:val="en-US" w:eastAsia="zh-CN"/>
                    </w:rPr>
                    <w:t>0.9455</w:t>
                  </w:r>
                </w:p>
              </w:tc>
              <w:tc>
                <w:tcPr>
                  <w:tcW w:w="624" w:type="pct"/>
                  <w:tcBorders>
                    <w:tl2br w:val="nil"/>
                    <w:tr2bl w:val="nil"/>
                  </w:tcBorders>
                  <w:noWrap w:val="0"/>
                  <w:vAlign w:val="center"/>
                </w:tcPr>
                <w:p w14:paraId="3803233D">
                  <w:pPr>
                    <w:keepNext w:val="0"/>
                    <w:keepLines w:val="0"/>
                    <w:widowControl/>
                    <w:suppressLineNumbers w:val="0"/>
                    <w:jc w:val="center"/>
                    <w:textAlignment w:val="center"/>
                    <w:rPr>
                      <w:rFonts w:hint="default" w:ascii="Times New Roman" w:hAnsi="Times New Roman"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w:t>
                  </w:r>
                </w:p>
              </w:tc>
              <w:tc>
                <w:tcPr>
                  <w:tcW w:w="625" w:type="pct"/>
                  <w:tcBorders>
                    <w:tl2br w:val="nil"/>
                    <w:tr2bl w:val="nil"/>
                  </w:tcBorders>
                  <w:noWrap w:val="0"/>
                  <w:vAlign w:val="center"/>
                </w:tcPr>
                <w:p w14:paraId="5B3F719E">
                  <w:pPr>
                    <w:keepNext w:val="0"/>
                    <w:keepLines w:val="0"/>
                    <w:widowControl/>
                    <w:suppressLineNumbers w:val="0"/>
                    <w:jc w:val="center"/>
                    <w:textAlignment w:val="center"/>
                    <w:rPr>
                      <w:rFonts w:hint="default" w:ascii="Times New Roman" w:hAnsi="Times New Roman" w:cs="Times New Roman"/>
                      <w:b w:val="0"/>
                      <w:bCs/>
                      <w:sz w:val="21"/>
                      <w:szCs w:val="21"/>
                      <w:vertAlign w:val="baseline"/>
                      <w:lang w:val="en-US" w:eastAsia="zh-CN"/>
                    </w:rPr>
                  </w:pPr>
                  <w:r>
                    <w:rPr>
                      <w:rFonts w:hint="eastAsia" w:cs="Times New Roman"/>
                      <w:b w:val="0"/>
                      <w:bCs/>
                      <w:sz w:val="21"/>
                      <w:szCs w:val="21"/>
                      <w:vertAlign w:val="baseline"/>
                      <w:lang w:val="en-US" w:eastAsia="zh-CN"/>
                    </w:rPr>
                    <w:t>0.23</w:t>
                  </w:r>
                </w:p>
              </w:tc>
              <w:tc>
                <w:tcPr>
                  <w:tcW w:w="624" w:type="pct"/>
                  <w:tcBorders>
                    <w:tl2br w:val="nil"/>
                    <w:tr2bl w:val="nil"/>
                  </w:tcBorders>
                  <w:noWrap w:val="0"/>
                  <w:vAlign w:val="center"/>
                </w:tcPr>
                <w:p w14:paraId="7041B5B6">
                  <w:pPr>
                    <w:keepNext w:val="0"/>
                    <w:keepLines w:val="0"/>
                    <w:widowControl/>
                    <w:suppressLineNumbers w:val="0"/>
                    <w:jc w:val="center"/>
                    <w:textAlignment w:val="center"/>
                    <w:rPr>
                      <w:rFonts w:hint="default" w:ascii="Times New Roman" w:hAnsi="Times New Roman"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w:t>
                  </w:r>
                </w:p>
              </w:tc>
              <w:tc>
                <w:tcPr>
                  <w:tcW w:w="629" w:type="pct"/>
                  <w:tcBorders>
                    <w:tl2br w:val="nil"/>
                    <w:tr2bl w:val="nil"/>
                  </w:tcBorders>
                  <w:noWrap w:val="0"/>
                  <w:vAlign w:val="center"/>
                </w:tcPr>
                <w:p w14:paraId="681BDCEA">
                  <w:pPr>
                    <w:keepNext w:val="0"/>
                    <w:keepLines w:val="0"/>
                    <w:widowControl/>
                    <w:suppressLineNumbers w:val="0"/>
                    <w:jc w:val="center"/>
                    <w:textAlignment w:val="center"/>
                    <w:rPr>
                      <w:rFonts w:hint="default" w:ascii="Times New Roman" w:hAnsi="Times New Roman" w:cs="Times New Roman"/>
                      <w:b w:val="0"/>
                      <w:bCs/>
                      <w:sz w:val="21"/>
                      <w:szCs w:val="21"/>
                      <w:vertAlign w:val="baseline"/>
                      <w:lang w:val="en-US" w:eastAsia="zh-CN"/>
                    </w:rPr>
                  </w:pPr>
                  <w:r>
                    <w:rPr>
                      <w:rFonts w:hint="eastAsia" w:cs="Times New Roman"/>
                      <w:b w:val="0"/>
                      <w:bCs/>
                      <w:sz w:val="21"/>
                      <w:szCs w:val="21"/>
                      <w:vertAlign w:val="baseline"/>
                      <w:lang w:val="en-US" w:eastAsia="zh-CN"/>
                    </w:rPr>
                    <w:t>1.3045</w:t>
                  </w:r>
                </w:p>
              </w:tc>
            </w:tr>
          </w:tbl>
          <w:p w14:paraId="61B9C00E">
            <w:pPr>
              <w:spacing w:line="360" w:lineRule="auto"/>
              <w:rPr>
                <w:rFonts w:hint="default" w:eastAsia="宋体"/>
                <w:b w:val="0"/>
                <w:bCs/>
                <w:color w:val="000000"/>
                <w:sz w:val="24"/>
                <w:lang w:val="en-US" w:eastAsia="zh-CN"/>
              </w:rPr>
            </w:pPr>
            <w:r>
              <w:rPr>
                <w:rFonts w:hint="eastAsia"/>
                <w:b/>
                <w:bCs w:val="0"/>
                <w:color w:val="000000"/>
                <w:sz w:val="24"/>
                <w:lang w:val="en-US" w:eastAsia="zh-CN"/>
              </w:rPr>
              <w:t>注：</w:t>
            </w:r>
            <w:r>
              <w:rPr>
                <w:rFonts w:hint="eastAsia"/>
                <w:b w:val="0"/>
                <w:bCs/>
                <w:color w:val="000000"/>
                <w:sz w:val="24"/>
                <w:lang w:val="en-US" w:eastAsia="zh-CN"/>
              </w:rPr>
              <w:t>以上取值均按二甲苯及挥发份占比取最大值核算，且能保证固体份+挥发份占比之和等于1</w:t>
            </w:r>
            <w:r>
              <w:rPr>
                <w:rFonts w:ascii="Times New Roman" w:cs="Times New Roman"/>
                <w:b w:val="0"/>
                <w:bCs/>
                <w:sz w:val="24"/>
                <w:szCs w:val="24"/>
              </w:rPr>
              <w:t>。</w:t>
            </w:r>
          </w:p>
          <w:p w14:paraId="585E647C">
            <w:pPr>
              <w:keepNext w:val="0"/>
              <w:keepLines w:val="0"/>
              <w:widowControl/>
              <w:suppressLineNumbers w:val="0"/>
              <w:jc w:val="center"/>
              <w:rPr>
                <w:rFonts w:hint="eastAsia" w:eastAsia="宋体"/>
                <w:lang w:eastAsia="zh-CN"/>
              </w:rPr>
            </w:pPr>
            <w:r>
              <w:drawing>
                <wp:inline distT="0" distB="0" distL="114300" distR="114300">
                  <wp:extent cx="3381375" cy="1920875"/>
                  <wp:effectExtent l="0" t="0" r="9525" b="3175"/>
                  <wp:docPr id="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
                          <pic:cNvPicPr>
                            <a:picLocks noChangeAspect="1"/>
                          </pic:cNvPicPr>
                        </pic:nvPicPr>
                        <pic:blipFill>
                          <a:blip r:embed="rId23"/>
                          <a:stretch>
                            <a:fillRect/>
                          </a:stretch>
                        </pic:blipFill>
                        <pic:spPr>
                          <a:xfrm>
                            <a:off x="0" y="0"/>
                            <a:ext cx="3381375" cy="1920875"/>
                          </a:xfrm>
                          <a:prstGeom prst="rect">
                            <a:avLst/>
                          </a:prstGeom>
                          <a:noFill/>
                          <a:ln>
                            <a:noFill/>
                          </a:ln>
                        </pic:spPr>
                      </pic:pic>
                    </a:graphicData>
                  </a:graphic>
                </wp:inline>
              </w:drawing>
            </w:r>
          </w:p>
          <w:p w14:paraId="46554627">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default"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t>图2-1项目VOCs平衡图</w:t>
            </w:r>
          </w:p>
          <w:p w14:paraId="1F62A753">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drawing>
                <wp:inline distT="0" distB="0" distL="114300" distR="114300">
                  <wp:extent cx="4608195" cy="1215390"/>
                  <wp:effectExtent l="0" t="0" r="1905" b="3810"/>
                  <wp:docPr id="142" name="图片 142" descr="36e898c21ec05126004ed770a8f3c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36e898c21ec05126004ed770a8f3caf0"/>
                          <pic:cNvPicPr>
                            <a:picLocks noChangeAspect="1"/>
                          </pic:cNvPicPr>
                        </pic:nvPicPr>
                        <pic:blipFill>
                          <a:blip r:embed="rId24"/>
                          <a:stretch>
                            <a:fillRect/>
                          </a:stretch>
                        </pic:blipFill>
                        <pic:spPr>
                          <a:xfrm>
                            <a:off x="0" y="0"/>
                            <a:ext cx="4608195" cy="1215390"/>
                          </a:xfrm>
                          <a:prstGeom prst="rect">
                            <a:avLst/>
                          </a:prstGeom>
                        </pic:spPr>
                      </pic:pic>
                    </a:graphicData>
                  </a:graphic>
                </wp:inline>
              </w:drawing>
            </w:r>
          </w:p>
          <w:p w14:paraId="387ABC5C">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default"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t>图2-2项目二甲苯平衡图</w:t>
            </w:r>
          </w:p>
          <w:p w14:paraId="4FAF151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2"/>
                <w:lang w:val="en-US" w:eastAsia="zh-CN" w:bidi="ar-SA"/>
              </w:rPr>
            </w:pPr>
            <w:r>
              <w:rPr>
                <w:rFonts w:hint="eastAsia" w:cs="Times New Roman"/>
                <w:b/>
                <w:bCs/>
                <w:color w:val="auto"/>
                <w:kern w:val="0"/>
                <w:sz w:val="24"/>
                <w:szCs w:val="22"/>
                <w:lang w:val="en-US" w:eastAsia="zh-CN" w:bidi="ar-SA"/>
              </w:rPr>
              <w:t>7</w:t>
            </w:r>
            <w:r>
              <w:rPr>
                <w:rFonts w:hint="default" w:ascii="Times New Roman" w:hAnsi="Times New Roman" w:eastAsia="宋体" w:cs="Times New Roman"/>
                <w:b/>
                <w:bCs/>
                <w:color w:val="auto"/>
                <w:kern w:val="0"/>
                <w:sz w:val="24"/>
                <w:szCs w:val="22"/>
                <w:lang w:val="en-US" w:eastAsia="zh-CN" w:bidi="ar-SA"/>
              </w:rPr>
              <w:t>、公用工程</w:t>
            </w:r>
          </w:p>
          <w:p w14:paraId="21A8A3F0">
            <w:pPr>
              <w:pStyle w:val="60"/>
              <w:pageBreakBefore w:val="0"/>
              <w:kinsoku/>
              <w:wordWrap/>
              <w:overflowPunct/>
              <w:topLinePunct w:val="0"/>
              <w:bidi w:val="0"/>
              <w:ind w:firstLine="480" w:firstLineChars="200"/>
              <w:rPr>
                <w:rFonts w:hint="default" w:ascii="Times New Roman" w:hAnsi="Times New Roman" w:cs="Times New Roman"/>
                <w:color w:val="auto"/>
                <w:kern w:val="0"/>
                <w:sz w:val="24"/>
                <w:szCs w:val="22"/>
                <w:lang w:val="en-US" w:eastAsia="zh-CN" w:bidi="ar-SA"/>
              </w:rPr>
            </w:pPr>
            <w:r>
              <w:rPr>
                <w:rFonts w:hint="default" w:ascii="Times New Roman" w:hAnsi="Times New Roman" w:eastAsia="宋体" w:cs="Times New Roman"/>
                <w:color w:val="auto"/>
                <w:kern w:val="0"/>
                <w:sz w:val="24"/>
                <w:szCs w:val="22"/>
                <w:lang w:val="en-US" w:eastAsia="zh-CN" w:bidi="ar-SA"/>
              </w:rPr>
              <w:t>（1）给</w:t>
            </w:r>
            <w:r>
              <w:rPr>
                <w:rFonts w:hint="eastAsia" w:ascii="Times New Roman" w:hAnsi="Times New Roman" w:cs="Times New Roman"/>
                <w:color w:val="auto"/>
                <w:kern w:val="0"/>
                <w:sz w:val="24"/>
                <w:szCs w:val="22"/>
                <w:lang w:val="en-US" w:eastAsia="zh-CN" w:bidi="ar-SA"/>
              </w:rPr>
              <w:t>排水工程</w:t>
            </w:r>
          </w:p>
          <w:p w14:paraId="7A110160">
            <w:pPr>
              <w:pStyle w:val="60"/>
              <w:pageBreakBefore w:val="0"/>
              <w:kinsoku/>
              <w:wordWrap/>
              <w:overflowPunct/>
              <w:topLinePunct w:val="0"/>
              <w:bidi w:val="0"/>
              <w:ind w:firstLine="480" w:firstLineChars="200"/>
              <w:rPr>
                <w:rFonts w:hint="default" w:ascii="Times New Roman" w:hAnsi="Times New Roman" w:cs="Times New Roman"/>
                <w:color w:val="auto"/>
                <w:kern w:val="0"/>
                <w:sz w:val="24"/>
                <w:szCs w:val="22"/>
                <w:lang w:val="en-US" w:eastAsia="zh-CN" w:bidi="ar-SA"/>
              </w:rPr>
            </w:pPr>
            <w:r>
              <w:rPr>
                <w:rFonts w:hint="eastAsia" w:ascii="Times New Roman" w:hAnsi="Times New Roman" w:cs="Times New Roman"/>
                <w:color w:val="auto"/>
                <w:kern w:val="0"/>
                <w:sz w:val="24"/>
                <w:szCs w:val="22"/>
                <w:lang w:val="en-US" w:eastAsia="zh-CN" w:bidi="ar-SA"/>
              </w:rPr>
              <w:t>本项目地面采用洁净清扫方式，不涉及地面清洗用水，本项目用水为生活用水。</w:t>
            </w:r>
          </w:p>
          <w:p w14:paraId="7B98D6E2">
            <w:pPr>
              <w:pStyle w:val="60"/>
              <w:pageBreakBefore w:val="0"/>
              <w:kinsoku/>
              <w:wordWrap/>
              <w:overflowPunct/>
              <w:topLinePunct w:val="0"/>
              <w:bidi w:val="0"/>
              <w:ind w:firstLine="480" w:firstLineChars="200"/>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①生活用水：</w:t>
            </w:r>
          </w:p>
          <w:p w14:paraId="4FA77D32">
            <w:pPr>
              <w:numPr>
                <w:ilvl w:val="0"/>
                <w:numId w:val="0"/>
              </w:numPr>
              <w:spacing w:after="0" w:line="360" w:lineRule="auto"/>
              <w:ind w:firstLine="480" w:firstLineChars="200"/>
              <w:jc w:val="both"/>
              <w:rPr>
                <w:rFonts w:hint="eastAsia" w:ascii="Times New Roman" w:hAnsi="Times New Roman" w:cs="Times New Roman"/>
                <w:color w:val="auto"/>
                <w:sz w:val="24"/>
                <w:szCs w:val="24"/>
                <w:u w:val="none" w:color="auto"/>
                <w:lang w:val="en-US" w:eastAsia="zh-CN"/>
              </w:rPr>
            </w:pPr>
            <w:r>
              <w:rPr>
                <w:rFonts w:ascii="Times New Roman" w:hAnsi="Times New Roman" w:cs="Times New Roman"/>
                <w:bCs/>
                <w:color w:val="000000" w:themeColor="text1"/>
                <w:kern w:val="2"/>
                <w:sz w:val="24"/>
                <w:u w:val="none" w:color="auto"/>
                <w14:textFill>
                  <w14:solidFill>
                    <w14:schemeClr w14:val="tx1"/>
                  </w14:solidFill>
                </w14:textFill>
              </w:rPr>
              <w:t>本项目员工人数</w:t>
            </w:r>
            <w:r>
              <w:rPr>
                <w:rFonts w:hint="default" w:ascii="Times New Roman" w:hAnsi="Times New Roman" w:cs="Times New Roman"/>
                <w:bCs/>
                <w:color w:val="000000" w:themeColor="text1"/>
                <w:kern w:val="2"/>
                <w:sz w:val="24"/>
                <w:u w:val="none" w:color="auto"/>
                <w:lang w:eastAsia="zh-CN"/>
                <w14:textFill>
                  <w14:solidFill>
                    <w14:schemeClr w14:val="tx1"/>
                  </w14:solidFill>
                </w14:textFill>
              </w:rPr>
              <w:t>为</w:t>
            </w:r>
            <w:r>
              <w:rPr>
                <w:rFonts w:hint="eastAsia" w:cs="Times New Roman"/>
                <w:bCs/>
                <w:color w:val="000000" w:themeColor="text1"/>
                <w:kern w:val="2"/>
                <w:sz w:val="24"/>
                <w:u w:val="none" w:color="auto"/>
                <w:lang w:val="en-US" w:eastAsia="zh-CN"/>
                <w14:textFill>
                  <w14:solidFill>
                    <w14:schemeClr w14:val="tx1"/>
                  </w14:solidFill>
                </w14:textFill>
              </w:rPr>
              <w:t>80</w:t>
            </w:r>
            <w:r>
              <w:rPr>
                <w:rFonts w:hint="default" w:ascii="Times New Roman" w:hAnsi="Times New Roman" w:cs="Times New Roman"/>
                <w:bCs/>
                <w:color w:val="000000" w:themeColor="text1"/>
                <w:kern w:val="2"/>
                <w:sz w:val="24"/>
                <w:u w:val="none" w:color="auto"/>
                <w:lang w:val="en-US" w:eastAsia="zh-CN"/>
                <w14:textFill>
                  <w14:solidFill>
                    <w14:schemeClr w14:val="tx1"/>
                  </w14:solidFill>
                </w14:textFill>
              </w:rPr>
              <w:t>人，</w:t>
            </w:r>
            <w:r>
              <w:rPr>
                <w:rFonts w:hint="eastAsia" w:cs="Times New Roman"/>
                <w:bCs/>
                <w:color w:val="000000" w:themeColor="text1"/>
                <w:kern w:val="2"/>
                <w:sz w:val="24"/>
                <w:u w:val="none" w:color="auto"/>
                <w:lang w:val="en-US" w:eastAsia="zh-CN"/>
                <w14:textFill>
                  <w14:solidFill>
                    <w14:schemeClr w14:val="tx1"/>
                  </w14:solidFill>
                </w14:textFill>
              </w:rPr>
              <w:t>不在厂内食宿，</w:t>
            </w:r>
            <w:r>
              <w:rPr>
                <w:rFonts w:ascii="Times New Roman" w:hAnsi="Times New Roman" w:cs="Times New Roman"/>
                <w:bCs/>
                <w:color w:val="000000" w:themeColor="text1"/>
                <w:kern w:val="2"/>
                <w:sz w:val="24"/>
                <w:u w:val="none" w:color="auto"/>
                <w14:textFill>
                  <w14:solidFill>
                    <w14:schemeClr w14:val="tx1"/>
                  </w14:solidFill>
                </w14:textFill>
              </w:rPr>
              <w:t>用水定额参照湖南省地方标准《用水定额》（DB 43</w:t>
            </w:r>
            <w:r>
              <w:rPr>
                <w:rFonts w:hint="default" w:ascii="Times New Roman" w:hAnsi="Times New Roman" w:cs="Times New Roman"/>
                <w:bCs/>
                <w:color w:val="000000" w:themeColor="text1"/>
                <w:kern w:val="2"/>
                <w:sz w:val="24"/>
                <w:u w:val="none" w:color="auto"/>
                <w:lang w:val="en-US" w:eastAsia="zh-CN"/>
                <w14:textFill>
                  <w14:solidFill>
                    <w14:schemeClr w14:val="tx1"/>
                  </w14:solidFill>
                </w14:textFill>
              </w:rPr>
              <w:t>/</w:t>
            </w:r>
            <w:r>
              <w:rPr>
                <w:rFonts w:ascii="Times New Roman" w:hAnsi="Times New Roman" w:cs="Times New Roman"/>
                <w:bCs/>
                <w:color w:val="000000" w:themeColor="text1"/>
                <w:kern w:val="2"/>
                <w:sz w:val="24"/>
                <w:u w:val="none" w:color="auto"/>
                <w14:textFill>
                  <w14:solidFill>
                    <w14:schemeClr w14:val="tx1"/>
                  </w14:solidFill>
                </w14:textFill>
              </w:rPr>
              <w:t>T388</w:t>
            </w:r>
            <w:r>
              <w:rPr>
                <w:rFonts w:hint="eastAsia" w:cs="Times New Roman"/>
                <w:bCs/>
                <w:color w:val="000000" w:themeColor="text1"/>
                <w:kern w:val="2"/>
                <w:sz w:val="24"/>
                <w:u w:val="none" w:color="auto"/>
                <w:lang w:val="en-US" w:eastAsia="zh-CN"/>
                <w14:textFill>
                  <w14:solidFill>
                    <w14:schemeClr w14:val="tx1"/>
                  </w14:solidFill>
                </w14:textFill>
              </w:rPr>
              <w:t>.3</w:t>
            </w:r>
            <w:r>
              <w:rPr>
                <w:rFonts w:ascii="Times New Roman" w:hAnsi="Times New Roman" w:cs="Times New Roman"/>
                <w:bCs/>
                <w:color w:val="000000" w:themeColor="text1"/>
                <w:kern w:val="2"/>
                <w:sz w:val="24"/>
                <w:u w:val="none" w:color="auto"/>
                <w14:textFill>
                  <w14:solidFill>
                    <w14:schemeClr w14:val="tx1"/>
                  </w14:solidFill>
                </w14:textFill>
              </w:rPr>
              <w:t>-20</w:t>
            </w:r>
            <w:r>
              <w:rPr>
                <w:rFonts w:hint="default" w:ascii="Times New Roman" w:hAnsi="Times New Roman" w:cs="Times New Roman"/>
                <w:bCs/>
                <w:color w:val="000000" w:themeColor="text1"/>
                <w:kern w:val="2"/>
                <w:sz w:val="24"/>
                <w:u w:val="none" w:color="auto"/>
                <w:lang w:val="en-US" w:eastAsia="zh-CN"/>
                <w14:textFill>
                  <w14:solidFill>
                    <w14:schemeClr w14:val="tx1"/>
                  </w14:solidFill>
                </w14:textFill>
              </w:rPr>
              <w:t>2</w:t>
            </w:r>
            <w:r>
              <w:rPr>
                <w:rFonts w:hint="eastAsia" w:cs="Times New Roman"/>
                <w:bCs/>
                <w:color w:val="000000" w:themeColor="text1"/>
                <w:kern w:val="2"/>
                <w:sz w:val="24"/>
                <w:u w:val="none" w:color="auto"/>
                <w:lang w:val="en-US" w:eastAsia="zh-CN"/>
                <w14:textFill>
                  <w14:solidFill>
                    <w14:schemeClr w14:val="tx1"/>
                  </w14:solidFill>
                </w14:textFill>
              </w:rPr>
              <w:t>5</w:t>
            </w:r>
            <w:r>
              <w:rPr>
                <w:rFonts w:ascii="Times New Roman" w:hAnsi="Times New Roman" w:cs="Times New Roman"/>
                <w:bCs/>
                <w:color w:val="000000" w:themeColor="text1"/>
                <w:kern w:val="2"/>
                <w:sz w:val="24"/>
                <w:u w:val="none" w:color="auto"/>
                <w14:textFill>
                  <w14:solidFill>
                    <w14:schemeClr w14:val="tx1"/>
                  </w14:solidFill>
                </w14:textFill>
              </w:rPr>
              <w:t>），平均用水量按</w:t>
            </w:r>
            <w:r>
              <w:rPr>
                <w:rFonts w:hint="eastAsia" w:cs="Times New Roman"/>
                <w:bCs/>
                <w:color w:val="000000" w:themeColor="text1"/>
                <w:kern w:val="2"/>
                <w:sz w:val="24"/>
                <w:u w:val="none" w:color="auto"/>
                <w:lang w:val="en-US" w:eastAsia="zh-CN"/>
                <w14:textFill>
                  <w14:solidFill>
                    <w14:schemeClr w14:val="tx1"/>
                  </w14:solidFill>
                </w14:textFill>
              </w:rPr>
              <w:t>50</w:t>
            </w:r>
            <w:r>
              <w:rPr>
                <w:rFonts w:ascii="Times New Roman" w:hAnsi="Times New Roman" w:cs="Times New Roman"/>
                <w:bCs/>
                <w:color w:val="000000" w:themeColor="text1"/>
                <w:kern w:val="2"/>
                <w:sz w:val="24"/>
                <w:u w:val="none" w:color="auto"/>
                <w14:textFill>
                  <w14:solidFill>
                    <w14:schemeClr w14:val="tx1"/>
                  </w14:solidFill>
                </w14:textFill>
              </w:rPr>
              <w:t>L/人·d计算，总用水量为</w:t>
            </w:r>
            <w:r>
              <w:rPr>
                <w:rFonts w:hint="eastAsia" w:cs="Times New Roman"/>
                <w:bCs/>
                <w:color w:val="000000" w:themeColor="text1"/>
                <w:kern w:val="2"/>
                <w:sz w:val="24"/>
                <w:u w:val="none" w:color="auto"/>
                <w:lang w:val="en-US" w:eastAsia="zh-CN"/>
                <w14:textFill>
                  <w14:solidFill>
                    <w14:schemeClr w14:val="tx1"/>
                  </w14:solidFill>
                </w14:textFill>
              </w:rPr>
              <w:t>4m</w:t>
            </w:r>
            <w:r>
              <w:rPr>
                <w:rFonts w:hint="eastAsia" w:cs="Times New Roman"/>
                <w:bCs/>
                <w:color w:val="000000" w:themeColor="text1"/>
                <w:kern w:val="2"/>
                <w:sz w:val="24"/>
                <w:u w:val="none" w:color="auto"/>
                <w:vertAlign w:val="superscript"/>
                <w:lang w:val="en-US" w:eastAsia="zh-CN"/>
                <w14:textFill>
                  <w14:solidFill>
                    <w14:schemeClr w14:val="tx1"/>
                  </w14:solidFill>
                </w14:textFill>
              </w:rPr>
              <w:t>3</w:t>
            </w:r>
            <w:r>
              <w:rPr>
                <w:rFonts w:hint="eastAsia" w:cs="Times New Roman"/>
                <w:bCs/>
                <w:color w:val="000000" w:themeColor="text1"/>
                <w:kern w:val="2"/>
                <w:sz w:val="24"/>
                <w:u w:val="none" w:color="auto"/>
                <w:lang w:val="en-US" w:eastAsia="zh-CN"/>
                <w14:textFill>
                  <w14:solidFill>
                    <w14:schemeClr w14:val="tx1"/>
                  </w14:solidFill>
                </w14:textFill>
              </w:rPr>
              <w:t>/d、1200m</w:t>
            </w:r>
            <w:r>
              <w:rPr>
                <w:rFonts w:hint="eastAsia" w:cs="Times New Roman"/>
                <w:bCs/>
                <w:color w:val="000000" w:themeColor="text1"/>
                <w:kern w:val="2"/>
                <w:sz w:val="24"/>
                <w:u w:val="none" w:color="auto"/>
                <w:vertAlign w:val="superscript"/>
                <w:lang w:val="en-US" w:eastAsia="zh-CN"/>
                <w14:textFill>
                  <w14:solidFill>
                    <w14:schemeClr w14:val="tx1"/>
                  </w14:solidFill>
                </w14:textFill>
              </w:rPr>
              <w:t>3</w:t>
            </w:r>
            <w:r>
              <w:rPr>
                <w:rFonts w:ascii="Times New Roman" w:hAnsi="Times New Roman" w:cs="Times New Roman"/>
                <w:bCs/>
                <w:color w:val="000000" w:themeColor="text1"/>
                <w:kern w:val="2"/>
                <w:sz w:val="24"/>
                <w:u w:val="none" w:color="auto"/>
                <w14:textFill>
                  <w14:solidFill>
                    <w14:schemeClr w14:val="tx1"/>
                  </w14:solidFill>
                </w14:textFill>
              </w:rPr>
              <w:t>/a</w:t>
            </w:r>
            <w:r>
              <w:rPr>
                <w:rFonts w:hint="eastAsia"/>
                <w:color w:val="000000" w:themeColor="text1"/>
                <w:sz w:val="24"/>
                <w:szCs w:val="32"/>
                <w:u w:val="none" w:color="auto"/>
                <w:lang w:val="en-US" w:eastAsia="zh-CN"/>
                <w14:textFill>
                  <w14:solidFill>
                    <w14:schemeClr w14:val="tx1"/>
                  </w14:solidFill>
                </w14:textFill>
              </w:rPr>
              <w:t>。</w:t>
            </w:r>
            <w:r>
              <w:rPr>
                <w:rFonts w:hint="default" w:ascii="Times New Roman" w:hAnsi="Times New Roman" w:cs="Times New Roman"/>
                <w:color w:val="auto"/>
                <w:sz w:val="24"/>
                <w:szCs w:val="24"/>
                <w:u w:val="none" w:color="auto"/>
                <w:lang w:val="en-US" w:eastAsia="zh-CN"/>
              </w:rPr>
              <w:t>生活用水</w:t>
            </w:r>
            <w:r>
              <w:rPr>
                <w:rFonts w:hint="default" w:ascii="Times New Roman" w:hAnsi="Times New Roman" w:cs="Times New Roman"/>
                <w:color w:val="auto"/>
                <w:sz w:val="24"/>
                <w:szCs w:val="24"/>
                <w:u w:val="none" w:color="auto"/>
              </w:rPr>
              <w:t>产污系数按0.8计</w:t>
            </w:r>
            <w:r>
              <w:rPr>
                <w:rFonts w:hint="default" w:ascii="Times New Roman" w:hAnsi="Times New Roman" w:cs="Times New Roman"/>
                <w:color w:val="auto"/>
                <w:sz w:val="24"/>
                <w:szCs w:val="24"/>
                <w:u w:val="none" w:color="auto"/>
                <w:lang w:eastAsia="zh-CN"/>
              </w:rPr>
              <w:t>，则本项目</w:t>
            </w:r>
            <w:r>
              <w:rPr>
                <w:rFonts w:hint="default" w:ascii="Times New Roman" w:hAnsi="Times New Roman" w:cs="Times New Roman"/>
                <w:color w:val="auto"/>
                <w:sz w:val="24"/>
                <w:szCs w:val="24"/>
                <w:u w:val="none" w:color="auto"/>
                <w:lang w:val="en-US" w:eastAsia="zh-CN"/>
              </w:rPr>
              <w:t>生活污水量为</w:t>
            </w:r>
            <w:r>
              <w:rPr>
                <w:rFonts w:hint="eastAsia" w:cs="Times New Roman"/>
                <w:color w:val="auto"/>
                <w:sz w:val="24"/>
                <w:szCs w:val="24"/>
                <w:u w:val="none" w:color="auto"/>
                <w:lang w:val="en-US" w:eastAsia="zh-CN"/>
              </w:rPr>
              <w:t>3.2</w:t>
            </w:r>
            <w:r>
              <w:rPr>
                <w:rFonts w:hint="default" w:ascii="Times New Roman" w:hAnsi="Times New Roman" w:cs="Times New Roman"/>
                <w:color w:val="auto"/>
                <w:sz w:val="24"/>
                <w:szCs w:val="24"/>
                <w:u w:val="none" w:color="auto"/>
                <w:lang w:val="en-US" w:eastAsia="zh-CN"/>
              </w:rPr>
              <w:t>m</w:t>
            </w:r>
            <w:r>
              <w:rPr>
                <w:rFonts w:hint="default" w:ascii="Times New Roman" w:hAnsi="Times New Roman" w:cs="Times New Roman"/>
                <w:color w:val="auto"/>
                <w:sz w:val="24"/>
                <w:szCs w:val="24"/>
                <w:u w:val="none" w:color="auto"/>
                <w:vertAlign w:val="superscript"/>
                <w:lang w:val="en-US" w:eastAsia="zh-CN"/>
              </w:rPr>
              <w:t>3</w:t>
            </w:r>
            <w:r>
              <w:rPr>
                <w:rFonts w:hint="default" w:ascii="Times New Roman" w:hAnsi="Times New Roman" w:cs="Times New Roman"/>
                <w:color w:val="auto"/>
                <w:sz w:val="24"/>
                <w:szCs w:val="24"/>
                <w:u w:val="none" w:color="auto"/>
                <w:lang w:val="en-US" w:eastAsia="zh-CN"/>
              </w:rPr>
              <w:t>/d</w:t>
            </w:r>
            <w:r>
              <w:rPr>
                <w:rFonts w:hint="eastAsia" w:ascii="Times New Roman" w:cs="Times New Roman"/>
                <w:color w:val="auto"/>
                <w:sz w:val="24"/>
                <w:szCs w:val="24"/>
                <w:u w:val="none" w:color="auto"/>
                <w:lang w:val="en-US" w:eastAsia="zh-CN"/>
              </w:rPr>
              <w:t>，</w:t>
            </w:r>
            <w:r>
              <w:rPr>
                <w:rFonts w:hint="eastAsia" w:cs="Times New Roman"/>
                <w:color w:val="auto"/>
                <w:sz w:val="24"/>
                <w:szCs w:val="24"/>
                <w:u w:val="none" w:color="auto"/>
                <w:lang w:val="en-US" w:eastAsia="zh-CN"/>
              </w:rPr>
              <w:t>960</w:t>
            </w:r>
            <w:r>
              <w:rPr>
                <w:rFonts w:hint="default" w:ascii="Times New Roman" w:hAnsi="Times New Roman" w:cs="Times New Roman"/>
                <w:color w:val="auto"/>
                <w:sz w:val="24"/>
                <w:szCs w:val="24"/>
                <w:u w:val="none" w:color="auto"/>
                <w:lang w:val="en-US" w:eastAsia="zh-CN"/>
              </w:rPr>
              <w:t>m</w:t>
            </w:r>
            <w:r>
              <w:rPr>
                <w:rFonts w:hint="default" w:ascii="Times New Roman" w:hAnsi="Times New Roman" w:cs="Times New Roman"/>
                <w:color w:val="auto"/>
                <w:sz w:val="24"/>
                <w:szCs w:val="24"/>
                <w:u w:val="none" w:color="auto"/>
                <w:vertAlign w:val="superscript"/>
                <w:lang w:val="en-US" w:eastAsia="zh-CN"/>
              </w:rPr>
              <w:t>3</w:t>
            </w:r>
            <w:r>
              <w:rPr>
                <w:rFonts w:hint="default" w:ascii="Times New Roman" w:hAnsi="Times New Roman" w:cs="Times New Roman"/>
                <w:color w:val="auto"/>
                <w:sz w:val="24"/>
                <w:szCs w:val="24"/>
                <w:u w:val="none" w:color="auto"/>
                <w:lang w:val="en-US" w:eastAsia="zh-CN"/>
              </w:rPr>
              <w:t>/a</w:t>
            </w:r>
            <w:r>
              <w:rPr>
                <w:rFonts w:hint="eastAsia" w:ascii="Times New Roman" w:hAnsi="Times New Roman" w:cs="Times New Roman"/>
                <w:color w:val="auto"/>
                <w:sz w:val="24"/>
                <w:szCs w:val="24"/>
                <w:u w:val="none" w:color="auto"/>
                <w:lang w:val="en-US" w:eastAsia="zh-CN"/>
              </w:rPr>
              <w:t>，经化粪池处理后</w:t>
            </w:r>
            <w:r>
              <w:rPr>
                <w:rFonts w:hint="eastAsia" w:cs="Times New Roman"/>
                <w:color w:val="auto"/>
                <w:sz w:val="24"/>
                <w:szCs w:val="24"/>
                <w:u w:val="none"/>
                <w:lang w:val="en-US" w:eastAsia="zh-CN"/>
              </w:rPr>
              <w:t>通过市政污水管网进入中方产业开发区(泸阳镇)污水处理厂处理进一步处理达标外排</w:t>
            </w:r>
            <w:r>
              <w:rPr>
                <w:rFonts w:hint="eastAsia" w:ascii="Times New Roman" w:hAnsi="Times New Roman" w:cs="Times New Roman"/>
                <w:color w:val="auto"/>
                <w:sz w:val="24"/>
                <w:szCs w:val="24"/>
                <w:u w:val="none" w:color="auto"/>
                <w:lang w:val="en-US" w:eastAsia="zh-CN"/>
              </w:rPr>
              <w:t>。</w:t>
            </w:r>
          </w:p>
          <w:p w14:paraId="3A85FD1C">
            <w:pPr>
              <w:pStyle w:val="60"/>
              <w:pageBreakBefore w:val="0"/>
              <w:kinsoku/>
              <w:wordWrap/>
              <w:overflowPunct/>
              <w:topLinePunct w:val="0"/>
              <w:bidi w:val="0"/>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（2）水平衡图</w:t>
            </w:r>
          </w:p>
          <w:p w14:paraId="38E14864">
            <w:pPr>
              <w:pStyle w:val="60"/>
              <w:pageBreakBefore w:val="0"/>
              <w:kinsoku/>
              <w:wordWrap/>
              <w:overflowPunct/>
              <w:topLinePunct w:val="0"/>
              <w:bidi w:val="0"/>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项目水平衡图见图2-1。</w:t>
            </w:r>
          </w:p>
          <w:p w14:paraId="5B9A12C1">
            <w:pPr>
              <w:pStyle w:val="6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val="0"/>
                <w:color w:val="auto"/>
                <w:sz w:val="21"/>
                <w:szCs w:val="21"/>
                <w:lang w:val="en-US" w:eastAsia="zh-CN"/>
              </w:rPr>
            </w:pPr>
            <w:r>
              <w:drawing>
                <wp:inline distT="0" distB="0" distL="114300" distR="114300">
                  <wp:extent cx="5372100" cy="803910"/>
                  <wp:effectExtent l="0" t="0" r="0" b="15240"/>
                  <wp:docPr id="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pic:cNvPicPr>
                            <a:picLocks noChangeAspect="1"/>
                          </pic:cNvPicPr>
                        </pic:nvPicPr>
                        <pic:blipFill>
                          <a:blip r:embed="rId25"/>
                          <a:stretch>
                            <a:fillRect/>
                          </a:stretch>
                        </pic:blipFill>
                        <pic:spPr>
                          <a:xfrm>
                            <a:off x="0" y="0"/>
                            <a:ext cx="5372100" cy="803910"/>
                          </a:xfrm>
                          <a:prstGeom prst="rect">
                            <a:avLst/>
                          </a:prstGeom>
                          <a:noFill/>
                          <a:ln>
                            <a:noFill/>
                          </a:ln>
                        </pic:spPr>
                      </pic:pic>
                    </a:graphicData>
                  </a:graphic>
                </wp:inline>
              </w:drawing>
            </w:r>
          </w:p>
          <w:p w14:paraId="5CE66A09">
            <w:pPr>
              <w:pStyle w:val="60"/>
              <w:pageBreakBefore w:val="0"/>
              <w:kinsoku/>
              <w:wordWrap/>
              <w:overflowPunct/>
              <w:topLinePunct w:val="0"/>
              <w:bidi w:val="0"/>
              <w:ind w:firstLine="422" w:firstLineChars="200"/>
              <w:jc w:val="center"/>
              <w:rPr>
                <w:rFonts w:hint="default" w:ascii="Times New Roman" w:hAnsi="Times New Roman"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图2-3项目水平衡图（m</w:t>
            </w:r>
            <w:r>
              <w:rPr>
                <w:rFonts w:hint="eastAsia" w:ascii="Times New Roman" w:hAnsi="Times New Roman" w:cs="Times New Roman"/>
                <w:b/>
                <w:bCs w:val="0"/>
                <w:color w:val="auto"/>
                <w:sz w:val="21"/>
                <w:szCs w:val="21"/>
                <w:vertAlign w:val="superscript"/>
                <w:lang w:val="en-US" w:eastAsia="zh-CN"/>
              </w:rPr>
              <w:t>3</w:t>
            </w:r>
            <w:r>
              <w:rPr>
                <w:rFonts w:hint="eastAsia" w:ascii="Times New Roman" w:hAnsi="Times New Roman" w:cs="Times New Roman"/>
                <w:b/>
                <w:bCs w:val="0"/>
                <w:color w:val="auto"/>
                <w:sz w:val="21"/>
                <w:szCs w:val="21"/>
                <w:lang w:val="en-US" w:eastAsia="zh-CN"/>
              </w:rPr>
              <w:t>/a）</w:t>
            </w:r>
          </w:p>
          <w:p w14:paraId="5B85B2A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val="en-US" w:eastAsia="zh-CN" w:bidi="ar"/>
              </w:rPr>
              <w:t>）供电</w:t>
            </w:r>
          </w:p>
          <w:p w14:paraId="366AD1BE">
            <w:pPr>
              <w:keepNext w:val="0"/>
              <w:keepLines w:val="0"/>
              <w:pageBreakBefore w:val="0"/>
              <w:kinsoku/>
              <w:wordWrap/>
              <w:overflowPunct/>
              <w:topLinePunct w:val="0"/>
              <w:autoSpaceDE/>
              <w:autoSpaceDN/>
              <w:bidi w:val="0"/>
              <w:adjustRightInd w:val="0"/>
              <w:snapToGrid w:val="0"/>
              <w:spacing w:line="360" w:lineRule="auto"/>
              <w:ind w:right="0" w:firstLine="480" w:firstLineChars="200"/>
              <w:jc w:val="both"/>
              <w:textAlignment w:val="auto"/>
              <w:rPr>
                <w:rFonts w:hint="eastAsia" w:cs="Times New Roman"/>
                <w:sz w:val="24"/>
                <w:szCs w:val="24"/>
                <w:lang w:val="en-US" w:eastAsia="zh-CN"/>
              </w:rPr>
            </w:pPr>
            <w:r>
              <w:rPr>
                <w:rFonts w:hint="eastAsia" w:cs="Times New Roman"/>
                <w:sz w:val="24"/>
                <w:szCs w:val="24"/>
                <w:lang w:val="en-US" w:eastAsia="zh-CN"/>
              </w:rPr>
              <w:t>市政电网。</w:t>
            </w:r>
          </w:p>
          <w:p w14:paraId="6A0B972A">
            <w:pPr>
              <w:keepNext w:val="0"/>
              <w:keepLines w:val="0"/>
              <w:pageBreakBefore w:val="0"/>
              <w:kinsoku/>
              <w:wordWrap/>
              <w:overflowPunct/>
              <w:topLinePunct w:val="0"/>
              <w:autoSpaceDE/>
              <w:autoSpaceDN/>
              <w:bidi w:val="0"/>
              <w:adjustRightInd w:val="0"/>
              <w:snapToGrid w:val="0"/>
              <w:spacing w:line="360" w:lineRule="auto"/>
              <w:ind w:right="0" w:firstLine="482" w:firstLineChars="200"/>
              <w:jc w:val="both"/>
              <w:textAlignment w:val="auto"/>
              <w:rPr>
                <w:rFonts w:hint="default" w:ascii="Times New Roman" w:hAnsi="Times New Roman" w:eastAsia="宋体" w:cs="Times New Roman"/>
                <w:b/>
                <w:bCs/>
                <w:color w:val="auto"/>
                <w:kern w:val="0"/>
                <w:sz w:val="24"/>
                <w:szCs w:val="22"/>
                <w:lang w:val="en-US" w:eastAsia="zh-CN" w:bidi="ar-SA"/>
              </w:rPr>
            </w:pPr>
            <w:r>
              <w:rPr>
                <w:rFonts w:hint="eastAsia" w:cs="Times New Roman"/>
                <w:b/>
                <w:bCs/>
                <w:color w:val="auto"/>
                <w:kern w:val="0"/>
                <w:sz w:val="24"/>
                <w:szCs w:val="22"/>
                <w:lang w:val="en-US" w:eastAsia="zh-CN" w:bidi="ar-SA"/>
              </w:rPr>
              <w:t>8</w:t>
            </w:r>
            <w:r>
              <w:rPr>
                <w:rFonts w:hint="eastAsia" w:ascii="Times New Roman" w:hAnsi="Times New Roman" w:eastAsia="宋体" w:cs="Times New Roman"/>
                <w:b/>
                <w:bCs/>
                <w:color w:val="auto"/>
                <w:kern w:val="0"/>
                <w:sz w:val="24"/>
                <w:szCs w:val="22"/>
                <w:lang w:val="en-US" w:eastAsia="zh-CN" w:bidi="ar-SA"/>
              </w:rPr>
              <w:t>、</w:t>
            </w:r>
            <w:r>
              <w:rPr>
                <w:rFonts w:hint="default" w:ascii="Times New Roman" w:hAnsi="Times New Roman" w:eastAsia="宋体" w:cs="Times New Roman"/>
                <w:b/>
                <w:bCs/>
                <w:color w:val="auto"/>
                <w:kern w:val="0"/>
                <w:sz w:val="24"/>
                <w:szCs w:val="22"/>
                <w:lang w:val="en-US" w:eastAsia="zh-CN" w:bidi="ar-SA"/>
              </w:rPr>
              <w:t>劳动定员及生产制度</w:t>
            </w:r>
          </w:p>
          <w:p w14:paraId="421C057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eastAsia" w:cs="Times New Roman"/>
                <w:color w:val="auto"/>
                <w:sz w:val="24"/>
                <w:lang w:val="en-US" w:eastAsia="zh-CN"/>
              </w:rPr>
              <w:t>本项目劳动定员80人</w:t>
            </w:r>
            <w:r>
              <w:rPr>
                <w:rFonts w:hint="default" w:ascii="Times New Roman" w:hAnsi="Times New Roman" w:cs="Times New Roman"/>
                <w:color w:val="auto"/>
                <w:sz w:val="24"/>
                <w:lang w:val="en-US" w:eastAsia="zh-CN"/>
              </w:rPr>
              <w:t>，项目年工作日3</w:t>
            </w:r>
            <w:r>
              <w:rPr>
                <w:rFonts w:hint="eastAsia" w:cs="Times New Roman"/>
                <w:color w:val="auto"/>
                <w:sz w:val="24"/>
                <w:lang w:val="en-US" w:eastAsia="zh-CN"/>
              </w:rPr>
              <w:t>00</w:t>
            </w:r>
            <w:r>
              <w:rPr>
                <w:rFonts w:hint="default" w:ascii="Times New Roman" w:hAnsi="Times New Roman" w:cs="Times New Roman"/>
                <w:color w:val="auto"/>
                <w:sz w:val="24"/>
                <w:lang w:val="en-US" w:eastAsia="zh-CN"/>
              </w:rPr>
              <w:t>天，</w:t>
            </w:r>
            <w:r>
              <w:rPr>
                <w:rFonts w:hint="eastAsia" w:cs="Times New Roman"/>
                <w:color w:val="auto"/>
                <w:sz w:val="24"/>
                <w:lang w:val="en-US" w:eastAsia="zh-CN"/>
              </w:rPr>
              <w:t>日工作9</w:t>
            </w:r>
            <w:r>
              <w:rPr>
                <w:rFonts w:hint="default" w:ascii="Times New Roman" w:hAnsi="Times New Roman" w:cs="Times New Roman"/>
                <w:color w:val="auto"/>
                <w:sz w:val="24"/>
                <w:lang w:val="en-US" w:eastAsia="zh-CN"/>
              </w:rPr>
              <w:t>小时</w:t>
            </w:r>
            <w:r>
              <w:rPr>
                <w:rFonts w:hint="eastAsia" w:cs="Times New Roman"/>
                <w:color w:val="auto"/>
                <w:sz w:val="24"/>
                <w:lang w:val="en-US" w:eastAsia="zh-CN"/>
              </w:rPr>
              <w:t>。不设食宿。</w:t>
            </w:r>
          </w:p>
          <w:p w14:paraId="5E363FC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Times New Roman" w:hAnsi="Times New Roman" w:eastAsia="宋体" w:cs="Times New Roman"/>
                <w:b/>
                <w:bCs/>
                <w:color w:val="auto"/>
                <w:kern w:val="0"/>
                <w:sz w:val="24"/>
                <w:szCs w:val="22"/>
                <w:lang w:val="en-US" w:eastAsia="zh-CN" w:bidi="ar-SA"/>
              </w:rPr>
            </w:pPr>
            <w:r>
              <w:rPr>
                <w:rFonts w:hint="eastAsia" w:cs="Times New Roman"/>
                <w:b/>
                <w:bCs/>
                <w:color w:val="auto"/>
                <w:kern w:val="0"/>
                <w:sz w:val="24"/>
                <w:szCs w:val="22"/>
                <w:lang w:val="en-US" w:eastAsia="zh-CN" w:bidi="ar-SA"/>
              </w:rPr>
              <w:t>9、</w:t>
            </w:r>
            <w:r>
              <w:rPr>
                <w:rFonts w:hint="eastAsia" w:ascii="Times New Roman" w:hAnsi="Times New Roman" w:eastAsia="宋体" w:cs="Times New Roman"/>
                <w:b/>
                <w:bCs/>
                <w:color w:val="auto"/>
                <w:kern w:val="0"/>
                <w:sz w:val="24"/>
                <w:szCs w:val="22"/>
                <w:lang w:val="en-US" w:eastAsia="zh-CN" w:bidi="ar-SA"/>
              </w:rPr>
              <w:t>项目总平面布置</w:t>
            </w:r>
          </w:p>
          <w:p w14:paraId="73B815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highlight w:val="none"/>
                <w:u w:val="none" w:color="auto"/>
                <w:lang w:val="en-US"/>
              </w:rPr>
            </w:pPr>
            <w:r>
              <w:rPr>
                <w:rFonts w:hint="eastAsia" w:cs="Times New Roman"/>
                <w:color w:val="auto"/>
                <w:sz w:val="24"/>
                <w:szCs w:val="24"/>
                <w:u w:val="none"/>
                <w:lang w:val="en-US" w:eastAsia="zh-CN"/>
              </w:rPr>
              <w:t>怀化市高新技术产业开发区管理委员会中方片区管理办公室泸阳片区（众力创新园1栋南区第2层）</w:t>
            </w:r>
            <w:r>
              <w:rPr>
                <w:rFonts w:hint="eastAsia" w:cs="Times New Roman"/>
                <w:color w:val="auto"/>
                <w:kern w:val="0"/>
                <w:sz w:val="24"/>
                <w:szCs w:val="22"/>
                <w:lang w:val="en-US" w:eastAsia="zh-CN" w:bidi="ar-SA"/>
              </w:rPr>
              <w:t>项目厂区布置东西走向，由东到西分别为原料仓库、成品仓库、危化品库、空压机房、变压器生产区、焊锡区、含浸、烘干区及办公区。拟于厂房东南侧设置一座危废暂存间（5m</w:t>
            </w:r>
            <w:r>
              <w:rPr>
                <w:rFonts w:hint="eastAsia" w:cs="Times New Roman"/>
                <w:color w:val="auto"/>
                <w:kern w:val="0"/>
                <w:sz w:val="24"/>
                <w:szCs w:val="22"/>
                <w:vertAlign w:val="superscript"/>
                <w:lang w:val="en-US" w:eastAsia="zh-CN" w:bidi="ar-SA"/>
              </w:rPr>
              <w:t>2</w:t>
            </w:r>
            <w:r>
              <w:rPr>
                <w:rFonts w:hint="eastAsia" w:cs="Times New Roman"/>
                <w:color w:val="auto"/>
                <w:kern w:val="0"/>
                <w:sz w:val="24"/>
                <w:szCs w:val="22"/>
                <w:lang w:val="en-US" w:eastAsia="zh-CN" w:bidi="ar-SA"/>
              </w:rPr>
              <w:t>）。</w:t>
            </w:r>
          </w:p>
          <w:p w14:paraId="5BDFE9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24"/>
                <w:highlight w:val="none"/>
                <w:u w:val="none" w:color="auto"/>
                <w:lang w:val="en-US" w:eastAsia="zh-CN"/>
              </w:rPr>
            </w:pPr>
            <w:r>
              <w:rPr>
                <w:rFonts w:hint="eastAsia"/>
                <w:color w:val="auto"/>
                <w:sz w:val="24"/>
                <w:szCs w:val="24"/>
                <w:highlight w:val="none"/>
                <w:u w:val="none" w:color="auto"/>
                <w:lang w:val="en-US" w:eastAsia="zh-CN"/>
              </w:rPr>
              <w:t>项目生产区内设置2条电子变压器生产线，购置</w:t>
            </w:r>
            <w:r>
              <w:rPr>
                <w:rFonts w:hint="eastAsia"/>
                <w:bCs/>
                <w:color w:val="auto"/>
                <w:sz w:val="24"/>
                <w:szCs w:val="24"/>
                <w:vertAlign w:val="baseline"/>
                <w:lang w:val="en-US" w:eastAsia="zh-CN"/>
              </w:rPr>
              <w:t>绕线机、包胶机、综合测试仪、单耐压测试仪、无铅熔锡炉、真空含浸机、隧道式烘箱、空压机等生产设备</w:t>
            </w:r>
            <w:r>
              <w:rPr>
                <w:rFonts w:hint="eastAsia"/>
                <w:color w:val="auto"/>
                <w:sz w:val="24"/>
                <w:szCs w:val="24"/>
                <w:highlight w:val="none"/>
                <w:u w:val="none" w:color="auto"/>
                <w:lang w:val="en-US" w:eastAsia="zh-CN"/>
              </w:rPr>
              <w:t>等生产设备。</w:t>
            </w:r>
          </w:p>
          <w:p w14:paraId="62624E26">
            <w:pPr>
              <w:keepLines w:val="0"/>
              <w:pageBreakBefore w:val="0"/>
              <w:widowControl w:val="0"/>
              <w:kinsoku/>
              <w:wordWrap/>
              <w:topLinePunct w:val="0"/>
              <w:autoSpaceDE/>
              <w:autoSpaceDN/>
              <w:bidi w:val="0"/>
              <w:adjustRightInd/>
              <w:spacing w:line="360" w:lineRule="auto"/>
              <w:ind w:left="0" w:leftChars="0" w:firstLine="480" w:firstLineChars="200"/>
              <w:textAlignment w:val="auto"/>
              <w:rPr>
                <w:bCs/>
                <w:color w:val="000000" w:themeColor="text1"/>
                <w:szCs w:val="21"/>
                <w:u w:val="none" w:color="auto"/>
                <w14:textFill>
                  <w14:solidFill>
                    <w14:schemeClr w14:val="tx1"/>
                  </w14:solidFill>
                </w14:textFill>
              </w:rPr>
            </w:pPr>
            <w:r>
              <w:rPr>
                <w:rFonts w:hint="eastAsia"/>
                <w:color w:val="000000" w:themeColor="text1"/>
                <w:sz w:val="24"/>
                <w:highlight w:val="none"/>
                <w:u w:val="none" w:color="auto"/>
                <w14:textFill>
                  <w14:solidFill>
                    <w14:schemeClr w14:val="tx1"/>
                  </w14:solidFill>
                </w14:textFill>
              </w:rPr>
              <w:t>项目生产区按生产工艺流程顺序进行合理布局，做到物顺其流，人行其畅。即物、料按生产流程顺序，以最短的路线传递，避免往返交叉，</w:t>
            </w:r>
            <w:r>
              <w:rPr>
                <w:color w:val="000000" w:themeColor="text1"/>
                <w:sz w:val="24"/>
                <w:highlight w:val="none"/>
                <w:u w:val="none" w:color="auto"/>
                <w14:textFill>
                  <w14:solidFill>
                    <w14:schemeClr w14:val="tx1"/>
                  </w14:solidFill>
                </w14:textFill>
              </w:rPr>
              <w:t>最大限度地减少差错和交叉污染。</w:t>
            </w:r>
            <w:r>
              <w:rPr>
                <w:rFonts w:hint="eastAsia"/>
                <w:color w:val="000000" w:themeColor="text1"/>
                <w:sz w:val="24"/>
                <w:highlight w:val="none"/>
                <w:u w:val="none" w:color="auto"/>
                <w14:textFill>
                  <w14:solidFill>
                    <w14:schemeClr w14:val="tx1"/>
                  </w14:solidFill>
                </w14:textFill>
              </w:rPr>
              <w:t>整个厂区的平面布置是根据生产工艺流程及其产生的污染物对周围环境的影响来设计，充分考虑到了项目与周围环境的协调关系，</w:t>
            </w:r>
            <w:r>
              <w:rPr>
                <w:color w:val="000000" w:themeColor="text1"/>
                <w:sz w:val="24"/>
                <w:highlight w:val="none"/>
                <w:u w:val="none" w:color="auto"/>
                <w14:textFill>
                  <w14:solidFill>
                    <w14:schemeClr w14:val="tx1"/>
                  </w14:solidFill>
                </w14:textFill>
              </w:rPr>
              <w:t>布局合理</w:t>
            </w:r>
            <w:r>
              <w:rPr>
                <w:rFonts w:hint="eastAsia"/>
                <w:color w:val="000000" w:themeColor="text1"/>
                <w:sz w:val="24"/>
                <w:highlight w:val="none"/>
                <w:u w:val="none" w:color="auto"/>
                <w14:textFill>
                  <w14:solidFill>
                    <w14:schemeClr w14:val="tx1"/>
                  </w14:solidFill>
                </w14:textFill>
              </w:rPr>
              <w:t>。</w:t>
            </w:r>
            <w:r>
              <w:rPr>
                <w:bCs/>
                <w:color w:val="000000" w:themeColor="text1"/>
                <w:sz w:val="24"/>
                <w:highlight w:val="none"/>
                <w:u w:val="none" w:color="auto"/>
                <w14:textFill>
                  <w14:solidFill>
                    <w14:schemeClr w14:val="tx1"/>
                  </w14:solidFill>
                </w14:textFill>
              </w:rPr>
              <w:t>厂区平面布置见附图2。</w:t>
            </w:r>
          </w:p>
        </w:tc>
      </w:tr>
      <w:tr w14:paraId="1F8880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dxa"/>
            <w:vAlign w:val="center"/>
          </w:tcPr>
          <w:p w14:paraId="23C3696D">
            <w:pPr>
              <w:adjustRightInd w:val="0"/>
              <w:snapToGrid w:val="0"/>
              <w:spacing w:before="0" w:beforeAutospacing="0" w:after="0" w:afterAutospacing="0"/>
              <w:jc w:val="center"/>
              <w:rPr>
                <w:rFonts w:ascii="Times New Roman" w:hAnsi="Times New Roman"/>
                <w:color w:val="000000" w:themeColor="text1"/>
                <w:sz w:val="21"/>
                <w:szCs w:val="21"/>
                <w:u w:val="none" w:color="auto"/>
                <w14:textFill>
                  <w14:solidFill>
                    <w14:schemeClr w14:val="tx1"/>
                  </w14:solidFill>
                </w14:textFill>
              </w:rPr>
            </w:pPr>
            <w:r>
              <w:rPr>
                <w:rFonts w:ascii="Times New Roman" w:hAnsi="Times New Roman"/>
                <w:color w:val="000000" w:themeColor="text1"/>
                <w:sz w:val="24"/>
                <w:szCs w:val="24"/>
                <w:u w:val="none" w:color="auto"/>
                <w14:textFill>
                  <w14:solidFill>
                    <w14:schemeClr w14:val="tx1"/>
                  </w14:solidFill>
                </w14:textFill>
              </w:rPr>
              <w:t>工艺流程和产排污环节</w:t>
            </w:r>
          </w:p>
        </w:tc>
        <w:tc>
          <w:tcPr>
            <w:tcW w:w="8618" w:type="dxa"/>
          </w:tcPr>
          <w:p w14:paraId="15278F03">
            <w:pPr>
              <w:pStyle w:val="40"/>
              <w:bidi w:val="0"/>
              <w:rPr>
                <w:b/>
                <w:bCs/>
                <w:u w:val="none" w:color="auto"/>
              </w:rPr>
            </w:pPr>
            <w:r>
              <w:rPr>
                <w:rFonts w:hint="eastAsia"/>
                <w:b/>
                <w:bCs/>
                <w:u w:val="none" w:color="auto"/>
                <w:lang w:val="en-US" w:eastAsia="zh-CN"/>
              </w:rPr>
              <w:t>一</w:t>
            </w:r>
            <w:r>
              <w:rPr>
                <w:rFonts w:hint="eastAsia"/>
                <w:b/>
                <w:bCs/>
                <w:u w:val="none" w:color="auto"/>
              </w:rPr>
              <w:t>、</w:t>
            </w:r>
            <w:r>
              <w:rPr>
                <w:b/>
                <w:bCs/>
                <w:u w:val="none" w:color="auto"/>
              </w:rPr>
              <w:t>施工期施工流程及产污环节</w:t>
            </w:r>
          </w:p>
          <w:p w14:paraId="3424955E">
            <w:pPr>
              <w:numPr>
                <w:ilvl w:val="0"/>
                <w:numId w:val="0"/>
              </w:numPr>
              <w:bidi w:val="0"/>
              <w:ind w:firstLine="480" w:firstLineChars="200"/>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本项目施工期工艺流程及产污环节见图2-</w:t>
            </w:r>
            <w:r>
              <w:rPr>
                <w:rFonts w:hint="eastAsia" w:cs="Times New Roman"/>
                <w:color w:val="auto"/>
                <w:sz w:val="24"/>
                <w:szCs w:val="24"/>
                <w:u w:val="none" w:color="auto"/>
                <w:lang w:val="en-US" w:eastAsia="zh-CN"/>
              </w:rPr>
              <w:t>3</w:t>
            </w:r>
            <w:r>
              <w:rPr>
                <w:rFonts w:hint="default" w:ascii="Times New Roman" w:hAnsi="Times New Roman" w:eastAsia="宋体" w:cs="Times New Roman"/>
                <w:color w:val="auto"/>
                <w:sz w:val="24"/>
                <w:szCs w:val="24"/>
                <w:u w:val="none" w:color="auto"/>
                <w:lang w:val="en-US" w:eastAsia="zh-CN"/>
              </w:rPr>
              <w:t>。</w:t>
            </w:r>
          </w:p>
          <w:p w14:paraId="14457F59">
            <w:pPr>
              <w:pStyle w:val="40"/>
              <w:bidi w:val="0"/>
              <w:ind w:left="0" w:leftChars="0" w:firstLine="0" w:firstLineChars="0"/>
              <w:jc w:val="center"/>
              <w:rPr>
                <w:rFonts w:hint="eastAsia" w:ascii="宋体" w:hAnsi="宋体" w:eastAsia="宋体" w:cs="宋体"/>
                <w:b/>
                <w:bCs/>
                <w:color w:val="000000" w:themeColor="text1"/>
                <w:sz w:val="24"/>
                <w:szCs w:val="24"/>
                <w:u w:val="none" w:color="auto"/>
                <w:lang w:val="en-US" w:eastAsia="zh-CN"/>
                <w14:textFill>
                  <w14:solidFill>
                    <w14:schemeClr w14:val="tx1"/>
                  </w14:solidFill>
                </w14:textFill>
              </w:rPr>
            </w:pPr>
            <w:r>
              <w:rPr>
                <w:color w:val="000000"/>
              </w:rPr>
              <w:drawing>
                <wp:inline distT="0" distB="0" distL="114300" distR="114300">
                  <wp:extent cx="3549015" cy="681355"/>
                  <wp:effectExtent l="0" t="0" r="13335" b="4445"/>
                  <wp:docPr id="1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1"/>
                          <pic:cNvPicPr>
                            <a:picLocks noChangeAspect="1"/>
                          </pic:cNvPicPr>
                        </pic:nvPicPr>
                        <pic:blipFill>
                          <a:blip r:embed="rId26"/>
                          <a:srcRect t="18194" b="5837"/>
                          <a:stretch>
                            <a:fillRect/>
                          </a:stretch>
                        </pic:blipFill>
                        <pic:spPr>
                          <a:xfrm>
                            <a:off x="0" y="0"/>
                            <a:ext cx="3549015" cy="681355"/>
                          </a:xfrm>
                          <a:prstGeom prst="rect">
                            <a:avLst/>
                          </a:prstGeom>
                          <a:noFill/>
                          <a:ln>
                            <a:noFill/>
                          </a:ln>
                        </pic:spPr>
                      </pic:pic>
                    </a:graphicData>
                  </a:graphic>
                </wp:inline>
              </w:drawing>
            </w:r>
          </w:p>
          <w:p w14:paraId="3163B212">
            <w:pPr>
              <w:numPr>
                <w:ilvl w:val="0"/>
                <w:numId w:val="0"/>
              </w:numPr>
              <w:bidi w:val="0"/>
              <w:ind w:firstLine="422" w:firstLineChars="200"/>
              <w:jc w:val="center"/>
              <w:rPr>
                <w:rFonts w:hint="default" w:ascii="Times New Roman" w:hAnsi="Times New Roman" w:eastAsia="宋体" w:cs="Times New Roman"/>
                <w:b/>
                <w:color w:val="auto"/>
                <w:kern w:val="2"/>
                <w:sz w:val="21"/>
                <w:szCs w:val="28"/>
                <w:u w:val="none" w:color="auto"/>
                <w:lang w:val="en-US" w:eastAsia="zh-CN" w:bidi="ar-SA"/>
              </w:rPr>
            </w:pPr>
            <w:r>
              <w:rPr>
                <w:rFonts w:hint="default" w:ascii="Times New Roman" w:hAnsi="Times New Roman" w:eastAsia="宋体" w:cs="Times New Roman"/>
                <w:b/>
                <w:color w:val="auto"/>
                <w:kern w:val="2"/>
                <w:sz w:val="21"/>
                <w:szCs w:val="28"/>
                <w:u w:val="none" w:color="auto"/>
                <w:lang w:val="en-US" w:eastAsia="zh-CN" w:bidi="ar-SA"/>
              </w:rPr>
              <w:t>图2-</w:t>
            </w:r>
            <w:r>
              <w:rPr>
                <w:rFonts w:hint="eastAsia" w:cs="Times New Roman"/>
                <w:b/>
                <w:color w:val="auto"/>
                <w:kern w:val="2"/>
                <w:sz w:val="21"/>
                <w:szCs w:val="28"/>
                <w:u w:val="none" w:color="auto"/>
                <w:lang w:val="en-US" w:eastAsia="zh-CN" w:bidi="ar-SA"/>
              </w:rPr>
              <w:t xml:space="preserve">4  </w:t>
            </w:r>
            <w:r>
              <w:rPr>
                <w:rFonts w:hint="default" w:ascii="Times New Roman" w:hAnsi="Times New Roman" w:eastAsia="宋体" w:cs="Times New Roman"/>
                <w:b/>
                <w:color w:val="auto"/>
                <w:kern w:val="2"/>
                <w:sz w:val="21"/>
                <w:szCs w:val="28"/>
                <w:u w:val="none" w:color="auto"/>
                <w:lang w:val="en-US" w:eastAsia="zh-CN" w:bidi="ar-SA"/>
              </w:rPr>
              <w:t>项目施工期工艺流程及产污环节</w:t>
            </w:r>
          </w:p>
          <w:p w14:paraId="39E7CB7A">
            <w:pPr>
              <w:pStyle w:val="40"/>
              <w:bidi w:val="0"/>
              <w:rPr>
                <w:rFonts w:hint="default"/>
                <w:u w:val="none" w:color="auto"/>
                <w:lang w:val="en-US" w:eastAsia="zh-CN"/>
              </w:rPr>
            </w:pPr>
            <w:r>
              <w:rPr>
                <w:rFonts w:hint="default"/>
                <w:u w:val="none" w:color="auto"/>
                <w:lang w:val="en-US" w:eastAsia="zh-CN"/>
              </w:rPr>
              <w:t>经现场踏勘，本项目租赁厂房进行生产，环评阶段</w:t>
            </w:r>
            <w:r>
              <w:rPr>
                <w:rFonts w:hint="eastAsia"/>
                <w:u w:val="none" w:color="auto"/>
                <w:lang w:val="en-US" w:eastAsia="zh-CN"/>
              </w:rPr>
              <w:t>主体工程已建设</w:t>
            </w:r>
            <w:r>
              <w:rPr>
                <w:rFonts w:hint="default"/>
                <w:u w:val="none" w:color="auto"/>
                <w:lang w:val="en-US" w:eastAsia="zh-CN"/>
              </w:rPr>
              <w:t>完成，只需</w:t>
            </w:r>
            <w:r>
              <w:rPr>
                <w:rFonts w:hint="eastAsia"/>
                <w:u w:val="none" w:color="auto"/>
                <w:lang w:val="en-US" w:eastAsia="zh-CN"/>
              </w:rPr>
              <w:t>进行少量改造，</w:t>
            </w:r>
            <w:r>
              <w:rPr>
                <w:rFonts w:hint="default"/>
                <w:u w:val="none" w:color="auto"/>
                <w:lang w:val="en-US" w:eastAsia="zh-CN"/>
              </w:rPr>
              <w:t>安装</w:t>
            </w:r>
            <w:r>
              <w:rPr>
                <w:rFonts w:hint="eastAsia"/>
                <w:u w:val="none" w:color="auto"/>
                <w:lang w:val="en-US" w:eastAsia="zh-CN"/>
              </w:rPr>
              <w:t>环保</w:t>
            </w:r>
            <w:r>
              <w:rPr>
                <w:rFonts w:hint="default"/>
                <w:u w:val="none" w:color="auto"/>
                <w:lang w:val="en-US" w:eastAsia="zh-CN"/>
              </w:rPr>
              <w:t>设备</w:t>
            </w:r>
            <w:r>
              <w:rPr>
                <w:rFonts w:hint="eastAsia"/>
                <w:u w:val="none" w:color="auto"/>
                <w:lang w:val="en-US" w:eastAsia="zh-CN"/>
              </w:rPr>
              <w:t>等</w:t>
            </w:r>
            <w:r>
              <w:rPr>
                <w:rFonts w:hint="default"/>
                <w:u w:val="none" w:color="auto"/>
                <w:lang w:val="en-US" w:eastAsia="zh-CN"/>
              </w:rPr>
              <w:t>，施工过程中将产生扬尘、废水、噪声以及弃渣等。</w:t>
            </w:r>
          </w:p>
          <w:p w14:paraId="3B63D84E">
            <w:pPr>
              <w:pStyle w:val="40"/>
              <w:bidi w:val="0"/>
              <w:rPr>
                <w:rFonts w:eastAsia="宋体"/>
                <w:b/>
                <w:bCs/>
                <w:snapToGrid w:val="0"/>
                <w:color w:val="000000" w:themeColor="text1"/>
                <w:kern w:val="0"/>
                <w:sz w:val="24"/>
                <w:szCs w:val="24"/>
                <w:u w:val="none" w:color="auto"/>
                <w14:textFill>
                  <w14:solidFill>
                    <w14:schemeClr w14:val="tx1"/>
                  </w14:solidFill>
                </w14:textFill>
              </w:rPr>
            </w:pPr>
            <w:bookmarkStart w:id="13" w:name="_Toc71631402"/>
            <w:r>
              <w:rPr>
                <w:rFonts w:hint="eastAsia" w:ascii="宋体" w:hAnsi="宋体" w:eastAsia="宋体" w:cs="宋体"/>
                <w:b/>
                <w:bCs/>
                <w:color w:val="000000" w:themeColor="text1"/>
                <w:sz w:val="24"/>
                <w:szCs w:val="24"/>
                <w:u w:val="none" w:color="auto"/>
                <w:lang w:val="en-US" w:eastAsia="zh-CN"/>
                <w14:textFill>
                  <w14:solidFill>
                    <w14:schemeClr w14:val="tx1"/>
                  </w14:solidFill>
                </w14:textFill>
              </w:rPr>
              <w:t>二</w:t>
            </w:r>
            <w:r>
              <w:rPr>
                <w:rFonts w:hint="eastAsia" w:ascii="宋体" w:hAnsi="宋体" w:eastAsia="宋体" w:cs="宋体"/>
                <w:b/>
                <w:bCs/>
                <w:color w:val="000000" w:themeColor="text1"/>
                <w:sz w:val="24"/>
                <w:szCs w:val="24"/>
                <w:u w:val="none" w:color="auto"/>
                <w14:textFill>
                  <w14:solidFill>
                    <w14:schemeClr w14:val="tx1"/>
                  </w14:solidFill>
                </w14:textFill>
              </w:rPr>
              <w:t>、</w:t>
            </w:r>
            <w:r>
              <w:rPr>
                <w:rFonts w:hint="eastAsia" w:eastAsia="宋体"/>
                <w:b/>
                <w:bCs/>
                <w:snapToGrid w:val="0"/>
                <w:color w:val="000000" w:themeColor="text1"/>
                <w:kern w:val="0"/>
                <w:sz w:val="24"/>
                <w:szCs w:val="24"/>
                <w:u w:val="none" w:color="auto"/>
                <w14:textFill>
                  <w14:solidFill>
                    <w14:schemeClr w14:val="tx1"/>
                  </w14:solidFill>
                </w14:textFill>
              </w:rPr>
              <w:t>营运期</w:t>
            </w:r>
            <w:r>
              <w:rPr>
                <w:rFonts w:hint="eastAsia" w:eastAsia="宋体"/>
                <w:b/>
                <w:bCs/>
                <w:snapToGrid w:val="0"/>
                <w:color w:val="000000" w:themeColor="text1"/>
                <w:kern w:val="0"/>
                <w:sz w:val="24"/>
                <w:szCs w:val="24"/>
                <w:u w:val="none" w:color="auto"/>
                <w:lang w:val="en-US" w:eastAsia="zh-CN"/>
                <w14:textFill>
                  <w14:solidFill>
                    <w14:schemeClr w14:val="tx1"/>
                  </w14:solidFill>
                </w14:textFill>
              </w:rPr>
              <w:t>生产工艺</w:t>
            </w:r>
            <w:r>
              <w:rPr>
                <w:rFonts w:eastAsia="宋体"/>
                <w:b/>
                <w:bCs/>
                <w:snapToGrid w:val="0"/>
                <w:color w:val="000000" w:themeColor="text1"/>
                <w:kern w:val="0"/>
                <w:sz w:val="24"/>
                <w:szCs w:val="24"/>
                <w:u w:val="none" w:color="auto"/>
                <w14:textFill>
                  <w14:solidFill>
                    <w14:schemeClr w14:val="tx1"/>
                  </w14:solidFill>
                </w14:textFill>
              </w:rPr>
              <w:t>流程及产污环节</w:t>
            </w:r>
            <w:bookmarkEnd w:id="13"/>
          </w:p>
          <w:p w14:paraId="117A1400">
            <w:pPr>
              <w:pStyle w:val="40"/>
              <w:bidi w:val="0"/>
              <w:rPr>
                <w:rFonts w:hint="default" w:eastAsia="宋体"/>
                <w:b w:val="0"/>
                <w:bCs w:val="0"/>
                <w:snapToGrid w:val="0"/>
                <w:color w:val="000000" w:themeColor="text1"/>
                <w:kern w:val="0"/>
                <w:sz w:val="24"/>
                <w:szCs w:val="24"/>
                <w:u w:val="none" w:color="auto"/>
                <w:lang w:val="en-US" w:eastAsia="zh-CN"/>
                <w14:textFill>
                  <w14:solidFill>
                    <w14:schemeClr w14:val="tx1"/>
                  </w14:solidFill>
                </w14:textFill>
              </w:rPr>
            </w:pPr>
            <w:r>
              <w:rPr>
                <w:rFonts w:hint="eastAsia"/>
                <w:b w:val="0"/>
                <w:bCs w:val="0"/>
                <w:snapToGrid w:val="0"/>
                <w:color w:val="000000" w:themeColor="text1"/>
                <w:kern w:val="0"/>
                <w:sz w:val="24"/>
                <w:szCs w:val="24"/>
                <w:u w:val="none" w:color="auto"/>
                <w:lang w:val="en-US" w:eastAsia="zh-CN"/>
                <w14:textFill>
                  <w14:solidFill>
                    <w14:schemeClr w14:val="tx1"/>
                  </w14:solidFill>
                </w14:textFill>
              </w:rPr>
              <w:t>本项目生产EE和PQ两种型号的电子变压器，两者仅原料磁芯和骨架不同，共用生产设备，工艺流程一致，详见下图2-4.</w:t>
            </w:r>
          </w:p>
          <w:p w14:paraId="0857ABC2">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2840990" cy="6991350"/>
                  <wp:effectExtent l="0" t="0" r="16510" b="0"/>
                  <wp:docPr id="23"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descr="IMG_256"/>
                          <pic:cNvPicPr>
                            <a:picLocks noChangeAspect="1"/>
                          </pic:cNvPicPr>
                        </pic:nvPicPr>
                        <pic:blipFill>
                          <a:blip r:embed="rId27"/>
                          <a:stretch>
                            <a:fillRect/>
                          </a:stretch>
                        </pic:blipFill>
                        <pic:spPr>
                          <a:xfrm>
                            <a:off x="0" y="0"/>
                            <a:ext cx="2840990" cy="6991350"/>
                          </a:xfrm>
                          <a:prstGeom prst="rect">
                            <a:avLst/>
                          </a:prstGeom>
                          <a:noFill/>
                          <a:ln w="9525">
                            <a:noFill/>
                          </a:ln>
                        </pic:spPr>
                      </pic:pic>
                    </a:graphicData>
                  </a:graphic>
                </wp:inline>
              </w:drawing>
            </w:r>
          </w:p>
          <w:p w14:paraId="3B54BF75">
            <w:pPr>
              <w:keepNext w:val="0"/>
              <w:keepLines w:val="0"/>
              <w:widowControl/>
              <w:suppressLineNumbers w:val="0"/>
              <w:jc w:val="center"/>
            </w:pPr>
          </w:p>
          <w:p w14:paraId="5533C655">
            <w:pPr>
              <w:pStyle w:val="42"/>
              <w:bidi w:val="0"/>
              <w:rPr>
                <w:u w:val="none" w:color="auto"/>
              </w:rPr>
            </w:pPr>
            <w:r>
              <w:rPr>
                <w:u w:val="none" w:color="auto"/>
              </w:rPr>
              <w:t>图2</w:t>
            </w:r>
            <w:r>
              <w:rPr>
                <w:rFonts w:hint="eastAsia"/>
                <w:u w:val="none" w:color="auto"/>
              </w:rPr>
              <w:t>-</w:t>
            </w:r>
            <w:r>
              <w:rPr>
                <w:rFonts w:hint="eastAsia"/>
                <w:u w:val="none" w:color="auto"/>
                <w:lang w:val="en-US" w:eastAsia="zh-CN"/>
              </w:rPr>
              <w:t xml:space="preserve">4 </w:t>
            </w:r>
            <w:r>
              <w:rPr>
                <w:u w:val="none" w:color="auto"/>
              </w:rPr>
              <w:t xml:space="preserve"> 生产工艺流程及产污环节图</w:t>
            </w:r>
          </w:p>
          <w:p w14:paraId="4CCFBA2D">
            <w:pPr>
              <w:pStyle w:val="40"/>
              <w:bidi w:val="0"/>
              <w:rPr>
                <w:rFonts w:hint="default"/>
                <w:b/>
                <w:bCs/>
                <w:u w:val="none" w:color="auto"/>
                <w:lang w:val="en-US" w:eastAsia="zh-CN"/>
              </w:rPr>
            </w:pPr>
            <w:r>
              <w:rPr>
                <w:rFonts w:hint="eastAsia"/>
                <w:b/>
                <w:bCs/>
                <w:u w:val="none" w:color="auto"/>
                <w:lang w:val="en-US" w:eastAsia="zh-CN"/>
              </w:rPr>
              <w:t>生产工艺说明：</w:t>
            </w:r>
          </w:p>
          <w:p w14:paraId="5728E16D">
            <w:pPr>
              <w:pStyle w:val="40"/>
              <w:bidi w:val="0"/>
              <w:rPr>
                <w:rFonts w:hint="eastAsia"/>
                <w:b w:val="0"/>
                <w:bCs w:val="0"/>
                <w:u w:val="none" w:color="auto"/>
              </w:rPr>
            </w:pPr>
            <w:r>
              <w:rPr>
                <w:rFonts w:hint="eastAsia"/>
                <w:b w:val="0"/>
                <w:bCs w:val="0"/>
                <w:u w:val="none" w:color="auto"/>
                <w:lang w:val="en-US" w:eastAsia="zh-CN"/>
              </w:rPr>
              <w:t>1、</w:t>
            </w:r>
            <w:r>
              <w:rPr>
                <w:rFonts w:hint="eastAsia"/>
                <w:b w:val="0"/>
                <w:bCs w:val="0"/>
                <w:u w:val="none" w:color="auto"/>
              </w:rPr>
              <w:t>绕线：</w:t>
            </w:r>
            <w:r>
              <w:rPr>
                <w:rFonts w:hint="eastAsia"/>
                <w:b w:val="0"/>
                <w:bCs w:val="0"/>
                <w:u w:val="none" w:color="auto"/>
                <w:lang w:val="en-US" w:eastAsia="zh-CN"/>
              </w:rPr>
              <w:t>根据客户订单，外购合适的骨架、漆包铜线，使用绕线机，将漆包铜线绕制在骨架上，绕线机精确控制绕线的匝数、张力和速度，确保绕组的均匀性和紧密性，</w:t>
            </w:r>
            <w:r>
              <w:rPr>
                <w:rFonts w:hint="eastAsia"/>
                <w:b w:val="0"/>
                <w:bCs w:val="0"/>
                <w:u w:val="none" w:color="auto"/>
              </w:rPr>
              <w:t>形成线圈绕组，该工序产生设备噪声</w:t>
            </w:r>
            <w:r>
              <w:rPr>
                <w:rFonts w:hint="eastAsia"/>
                <w:b w:val="0"/>
                <w:bCs w:val="0"/>
                <w:u w:val="none" w:color="auto"/>
                <w:lang w:val="en-US" w:eastAsia="zh-CN"/>
              </w:rPr>
              <w:t>N</w:t>
            </w:r>
            <w:r>
              <w:rPr>
                <w:rFonts w:hint="eastAsia"/>
                <w:b w:val="0"/>
                <w:bCs w:val="0"/>
                <w:u w:val="none" w:color="auto"/>
              </w:rPr>
              <w:t>。</w:t>
            </w:r>
          </w:p>
          <w:p w14:paraId="7E29A4CA">
            <w:pPr>
              <w:pStyle w:val="40"/>
              <w:bidi w:val="0"/>
              <w:rPr>
                <w:rFonts w:hint="eastAsia"/>
                <w:b w:val="0"/>
                <w:bCs w:val="0"/>
                <w:u w:val="none" w:color="auto"/>
              </w:rPr>
            </w:pPr>
            <w:r>
              <w:rPr>
                <w:rFonts w:hint="eastAsia"/>
                <w:b w:val="0"/>
                <w:bCs w:val="0"/>
                <w:u w:val="none" w:color="auto"/>
                <w:lang w:val="en-US" w:eastAsia="zh-CN"/>
              </w:rPr>
              <w:t>2、</w:t>
            </w:r>
            <w:r>
              <w:rPr>
                <w:rFonts w:hint="eastAsia"/>
                <w:b w:val="0"/>
                <w:bCs w:val="0"/>
                <w:u w:val="none" w:color="auto"/>
              </w:rPr>
              <w:t>理线：对绕制完成的线圈线头进行整理、规整，该工序产生少量</w:t>
            </w:r>
            <w:r>
              <w:rPr>
                <w:rFonts w:hint="eastAsia"/>
                <w:b w:val="0"/>
                <w:bCs w:val="0"/>
                <w:u w:val="none" w:color="auto"/>
                <w:lang w:eastAsia="zh-CN"/>
              </w:rPr>
              <w:t>废铜线边角料</w:t>
            </w:r>
            <w:r>
              <w:rPr>
                <w:rFonts w:hint="eastAsia"/>
                <w:b w:val="0"/>
                <w:bCs w:val="0"/>
                <w:u w:val="none" w:color="auto"/>
                <w:lang w:val="en-US" w:eastAsia="zh-CN"/>
              </w:rPr>
              <w:t>S</w:t>
            </w:r>
            <w:r>
              <w:rPr>
                <w:rFonts w:hint="eastAsia"/>
                <w:b w:val="0"/>
                <w:bCs w:val="0"/>
                <w:u w:val="none" w:color="auto"/>
              </w:rPr>
              <w:t>。</w:t>
            </w:r>
          </w:p>
          <w:p w14:paraId="5E254283">
            <w:pPr>
              <w:pStyle w:val="40"/>
              <w:bidi w:val="0"/>
              <w:rPr>
                <w:rFonts w:hint="eastAsia"/>
                <w:b w:val="0"/>
                <w:bCs w:val="0"/>
                <w:u w:val="none" w:color="auto"/>
              </w:rPr>
            </w:pPr>
            <w:r>
              <w:rPr>
                <w:rFonts w:hint="eastAsia"/>
                <w:b w:val="0"/>
                <w:bCs w:val="0"/>
                <w:u w:val="none" w:color="auto"/>
                <w:lang w:val="en-US" w:eastAsia="zh-CN"/>
              </w:rPr>
              <w:t>3、</w:t>
            </w:r>
            <w:r>
              <w:rPr>
                <w:rFonts w:hint="eastAsia"/>
                <w:b w:val="0"/>
                <w:bCs w:val="0"/>
                <w:u w:val="none" w:color="auto"/>
              </w:rPr>
              <w:t>焊锡：添加锡条、助焊剂，</w:t>
            </w:r>
            <w:r>
              <w:rPr>
                <w:rFonts w:hint="eastAsia"/>
                <w:b w:val="0"/>
                <w:bCs w:val="0"/>
                <w:u w:val="none" w:color="auto"/>
                <w:lang w:val="en-US" w:eastAsia="zh-CN"/>
              </w:rPr>
              <w:t>使用无铅熔锡炉</w:t>
            </w:r>
            <w:r>
              <w:rPr>
                <w:rFonts w:hint="eastAsia"/>
                <w:b w:val="0"/>
                <w:bCs w:val="0"/>
                <w:u w:val="none" w:color="auto"/>
              </w:rPr>
              <w:t>对线圈引脚进行焊锡焊接，工序产生焊锡废气</w:t>
            </w:r>
            <w:r>
              <w:rPr>
                <w:rFonts w:hint="eastAsia"/>
                <w:b w:val="0"/>
                <w:bCs w:val="0"/>
                <w:u w:val="none" w:color="auto"/>
                <w:lang w:val="en-US" w:eastAsia="zh-CN"/>
              </w:rPr>
              <w:t>G1</w:t>
            </w:r>
            <w:r>
              <w:rPr>
                <w:rFonts w:hint="eastAsia"/>
                <w:b w:val="0"/>
                <w:bCs w:val="0"/>
                <w:u w:val="none" w:color="auto"/>
              </w:rPr>
              <w:t>、设备噪声</w:t>
            </w:r>
            <w:r>
              <w:rPr>
                <w:rFonts w:hint="eastAsia"/>
                <w:b w:val="0"/>
                <w:bCs w:val="0"/>
                <w:u w:val="none" w:color="auto"/>
                <w:lang w:val="en-US" w:eastAsia="zh-CN"/>
              </w:rPr>
              <w:t>N</w:t>
            </w:r>
            <w:r>
              <w:rPr>
                <w:rFonts w:hint="eastAsia"/>
                <w:b w:val="0"/>
                <w:bCs w:val="0"/>
                <w:u w:val="none" w:color="auto"/>
              </w:rPr>
              <w:t>、焊渣固废</w:t>
            </w:r>
            <w:r>
              <w:rPr>
                <w:rFonts w:hint="eastAsia"/>
                <w:b w:val="0"/>
                <w:bCs w:val="0"/>
                <w:u w:val="none" w:color="auto"/>
                <w:lang w:val="en-US" w:eastAsia="zh-CN"/>
              </w:rPr>
              <w:t>S</w:t>
            </w:r>
            <w:r>
              <w:rPr>
                <w:rFonts w:hint="eastAsia"/>
                <w:b w:val="0"/>
                <w:bCs w:val="0"/>
                <w:u w:val="none" w:color="auto"/>
              </w:rPr>
              <w:t>。</w:t>
            </w:r>
          </w:p>
          <w:p w14:paraId="53D31C72">
            <w:pPr>
              <w:pStyle w:val="40"/>
              <w:bidi w:val="0"/>
              <w:rPr>
                <w:rFonts w:hint="eastAsia"/>
                <w:b w:val="0"/>
                <w:bCs w:val="0"/>
                <w:u w:val="none" w:color="auto"/>
              </w:rPr>
            </w:pPr>
            <w:r>
              <w:rPr>
                <w:rFonts w:hint="eastAsia"/>
                <w:b w:val="0"/>
                <w:bCs w:val="0"/>
                <w:u w:val="none" w:color="auto"/>
                <w:lang w:val="en-US" w:eastAsia="zh-CN"/>
              </w:rPr>
              <w:t>4、</w:t>
            </w:r>
            <w:r>
              <w:rPr>
                <w:rFonts w:hint="eastAsia"/>
                <w:b w:val="0"/>
                <w:bCs w:val="0"/>
                <w:u w:val="none" w:color="auto"/>
              </w:rPr>
              <w:t>组装包胶：组装即安装磁芯，将绕制好的线圈与磁芯组装在一起，并使用</w:t>
            </w:r>
            <w:r>
              <w:rPr>
                <w:rFonts w:hint="eastAsia"/>
                <w:b w:val="0"/>
                <w:bCs w:val="0"/>
                <w:u w:val="none" w:color="auto"/>
                <w:lang w:val="en-US" w:eastAsia="zh-CN"/>
              </w:rPr>
              <w:t>包胶机将</w:t>
            </w:r>
            <w:r>
              <w:rPr>
                <w:rFonts w:hint="eastAsia"/>
                <w:b w:val="0"/>
                <w:bCs w:val="0"/>
                <w:u w:val="none" w:color="auto"/>
              </w:rPr>
              <w:t>绝缘胶带</w:t>
            </w:r>
            <w:r>
              <w:rPr>
                <w:rFonts w:hint="eastAsia"/>
                <w:b w:val="0"/>
                <w:bCs w:val="0"/>
                <w:u w:val="none" w:color="auto"/>
                <w:lang w:val="en-US" w:eastAsia="zh-CN"/>
              </w:rPr>
              <w:t>包裹在</w:t>
            </w:r>
            <w:r>
              <w:rPr>
                <w:rFonts w:hint="eastAsia"/>
                <w:b w:val="0"/>
                <w:bCs w:val="0"/>
                <w:u w:val="none" w:color="auto"/>
              </w:rPr>
              <w:t>磁芯四周，确保绝缘性能。该工序产生设备噪声</w:t>
            </w:r>
            <w:r>
              <w:rPr>
                <w:rFonts w:hint="eastAsia"/>
                <w:b w:val="0"/>
                <w:bCs w:val="0"/>
                <w:u w:val="none" w:color="auto"/>
                <w:lang w:val="en-US" w:eastAsia="zh-CN"/>
              </w:rPr>
              <w:t>N</w:t>
            </w:r>
            <w:r>
              <w:rPr>
                <w:rFonts w:hint="eastAsia"/>
                <w:b w:val="0"/>
                <w:bCs w:val="0"/>
                <w:u w:val="none" w:color="auto"/>
              </w:rPr>
              <w:t>。</w:t>
            </w:r>
          </w:p>
          <w:p w14:paraId="14B84202">
            <w:pPr>
              <w:pStyle w:val="40"/>
              <w:bidi w:val="0"/>
              <w:rPr>
                <w:rFonts w:hint="eastAsia"/>
                <w:b w:val="0"/>
                <w:bCs w:val="0"/>
                <w:u w:val="none" w:color="auto"/>
              </w:rPr>
            </w:pPr>
            <w:r>
              <w:rPr>
                <w:rFonts w:hint="eastAsia"/>
                <w:b w:val="0"/>
                <w:bCs w:val="0"/>
                <w:u w:val="none" w:color="auto"/>
                <w:lang w:val="en-US" w:eastAsia="zh-CN"/>
              </w:rPr>
              <w:t>5、</w:t>
            </w:r>
            <w:r>
              <w:rPr>
                <w:rFonts w:hint="eastAsia"/>
                <w:b w:val="0"/>
                <w:bCs w:val="0"/>
                <w:u w:val="none" w:color="auto"/>
              </w:rPr>
              <w:t>半测：</w:t>
            </w:r>
            <w:r>
              <w:rPr>
                <w:rFonts w:hint="eastAsia"/>
                <w:b w:val="0"/>
                <w:bCs w:val="0"/>
                <w:u w:val="none" w:color="auto"/>
                <w:lang w:val="en-US" w:eastAsia="zh-CN"/>
              </w:rPr>
              <w:t>对组装的半成品进行初步的电气性能测试，使用装配检测线上的综合测试仪，对半成品的电流、电压、电感等进行测试，测试过程均为使用仪表对半成品进行的物理测试，不涉及任何原辅料的使用，测试过程中不涉及污染物产生，不合格品根据返修内容返回对应工序</w:t>
            </w:r>
            <w:r>
              <w:rPr>
                <w:rFonts w:hint="eastAsia"/>
                <w:b w:val="0"/>
                <w:bCs w:val="0"/>
                <w:u w:val="none" w:color="auto"/>
              </w:rPr>
              <w:t>。</w:t>
            </w:r>
          </w:p>
          <w:p w14:paraId="1B5A6451">
            <w:pPr>
              <w:pStyle w:val="40"/>
              <w:bidi w:val="0"/>
              <w:rPr>
                <w:rFonts w:hint="eastAsia"/>
                <w:b w:val="0"/>
                <w:bCs w:val="0"/>
                <w:u w:val="none" w:color="auto"/>
              </w:rPr>
            </w:pPr>
            <w:r>
              <w:rPr>
                <w:rFonts w:hint="eastAsia"/>
                <w:b w:val="0"/>
                <w:bCs w:val="0"/>
                <w:u w:val="none" w:color="auto"/>
                <w:lang w:val="en-US" w:eastAsia="zh-CN"/>
              </w:rPr>
              <w:t>6、</w:t>
            </w:r>
            <w:r>
              <w:rPr>
                <w:rFonts w:hint="eastAsia"/>
                <w:b w:val="0"/>
                <w:bCs w:val="0"/>
                <w:u w:val="none" w:color="auto"/>
              </w:rPr>
              <w:t>点胶：采用环氧树脂AB胶对工件进行人工点胶，常温自然固化，工序产生微量</w:t>
            </w:r>
            <w:r>
              <w:rPr>
                <w:rFonts w:hint="eastAsia"/>
                <w:b w:val="0"/>
                <w:bCs w:val="0"/>
                <w:u w:val="none" w:color="auto"/>
                <w:lang w:val="en-US" w:eastAsia="zh-CN"/>
              </w:rPr>
              <w:t>点胶有机废气G2</w:t>
            </w:r>
            <w:r>
              <w:rPr>
                <w:rFonts w:hint="eastAsia"/>
                <w:b w:val="0"/>
                <w:bCs w:val="0"/>
                <w:u w:val="none" w:color="auto"/>
              </w:rPr>
              <w:t>。</w:t>
            </w:r>
          </w:p>
          <w:p w14:paraId="63D3E1C5">
            <w:pPr>
              <w:pStyle w:val="40"/>
              <w:bidi w:val="0"/>
              <w:rPr>
                <w:rFonts w:hint="eastAsia"/>
                <w:b w:val="0"/>
                <w:bCs w:val="0"/>
                <w:u w:val="single" w:color="auto"/>
              </w:rPr>
            </w:pPr>
            <w:r>
              <w:rPr>
                <w:rFonts w:hint="eastAsia"/>
                <w:b w:val="0"/>
                <w:bCs w:val="0"/>
                <w:u w:val="single" w:color="auto"/>
                <w:lang w:val="en-US" w:eastAsia="zh-CN"/>
              </w:rPr>
              <w:t>7、</w:t>
            </w:r>
            <w:r>
              <w:rPr>
                <w:rFonts w:hint="eastAsia"/>
                <w:b w:val="0"/>
                <w:bCs w:val="0"/>
                <w:u w:val="single" w:color="auto"/>
              </w:rPr>
              <w:t>含浸：含浸即将变压器浸入绝缘漆(又叫绝缘油、凡立水)中，增强绝缘性能。本项目含浸使用真空含浸机，真空含浸机核心是通过真空环境去除待处理件内部空隙空气，再利用压力使浸渍液充分渗透，最终实现密封、绝缘等效果。绝缘漆、稀释剂分别加入到含浸机内</w:t>
            </w:r>
            <w:r>
              <w:rPr>
                <w:rFonts w:hint="eastAsia"/>
                <w:b w:val="0"/>
                <w:bCs w:val="0"/>
                <w:u w:val="single" w:color="auto"/>
                <w:lang w:eastAsia="zh-CN"/>
              </w:rPr>
              <w:t>对应</w:t>
            </w:r>
            <w:r>
              <w:rPr>
                <w:rFonts w:hint="eastAsia"/>
                <w:b w:val="0"/>
                <w:bCs w:val="0"/>
                <w:u w:val="single" w:color="auto"/>
              </w:rPr>
              <w:t>容器内，设备开启工作时，自动调配后通过管道输送至设备内工作区，不涉及人工调配。在工作过程中，将变压器半成品放入密封罐内，关闭罐门后启动真空系统，抽出空气，形成负压环境，再</w:t>
            </w:r>
            <w:r>
              <w:rPr>
                <w:rFonts w:hint="eastAsia"/>
                <w:b w:val="0"/>
                <w:bCs w:val="0"/>
                <w:u w:val="single" w:color="auto"/>
                <w:lang w:val="en-US" w:eastAsia="zh-CN"/>
              </w:rPr>
              <w:t>向</w:t>
            </w:r>
            <w:r>
              <w:rPr>
                <w:rFonts w:hint="eastAsia"/>
                <w:b w:val="0"/>
                <w:bCs w:val="0"/>
                <w:u w:val="single" w:color="auto"/>
              </w:rPr>
              <w:t>罐内注入绝缘漆，确保工件完全浸没，再开启压力系统，向罐内施加压力，迫使浸渍液克服阻力，充分渗透到工件的细微孔隙中。保压一段时间后，释放压力，排出多余浸渍液，完成含浸过程。工序产生</w:t>
            </w:r>
            <w:r>
              <w:rPr>
                <w:rFonts w:hint="eastAsia"/>
                <w:b w:val="0"/>
                <w:bCs w:val="0"/>
                <w:u w:val="single" w:color="auto"/>
                <w:lang w:val="en-US" w:eastAsia="zh-CN"/>
              </w:rPr>
              <w:t>含浸废气G3</w:t>
            </w:r>
            <w:r>
              <w:rPr>
                <w:rFonts w:hint="eastAsia"/>
                <w:b w:val="0"/>
                <w:bCs w:val="0"/>
                <w:u w:val="single" w:color="auto"/>
              </w:rPr>
              <w:t>、设备噪声</w:t>
            </w:r>
            <w:r>
              <w:rPr>
                <w:rFonts w:hint="eastAsia"/>
                <w:b w:val="0"/>
                <w:bCs w:val="0"/>
                <w:u w:val="single" w:color="auto"/>
                <w:lang w:val="en-US" w:eastAsia="zh-CN"/>
              </w:rPr>
              <w:t>N</w:t>
            </w:r>
            <w:r>
              <w:rPr>
                <w:rFonts w:hint="eastAsia"/>
                <w:b w:val="0"/>
                <w:bCs w:val="0"/>
                <w:u w:val="single" w:color="auto"/>
              </w:rPr>
              <w:t>。</w:t>
            </w:r>
          </w:p>
          <w:p w14:paraId="675471B7">
            <w:pPr>
              <w:pStyle w:val="40"/>
              <w:bidi w:val="0"/>
              <w:rPr>
                <w:rFonts w:hint="eastAsia"/>
                <w:b w:val="0"/>
                <w:bCs w:val="0"/>
                <w:u w:val="single" w:color="auto"/>
              </w:rPr>
            </w:pPr>
            <w:r>
              <w:rPr>
                <w:rFonts w:hint="eastAsia"/>
                <w:b w:val="0"/>
                <w:bCs w:val="0"/>
                <w:u w:val="single" w:color="auto"/>
                <w:lang w:val="en-US" w:eastAsia="zh-CN"/>
              </w:rPr>
              <w:t>8、</w:t>
            </w:r>
            <w:r>
              <w:rPr>
                <w:rFonts w:hint="eastAsia"/>
                <w:b w:val="0"/>
                <w:bCs w:val="0"/>
                <w:u w:val="single" w:color="auto"/>
              </w:rPr>
              <w:t>烘干：连续进料、出料，将含浸后的变压器放入电热隧道炉中烘干，使绝缘漆固化。固化温度为120</w:t>
            </w:r>
            <w:r>
              <w:rPr>
                <w:rFonts w:hint="default" w:ascii="Times New Roman" w:hAnsi="Times New Roman" w:cs="Times New Roman"/>
                <w:b w:val="0"/>
                <w:bCs w:val="0"/>
                <w:u w:val="single" w:color="auto"/>
                <w:lang w:val="en-US" w:eastAsia="zh-CN"/>
              </w:rPr>
              <w:t>℃</w:t>
            </w:r>
            <w:r>
              <w:rPr>
                <w:rFonts w:hint="eastAsia"/>
                <w:b w:val="0"/>
                <w:bCs w:val="0"/>
                <w:u w:val="single" w:color="auto"/>
              </w:rPr>
              <w:t>左右，固化时间为30分钟</w:t>
            </w:r>
            <w:r>
              <w:rPr>
                <w:rFonts w:hint="eastAsia" w:ascii="Times New Roman" w:hAnsi="Times New Roman" w:cs="Times New Roman"/>
                <w:b w:val="0"/>
                <w:bCs w:val="0"/>
                <w:u w:val="single" w:color="auto"/>
                <w:lang w:val="en-US" w:eastAsia="zh-CN"/>
              </w:rPr>
              <w:t>，</w:t>
            </w:r>
            <w:r>
              <w:rPr>
                <w:rFonts w:hint="eastAsia"/>
                <w:b w:val="0"/>
                <w:bCs w:val="0"/>
                <w:u w:val="single" w:color="auto"/>
              </w:rPr>
              <w:t>使绝缘漆固化，工序产生</w:t>
            </w:r>
            <w:r>
              <w:rPr>
                <w:rFonts w:hint="eastAsia"/>
                <w:b w:val="0"/>
                <w:bCs w:val="0"/>
                <w:u w:val="single" w:color="auto"/>
                <w:lang w:val="en-US" w:eastAsia="zh-CN"/>
              </w:rPr>
              <w:t>烘干</w:t>
            </w:r>
            <w:r>
              <w:rPr>
                <w:rFonts w:hint="eastAsia"/>
                <w:b w:val="0"/>
                <w:bCs w:val="0"/>
                <w:u w:val="single" w:color="auto"/>
              </w:rPr>
              <w:t>废气</w:t>
            </w:r>
            <w:r>
              <w:rPr>
                <w:rFonts w:hint="eastAsia"/>
                <w:b w:val="0"/>
                <w:bCs w:val="0"/>
                <w:u w:val="single" w:color="auto"/>
                <w:lang w:val="en-US" w:eastAsia="zh-CN"/>
              </w:rPr>
              <w:t>G4</w:t>
            </w:r>
            <w:r>
              <w:rPr>
                <w:rFonts w:hint="eastAsia"/>
                <w:b w:val="0"/>
                <w:bCs w:val="0"/>
                <w:u w:val="single" w:color="auto"/>
              </w:rPr>
              <w:t>、设备噪声。</w:t>
            </w:r>
          </w:p>
          <w:p w14:paraId="59F53346">
            <w:pPr>
              <w:pStyle w:val="40"/>
              <w:bidi w:val="0"/>
              <w:rPr>
                <w:rFonts w:hint="eastAsia"/>
                <w:b w:val="0"/>
                <w:bCs w:val="0"/>
                <w:u w:val="none" w:color="auto"/>
              </w:rPr>
            </w:pPr>
            <w:r>
              <w:rPr>
                <w:rFonts w:hint="eastAsia"/>
                <w:b w:val="0"/>
                <w:bCs w:val="0"/>
                <w:u w:val="none" w:color="auto"/>
                <w:lang w:val="en-US" w:eastAsia="zh-CN"/>
              </w:rPr>
              <w:t>9、</w:t>
            </w:r>
            <w:r>
              <w:rPr>
                <w:rFonts w:hint="eastAsia"/>
                <w:b w:val="0"/>
                <w:bCs w:val="0"/>
                <w:u w:val="none" w:color="auto"/>
              </w:rPr>
              <w:t>成品测试：</w:t>
            </w:r>
            <w:r>
              <w:rPr>
                <w:rFonts w:hint="eastAsia"/>
                <w:b w:val="0"/>
                <w:bCs w:val="0"/>
                <w:u w:val="none" w:color="auto"/>
                <w:lang w:val="en-US" w:eastAsia="zh-CN"/>
              </w:rPr>
              <w:t>使用</w:t>
            </w:r>
            <w:r>
              <w:rPr>
                <w:rFonts w:hint="eastAsia" w:ascii="Times New Roman" w:hAnsi="Times New Roman" w:cs="Times New Roman"/>
                <w:b w:val="0"/>
                <w:bCs/>
                <w:color w:val="auto"/>
                <w:sz w:val="24"/>
                <w:szCs w:val="24"/>
                <w:u w:val="none" w:color="auto"/>
                <w:vertAlign w:val="baseline"/>
                <w:lang w:val="en-US" w:eastAsia="zh-CN"/>
              </w:rPr>
              <w:t>单耐压测试仪</w:t>
            </w:r>
            <w:r>
              <w:rPr>
                <w:rFonts w:hint="eastAsia" w:cs="Times New Roman"/>
                <w:b w:val="0"/>
                <w:bCs/>
                <w:color w:val="auto"/>
                <w:sz w:val="24"/>
                <w:szCs w:val="24"/>
                <w:u w:val="none" w:color="auto"/>
                <w:vertAlign w:val="baseline"/>
                <w:lang w:val="en-US" w:eastAsia="zh-CN"/>
              </w:rPr>
              <w:t>对产品进行耐压测试</w:t>
            </w:r>
            <w:r>
              <w:rPr>
                <w:rFonts w:hint="eastAsia"/>
                <w:b w:val="0"/>
                <w:bCs w:val="0"/>
                <w:u w:val="none" w:color="auto"/>
              </w:rPr>
              <w:t>，</w:t>
            </w:r>
            <w:r>
              <w:rPr>
                <w:rFonts w:hint="eastAsia"/>
                <w:b w:val="0"/>
                <w:bCs w:val="0"/>
                <w:u w:val="none" w:color="auto"/>
                <w:lang w:val="en-US" w:eastAsia="zh-CN"/>
              </w:rPr>
              <w:t>此</w:t>
            </w:r>
            <w:r>
              <w:rPr>
                <w:rFonts w:hint="eastAsia"/>
                <w:b w:val="0"/>
                <w:bCs w:val="0"/>
                <w:u w:val="none" w:color="auto"/>
              </w:rPr>
              <w:t>工序产生少量不合格品固废</w:t>
            </w:r>
            <w:r>
              <w:rPr>
                <w:rFonts w:hint="eastAsia"/>
                <w:b w:val="0"/>
                <w:bCs w:val="0"/>
                <w:u w:val="none" w:color="auto"/>
                <w:lang w:val="en-US" w:eastAsia="zh-CN"/>
              </w:rPr>
              <w:t>S</w:t>
            </w:r>
            <w:r>
              <w:rPr>
                <w:rFonts w:hint="eastAsia"/>
                <w:b w:val="0"/>
                <w:bCs w:val="0"/>
                <w:u w:val="none" w:color="auto"/>
              </w:rPr>
              <w:t>。</w:t>
            </w:r>
          </w:p>
          <w:p w14:paraId="00F39AEC">
            <w:pPr>
              <w:pStyle w:val="40"/>
              <w:bidi w:val="0"/>
              <w:rPr>
                <w:rFonts w:hint="eastAsia"/>
                <w:b w:val="0"/>
                <w:bCs w:val="0"/>
                <w:u w:val="none" w:color="auto"/>
              </w:rPr>
            </w:pPr>
            <w:r>
              <w:rPr>
                <w:rFonts w:hint="eastAsia"/>
                <w:b w:val="0"/>
                <w:bCs w:val="0"/>
                <w:u w:val="none" w:color="auto"/>
                <w:lang w:val="en-US" w:eastAsia="zh-CN"/>
              </w:rPr>
              <w:t>10、</w:t>
            </w:r>
            <w:r>
              <w:rPr>
                <w:rFonts w:hint="eastAsia"/>
                <w:b w:val="0"/>
                <w:bCs w:val="0"/>
                <w:u w:val="none" w:color="auto"/>
              </w:rPr>
              <w:t>切脚：裁切多余引脚，修整产品端子，工序产生设备噪声</w:t>
            </w:r>
            <w:r>
              <w:rPr>
                <w:rFonts w:hint="eastAsia"/>
                <w:b w:val="0"/>
                <w:bCs w:val="0"/>
                <w:u w:val="none" w:color="auto"/>
                <w:lang w:val="en-US" w:eastAsia="zh-CN"/>
              </w:rPr>
              <w:t>N</w:t>
            </w:r>
            <w:r>
              <w:rPr>
                <w:rFonts w:hint="eastAsia"/>
                <w:b w:val="0"/>
                <w:bCs w:val="0"/>
                <w:u w:val="none" w:color="auto"/>
              </w:rPr>
              <w:t>、</w:t>
            </w:r>
            <w:r>
              <w:rPr>
                <w:rFonts w:hint="eastAsia"/>
                <w:b w:val="0"/>
                <w:bCs w:val="0"/>
                <w:u w:val="none" w:color="auto"/>
                <w:lang w:eastAsia="zh-CN"/>
              </w:rPr>
              <w:t>废铜线边角料</w:t>
            </w:r>
            <w:r>
              <w:rPr>
                <w:rFonts w:hint="eastAsia"/>
                <w:b w:val="0"/>
                <w:bCs w:val="0"/>
                <w:u w:val="none" w:color="auto"/>
              </w:rPr>
              <w:t>固废</w:t>
            </w:r>
            <w:r>
              <w:rPr>
                <w:rFonts w:hint="eastAsia"/>
                <w:b w:val="0"/>
                <w:bCs w:val="0"/>
                <w:u w:val="none" w:color="auto"/>
                <w:lang w:val="en-US" w:eastAsia="zh-CN"/>
              </w:rPr>
              <w:t>S</w:t>
            </w:r>
            <w:r>
              <w:rPr>
                <w:rFonts w:hint="eastAsia"/>
                <w:b w:val="0"/>
                <w:bCs w:val="0"/>
                <w:u w:val="none" w:color="auto"/>
              </w:rPr>
              <w:t>。</w:t>
            </w:r>
          </w:p>
          <w:p w14:paraId="05153626">
            <w:pPr>
              <w:pStyle w:val="40"/>
              <w:bidi w:val="0"/>
              <w:rPr>
                <w:rFonts w:hint="default" w:eastAsia="宋体"/>
                <w:b w:val="0"/>
                <w:bCs w:val="0"/>
                <w:u w:val="none" w:color="auto"/>
                <w:lang w:val="en-US" w:eastAsia="zh-CN"/>
              </w:rPr>
            </w:pPr>
            <w:r>
              <w:rPr>
                <w:rFonts w:hint="eastAsia"/>
                <w:b w:val="0"/>
                <w:bCs w:val="0"/>
                <w:u w:val="none" w:color="auto"/>
                <w:lang w:val="en-US" w:eastAsia="zh-CN"/>
              </w:rPr>
              <w:t>11、</w:t>
            </w:r>
            <w:r>
              <w:rPr>
                <w:rFonts w:hint="eastAsia"/>
                <w:b w:val="0"/>
                <w:bCs w:val="0"/>
                <w:u w:val="none" w:color="auto"/>
              </w:rPr>
              <w:t>打码、包装：使用</w:t>
            </w:r>
            <w:r>
              <w:rPr>
                <w:rFonts w:hint="eastAsia"/>
                <w:b w:val="0"/>
                <w:bCs w:val="0"/>
                <w:u w:val="none" w:color="auto"/>
                <w:lang w:val="en-US" w:eastAsia="zh-CN"/>
              </w:rPr>
              <w:t>激光</w:t>
            </w:r>
            <w:r>
              <w:rPr>
                <w:rFonts w:hint="eastAsia"/>
                <w:b w:val="0"/>
                <w:bCs w:val="0"/>
                <w:u w:val="none" w:color="auto"/>
              </w:rPr>
              <w:t>打码机打印产品型号批次标识，检验合格后包装入库。</w:t>
            </w:r>
          </w:p>
          <w:p w14:paraId="27659E3D">
            <w:pPr>
              <w:pStyle w:val="40"/>
              <w:bidi w:val="0"/>
              <w:rPr>
                <w:b/>
                <w:bCs/>
                <w:u w:val="none" w:color="auto"/>
              </w:rPr>
            </w:pPr>
            <w:r>
              <w:rPr>
                <w:b/>
                <w:bCs/>
                <w:u w:val="none" w:color="auto"/>
              </w:rPr>
              <w:t>2、产污环节</w:t>
            </w:r>
          </w:p>
          <w:p w14:paraId="49156737">
            <w:pPr>
              <w:pStyle w:val="42"/>
              <w:bidi w:val="0"/>
              <w:rPr>
                <w:b/>
                <w:bCs/>
                <w:u w:val="none" w:color="auto"/>
              </w:rPr>
            </w:pPr>
            <w:r>
              <w:t>表2-</w:t>
            </w:r>
            <w:r>
              <w:rPr>
                <w:rFonts w:hint="eastAsia"/>
                <w:lang w:val="en-US" w:eastAsia="zh-CN"/>
              </w:rPr>
              <w:t xml:space="preserve">8 </w:t>
            </w:r>
            <w:r>
              <w:t xml:space="preserve"> 本项目主要污染源分布</w:t>
            </w:r>
          </w:p>
          <w:tbl>
            <w:tblPr>
              <w:tblStyle w:val="34"/>
              <w:tblW w:w="4997"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426"/>
              <w:gridCol w:w="685"/>
              <w:gridCol w:w="846"/>
              <w:gridCol w:w="1159"/>
              <w:gridCol w:w="1273"/>
              <w:gridCol w:w="1871"/>
              <w:gridCol w:w="2107"/>
            </w:tblGrid>
            <w:tr w14:paraId="4959F5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254" w:type="pct"/>
                  <w:tcBorders>
                    <w:tl2br w:val="nil"/>
                    <w:tr2bl w:val="nil"/>
                  </w:tcBorders>
                  <w:vAlign w:val="center"/>
                </w:tcPr>
                <w:p w14:paraId="028D1135">
                  <w:pPr>
                    <w:pStyle w:val="41"/>
                    <w:bidi w:val="0"/>
                    <w:rPr>
                      <w:sz w:val="21"/>
                      <w:szCs w:val="21"/>
                      <w:u w:val="none" w:color="auto"/>
                    </w:rPr>
                  </w:pPr>
                  <w:r>
                    <w:rPr>
                      <w:sz w:val="21"/>
                      <w:szCs w:val="21"/>
                      <w:u w:val="none" w:color="auto"/>
                    </w:rPr>
                    <w:t>类别</w:t>
                  </w:r>
                </w:p>
              </w:tc>
              <w:tc>
                <w:tcPr>
                  <w:tcW w:w="409" w:type="pct"/>
                  <w:tcBorders>
                    <w:tl2br w:val="nil"/>
                    <w:tr2bl w:val="nil"/>
                  </w:tcBorders>
                  <w:vAlign w:val="center"/>
                </w:tcPr>
                <w:p w14:paraId="7219229A">
                  <w:pPr>
                    <w:pStyle w:val="41"/>
                    <w:bidi w:val="0"/>
                    <w:rPr>
                      <w:rFonts w:hint="default"/>
                      <w:sz w:val="21"/>
                      <w:szCs w:val="21"/>
                      <w:u w:val="none" w:color="auto"/>
                      <w:lang w:val="en-US" w:eastAsia="zh-CN"/>
                    </w:rPr>
                  </w:pPr>
                  <w:r>
                    <w:rPr>
                      <w:rFonts w:hint="eastAsia"/>
                      <w:sz w:val="21"/>
                      <w:szCs w:val="21"/>
                      <w:highlight w:val="none"/>
                      <w:u w:val="none" w:color="auto"/>
                      <w:lang w:val="en-US" w:eastAsia="zh-CN"/>
                    </w:rPr>
                    <w:t>产生单元</w:t>
                  </w:r>
                </w:p>
              </w:tc>
              <w:tc>
                <w:tcPr>
                  <w:tcW w:w="505" w:type="pct"/>
                  <w:tcBorders>
                    <w:tl2br w:val="nil"/>
                    <w:tr2bl w:val="nil"/>
                  </w:tcBorders>
                  <w:vAlign w:val="center"/>
                </w:tcPr>
                <w:p w14:paraId="656EECA1">
                  <w:pPr>
                    <w:pStyle w:val="41"/>
                    <w:bidi w:val="0"/>
                    <w:rPr>
                      <w:rFonts w:hint="eastAsia" w:eastAsia="宋体"/>
                      <w:sz w:val="21"/>
                      <w:szCs w:val="21"/>
                      <w:u w:val="none" w:color="auto"/>
                      <w:lang w:val="en-US" w:eastAsia="zh-CN"/>
                    </w:rPr>
                  </w:pPr>
                  <w:r>
                    <w:rPr>
                      <w:rFonts w:hint="eastAsia"/>
                      <w:sz w:val="21"/>
                      <w:szCs w:val="21"/>
                      <w:u w:val="none" w:color="auto"/>
                      <w:lang w:val="en-US" w:eastAsia="zh-CN"/>
                    </w:rPr>
                    <w:t>编号</w:t>
                  </w:r>
                </w:p>
              </w:tc>
              <w:tc>
                <w:tcPr>
                  <w:tcW w:w="692" w:type="pct"/>
                  <w:tcBorders>
                    <w:tl2br w:val="nil"/>
                    <w:tr2bl w:val="nil"/>
                  </w:tcBorders>
                  <w:vAlign w:val="center"/>
                </w:tcPr>
                <w:p w14:paraId="2F76D261">
                  <w:pPr>
                    <w:pStyle w:val="41"/>
                    <w:bidi w:val="0"/>
                    <w:rPr>
                      <w:sz w:val="21"/>
                      <w:szCs w:val="21"/>
                      <w:u w:val="none" w:color="auto"/>
                    </w:rPr>
                  </w:pPr>
                  <w:r>
                    <w:rPr>
                      <w:sz w:val="21"/>
                      <w:szCs w:val="21"/>
                      <w:u w:val="none" w:color="auto"/>
                    </w:rPr>
                    <w:t>产生工序</w:t>
                  </w:r>
                </w:p>
              </w:tc>
              <w:tc>
                <w:tcPr>
                  <w:tcW w:w="760" w:type="pct"/>
                  <w:tcBorders>
                    <w:tl2br w:val="nil"/>
                    <w:tr2bl w:val="nil"/>
                  </w:tcBorders>
                  <w:vAlign w:val="center"/>
                </w:tcPr>
                <w:p w14:paraId="1DA3B185">
                  <w:pPr>
                    <w:pStyle w:val="41"/>
                    <w:bidi w:val="0"/>
                    <w:rPr>
                      <w:sz w:val="21"/>
                      <w:szCs w:val="21"/>
                      <w:u w:val="none" w:color="auto"/>
                    </w:rPr>
                  </w:pPr>
                  <w:r>
                    <w:rPr>
                      <w:sz w:val="21"/>
                      <w:szCs w:val="21"/>
                      <w:u w:val="none" w:color="auto"/>
                    </w:rPr>
                    <w:t>污染源名称</w:t>
                  </w:r>
                </w:p>
              </w:tc>
              <w:tc>
                <w:tcPr>
                  <w:tcW w:w="1118" w:type="pct"/>
                  <w:tcBorders>
                    <w:tl2br w:val="nil"/>
                    <w:tr2bl w:val="nil"/>
                  </w:tcBorders>
                  <w:vAlign w:val="center"/>
                </w:tcPr>
                <w:p w14:paraId="177117DA">
                  <w:pPr>
                    <w:pStyle w:val="41"/>
                    <w:bidi w:val="0"/>
                    <w:rPr>
                      <w:sz w:val="21"/>
                      <w:szCs w:val="21"/>
                      <w:u w:val="none" w:color="auto"/>
                    </w:rPr>
                  </w:pPr>
                  <w:r>
                    <w:rPr>
                      <w:sz w:val="21"/>
                      <w:szCs w:val="21"/>
                      <w:u w:val="none" w:color="auto"/>
                    </w:rPr>
                    <w:t>主要污染物</w:t>
                  </w:r>
                </w:p>
              </w:tc>
              <w:tc>
                <w:tcPr>
                  <w:tcW w:w="1259" w:type="pct"/>
                  <w:tcBorders>
                    <w:tl2br w:val="nil"/>
                    <w:tr2bl w:val="nil"/>
                  </w:tcBorders>
                  <w:vAlign w:val="center"/>
                </w:tcPr>
                <w:p w14:paraId="75646E17">
                  <w:pPr>
                    <w:pStyle w:val="41"/>
                    <w:bidi w:val="0"/>
                    <w:rPr>
                      <w:rFonts w:hint="eastAsia" w:eastAsia="宋体"/>
                      <w:sz w:val="21"/>
                      <w:szCs w:val="21"/>
                      <w:u w:val="none" w:color="auto"/>
                      <w:lang w:val="en-US" w:eastAsia="zh-CN"/>
                    </w:rPr>
                  </w:pPr>
                  <w:r>
                    <w:rPr>
                      <w:rFonts w:hint="eastAsia"/>
                      <w:sz w:val="21"/>
                      <w:szCs w:val="21"/>
                      <w:u w:val="none" w:color="auto"/>
                      <w:lang w:val="en-US" w:eastAsia="zh-CN"/>
                    </w:rPr>
                    <w:t>处理措施</w:t>
                  </w:r>
                </w:p>
              </w:tc>
            </w:tr>
            <w:tr w14:paraId="479042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8" w:hRule="atLeast"/>
              </w:trPr>
              <w:tc>
                <w:tcPr>
                  <w:tcW w:w="254" w:type="pct"/>
                  <w:vMerge w:val="restart"/>
                  <w:tcBorders>
                    <w:tl2br w:val="nil"/>
                    <w:tr2bl w:val="nil"/>
                  </w:tcBorders>
                  <w:vAlign w:val="center"/>
                </w:tcPr>
                <w:p w14:paraId="5738373D">
                  <w:pPr>
                    <w:pStyle w:val="41"/>
                    <w:bidi w:val="0"/>
                    <w:rPr>
                      <w:sz w:val="21"/>
                      <w:szCs w:val="21"/>
                      <w:u w:val="none" w:color="auto"/>
                    </w:rPr>
                  </w:pPr>
                  <w:r>
                    <w:rPr>
                      <w:rFonts w:hint="eastAsia"/>
                      <w:sz w:val="21"/>
                      <w:szCs w:val="21"/>
                      <w:u w:val="none" w:color="auto"/>
                    </w:rPr>
                    <w:t>废气</w:t>
                  </w:r>
                </w:p>
              </w:tc>
              <w:tc>
                <w:tcPr>
                  <w:tcW w:w="409" w:type="pct"/>
                  <w:tcBorders>
                    <w:tl2br w:val="nil"/>
                    <w:tr2bl w:val="nil"/>
                  </w:tcBorders>
                  <w:vAlign w:val="center"/>
                </w:tcPr>
                <w:p w14:paraId="6079D53D">
                  <w:pPr>
                    <w:pStyle w:val="41"/>
                    <w:bidi w:val="0"/>
                    <w:rPr>
                      <w:rFonts w:hint="default"/>
                      <w:sz w:val="21"/>
                      <w:szCs w:val="21"/>
                      <w:u w:val="none" w:color="auto"/>
                      <w:lang w:val="en-US" w:eastAsia="zh-CN"/>
                    </w:rPr>
                  </w:pPr>
                  <w:r>
                    <w:rPr>
                      <w:rFonts w:hint="eastAsia"/>
                      <w:sz w:val="21"/>
                      <w:szCs w:val="21"/>
                      <w:u w:val="none" w:color="auto"/>
                      <w:lang w:val="en-US" w:eastAsia="zh-CN"/>
                    </w:rPr>
                    <w:t>生产车间</w:t>
                  </w:r>
                </w:p>
              </w:tc>
              <w:tc>
                <w:tcPr>
                  <w:tcW w:w="505" w:type="pct"/>
                  <w:tcBorders>
                    <w:tl2br w:val="nil"/>
                    <w:tr2bl w:val="nil"/>
                  </w:tcBorders>
                  <w:vAlign w:val="center"/>
                </w:tcPr>
                <w:p w14:paraId="77A2ECEB">
                  <w:pPr>
                    <w:pStyle w:val="41"/>
                    <w:bidi w:val="0"/>
                    <w:rPr>
                      <w:rFonts w:hint="eastAsia" w:eastAsia="宋体"/>
                      <w:sz w:val="21"/>
                      <w:szCs w:val="21"/>
                      <w:u w:val="none" w:color="auto"/>
                      <w:lang w:val="en-US" w:eastAsia="zh-CN"/>
                    </w:rPr>
                  </w:pPr>
                  <w:r>
                    <w:rPr>
                      <w:rFonts w:hint="eastAsia"/>
                      <w:sz w:val="21"/>
                      <w:szCs w:val="21"/>
                      <w:u w:val="none" w:color="auto"/>
                      <w:lang w:val="en-US" w:eastAsia="zh-CN"/>
                    </w:rPr>
                    <w:t>G1</w:t>
                  </w:r>
                </w:p>
              </w:tc>
              <w:tc>
                <w:tcPr>
                  <w:tcW w:w="692" w:type="pct"/>
                  <w:tcBorders>
                    <w:tl2br w:val="nil"/>
                    <w:tr2bl w:val="nil"/>
                  </w:tcBorders>
                  <w:vAlign w:val="center"/>
                </w:tcPr>
                <w:p w14:paraId="6C7F30E7">
                  <w:pPr>
                    <w:pStyle w:val="41"/>
                    <w:bidi w:val="0"/>
                    <w:rPr>
                      <w:rFonts w:hint="default" w:eastAsia="宋体"/>
                      <w:sz w:val="21"/>
                      <w:szCs w:val="21"/>
                      <w:u w:val="none" w:color="auto"/>
                      <w:lang w:val="en-US" w:eastAsia="zh-CN"/>
                    </w:rPr>
                  </w:pPr>
                  <w:r>
                    <w:rPr>
                      <w:rFonts w:hint="eastAsia"/>
                      <w:sz w:val="21"/>
                      <w:szCs w:val="21"/>
                      <w:u w:val="none" w:color="auto"/>
                      <w:lang w:val="en-US" w:eastAsia="zh-CN"/>
                    </w:rPr>
                    <w:t>焊锡</w:t>
                  </w:r>
                </w:p>
              </w:tc>
              <w:tc>
                <w:tcPr>
                  <w:tcW w:w="760" w:type="pct"/>
                  <w:tcBorders>
                    <w:tl2br w:val="nil"/>
                    <w:tr2bl w:val="nil"/>
                  </w:tcBorders>
                  <w:vAlign w:val="center"/>
                </w:tcPr>
                <w:p w14:paraId="1B207B7A">
                  <w:pPr>
                    <w:pStyle w:val="41"/>
                    <w:bidi w:val="0"/>
                    <w:rPr>
                      <w:rFonts w:hint="default" w:eastAsia="宋体"/>
                      <w:sz w:val="21"/>
                      <w:szCs w:val="21"/>
                      <w:u w:val="none" w:color="auto"/>
                      <w:lang w:val="en-US" w:eastAsia="zh-CN"/>
                    </w:rPr>
                  </w:pPr>
                  <w:r>
                    <w:rPr>
                      <w:rFonts w:hint="eastAsia"/>
                      <w:sz w:val="21"/>
                      <w:szCs w:val="21"/>
                      <w:u w:val="none" w:color="auto"/>
                      <w:lang w:val="en-US" w:eastAsia="zh-CN"/>
                    </w:rPr>
                    <w:t>焊锡废气</w:t>
                  </w:r>
                </w:p>
              </w:tc>
              <w:tc>
                <w:tcPr>
                  <w:tcW w:w="1118" w:type="pct"/>
                  <w:tcBorders>
                    <w:tl2br w:val="nil"/>
                    <w:tr2bl w:val="nil"/>
                  </w:tcBorders>
                  <w:vAlign w:val="center"/>
                </w:tcPr>
                <w:p w14:paraId="39C3A171">
                  <w:pPr>
                    <w:pStyle w:val="41"/>
                    <w:bidi w:val="0"/>
                    <w:rPr>
                      <w:rFonts w:hint="default"/>
                      <w:sz w:val="21"/>
                      <w:szCs w:val="21"/>
                      <w:u w:val="none" w:color="auto"/>
                      <w:lang w:val="en-US" w:eastAsia="zh-CN"/>
                    </w:rPr>
                  </w:pPr>
                  <w:r>
                    <w:rPr>
                      <w:rFonts w:hint="eastAsia"/>
                      <w:sz w:val="21"/>
                      <w:szCs w:val="21"/>
                      <w:u w:val="none" w:color="auto"/>
                      <w:lang w:val="en-US" w:eastAsia="zh-CN"/>
                    </w:rPr>
                    <w:t>颗粒物、锡及其化合物、VOCs</w:t>
                  </w:r>
                  <w:r>
                    <w:rPr>
                      <w:rFonts w:hint="eastAsia"/>
                      <w:sz w:val="21"/>
                      <w:szCs w:val="21"/>
                      <w:highlight w:val="none"/>
                      <w:u w:val="none" w:color="auto"/>
                      <w:lang w:val="en-US" w:eastAsia="zh-CN"/>
                    </w:rPr>
                    <w:t>（以非甲烷总烃计）</w:t>
                  </w:r>
                </w:p>
              </w:tc>
              <w:tc>
                <w:tcPr>
                  <w:tcW w:w="1259" w:type="pct"/>
                  <w:tcBorders>
                    <w:tl2br w:val="nil"/>
                    <w:tr2bl w:val="nil"/>
                  </w:tcBorders>
                  <w:vAlign w:val="center"/>
                </w:tcPr>
                <w:p w14:paraId="5F8051F2">
                  <w:pPr>
                    <w:adjustRightInd w:val="0"/>
                    <w:snapToGrid w:val="0"/>
                    <w:jc w:val="center"/>
                    <w:rPr>
                      <w:rFonts w:hint="default"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集气罩+干式过滤器+二级活性炭吸附+23m高排气筒DA001</w:t>
                  </w:r>
                </w:p>
              </w:tc>
            </w:tr>
            <w:tr w14:paraId="326214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94" w:hRule="atLeast"/>
              </w:trPr>
              <w:tc>
                <w:tcPr>
                  <w:tcW w:w="254" w:type="pct"/>
                  <w:vMerge w:val="continue"/>
                  <w:tcBorders>
                    <w:tl2br w:val="nil"/>
                    <w:tr2bl w:val="nil"/>
                  </w:tcBorders>
                  <w:vAlign w:val="center"/>
                </w:tcPr>
                <w:p w14:paraId="332D22AE">
                  <w:pPr>
                    <w:pStyle w:val="41"/>
                    <w:bidi w:val="0"/>
                    <w:rPr>
                      <w:rFonts w:hint="eastAsia"/>
                      <w:sz w:val="21"/>
                      <w:szCs w:val="21"/>
                      <w:u w:val="none" w:color="auto"/>
                    </w:rPr>
                  </w:pPr>
                </w:p>
              </w:tc>
              <w:tc>
                <w:tcPr>
                  <w:tcW w:w="409" w:type="pct"/>
                  <w:tcBorders>
                    <w:tl2br w:val="nil"/>
                    <w:tr2bl w:val="nil"/>
                  </w:tcBorders>
                  <w:vAlign w:val="center"/>
                </w:tcPr>
                <w:p w14:paraId="38458769">
                  <w:pPr>
                    <w:pStyle w:val="41"/>
                    <w:bidi w:val="0"/>
                    <w:rPr>
                      <w:rFonts w:hint="default"/>
                      <w:sz w:val="21"/>
                      <w:szCs w:val="21"/>
                      <w:u w:val="none" w:color="auto"/>
                      <w:lang w:val="en-US" w:eastAsia="zh-CN"/>
                    </w:rPr>
                  </w:pPr>
                  <w:r>
                    <w:rPr>
                      <w:rFonts w:hint="eastAsia"/>
                      <w:sz w:val="21"/>
                      <w:szCs w:val="21"/>
                      <w:u w:val="none" w:color="auto"/>
                      <w:lang w:val="en-US" w:eastAsia="zh-CN"/>
                    </w:rPr>
                    <w:t>生产车间</w:t>
                  </w:r>
                </w:p>
              </w:tc>
              <w:tc>
                <w:tcPr>
                  <w:tcW w:w="505" w:type="pct"/>
                  <w:tcBorders>
                    <w:tl2br w:val="nil"/>
                    <w:tr2bl w:val="nil"/>
                  </w:tcBorders>
                  <w:vAlign w:val="center"/>
                </w:tcPr>
                <w:p w14:paraId="0D634138">
                  <w:pPr>
                    <w:pStyle w:val="41"/>
                    <w:bidi w:val="0"/>
                    <w:rPr>
                      <w:rFonts w:hint="default"/>
                      <w:sz w:val="21"/>
                      <w:szCs w:val="21"/>
                      <w:u w:val="none" w:color="auto"/>
                      <w:lang w:val="en-US" w:eastAsia="zh-CN"/>
                    </w:rPr>
                  </w:pPr>
                  <w:r>
                    <w:rPr>
                      <w:rFonts w:hint="eastAsia"/>
                      <w:sz w:val="21"/>
                      <w:szCs w:val="21"/>
                      <w:u w:val="none" w:color="auto"/>
                      <w:lang w:val="en-US" w:eastAsia="zh-CN"/>
                    </w:rPr>
                    <w:t>G2</w:t>
                  </w:r>
                </w:p>
              </w:tc>
              <w:tc>
                <w:tcPr>
                  <w:tcW w:w="692" w:type="pct"/>
                  <w:tcBorders>
                    <w:tl2br w:val="nil"/>
                    <w:tr2bl w:val="nil"/>
                  </w:tcBorders>
                  <w:vAlign w:val="center"/>
                </w:tcPr>
                <w:p w14:paraId="4DAC1401">
                  <w:pPr>
                    <w:pStyle w:val="41"/>
                    <w:bidi w:val="0"/>
                    <w:rPr>
                      <w:rFonts w:hint="eastAsia" w:eastAsia="宋体"/>
                      <w:sz w:val="21"/>
                      <w:szCs w:val="21"/>
                      <w:u w:val="none" w:color="auto"/>
                      <w:lang w:val="en-US" w:eastAsia="zh-CN"/>
                    </w:rPr>
                  </w:pPr>
                  <w:r>
                    <w:rPr>
                      <w:rFonts w:hint="eastAsia"/>
                      <w:sz w:val="21"/>
                      <w:szCs w:val="21"/>
                      <w:u w:val="none" w:color="auto"/>
                      <w:lang w:val="en-US" w:eastAsia="zh-CN"/>
                    </w:rPr>
                    <w:t>点胶</w:t>
                  </w:r>
                </w:p>
              </w:tc>
              <w:tc>
                <w:tcPr>
                  <w:tcW w:w="760" w:type="pct"/>
                  <w:tcBorders>
                    <w:tl2br w:val="nil"/>
                    <w:tr2bl w:val="nil"/>
                  </w:tcBorders>
                  <w:vAlign w:val="center"/>
                </w:tcPr>
                <w:p w14:paraId="75DF46C7">
                  <w:pPr>
                    <w:pStyle w:val="41"/>
                    <w:bidi w:val="0"/>
                    <w:rPr>
                      <w:rFonts w:hint="default"/>
                      <w:sz w:val="21"/>
                      <w:szCs w:val="21"/>
                      <w:u w:val="none" w:color="auto"/>
                      <w:lang w:val="en-US" w:eastAsia="zh-CN"/>
                    </w:rPr>
                  </w:pPr>
                  <w:r>
                    <w:rPr>
                      <w:rFonts w:hint="eastAsia"/>
                      <w:sz w:val="21"/>
                      <w:szCs w:val="21"/>
                      <w:u w:val="none" w:color="auto"/>
                      <w:lang w:val="en-US" w:eastAsia="zh-CN"/>
                    </w:rPr>
                    <w:t>点胶有机废气</w:t>
                  </w:r>
                </w:p>
              </w:tc>
              <w:tc>
                <w:tcPr>
                  <w:tcW w:w="1118" w:type="pct"/>
                  <w:tcBorders>
                    <w:tl2br w:val="nil"/>
                    <w:tr2bl w:val="nil"/>
                  </w:tcBorders>
                  <w:vAlign w:val="center"/>
                </w:tcPr>
                <w:p w14:paraId="63650651">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VOCs（以非甲烷总烃计）</w:t>
                  </w:r>
                </w:p>
              </w:tc>
              <w:tc>
                <w:tcPr>
                  <w:tcW w:w="1259" w:type="pct"/>
                  <w:tcBorders>
                    <w:tl2br w:val="nil"/>
                    <w:tr2bl w:val="nil"/>
                  </w:tcBorders>
                  <w:vAlign w:val="center"/>
                </w:tcPr>
                <w:p w14:paraId="2832A9D5">
                  <w:pPr>
                    <w:jc w:val="center"/>
                    <w:rPr>
                      <w:rFonts w:hint="default" w:eastAsia="宋体"/>
                      <w:color w:val="000000" w:themeColor="text1"/>
                      <w:sz w:val="21"/>
                      <w:szCs w:val="21"/>
                      <w:highlight w:val="none"/>
                      <w:u w:val="none" w:color="auto"/>
                      <w:lang w:val="en-US" w:eastAsia="zh-CN"/>
                      <w14:textFill>
                        <w14:solidFill>
                          <w14:schemeClr w14:val="tx1"/>
                        </w14:solidFill>
                      </w14:textFill>
                    </w:rPr>
                  </w:pPr>
                  <w:r>
                    <w:rPr>
                      <w:rFonts w:hint="eastAsia"/>
                      <w:color w:val="000000" w:themeColor="text1"/>
                      <w:sz w:val="21"/>
                      <w:szCs w:val="21"/>
                      <w:highlight w:val="none"/>
                      <w:u w:val="none" w:color="auto"/>
                      <w:lang w:val="en-US" w:eastAsia="zh-CN"/>
                      <w14:textFill>
                        <w14:solidFill>
                          <w14:schemeClr w14:val="tx1"/>
                        </w14:solidFill>
                      </w14:textFill>
                    </w:rPr>
                    <w:t>加强车间通风后无组织排放</w:t>
                  </w:r>
                </w:p>
              </w:tc>
            </w:tr>
            <w:tr w14:paraId="0BDBB5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0" w:hRule="atLeast"/>
              </w:trPr>
              <w:tc>
                <w:tcPr>
                  <w:tcW w:w="254" w:type="pct"/>
                  <w:vMerge w:val="continue"/>
                  <w:tcBorders>
                    <w:tl2br w:val="nil"/>
                    <w:tr2bl w:val="nil"/>
                  </w:tcBorders>
                  <w:vAlign w:val="center"/>
                </w:tcPr>
                <w:p w14:paraId="338A5FA5">
                  <w:pPr>
                    <w:pStyle w:val="41"/>
                    <w:bidi w:val="0"/>
                    <w:rPr>
                      <w:rFonts w:hint="eastAsia"/>
                      <w:sz w:val="21"/>
                      <w:szCs w:val="21"/>
                      <w:u w:val="none" w:color="auto"/>
                    </w:rPr>
                  </w:pPr>
                </w:p>
              </w:tc>
              <w:tc>
                <w:tcPr>
                  <w:tcW w:w="409" w:type="pct"/>
                  <w:tcBorders>
                    <w:tl2br w:val="nil"/>
                    <w:tr2bl w:val="nil"/>
                  </w:tcBorders>
                  <w:vAlign w:val="center"/>
                </w:tcPr>
                <w:p w14:paraId="1D47D7AB">
                  <w:pPr>
                    <w:pStyle w:val="41"/>
                    <w:bidi w:val="0"/>
                    <w:rPr>
                      <w:rFonts w:hint="default"/>
                      <w:sz w:val="21"/>
                      <w:szCs w:val="21"/>
                      <w:u w:val="none" w:color="auto"/>
                      <w:lang w:val="en-US" w:eastAsia="zh-CN"/>
                    </w:rPr>
                  </w:pPr>
                  <w:r>
                    <w:rPr>
                      <w:rFonts w:hint="eastAsia"/>
                      <w:sz w:val="21"/>
                      <w:szCs w:val="21"/>
                      <w:u w:val="none" w:color="auto"/>
                      <w:lang w:val="en-US" w:eastAsia="zh-CN"/>
                    </w:rPr>
                    <w:t>生产车间</w:t>
                  </w:r>
                </w:p>
              </w:tc>
              <w:tc>
                <w:tcPr>
                  <w:tcW w:w="505" w:type="pct"/>
                  <w:tcBorders>
                    <w:tl2br w:val="nil"/>
                    <w:tr2bl w:val="nil"/>
                  </w:tcBorders>
                  <w:vAlign w:val="center"/>
                </w:tcPr>
                <w:p w14:paraId="42B83373">
                  <w:pPr>
                    <w:pStyle w:val="41"/>
                    <w:bidi w:val="0"/>
                    <w:rPr>
                      <w:rFonts w:hint="default"/>
                      <w:sz w:val="21"/>
                      <w:szCs w:val="21"/>
                      <w:u w:val="none" w:color="auto"/>
                      <w:lang w:val="en-US" w:eastAsia="zh-CN"/>
                    </w:rPr>
                  </w:pPr>
                  <w:r>
                    <w:rPr>
                      <w:rFonts w:hint="eastAsia"/>
                      <w:sz w:val="21"/>
                      <w:szCs w:val="21"/>
                      <w:u w:val="none" w:color="auto"/>
                      <w:lang w:val="en-US" w:eastAsia="zh-CN"/>
                    </w:rPr>
                    <w:t>G3</w:t>
                  </w:r>
                </w:p>
              </w:tc>
              <w:tc>
                <w:tcPr>
                  <w:tcW w:w="692" w:type="pct"/>
                  <w:tcBorders>
                    <w:tl2br w:val="nil"/>
                    <w:tr2bl w:val="nil"/>
                  </w:tcBorders>
                  <w:vAlign w:val="center"/>
                </w:tcPr>
                <w:p w14:paraId="6B43A1E5">
                  <w:pPr>
                    <w:pStyle w:val="41"/>
                    <w:bidi w:val="0"/>
                    <w:rPr>
                      <w:rFonts w:hint="default"/>
                      <w:sz w:val="21"/>
                      <w:szCs w:val="21"/>
                      <w:u w:val="none" w:color="auto"/>
                      <w:lang w:val="en-US" w:eastAsia="zh-CN"/>
                    </w:rPr>
                  </w:pPr>
                  <w:r>
                    <w:rPr>
                      <w:rFonts w:hint="eastAsia"/>
                      <w:sz w:val="21"/>
                      <w:szCs w:val="21"/>
                      <w:u w:val="none" w:color="auto"/>
                      <w:lang w:val="en-US" w:eastAsia="zh-CN"/>
                    </w:rPr>
                    <w:t>含浸</w:t>
                  </w:r>
                </w:p>
              </w:tc>
              <w:tc>
                <w:tcPr>
                  <w:tcW w:w="760" w:type="pct"/>
                  <w:tcBorders>
                    <w:tl2br w:val="nil"/>
                    <w:tr2bl w:val="nil"/>
                  </w:tcBorders>
                  <w:vAlign w:val="center"/>
                </w:tcPr>
                <w:p w14:paraId="52DA5BE1">
                  <w:pPr>
                    <w:pStyle w:val="41"/>
                    <w:bidi w:val="0"/>
                    <w:rPr>
                      <w:rFonts w:hint="default"/>
                      <w:sz w:val="21"/>
                      <w:szCs w:val="21"/>
                      <w:u w:val="none" w:color="auto"/>
                      <w:lang w:val="en-US" w:eastAsia="zh-CN"/>
                    </w:rPr>
                  </w:pPr>
                  <w:r>
                    <w:rPr>
                      <w:rFonts w:hint="eastAsia"/>
                      <w:sz w:val="21"/>
                      <w:szCs w:val="21"/>
                      <w:u w:val="none" w:color="auto"/>
                      <w:lang w:val="en-US" w:eastAsia="zh-CN"/>
                    </w:rPr>
                    <w:t>含浸废气</w:t>
                  </w:r>
                </w:p>
              </w:tc>
              <w:tc>
                <w:tcPr>
                  <w:tcW w:w="1118" w:type="pct"/>
                  <w:tcBorders>
                    <w:tl2br w:val="nil"/>
                    <w:tr2bl w:val="nil"/>
                  </w:tcBorders>
                  <w:vAlign w:val="center"/>
                </w:tcPr>
                <w:p w14:paraId="26172A6E">
                  <w:pPr>
                    <w:pStyle w:val="41"/>
                    <w:bidi w:val="0"/>
                    <w:rPr>
                      <w:rFonts w:hint="eastAsia"/>
                      <w:sz w:val="21"/>
                      <w:szCs w:val="21"/>
                      <w:u w:val="none" w:color="auto"/>
                      <w:lang w:val="en-US" w:eastAsia="zh-CN"/>
                    </w:rPr>
                  </w:pPr>
                  <w:r>
                    <w:rPr>
                      <w:rFonts w:hint="eastAsia"/>
                      <w:sz w:val="21"/>
                      <w:szCs w:val="21"/>
                      <w:highlight w:val="none"/>
                      <w:u w:val="none" w:color="auto"/>
                      <w:lang w:val="en-US" w:eastAsia="zh-CN"/>
                    </w:rPr>
                    <w:t>苯系物（二甲苯）、VOCs（以非甲烷总烃计</w:t>
                  </w:r>
                </w:p>
              </w:tc>
              <w:tc>
                <w:tcPr>
                  <w:tcW w:w="1259" w:type="pct"/>
                  <w:vMerge w:val="restart"/>
                  <w:tcBorders>
                    <w:tl2br w:val="nil"/>
                    <w:tr2bl w:val="nil"/>
                  </w:tcBorders>
                  <w:vAlign w:val="center"/>
                </w:tcPr>
                <w:p w14:paraId="6C51F626">
                  <w:pPr>
                    <w:adjustRightInd w:val="0"/>
                    <w:snapToGrid w:val="0"/>
                    <w:jc w:val="center"/>
                    <w:rPr>
                      <w:rFonts w:hint="default"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密闭含浸车间微负压收集+二级活性炭吸附+23m高排气筒DA001</w:t>
                  </w:r>
                </w:p>
              </w:tc>
            </w:tr>
            <w:tr w14:paraId="05D81A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trPr>
              <w:tc>
                <w:tcPr>
                  <w:tcW w:w="254" w:type="pct"/>
                  <w:vMerge w:val="continue"/>
                  <w:tcBorders>
                    <w:tl2br w:val="nil"/>
                    <w:tr2bl w:val="nil"/>
                  </w:tcBorders>
                  <w:vAlign w:val="center"/>
                </w:tcPr>
                <w:p w14:paraId="4C6AA90E">
                  <w:pPr>
                    <w:pStyle w:val="41"/>
                    <w:bidi w:val="0"/>
                    <w:rPr>
                      <w:rFonts w:hint="eastAsia"/>
                      <w:sz w:val="21"/>
                      <w:szCs w:val="21"/>
                      <w:u w:val="none" w:color="auto"/>
                    </w:rPr>
                  </w:pPr>
                </w:p>
              </w:tc>
              <w:tc>
                <w:tcPr>
                  <w:tcW w:w="409" w:type="pct"/>
                  <w:tcBorders>
                    <w:tl2br w:val="nil"/>
                    <w:tr2bl w:val="nil"/>
                  </w:tcBorders>
                  <w:vAlign w:val="center"/>
                </w:tcPr>
                <w:p w14:paraId="07D38AA9">
                  <w:pPr>
                    <w:pStyle w:val="41"/>
                    <w:bidi w:val="0"/>
                    <w:rPr>
                      <w:rFonts w:hint="default"/>
                      <w:sz w:val="21"/>
                      <w:szCs w:val="21"/>
                      <w:u w:val="none" w:color="auto"/>
                      <w:lang w:val="en-US" w:eastAsia="zh-CN"/>
                    </w:rPr>
                  </w:pPr>
                  <w:r>
                    <w:rPr>
                      <w:rFonts w:hint="eastAsia"/>
                      <w:sz w:val="21"/>
                      <w:szCs w:val="21"/>
                      <w:u w:val="none" w:color="auto"/>
                      <w:lang w:val="en-US" w:eastAsia="zh-CN"/>
                    </w:rPr>
                    <w:t>生产车间</w:t>
                  </w:r>
                </w:p>
              </w:tc>
              <w:tc>
                <w:tcPr>
                  <w:tcW w:w="505" w:type="pct"/>
                  <w:tcBorders>
                    <w:tl2br w:val="nil"/>
                    <w:tr2bl w:val="nil"/>
                  </w:tcBorders>
                  <w:vAlign w:val="center"/>
                </w:tcPr>
                <w:p w14:paraId="03BF17B2">
                  <w:pPr>
                    <w:pStyle w:val="41"/>
                    <w:bidi w:val="0"/>
                    <w:rPr>
                      <w:rFonts w:hint="default"/>
                      <w:sz w:val="21"/>
                      <w:szCs w:val="21"/>
                      <w:u w:val="none" w:color="auto"/>
                      <w:lang w:val="en-US" w:eastAsia="zh-CN"/>
                    </w:rPr>
                  </w:pPr>
                  <w:r>
                    <w:rPr>
                      <w:rFonts w:hint="eastAsia"/>
                      <w:sz w:val="21"/>
                      <w:szCs w:val="21"/>
                      <w:u w:val="none" w:color="auto"/>
                      <w:lang w:val="en-US" w:eastAsia="zh-CN"/>
                    </w:rPr>
                    <w:t>G4</w:t>
                  </w:r>
                </w:p>
              </w:tc>
              <w:tc>
                <w:tcPr>
                  <w:tcW w:w="692" w:type="pct"/>
                  <w:tcBorders>
                    <w:tl2br w:val="nil"/>
                    <w:tr2bl w:val="nil"/>
                  </w:tcBorders>
                  <w:vAlign w:val="center"/>
                </w:tcPr>
                <w:p w14:paraId="5644B5B0">
                  <w:pPr>
                    <w:pStyle w:val="41"/>
                    <w:bidi w:val="0"/>
                    <w:rPr>
                      <w:rFonts w:hint="default"/>
                      <w:sz w:val="21"/>
                      <w:szCs w:val="21"/>
                      <w:u w:val="none" w:color="auto"/>
                      <w:lang w:val="en-US" w:eastAsia="zh-CN"/>
                    </w:rPr>
                  </w:pPr>
                  <w:r>
                    <w:rPr>
                      <w:rFonts w:hint="eastAsia"/>
                      <w:sz w:val="21"/>
                      <w:szCs w:val="21"/>
                      <w:u w:val="none" w:color="auto"/>
                      <w:lang w:val="en-US" w:eastAsia="zh-CN"/>
                    </w:rPr>
                    <w:t>烘干</w:t>
                  </w:r>
                </w:p>
              </w:tc>
              <w:tc>
                <w:tcPr>
                  <w:tcW w:w="760" w:type="pct"/>
                  <w:tcBorders>
                    <w:tl2br w:val="nil"/>
                    <w:tr2bl w:val="nil"/>
                  </w:tcBorders>
                  <w:vAlign w:val="center"/>
                </w:tcPr>
                <w:p w14:paraId="616501D4">
                  <w:pPr>
                    <w:pStyle w:val="41"/>
                    <w:bidi w:val="0"/>
                    <w:rPr>
                      <w:rFonts w:hint="default"/>
                      <w:sz w:val="21"/>
                      <w:szCs w:val="21"/>
                      <w:u w:val="none" w:color="auto"/>
                      <w:lang w:val="en-US" w:eastAsia="zh-CN"/>
                    </w:rPr>
                  </w:pPr>
                  <w:r>
                    <w:rPr>
                      <w:rFonts w:hint="eastAsia"/>
                      <w:sz w:val="21"/>
                      <w:szCs w:val="21"/>
                      <w:u w:val="none" w:color="auto"/>
                      <w:lang w:val="en-US" w:eastAsia="zh-CN"/>
                    </w:rPr>
                    <w:t>烘干废气</w:t>
                  </w:r>
                </w:p>
              </w:tc>
              <w:tc>
                <w:tcPr>
                  <w:tcW w:w="1118" w:type="pct"/>
                  <w:tcBorders>
                    <w:tl2br w:val="nil"/>
                    <w:tr2bl w:val="nil"/>
                  </w:tcBorders>
                  <w:vAlign w:val="center"/>
                </w:tcPr>
                <w:p w14:paraId="282023B4">
                  <w:pPr>
                    <w:pStyle w:val="41"/>
                    <w:bidi w:val="0"/>
                    <w:rPr>
                      <w:rFonts w:hint="default"/>
                      <w:sz w:val="21"/>
                      <w:szCs w:val="21"/>
                      <w:u w:val="none" w:color="auto"/>
                      <w:lang w:val="en-US" w:eastAsia="zh-CN"/>
                    </w:rPr>
                  </w:pPr>
                  <w:r>
                    <w:rPr>
                      <w:rFonts w:hint="eastAsia"/>
                      <w:sz w:val="21"/>
                      <w:szCs w:val="21"/>
                      <w:u w:val="none" w:color="auto"/>
                      <w:lang w:val="en-US" w:eastAsia="zh-CN"/>
                    </w:rPr>
                    <w:t>苯系物（二甲苯）、</w:t>
                  </w:r>
                  <w:r>
                    <w:rPr>
                      <w:rFonts w:hint="eastAsia"/>
                      <w:sz w:val="21"/>
                      <w:szCs w:val="21"/>
                      <w:highlight w:val="none"/>
                      <w:u w:val="none" w:color="auto"/>
                      <w:lang w:val="en-US" w:eastAsia="zh-CN"/>
                    </w:rPr>
                    <w:t>VOCs（以非甲烷总烃计</w:t>
                  </w:r>
                </w:p>
              </w:tc>
              <w:tc>
                <w:tcPr>
                  <w:tcW w:w="1259" w:type="pct"/>
                  <w:vMerge w:val="continue"/>
                  <w:tcBorders>
                    <w:tl2br w:val="nil"/>
                    <w:tr2bl w:val="nil"/>
                  </w:tcBorders>
                  <w:vAlign w:val="center"/>
                </w:tcPr>
                <w:p w14:paraId="5F51BCBF">
                  <w:pPr>
                    <w:adjustRightInd w:val="0"/>
                    <w:snapToGrid w:val="0"/>
                    <w:jc w:val="center"/>
                    <w:rPr>
                      <w:rFonts w:hint="default" w:eastAsia="宋体"/>
                      <w:color w:val="000000" w:themeColor="text1"/>
                      <w:sz w:val="21"/>
                      <w:szCs w:val="21"/>
                      <w:u w:val="none" w:color="auto"/>
                      <w:lang w:val="en-US" w:eastAsia="zh-CN"/>
                      <w14:textFill>
                        <w14:solidFill>
                          <w14:schemeClr w14:val="tx1"/>
                        </w14:solidFill>
                      </w14:textFill>
                    </w:rPr>
                  </w:pPr>
                </w:p>
              </w:tc>
            </w:tr>
            <w:tr w14:paraId="4D9DD1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254" w:type="pct"/>
                  <w:tcBorders>
                    <w:tl2br w:val="nil"/>
                    <w:tr2bl w:val="nil"/>
                  </w:tcBorders>
                  <w:vAlign w:val="center"/>
                </w:tcPr>
                <w:p w14:paraId="31367040">
                  <w:pPr>
                    <w:pStyle w:val="41"/>
                    <w:bidi w:val="0"/>
                    <w:rPr>
                      <w:sz w:val="21"/>
                      <w:szCs w:val="21"/>
                      <w:u w:val="none" w:color="auto"/>
                    </w:rPr>
                  </w:pPr>
                  <w:r>
                    <w:rPr>
                      <w:sz w:val="21"/>
                      <w:szCs w:val="21"/>
                      <w:u w:val="none" w:color="auto"/>
                    </w:rPr>
                    <w:t>废水</w:t>
                  </w:r>
                </w:p>
              </w:tc>
              <w:tc>
                <w:tcPr>
                  <w:tcW w:w="409" w:type="pct"/>
                  <w:tcBorders>
                    <w:tl2br w:val="nil"/>
                    <w:tr2bl w:val="nil"/>
                  </w:tcBorders>
                  <w:shd w:val="clear" w:color="auto" w:fill="auto"/>
                  <w:vAlign w:val="center"/>
                </w:tcPr>
                <w:p w14:paraId="0B596CCD">
                  <w:pPr>
                    <w:pStyle w:val="41"/>
                    <w:bidi w:val="0"/>
                    <w:rPr>
                      <w:rFonts w:hint="default" w:cs="Times New Roman"/>
                      <w:color w:val="000000" w:themeColor="text1"/>
                      <w:kern w:val="0"/>
                      <w:sz w:val="21"/>
                      <w:szCs w:val="21"/>
                      <w:u w:val="none" w:color="auto"/>
                      <w:lang w:val="en-US" w:eastAsia="zh-CN" w:bidi="ar-SA"/>
                      <w14:textFill>
                        <w14:solidFill>
                          <w14:schemeClr w14:val="tx1"/>
                        </w14:solidFill>
                      </w14:textFill>
                    </w:rPr>
                  </w:pPr>
                  <w:r>
                    <w:rPr>
                      <w:rFonts w:hint="eastAsia" w:cs="Times New Roman"/>
                      <w:color w:val="000000" w:themeColor="text1"/>
                      <w:kern w:val="0"/>
                      <w:sz w:val="21"/>
                      <w:szCs w:val="21"/>
                      <w:u w:val="none" w:color="auto"/>
                      <w:lang w:val="en-US" w:eastAsia="zh-CN" w:bidi="ar-SA"/>
                      <w14:textFill>
                        <w14:solidFill>
                          <w14:schemeClr w14:val="tx1"/>
                        </w14:solidFill>
                      </w14:textFill>
                    </w:rPr>
                    <w:t>办公区</w:t>
                  </w:r>
                </w:p>
              </w:tc>
              <w:tc>
                <w:tcPr>
                  <w:tcW w:w="505" w:type="pct"/>
                  <w:tcBorders>
                    <w:tl2br w:val="nil"/>
                    <w:tr2bl w:val="nil"/>
                  </w:tcBorders>
                  <w:shd w:val="clear" w:color="auto" w:fill="auto"/>
                  <w:vAlign w:val="center"/>
                </w:tcPr>
                <w:p w14:paraId="720D5EA8">
                  <w:pPr>
                    <w:pStyle w:val="41"/>
                    <w:bidi w:val="0"/>
                    <w:rPr>
                      <w:rFonts w:hint="default"/>
                      <w:sz w:val="21"/>
                      <w:szCs w:val="21"/>
                      <w:u w:val="none" w:color="auto"/>
                      <w:lang w:val="en-US" w:eastAsia="zh-CN"/>
                    </w:rPr>
                  </w:pPr>
                  <w:r>
                    <w:rPr>
                      <w:rFonts w:hint="eastAsia"/>
                      <w:sz w:val="21"/>
                      <w:szCs w:val="21"/>
                      <w:u w:val="none" w:color="auto"/>
                      <w:lang w:val="en-US" w:eastAsia="zh-CN"/>
                    </w:rPr>
                    <w:t>W1</w:t>
                  </w:r>
                </w:p>
              </w:tc>
              <w:tc>
                <w:tcPr>
                  <w:tcW w:w="692" w:type="pct"/>
                  <w:tcBorders>
                    <w:tl2br w:val="nil"/>
                    <w:tr2bl w:val="nil"/>
                  </w:tcBorders>
                  <w:shd w:val="clear" w:color="auto" w:fill="auto"/>
                  <w:vAlign w:val="center"/>
                </w:tcPr>
                <w:p w14:paraId="4AFA9A0D">
                  <w:pPr>
                    <w:pStyle w:val="41"/>
                    <w:bidi w:val="0"/>
                    <w:rPr>
                      <w:rFonts w:hint="default"/>
                      <w:sz w:val="21"/>
                      <w:szCs w:val="21"/>
                      <w:u w:val="none" w:color="auto"/>
                      <w:lang w:val="en-US" w:eastAsia="zh-CN"/>
                    </w:rPr>
                  </w:pPr>
                  <w:r>
                    <w:rPr>
                      <w:rFonts w:hint="eastAsia"/>
                      <w:sz w:val="21"/>
                      <w:szCs w:val="21"/>
                      <w:u w:val="none" w:color="auto"/>
                      <w:lang w:val="en-US" w:eastAsia="zh-CN"/>
                    </w:rPr>
                    <w:t>员工生活</w:t>
                  </w:r>
                </w:p>
              </w:tc>
              <w:tc>
                <w:tcPr>
                  <w:tcW w:w="760" w:type="pct"/>
                  <w:tcBorders>
                    <w:tl2br w:val="nil"/>
                    <w:tr2bl w:val="nil"/>
                  </w:tcBorders>
                  <w:shd w:val="clear" w:color="auto" w:fill="auto"/>
                  <w:vAlign w:val="center"/>
                </w:tcPr>
                <w:p w14:paraId="126CDC35">
                  <w:pPr>
                    <w:pStyle w:val="41"/>
                    <w:bidi w:val="0"/>
                    <w:rPr>
                      <w:rFonts w:hint="eastAsia"/>
                      <w:sz w:val="21"/>
                      <w:szCs w:val="21"/>
                      <w:u w:val="none" w:color="auto"/>
                    </w:rPr>
                  </w:pPr>
                  <w:r>
                    <w:rPr>
                      <w:rFonts w:hint="eastAsia"/>
                      <w:sz w:val="21"/>
                      <w:szCs w:val="21"/>
                      <w:u w:val="none" w:color="auto"/>
                    </w:rPr>
                    <w:t>生活</w:t>
                  </w:r>
                  <w:r>
                    <w:rPr>
                      <w:rFonts w:hint="eastAsia"/>
                      <w:sz w:val="21"/>
                      <w:szCs w:val="21"/>
                      <w:u w:val="none" w:color="auto"/>
                      <w:lang w:val="en-US" w:eastAsia="zh-CN"/>
                    </w:rPr>
                    <w:t>污水</w:t>
                  </w:r>
                </w:p>
              </w:tc>
              <w:tc>
                <w:tcPr>
                  <w:tcW w:w="1118" w:type="pct"/>
                  <w:tcBorders>
                    <w:tl2br w:val="nil"/>
                    <w:tr2bl w:val="nil"/>
                  </w:tcBorders>
                  <w:shd w:val="clear" w:color="auto" w:fill="auto"/>
                  <w:vAlign w:val="center"/>
                </w:tcPr>
                <w:p w14:paraId="726927F8">
                  <w:pPr>
                    <w:pStyle w:val="41"/>
                    <w:bidi w:val="0"/>
                    <w:rPr>
                      <w:sz w:val="21"/>
                      <w:szCs w:val="21"/>
                      <w:u w:val="none" w:color="auto"/>
                    </w:rPr>
                  </w:pPr>
                  <w:r>
                    <w:rPr>
                      <w:sz w:val="21"/>
                      <w:szCs w:val="21"/>
                      <w:u w:val="none" w:color="auto"/>
                    </w:rPr>
                    <w:t>COD、NH</w:t>
                  </w:r>
                  <w:r>
                    <w:rPr>
                      <w:sz w:val="21"/>
                      <w:szCs w:val="21"/>
                      <w:u w:val="none" w:color="auto"/>
                      <w:vertAlign w:val="subscript"/>
                    </w:rPr>
                    <w:t>3</w:t>
                  </w:r>
                  <w:r>
                    <w:rPr>
                      <w:sz w:val="21"/>
                      <w:szCs w:val="21"/>
                      <w:u w:val="none" w:color="auto"/>
                    </w:rPr>
                    <w:t>-N、SS、BOD</w:t>
                  </w:r>
                  <w:r>
                    <w:rPr>
                      <w:sz w:val="21"/>
                      <w:szCs w:val="21"/>
                      <w:u w:val="none" w:color="auto"/>
                      <w:vertAlign w:val="subscript"/>
                    </w:rPr>
                    <w:t>5</w:t>
                  </w:r>
                  <w:r>
                    <w:rPr>
                      <w:rFonts w:hint="eastAsia"/>
                      <w:sz w:val="21"/>
                      <w:szCs w:val="21"/>
                      <w:u w:val="none" w:color="auto"/>
                      <w:lang w:val="en-US" w:eastAsia="zh-CN"/>
                    </w:rPr>
                    <w:t>等</w:t>
                  </w:r>
                </w:p>
              </w:tc>
              <w:tc>
                <w:tcPr>
                  <w:tcW w:w="1259" w:type="pct"/>
                  <w:tcBorders>
                    <w:tl2br w:val="nil"/>
                    <w:tr2bl w:val="nil"/>
                  </w:tcBorders>
                  <w:shd w:val="clear" w:color="auto" w:fill="auto"/>
                  <w:vAlign w:val="center"/>
                </w:tcPr>
                <w:p w14:paraId="4CD00C96">
                  <w:pPr>
                    <w:pStyle w:val="41"/>
                    <w:bidi w:val="0"/>
                    <w:rPr>
                      <w:rFonts w:hint="default"/>
                      <w:sz w:val="21"/>
                      <w:szCs w:val="21"/>
                      <w:u w:val="none" w:color="auto"/>
                      <w:lang w:val="en-US" w:eastAsia="zh-CN"/>
                    </w:rPr>
                  </w:pPr>
                  <w:r>
                    <w:rPr>
                      <w:rFonts w:hint="eastAsia"/>
                      <w:sz w:val="21"/>
                      <w:szCs w:val="21"/>
                      <w:u w:val="none" w:color="auto"/>
                      <w:lang w:val="en-US" w:eastAsia="zh-CN"/>
                    </w:rPr>
                    <w:t>生活污水经化粪池处理后通过市政管网排入中方产业开发区（泸阳镇）污水处理厂处理</w:t>
                  </w:r>
                </w:p>
              </w:tc>
            </w:tr>
            <w:tr w14:paraId="09A198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5" w:hRule="atLeast"/>
              </w:trPr>
              <w:tc>
                <w:tcPr>
                  <w:tcW w:w="254" w:type="pct"/>
                  <w:tcBorders>
                    <w:tl2br w:val="nil"/>
                    <w:tr2bl w:val="nil"/>
                  </w:tcBorders>
                  <w:vAlign w:val="center"/>
                </w:tcPr>
                <w:p w14:paraId="51AF3E77">
                  <w:pPr>
                    <w:pStyle w:val="41"/>
                    <w:bidi w:val="0"/>
                    <w:rPr>
                      <w:sz w:val="21"/>
                      <w:szCs w:val="21"/>
                      <w:u w:val="none" w:color="auto"/>
                    </w:rPr>
                  </w:pPr>
                  <w:r>
                    <w:rPr>
                      <w:sz w:val="21"/>
                      <w:szCs w:val="21"/>
                      <w:u w:val="none" w:color="auto"/>
                    </w:rPr>
                    <w:t>噪声</w:t>
                  </w:r>
                </w:p>
              </w:tc>
              <w:tc>
                <w:tcPr>
                  <w:tcW w:w="409" w:type="pct"/>
                  <w:tcBorders>
                    <w:tl2br w:val="nil"/>
                    <w:tr2bl w:val="nil"/>
                  </w:tcBorders>
                  <w:vAlign w:val="center"/>
                </w:tcPr>
                <w:p w14:paraId="6EDCF5DA">
                  <w:pPr>
                    <w:pStyle w:val="41"/>
                    <w:bidi w:val="0"/>
                    <w:rPr>
                      <w:rFonts w:hint="default"/>
                      <w:sz w:val="21"/>
                      <w:szCs w:val="21"/>
                      <w:u w:val="none" w:color="auto"/>
                      <w:lang w:val="en-US" w:eastAsia="zh-CN"/>
                    </w:rPr>
                  </w:pPr>
                  <w:r>
                    <w:rPr>
                      <w:rFonts w:hint="eastAsia"/>
                      <w:sz w:val="21"/>
                      <w:szCs w:val="21"/>
                      <w:u w:val="none" w:color="auto"/>
                      <w:lang w:val="en-US" w:eastAsia="zh-CN"/>
                    </w:rPr>
                    <w:t>厂房</w:t>
                  </w:r>
                </w:p>
              </w:tc>
              <w:tc>
                <w:tcPr>
                  <w:tcW w:w="505" w:type="pct"/>
                  <w:tcBorders>
                    <w:tl2br w:val="nil"/>
                    <w:tr2bl w:val="nil"/>
                  </w:tcBorders>
                  <w:vAlign w:val="center"/>
                </w:tcPr>
                <w:p w14:paraId="476906E0">
                  <w:pPr>
                    <w:pStyle w:val="41"/>
                    <w:bidi w:val="0"/>
                    <w:rPr>
                      <w:rFonts w:hint="default" w:eastAsia="宋体"/>
                      <w:sz w:val="21"/>
                      <w:szCs w:val="21"/>
                      <w:u w:val="none" w:color="auto"/>
                      <w:lang w:val="en-US" w:eastAsia="zh-CN"/>
                    </w:rPr>
                  </w:pPr>
                  <w:r>
                    <w:rPr>
                      <w:rFonts w:hint="eastAsia"/>
                      <w:sz w:val="21"/>
                      <w:szCs w:val="21"/>
                      <w:u w:val="none" w:color="auto"/>
                      <w:lang w:val="en-US" w:eastAsia="zh-CN"/>
                    </w:rPr>
                    <w:t>N</w:t>
                  </w:r>
                </w:p>
              </w:tc>
              <w:tc>
                <w:tcPr>
                  <w:tcW w:w="692" w:type="pct"/>
                  <w:tcBorders>
                    <w:tl2br w:val="nil"/>
                    <w:tr2bl w:val="nil"/>
                  </w:tcBorders>
                  <w:vAlign w:val="center"/>
                </w:tcPr>
                <w:p w14:paraId="65E8AA2D">
                  <w:pPr>
                    <w:pStyle w:val="41"/>
                    <w:bidi w:val="0"/>
                    <w:rPr>
                      <w:sz w:val="21"/>
                      <w:szCs w:val="21"/>
                      <w:u w:val="none" w:color="auto"/>
                    </w:rPr>
                  </w:pPr>
                  <w:r>
                    <w:rPr>
                      <w:sz w:val="21"/>
                      <w:szCs w:val="21"/>
                      <w:u w:val="none" w:color="auto"/>
                    </w:rPr>
                    <w:t>设备</w:t>
                  </w:r>
                </w:p>
              </w:tc>
              <w:tc>
                <w:tcPr>
                  <w:tcW w:w="760" w:type="pct"/>
                  <w:tcBorders>
                    <w:tl2br w:val="nil"/>
                    <w:tr2bl w:val="nil"/>
                  </w:tcBorders>
                  <w:vAlign w:val="center"/>
                </w:tcPr>
                <w:p w14:paraId="0A2EBCDA">
                  <w:pPr>
                    <w:pStyle w:val="41"/>
                    <w:bidi w:val="0"/>
                    <w:rPr>
                      <w:sz w:val="21"/>
                      <w:szCs w:val="21"/>
                      <w:u w:val="none" w:color="auto"/>
                    </w:rPr>
                  </w:pPr>
                  <w:r>
                    <w:rPr>
                      <w:sz w:val="21"/>
                      <w:szCs w:val="21"/>
                      <w:u w:val="none" w:color="auto"/>
                    </w:rPr>
                    <w:t>设备噪声</w:t>
                  </w:r>
                </w:p>
              </w:tc>
              <w:tc>
                <w:tcPr>
                  <w:tcW w:w="1118" w:type="pct"/>
                  <w:tcBorders>
                    <w:tl2br w:val="nil"/>
                    <w:tr2bl w:val="nil"/>
                  </w:tcBorders>
                  <w:vAlign w:val="center"/>
                </w:tcPr>
                <w:p w14:paraId="11E01ED7">
                  <w:pPr>
                    <w:pStyle w:val="41"/>
                    <w:bidi w:val="0"/>
                    <w:rPr>
                      <w:rFonts w:hint="eastAsia" w:eastAsia="宋体"/>
                      <w:sz w:val="21"/>
                      <w:szCs w:val="21"/>
                      <w:u w:val="none" w:color="auto"/>
                      <w:lang w:val="en-US" w:eastAsia="zh-CN"/>
                    </w:rPr>
                  </w:pPr>
                  <w:r>
                    <w:rPr>
                      <w:sz w:val="21"/>
                      <w:szCs w:val="21"/>
                      <w:u w:val="none" w:color="auto"/>
                    </w:rPr>
                    <w:t>Leq</w:t>
                  </w:r>
                  <w:r>
                    <w:rPr>
                      <w:rFonts w:hint="eastAsia"/>
                      <w:sz w:val="21"/>
                      <w:szCs w:val="21"/>
                      <w:u w:val="none" w:color="auto"/>
                      <w:lang w:val="en-US" w:eastAsia="zh-CN"/>
                    </w:rPr>
                    <w:t>A</w:t>
                  </w:r>
                </w:p>
              </w:tc>
              <w:tc>
                <w:tcPr>
                  <w:tcW w:w="1259" w:type="pct"/>
                  <w:tcBorders>
                    <w:tl2br w:val="nil"/>
                    <w:tr2bl w:val="nil"/>
                  </w:tcBorders>
                  <w:vAlign w:val="center"/>
                </w:tcPr>
                <w:p w14:paraId="08C71152">
                  <w:pPr>
                    <w:pStyle w:val="41"/>
                    <w:tabs>
                      <w:tab w:val="left" w:pos="672"/>
                    </w:tabs>
                    <w:bidi w:val="0"/>
                    <w:jc w:val="center"/>
                    <w:rPr>
                      <w:rFonts w:hint="eastAsia" w:eastAsia="宋体"/>
                      <w:sz w:val="21"/>
                      <w:szCs w:val="21"/>
                      <w:u w:val="none" w:color="auto"/>
                      <w:lang w:eastAsia="zh-CN"/>
                    </w:rPr>
                  </w:pPr>
                  <w:r>
                    <w:rPr>
                      <w:rFonts w:hint="eastAsia"/>
                      <w:sz w:val="21"/>
                      <w:szCs w:val="21"/>
                      <w:u w:val="none" w:color="auto"/>
                      <w:lang w:eastAsia="zh-CN"/>
                    </w:rPr>
                    <w:t>选用低噪声设备，利用厂房进行隔声，基础减振、合理布置，加强管理</w:t>
                  </w:r>
                </w:p>
              </w:tc>
            </w:tr>
            <w:tr w14:paraId="4CB317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254" w:type="pct"/>
                  <w:vMerge w:val="restart"/>
                  <w:tcBorders>
                    <w:tl2br w:val="nil"/>
                    <w:tr2bl w:val="nil"/>
                  </w:tcBorders>
                  <w:vAlign w:val="center"/>
                </w:tcPr>
                <w:p w14:paraId="6E66ADFD">
                  <w:pPr>
                    <w:pStyle w:val="41"/>
                    <w:bidi w:val="0"/>
                    <w:rPr>
                      <w:sz w:val="21"/>
                      <w:szCs w:val="21"/>
                      <w:u w:val="none" w:color="auto"/>
                    </w:rPr>
                  </w:pPr>
                  <w:r>
                    <w:rPr>
                      <w:sz w:val="21"/>
                      <w:szCs w:val="21"/>
                      <w:u w:val="none" w:color="auto"/>
                    </w:rPr>
                    <w:t>固废</w:t>
                  </w:r>
                </w:p>
              </w:tc>
              <w:tc>
                <w:tcPr>
                  <w:tcW w:w="409" w:type="pct"/>
                  <w:vMerge w:val="restart"/>
                  <w:tcBorders>
                    <w:tl2br w:val="nil"/>
                    <w:tr2bl w:val="nil"/>
                  </w:tcBorders>
                  <w:vAlign w:val="center"/>
                </w:tcPr>
                <w:p w14:paraId="6AE6090B">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生产车间</w:t>
                  </w:r>
                </w:p>
              </w:tc>
              <w:tc>
                <w:tcPr>
                  <w:tcW w:w="505" w:type="pct"/>
                  <w:tcBorders>
                    <w:tl2br w:val="nil"/>
                    <w:tr2bl w:val="nil"/>
                  </w:tcBorders>
                  <w:vAlign w:val="center"/>
                </w:tcPr>
                <w:p w14:paraId="3614F632">
                  <w:pPr>
                    <w:pStyle w:val="41"/>
                    <w:bidi w:val="0"/>
                    <w:rPr>
                      <w:sz w:val="21"/>
                      <w:szCs w:val="21"/>
                      <w:highlight w:val="none"/>
                      <w:u w:val="none" w:color="auto"/>
                    </w:rPr>
                  </w:pPr>
                  <w:r>
                    <w:rPr>
                      <w:rFonts w:hint="eastAsia"/>
                      <w:sz w:val="21"/>
                      <w:szCs w:val="21"/>
                      <w:highlight w:val="none"/>
                      <w:u w:val="none" w:color="auto"/>
                      <w:lang w:val="en-US" w:eastAsia="zh-CN"/>
                    </w:rPr>
                    <w:t>S1</w:t>
                  </w:r>
                </w:p>
              </w:tc>
              <w:tc>
                <w:tcPr>
                  <w:tcW w:w="692" w:type="pct"/>
                  <w:tcBorders>
                    <w:tl2br w:val="nil"/>
                    <w:tr2bl w:val="nil"/>
                  </w:tcBorders>
                  <w:vAlign w:val="center"/>
                </w:tcPr>
                <w:p w14:paraId="2EE99B84">
                  <w:pPr>
                    <w:pStyle w:val="41"/>
                    <w:bidi w:val="0"/>
                    <w:rPr>
                      <w:sz w:val="21"/>
                      <w:szCs w:val="21"/>
                      <w:highlight w:val="none"/>
                      <w:u w:val="none" w:color="auto"/>
                      <w:lang w:val="en-US" w:eastAsia="zh-CN"/>
                    </w:rPr>
                  </w:pPr>
                  <w:r>
                    <w:rPr>
                      <w:rFonts w:hint="eastAsia"/>
                      <w:sz w:val="21"/>
                      <w:szCs w:val="21"/>
                      <w:lang w:val="en-US" w:eastAsia="zh-CN"/>
                    </w:rPr>
                    <w:t>焊锡</w:t>
                  </w:r>
                </w:p>
              </w:tc>
              <w:tc>
                <w:tcPr>
                  <w:tcW w:w="760" w:type="pct"/>
                  <w:tcBorders>
                    <w:tl2br w:val="nil"/>
                    <w:tr2bl w:val="nil"/>
                  </w:tcBorders>
                  <w:vAlign w:val="center"/>
                </w:tcPr>
                <w:p w14:paraId="34999A3A">
                  <w:pPr>
                    <w:pStyle w:val="41"/>
                    <w:bidi w:val="0"/>
                    <w:rPr>
                      <w:sz w:val="21"/>
                      <w:szCs w:val="21"/>
                      <w:highlight w:val="none"/>
                      <w:u w:val="none" w:color="auto"/>
                      <w:lang w:val="en-US" w:eastAsia="zh-CN"/>
                    </w:rPr>
                  </w:pPr>
                  <w:r>
                    <w:rPr>
                      <w:rFonts w:hint="eastAsia"/>
                      <w:sz w:val="21"/>
                      <w:szCs w:val="21"/>
                      <w:highlight w:val="none"/>
                      <w:u w:val="none" w:color="auto"/>
                      <w:lang w:val="en-US" w:eastAsia="zh-CN"/>
                    </w:rPr>
                    <w:t>锡渣</w:t>
                  </w:r>
                </w:p>
              </w:tc>
              <w:tc>
                <w:tcPr>
                  <w:tcW w:w="1118" w:type="pct"/>
                  <w:tcBorders>
                    <w:tl2br w:val="nil"/>
                    <w:tr2bl w:val="nil"/>
                  </w:tcBorders>
                  <w:vAlign w:val="center"/>
                </w:tcPr>
                <w:p w14:paraId="52B0E092">
                  <w:pPr>
                    <w:pStyle w:val="41"/>
                    <w:bidi w:val="0"/>
                    <w:rPr>
                      <w:rFonts w:hint="default"/>
                      <w:sz w:val="21"/>
                      <w:szCs w:val="21"/>
                      <w:lang w:val="en-US" w:eastAsia="zh-CN"/>
                    </w:rPr>
                  </w:pPr>
                  <w:r>
                    <w:rPr>
                      <w:sz w:val="21"/>
                      <w:szCs w:val="21"/>
                    </w:rPr>
                    <w:t>/</w:t>
                  </w:r>
                </w:p>
              </w:tc>
              <w:tc>
                <w:tcPr>
                  <w:tcW w:w="1259" w:type="pct"/>
                  <w:tcBorders>
                    <w:tl2br w:val="nil"/>
                    <w:tr2bl w:val="nil"/>
                  </w:tcBorders>
                  <w:vAlign w:val="center"/>
                </w:tcPr>
                <w:p w14:paraId="3E56196A">
                  <w:pPr>
                    <w:pStyle w:val="41"/>
                    <w:bidi w:val="0"/>
                    <w:rPr>
                      <w:rFonts w:hint="default"/>
                      <w:sz w:val="21"/>
                      <w:szCs w:val="21"/>
                      <w:lang w:val="en-US" w:eastAsia="zh-CN"/>
                    </w:rPr>
                  </w:pPr>
                  <w:r>
                    <w:rPr>
                      <w:rFonts w:hint="eastAsia"/>
                      <w:sz w:val="21"/>
                      <w:szCs w:val="21"/>
                      <w:lang w:val="en-US" w:eastAsia="zh-CN"/>
                    </w:rPr>
                    <w:t>交由厂家回收利用</w:t>
                  </w:r>
                </w:p>
              </w:tc>
            </w:tr>
            <w:tr w14:paraId="7A4B0D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164" w:hRule="atLeast"/>
              </w:trPr>
              <w:tc>
                <w:tcPr>
                  <w:tcW w:w="254" w:type="pct"/>
                  <w:vMerge w:val="continue"/>
                  <w:tcBorders>
                    <w:tl2br w:val="nil"/>
                    <w:tr2bl w:val="nil"/>
                  </w:tcBorders>
                  <w:vAlign w:val="center"/>
                </w:tcPr>
                <w:p w14:paraId="77BCE750">
                  <w:pPr>
                    <w:pStyle w:val="41"/>
                    <w:bidi w:val="0"/>
                    <w:rPr>
                      <w:sz w:val="21"/>
                      <w:szCs w:val="21"/>
                      <w:u w:val="none" w:color="auto"/>
                    </w:rPr>
                  </w:pPr>
                </w:p>
              </w:tc>
              <w:tc>
                <w:tcPr>
                  <w:tcW w:w="409" w:type="pct"/>
                  <w:vMerge w:val="continue"/>
                  <w:tcBorders>
                    <w:tl2br w:val="nil"/>
                    <w:tr2bl w:val="nil"/>
                  </w:tcBorders>
                  <w:vAlign w:val="center"/>
                </w:tcPr>
                <w:p w14:paraId="2F057509">
                  <w:pPr>
                    <w:pStyle w:val="41"/>
                    <w:bidi w:val="0"/>
                    <w:rPr>
                      <w:rFonts w:hint="eastAsia"/>
                      <w:sz w:val="21"/>
                      <w:szCs w:val="21"/>
                      <w:u w:val="none" w:color="auto"/>
                      <w:lang w:val="en-US" w:eastAsia="zh-CN"/>
                    </w:rPr>
                  </w:pPr>
                </w:p>
              </w:tc>
              <w:tc>
                <w:tcPr>
                  <w:tcW w:w="505" w:type="pct"/>
                  <w:tcBorders>
                    <w:tl2br w:val="nil"/>
                    <w:tr2bl w:val="nil"/>
                  </w:tcBorders>
                  <w:vAlign w:val="center"/>
                </w:tcPr>
                <w:p w14:paraId="62B1D90E">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S2</w:t>
                  </w:r>
                </w:p>
              </w:tc>
              <w:tc>
                <w:tcPr>
                  <w:tcW w:w="692" w:type="pct"/>
                  <w:tcBorders>
                    <w:tl2br w:val="nil"/>
                    <w:tr2bl w:val="nil"/>
                  </w:tcBorders>
                  <w:vAlign w:val="center"/>
                </w:tcPr>
                <w:p w14:paraId="733391B3">
                  <w:pPr>
                    <w:pStyle w:val="41"/>
                    <w:bidi w:val="0"/>
                    <w:rPr>
                      <w:rFonts w:hint="default"/>
                      <w:sz w:val="21"/>
                      <w:szCs w:val="21"/>
                      <w:highlight w:val="none"/>
                      <w:u w:val="none" w:color="auto"/>
                      <w:lang w:val="en-US" w:eastAsia="zh-CN"/>
                    </w:rPr>
                  </w:pPr>
                  <w:r>
                    <w:rPr>
                      <w:rFonts w:hint="eastAsia"/>
                      <w:sz w:val="21"/>
                      <w:szCs w:val="21"/>
                      <w:lang w:val="en-US" w:eastAsia="zh-CN"/>
                    </w:rPr>
                    <w:t>成品测试</w:t>
                  </w:r>
                </w:p>
              </w:tc>
              <w:tc>
                <w:tcPr>
                  <w:tcW w:w="760" w:type="pct"/>
                  <w:tcBorders>
                    <w:tl2br w:val="nil"/>
                    <w:tr2bl w:val="nil"/>
                  </w:tcBorders>
                  <w:vAlign w:val="center"/>
                </w:tcPr>
                <w:p w14:paraId="70601D5D">
                  <w:pPr>
                    <w:pStyle w:val="41"/>
                    <w:bidi w:val="0"/>
                    <w:rPr>
                      <w:rFonts w:hint="eastAsia"/>
                      <w:sz w:val="21"/>
                      <w:szCs w:val="21"/>
                      <w:highlight w:val="none"/>
                      <w:u w:val="none" w:color="auto"/>
                      <w:lang w:val="en-US" w:eastAsia="zh-CN"/>
                    </w:rPr>
                  </w:pPr>
                  <w:r>
                    <w:rPr>
                      <w:rFonts w:hint="eastAsia" w:ascii="Times New Roman" w:hAnsi="Times New Roman" w:eastAsia="宋体" w:cs="Times New Roman"/>
                      <w:sz w:val="21"/>
                      <w:szCs w:val="21"/>
                      <w:u w:val="none" w:color="auto"/>
                      <w:lang w:val="en-US" w:eastAsia="zh-CN"/>
                    </w:rPr>
                    <w:t>不合格品</w:t>
                  </w:r>
                </w:p>
              </w:tc>
              <w:tc>
                <w:tcPr>
                  <w:tcW w:w="1118" w:type="pct"/>
                  <w:tcBorders>
                    <w:tl2br w:val="nil"/>
                    <w:tr2bl w:val="nil"/>
                  </w:tcBorders>
                  <w:vAlign w:val="center"/>
                </w:tcPr>
                <w:p w14:paraId="1BCD7042">
                  <w:pPr>
                    <w:pStyle w:val="41"/>
                    <w:bidi w:val="0"/>
                    <w:rPr>
                      <w:rFonts w:hint="default"/>
                      <w:sz w:val="21"/>
                      <w:szCs w:val="21"/>
                      <w:lang w:val="en-US" w:eastAsia="zh-CN"/>
                    </w:rPr>
                  </w:pPr>
                  <w:r>
                    <w:rPr>
                      <w:sz w:val="21"/>
                      <w:szCs w:val="21"/>
                    </w:rPr>
                    <w:t>/</w:t>
                  </w:r>
                </w:p>
              </w:tc>
              <w:tc>
                <w:tcPr>
                  <w:tcW w:w="1259" w:type="pct"/>
                  <w:vMerge w:val="restart"/>
                  <w:tcBorders>
                    <w:tl2br w:val="nil"/>
                    <w:tr2bl w:val="nil"/>
                  </w:tcBorders>
                  <w:vAlign w:val="center"/>
                </w:tcPr>
                <w:p w14:paraId="46B5A7DD">
                  <w:pPr>
                    <w:pStyle w:val="41"/>
                    <w:bidi w:val="0"/>
                    <w:rPr>
                      <w:rFonts w:hint="eastAsia"/>
                      <w:sz w:val="21"/>
                      <w:szCs w:val="21"/>
                      <w:lang w:val="en-US" w:eastAsia="zh-CN"/>
                    </w:rPr>
                  </w:pPr>
                  <w:r>
                    <w:rPr>
                      <w:rFonts w:hint="eastAsia" w:ascii="Times New Roman" w:hAnsi="Times New Roman" w:eastAsia="宋体" w:cs="Times New Roman"/>
                      <w:color w:val="000000" w:themeColor="text1"/>
                      <w:kern w:val="2"/>
                      <w:sz w:val="21"/>
                      <w:szCs w:val="21"/>
                      <w:u w:val="none"/>
                      <w:lang w:val="en-US" w:eastAsia="zh-CN" w:bidi="ar-SA"/>
                      <w14:textFill>
                        <w14:solidFill>
                          <w14:schemeClr w14:val="tx1"/>
                        </w14:solidFill>
                      </w14:textFill>
                    </w:rPr>
                    <w:t>收集后外售废品回收公司</w:t>
                  </w:r>
                </w:p>
              </w:tc>
            </w:tr>
            <w:tr w14:paraId="20CE10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254" w:type="pct"/>
                  <w:vMerge w:val="continue"/>
                  <w:tcBorders>
                    <w:tl2br w:val="nil"/>
                    <w:tr2bl w:val="nil"/>
                  </w:tcBorders>
                  <w:vAlign w:val="center"/>
                </w:tcPr>
                <w:p w14:paraId="4DACA171">
                  <w:pPr>
                    <w:pStyle w:val="41"/>
                    <w:bidi w:val="0"/>
                    <w:rPr>
                      <w:sz w:val="21"/>
                      <w:szCs w:val="21"/>
                      <w:u w:val="none" w:color="auto"/>
                    </w:rPr>
                  </w:pPr>
                </w:p>
              </w:tc>
              <w:tc>
                <w:tcPr>
                  <w:tcW w:w="409" w:type="pct"/>
                  <w:vMerge w:val="continue"/>
                  <w:tcBorders>
                    <w:tl2br w:val="nil"/>
                    <w:tr2bl w:val="nil"/>
                  </w:tcBorders>
                  <w:vAlign w:val="center"/>
                </w:tcPr>
                <w:p w14:paraId="06023B92">
                  <w:pPr>
                    <w:pStyle w:val="41"/>
                    <w:bidi w:val="0"/>
                    <w:rPr>
                      <w:rFonts w:hint="eastAsia"/>
                      <w:sz w:val="21"/>
                      <w:szCs w:val="21"/>
                      <w:u w:val="none" w:color="auto"/>
                      <w:lang w:val="en-US" w:eastAsia="zh-CN"/>
                    </w:rPr>
                  </w:pPr>
                </w:p>
              </w:tc>
              <w:tc>
                <w:tcPr>
                  <w:tcW w:w="505" w:type="pct"/>
                  <w:tcBorders>
                    <w:tl2br w:val="nil"/>
                    <w:tr2bl w:val="nil"/>
                  </w:tcBorders>
                  <w:vAlign w:val="center"/>
                </w:tcPr>
                <w:p w14:paraId="5F8BC9BA">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S3</w:t>
                  </w:r>
                </w:p>
              </w:tc>
              <w:tc>
                <w:tcPr>
                  <w:tcW w:w="692" w:type="pct"/>
                  <w:tcBorders>
                    <w:tl2br w:val="nil"/>
                    <w:tr2bl w:val="nil"/>
                  </w:tcBorders>
                  <w:vAlign w:val="center"/>
                </w:tcPr>
                <w:p w14:paraId="0E891447">
                  <w:pPr>
                    <w:pStyle w:val="41"/>
                    <w:bidi w:val="0"/>
                    <w:rPr>
                      <w:rFonts w:hint="default"/>
                      <w:sz w:val="21"/>
                      <w:szCs w:val="21"/>
                      <w:highlight w:val="none"/>
                      <w:u w:val="none" w:color="auto"/>
                      <w:lang w:val="en-US" w:eastAsia="zh-CN"/>
                    </w:rPr>
                  </w:pPr>
                  <w:r>
                    <w:rPr>
                      <w:rFonts w:hint="eastAsia"/>
                      <w:sz w:val="21"/>
                      <w:szCs w:val="21"/>
                      <w:lang w:val="en-US" w:eastAsia="zh-CN"/>
                    </w:rPr>
                    <w:t>理线、切脚</w:t>
                  </w:r>
                </w:p>
              </w:tc>
              <w:tc>
                <w:tcPr>
                  <w:tcW w:w="760" w:type="pct"/>
                  <w:tcBorders>
                    <w:tl2br w:val="nil"/>
                    <w:tr2bl w:val="nil"/>
                  </w:tcBorders>
                  <w:vAlign w:val="center"/>
                </w:tcPr>
                <w:p w14:paraId="5BC3B365">
                  <w:pPr>
                    <w:jc w:val="center"/>
                    <w:rPr>
                      <w:rFonts w:hint="default"/>
                      <w:sz w:val="21"/>
                      <w:szCs w:val="21"/>
                      <w:highlight w:val="none"/>
                      <w:u w:val="none" w:color="auto"/>
                      <w:lang w:val="en-US" w:eastAsia="zh-CN"/>
                    </w:rPr>
                  </w:pPr>
                  <w:r>
                    <w:rPr>
                      <w:rFonts w:hint="eastAsia" w:cs="Times New Roman"/>
                      <w:sz w:val="21"/>
                      <w:szCs w:val="21"/>
                      <w:u w:val="none" w:color="auto"/>
                      <w:lang w:val="en-US" w:eastAsia="zh-CN"/>
                    </w:rPr>
                    <w:t>废铜线边角料</w:t>
                  </w:r>
                </w:p>
              </w:tc>
              <w:tc>
                <w:tcPr>
                  <w:tcW w:w="1118" w:type="pct"/>
                  <w:tcBorders>
                    <w:tl2br w:val="nil"/>
                    <w:tr2bl w:val="nil"/>
                  </w:tcBorders>
                  <w:vAlign w:val="center"/>
                </w:tcPr>
                <w:p w14:paraId="47326557">
                  <w:pPr>
                    <w:pStyle w:val="41"/>
                    <w:bidi w:val="0"/>
                    <w:rPr>
                      <w:rFonts w:hint="default"/>
                      <w:sz w:val="21"/>
                      <w:szCs w:val="21"/>
                      <w:lang w:val="en-US" w:eastAsia="zh-CN"/>
                    </w:rPr>
                  </w:pPr>
                  <w:r>
                    <w:rPr>
                      <w:sz w:val="21"/>
                      <w:szCs w:val="21"/>
                    </w:rPr>
                    <w:t>/</w:t>
                  </w:r>
                </w:p>
              </w:tc>
              <w:tc>
                <w:tcPr>
                  <w:tcW w:w="1259" w:type="pct"/>
                  <w:vMerge w:val="continue"/>
                  <w:tcBorders>
                    <w:tl2br w:val="nil"/>
                    <w:tr2bl w:val="nil"/>
                  </w:tcBorders>
                  <w:vAlign w:val="center"/>
                </w:tcPr>
                <w:p w14:paraId="13680A72">
                  <w:pPr>
                    <w:pStyle w:val="41"/>
                    <w:bidi w:val="0"/>
                    <w:rPr>
                      <w:sz w:val="21"/>
                      <w:szCs w:val="21"/>
                      <w:highlight w:val="yellow"/>
                      <w:u w:val="none" w:color="auto"/>
                      <w:lang w:val="en-US" w:eastAsia="zh-CN"/>
                    </w:rPr>
                  </w:pPr>
                </w:p>
              </w:tc>
            </w:tr>
            <w:tr w14:paraId="6DBE87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1" w:hRule="atLeast"/>
              </w:trPr>
              <w:tc>
                <w:tcPr>
                  <w:tcW w:w="254" w:type="pct"/>
                  <w:vMerge w:val="continue"/>
                  <w:tcBorders>
                    <w:tl2br w:val="nil"/>
                    <w:tr2bl w:val="nil"/>
                  </w:tcBorders>
                  <w:vAlign w:val="center"/>
                </w:tcPr>
                <w:p w14:paraId="168869D8">
                  <w:pPr>
                    <w:pStyle w:val="41"/>
                    <w:bidi w:val="0"/>
                    <w:rPr>
                      <w:sz w:val="21"/>
                      <w:szCs w:val="21"/>
                      <w:u w:val="none" w:color="auto"/>
                    </w:rPr>
                  </w:pPr>
                </w:p>
              </w:tc>
              <w:tc>
                <w:tcPr>
                  <w:tcW w:w="409" w:type="pct"/>
                  <w:vMerge w:val="continue"/>
                  <w:tcBorders>
                    <w:tl2br w:val="nil"/>
                    <w:tr2bl w:val="nil"/>
                  </w:tcBorders>
                  <w:vAlign w:val="center"/>
                </w:tcPr>
                <w:p w14:paraId="41C9D381">
                  <w:pPr>
                    <w:pStyle w:val="41"/>
                    <w:bidi w:val="0"/>
                    <w:rPr>
                      <w:rFonts w:hint="default"/>
                      <w:sz w:val="21"/>
                      <w:szCs w:val="21"/>
                      <w:u w:val="none" w:color="auto"/>
                      <w:lang w:val="en-US" w:eastAsia="zh-CN"/>
                    </w:rPr>
                  </w:pPr>
                </w:p>
              </w:tc>
              <w:tc>
                <w:tcPr>
                  <w:tcW w:w="505" w:type="pct"/>
                  <w:tcBorders>
                    <w:tl2br w:val="nil"/>
                    <w:tr2bl w:val="nil"/>
                  </w:tcBorders>
                  <w:vAlign w:val="center"/>
                </w:tcPr>
                <w:p w14:paraId="1F304AF4">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S4</w:t>
                  </w:r>
                </w:p>
              </w:tc>
              <w:tc>
                <w:tcPr>
                  <w:tcW w:w="692" w:type="pct"/>
                  <w:tcBorders>
                    <w:tl2br w:val="nil"/>
                    <w:tr2bl w:val="nil"/>
                  </w:tcBorders>
                  <w:vAlign w:val="center"/>
                </w:tcPr>
                <w:p w14:paraId="249AAFD3">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绝缘漆、稀释剂等拆包</w:t>
                  </w:r>
                </w:p>
              </w:tc>
              <w:tc>
                <w:tcPr>
                  <w:tcW w:w="760" w:type="pct"/>
                  <w:tcBorders>
                    <w:tl2br w:val="nil"/>
                    <w:tr2bl w:val="nil"/>
                  </w:tcBorders>
                  <w:vAlign w:val="center"/>
                </w:tcPr>
                <w:p w14:paraId="1C215687">
                  <w:pPr>
                    <w:jc w:val="center"/>
                    <w:rPr>
                      <w:rFonts w:hint="eastAsia"/>
                      <w:sz w:val="21"/>
                      <w:szCs w:val="21"/>
                      <w:highlight w:val="none"/>
                      <w:u w:val="none" w:color="auto"/>
                      <w:lang w:val="en-US" w:eastAsia="zh-CN"/>
                    </w:rPr>
                  </w:pPr>
                  <w:r>
                    <w:rPr>
                      <w:rFonts w:hint="eastAsia"/>
                      <w:sz w:val="21"/>
                      <w:szCs w:val="21"/>
                      <w:highlight w:val="none"/>
                      <w:u w:val="none" w:color="auto"/>
                      <w:lang w:val="en-US" w:eastAsia="zh-CN"/>
                    </w:rPr>
                    <w:t>废原料桶</w:t>
                  </w:r>
                </w:p>
              </w:tc>
              <w:tc>
                <w:tcPr>
                  <w:tcW w:w="1118" w:type="pct"/>
                  <w:tcBorders>
                    <w:tl2br w:val="nil"/>
                    <w:tr2bl w:val="nil"/>
                  </w:tcBorders>
                  <w:vAlign w:val="center"/>
                </w:tcPr>
                <w:p w14:paraId="08D18D04">
                  <w:pPr>
                    <w:pStyle w:val="41"/>
                    <w:bidi w:val="0"/>
                    <w:rPr>
                      <w:rFonts w:hint="default"/>
                      <w:sz w:val="21"/>
                      <w:szCs w:val="21"/>
                      <w:lang w:val="en-US" w:eastAsia="zh-CN"/>
                    </w:rPr>
                  </w:pPr>
                  <w:r>
                    <w:rPr>
                      <w:sz w:val="21"/>
                      <w:szCs w:val="21"/>
                    </w:rPr>
                    <w:t>/</w:t>
                  </w:r>
                </w:p>
              </w:tc>
              <w:tc>
                <w:tcPr>
                  <w:tcW w:w="1259" w:type="pct"/>
                  <w:vMerge w:val="restart"/>
                  <w:tcBorders>
                    <w:tl2br w:val="nil"/>
                    <w:tr2bl w:val="nil"/>
                  </w:tcBorders>
                  <w:vAlign w:val="center"/>
                </w:tcPr>
                <w:p w14:paraId="2791A09F">
                  <w:pPr>
                    <w:pStyle w:val="41"/>
                    <w:bidi w:val="0"/>
                    <w:rPr>
                      <w:rFonts w:hint="default" w:eastAsia="宋体"/>
                      <w:sz w:val="21"/>
                      <w:szCs w:val="21"/>
                      <w:highlight w:val="none"/>
                      <w:u w:val="none" w:color="auto"/>
                      <w:lang w:val="en-US" w:eastAsia="zh-CN"/>
                    </w:rPr>
                  </w:pPr>
                  <w:r>
                    <w:rPr>
                      <w:rFonts w:hint="eastAsia"/>
                      <w:sz w:val="21"/>
                      <w:szCs w:val="21"/>
                      <w:highlight w:val="none"/>
                      <w:u w:val="none" w:color="auto"/>
                      <w:lang w:val="en-US" w:eastAsia="zh-CN"/>
                    </w:rPr>
                    <w:t>分类暂存于危废暂存间交由有资质单位处置</w:t>
                  </w:r>
                </w:p>
              </w:tc>
            </w:tr>
            <w:tr w14:paraId="590446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1" w:hRule="atLeast"/>
              </w:trPr>
              <w:tc>
                <w:tcPr>
                  <w:tcW w:w="254" w:type="pct"/>
                  <w:vMerge w:val="continue"/>
                  <w:tcBorders>
                    <w:tl2br w:val="nil"/>
                    <w:tr2bl w:val="nil"/>
                  </w:tcBorders>
                  <w:vAlign w:val="center"/>
                </w:tcPr>
                <w:p w14:paraId="5DA1886D">
                  <w:pPr>
                    <w:pStyle w:val="41"/>
                    <w:bidi w:val="0"/>
                    <w:rPr>
                      <w:sz w:val="21"/>
                      <w:szCs w:val="21"/>
                      <w:u w:val="none" w:color="auto"/>
                    </w:rPr>
                  </w:pPr>
                </w:p>
              </w:tc>
              <w:tc>
                <w:tcPr>
                  <w:tcW w:w="409" w:type="pct"/>
                  <w:vMerge w:val="continue"/>
                  <w:tcBorders>
                    <w:tl2br w:val="nil"/>
                    <w:tr2bl w:val="nil"/>
                  </w:tcBorders>
                  <w:vAlign w:val="center"/>
                </w:tcPr>
                <w:p w14:paraId="4125FB92">
                  <w:pPr>
                    <w:pStyle w:val="41"/>
                    <w:bidi w:val="0"/>
                    <w:rPr>
                      <w:rFonts w:hint="default"/>
                      <w:sz w:val="21"/>
                      <w:szCs w:val="21"/>
                      <w:u w:val="none" w:color="auto"/>
                      <w:lang w:val="en-US" w:eastAsia="zh-CN"/>
                    </w:rPr>
                  </w:pPr>
                </w:p>
              </w:tc>
              <w:tc>
                <w:tcPr>
                  <w:tcW w:w="505" w:type="pct"/>
                  <w:tcBorders>
                    <w:tl2br w:val="nil"/>
                    <w:tr2bl w:val="nil"/>
                  </w:tcBorders>
                  <w:vAlign w:val="center"/>
                </w:tcPr>
                <w:p w14:paraId="512DD460">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S5</w:t>
                  </w:r>
                </w:p>
              </w:tc>
              <w:tc>
                <w:tcPr>
                  <w:tcW w:w="692" w:type="pct"/>
                  <w:tcBorders>
                    <w:tl2br w:val="nil"/>
                    <w:tr2bl w:val="nil"/>
                  </w:tcBorders>
                  <w:vAlign w:val="center"/>
                </w:tcPr>
                <w:p w14:paraId="3923FC8D">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废气处理</w:t>
                  </w:r>
                </w:p>
              </w:tc>
              <w:tc>
                <w:tcPr>
                  <w:tcW w:w="760" w:type="pct"/>
                  <w:tcBorders>
                    <w:tl2br w:val="nil"/>
                    <w:tr2bl w:val="nil"/>
                  </w:tcBorders>
                  <w:vAlign w:val="center"/>
                </w:tcPr>
                <w:p w14:paraId="7F439BD0">
                  <w:pPr>
                    <w:jc w:val="center"/>
                    <w:rPr>
                      <w:rFonts w:hint="default"/>
                      <w:sz w:val="21"/>
                      <w:szCs w:val="21"/>
                      <w:highlight w:val="none"/>
                      <w:u w:val="none" w:color="auto"/>
                      <w:lang w:val="en-US" w:eastAsia="zh-CN"/>
                    </w:rPr>
                  </w:pPr>
                  <w:r>
                    <w:rPr>
                      <w:rFonts w:hint="eastAsia"/>
                      <w:sz w:val="21"/>
                      <w:szCs w:val="21"/>
                      <w:highlight w:val="none"/>
                      <w:u w:val="none" w:color="auto"/>
                      <w:lang w:val="en-US" w:eastAsia="zh-CN"/>
                    </w:rPr>
                    <w:t>废过滤棉</w:t>
                  </w:r>
                </w:p>
              </w:tc>
              <w:tc>
                <w:tcPr>
                  <w:tcW w:w="1118" w:type="pct"/>
                  <w:tcBorders>
                    <w:tl2br w:val="nil"/>
                    <w:tr2bl w:val="nil"/>
                  </w:tcBorders>
                  <w:vAlign w:val="center"/>
                </w:tcPr>
                <w:p w14:paraId="3E630B4E">
                  <w:pPr>
                    <w:pStyle w:val="41"/>
                    <w:bidi w:val="0"/>
                    <w:rPr>
                      <w:rFonts w:hint="eastAsia" w:eastAsia="宋体"/>
                      <w:sz w:val="21"/>
                      <w:szCs w:val="21"/>
                      <w:lang w:val="en-US" w:eastAsia="zh-CN"/>
                    </w:rPr>
                  </w:pPr>
                  <w:r>
                    <w:rPr>
                      <w:rFonts w:hint="eastAsia"/>
                      <w:sz w:val="21"/>
                      <w:szCs w:val="21"/>
                      <w:lang w:val="en-US" w:eastAsia="zh-CN"/>
                    </w:rPr>
                    <w:t>/</w:t>
                  </w:r>
                </w:p>
              </w:tc>
              <w:tc>
                <w:tcPr>
                  <w:tcW w:w="1259" w:type="pct"/>
                  <w:vMerge w:val="continue"/>
                  <w:tcBorders>
                    <w:tl2br w:val="nil"/>
                    <w:tr2bl w:val="nil"/>
                  </w:tcBorders>
                  <w:vAlign w:val="center"/>
                </w:tcPr>
                <w:p w14:paraId="782FD824">
                  <w:pPr>
                    <w:pStyle w:val="41"/>
                    <w:bidi w:val="0"/>
                    <w:rPr>
                      <w:rFonts w:hint="eastAsia"/>
                      <w:sz w:val="21"/>
                      <w:szCs w:val="21"/>
                      <w:highlight w:val="none"/>
                      <w:u w:val="none" w:color="auto"/>
                      <w:lang w:val="en-US" w:eastAsia="zh-CN"/>
                    </w:rPr>
                  </w:pPr>
                </w:p>
              </w:tc>
            </w:tr>
            <w:tr w14:paraId="2E05AB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1" w:hRule="atLeast"/>
              </w:trPr>
              <w:tc>
                <w:tcPr>
                  <w:tcW w:w="254" w:type="pct"/>
                  <w:vMerge w:val="continue"/>
                  <w:tcBorders>
                    <w:tl2br w:val="nil"/>
                    <w:tr2bl w:val="nil"/>
                  </w:tcBorders>
                  <w:vAlign w:val="center"/>
                </w:tcPr>
                <w:p w14:paraId="1F961392">
                  <w:pPr>
                    <w:pStyle w:val="41"/>
                    <w:bidi w:val="0"/>
                    <w:rPr>
                      <w:sz w:val="21"/>
                      <w:szCs w:val="21"/>
                      <w:u w:val="none" w:color="auto"/>
                    </w:rPr>
                  </w:pPr>
                </w:p>
              </w:tc>
              <w:tc>
                <w:tcPr>
                  <w:tcW w:w="409" w:type="pct"/>
                  <w:vMerge w:val="continue"/>
                  <w:tcBorders>
                    <w:tl2br w:val="nil"/>
                    <w:tr2bl w:val="nil"/>
                  </w:tcBorders>
                  <w:vAlign w:val="center"/>
                </w:tcPr>
                <w:p w14:paraId="1C071954">
                  <w:pPr>
                    <w:pStyle w:val="41"/>
                    <w:bidi w:val="0"/>
                    <w:rPr>
                      <w:rFonts w:hint="default"/>
                      <w:sz w:val="21"/>
                      <w:szCs w:val="21"/>
                      <w:u w:val="none" w:color="auto"/>
                      <w:lang w:val="en-US" w:eastAsia="zh-CN"/>
                    </w:rPr>
                  </w:pPr>
                </w:p>
              </w:tc>
              <w:tc>
                <w:tcPr>
                  <w:tcW w:w="505" w:type="pct"/>
                  <w:tcBorders>
                    <w:tl2br w:val="nil"/>
                    <w:tr2bl w:val="nil"/>
                  </w:tcBorders>
                  <w:vAlign w:val="center"/>
                </w:tcPr>
                <w:p w14:paraId="34C0D666">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S6</w:t>
                  </w:r>
                </w:p>
              </w:tc>
              <w:tc>
                <w:tcPr>
                  <w:tcW w:w="692" w:type="pct"/>
                  <w:tcBorders>
                    <w:tl2br w:val="nil"/>
                    <w:tr2bl w:val="nil"/>
                  </w:tcBorders>
                  <w:vAlign w:val="center"/>
                </w:tcPr>
                <w:p w14:paraId="684BF0B6">
                  <w:pPr>
                    <w:pStyle w:val="41"/>
                    <w:bidi w:val="0"/>
                    <w:rPr>
                      <w:rFonts w:hint="eastAsia"/>
                      <w:sz w:val="21"/>
                      <w:szCs w:val="21"/>
                      <w:highlight w:val="none"/>
                      <w:u w:val="none" w:color="auto"/>
                      <w:lang w:val="en-US" w:eastAsia="zh-CN"/>
                    </w:rPr>
                  </w:pPr>
                  <w:r>
                    <w:rPr>
                      <w:rFonts w:hint="eastAsia"/>
                      <w:sz w:val="21"/>
                      <w:szCs w:val="21"/>
                      <w:lang w:val="en-US" w:eastAsia="zh-CN"/>
                    </w:rPr>
                    <w:t>废气处理</w:t>
                  </w:r>
                </w:p>
              </w:tc>
              <w:tc>
                <w:tcPr>
                  <w:tcW w:w="760" w:type="pct"/>
                  <w:tcBorders>
                    <w:tl2br w:val="nil"/>
                    <w:tr2bl w:val="nil"/>
                  </w:tcBorders>
                  <w:vAlign w:val="center"/>
                </w:tcPr>
                <w:p w14:paraId="787F3399">
                  <w:pPr>
                    <w:jc w:val="center"/>
                    <w:rPr>
                      <w:rFonts w:hint="eastAsia"/>
                      <w:sz w:val="21"/>
                      <w:szCs w:val="21"/>
                      <w:highlight w:val="none"/>
                      <w:u w:val="none" w:color="auto"/>
                      <w:lang w:val="en-US" w:eastAsia="zh-CN"/>
                    </w:rPr>
                  </w:pPr>
                  <w:r>
                    <w:rPr>
                      <w:rFonts w:hint="eastAsia" w:cs="Times New Roman"/>
                      <w:sz w:val="21"/>
                      <w:szCs w:val="21"/>
                      <w:u w:val="none" w:color="auto"/>
                      <w:lang w:val="en-US" w:eastAsia="zh-CN"/>
                    </w:rPr>
                    <w:t>废活性炭</w:t>
                  </w:r>
                </w:p>
              </w:tc>
              <w:tc>
                <w:tcPr>
                  <w:tcW w:w="1118" w:type="pct"/>
                  <w:tcBorders>
                    <w:tl2br w:val="nil"/>
                    <w:tr2bl w:val="nil"/>
                  </w:tcBorders>
                  <w:vAlign w:val="center"/>
                </w:tcPr>
                <w:p w14:paraId="4CB76C8C">
                  <w:pPr>
                    <w:pStyle w:val="41"/>
                    <w:bidi w:val="0"/>
                    <w:rPr>
                      <w:rFonts w:hint="eastAsia" w:eastAsia="宋体"/>
                      <w:sz w:val="21"/>
                      <w:szCs w:val="21"/>
                      <w:lang w:val="en-US" w:eastAsia="zh-CN"/>
                    </w:rPr>
                  </w:pPr>
                  <w:r>
                    <w:rPr>
                      <w:rFonts w:hint="eastAsia"/>
                      <w:sz w:val="21"/>
                      <w:szCs w:val="21"/>
                      <w:lang w:val="en-US" w:eastAsia="zh-CN"/>
                    </w:rPr>
                    <w:t>/</w:t>
                  </w:r>
                </w:p>
              </w:tc>
              <w:tc>
                <w:tcPr>
                  <w:tcW w:w="1259" w:type="pct"/>
                  <w:vMerge w:val="continue"/>
                  <w:tcBorders>
                    <w:tl2br w:val="nil"/>
                    <w:tr2bl w:val="nil"/>
                  </w:tcBorders>
                  <w:vAlign w:val="center"/>
                </w:tcPr>
                <w:p w14:paraId="663C2341">
                  <w:pPr>
                    <w:pStyle w:val="41"/>
                    <w:bidi w:val="0"/>
                    <w:rPr>
                      <w:rFonts w:hint="eastAsia"/>
                      <w:sz w:val="21"/>
                      <w:szCs w:val="21"/>
                      <w:highlight w:val="none"/>
                      <w:u w:val="none" w:color="auto"/>
                      <w:lang w:val="en-US" w:eastAsia="zh-CN"/>
                    </w:rPr>
                  </w:pPr>
                </w:p>
              </w:tc>
            </w:tr>
            <w:tr w14:paraId="3DD730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1" w:hRule="atLeast"/>
              </w:trPr>
              <w:tc>
                <w:tcPr>
                  <w:tcW w:w="254" w:type="pct"/>
                  <w:vMerge w:val="continue"/>
                  <w:tcBorders>
                    <w:tl2br w:val="nil"/>
                    <w:tr2bl w:val="nil"/>
                  </w:tcBorders>
                  <w:vAlign w:val="center"/>
                </w:tcPr>
                <w:p w14:paraId="590E8D97">
                  <w:pPr>
                    <w:pStyle w:val="41"/>
                    <w:bidi w:val="0"/>
                    <w:rPr>
                      <w:sz w:val="21"/>
                      <w:szCs w:val="21"/>
                      <w:u w:val="none" w:color="auto"/>
                    </w:rPr>
                  </w:pPr>
                </w:p>
              </w:tc>
              <w:tc>
                <w:tcPr>
                  <w:tcW w:w="409" w:type="pct"/>
                  <w:vMerge w:val="continue"/>
                  <w:tcBorders>
                    <w:tl2br w:val="nil"/>
                    <w:tr2bl w:val="nil"/>
                  </w:tcBorders>
                  <w:vAlign w:val="center"/>
                </w:tcPr>
                <w:p w14:paraId="13E71EF6">
                  <w:pPr>
                    <w:pStyle w:val="41"/>
                    <w:bidi w:val="0"/>
                    <w:rPr>
                      <w:rFonts w:hint="default"/>
                      <w:sz w:val="21"/>
                      <w:szCs w:val="21"/>
                      <w:u w:val="none" w:color="auto"/>
                      <w:lang w:val="en-US" w:eastAsia="zh-CN"/>
                    </w:rPr>
                  </w:pPr>
                </w:p>
              </w:tc>
              <w:tc>
                <w:tcPr>
                  <w:tcW w:w="505" w:type="pct"/>
                  <w:tcBorders>
                    <w:tl2br w:val="nil"/>
                    <w:tr2bl w:val="nil"/>
                  </w:tcBorders>
                  <w:vAlign w:val="center"/>
                </w:tcPr>
                <w:p w14:paraId="20F12FAB">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S7</w:t>
                  </w:r>
                </w:p>
              </w:tc>
              <w:tc>
                <w:tcPr>
                  <w:tcW w:w="692" w:type="pct"/>
                  <w:tcBorders>
                    <w:tl2br w:val="nil"/>
                    <w:tr2bl w:val="nil"/>
                  </w:tcBorders>
                  <w:vAlign w:val="center"/>
                </w:tcPr>
                <w:p w14:paraId="5C961FCE">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设备维修保养</w:t>
                  </w:r>
                </w:p>
              </w:tc>
              <w:tc>
                <w:tcPr>
                  <w:tcW w:w="760" w:type="pct"/>
                  <w:tcBorders>
                    <w:tl2br w:val="nil"/>
                    <w:tr2bl w:val="nil"/>
                  </w:tcBorders>
                  <w:vAlign w:val="center"/>
                </w:tcPr>
                <w:p w14:paraId="4DA06464">
                  <w:pPr>
                    <w:jc w:val="center"/>
                    <w:rPr>
                      <w:rFonts w:hint="default"/>
                      <w:sz w:val="21"/>
                      <w:szCs w:val="21"/>
                      <w:highlight w:val="none"/>
                      <w:u w:val="none" w:color="auto"/>
                      <w:lang w:val="en-US" w:eastAsia="zh-CN"/>
                    </w:rPr>
                  </w:pPr>
                  <w:r>
                    <w:rPr>
                      <w:rFonts w:hint="eastAsia"/>
                      <w:sz w:val="21"/>
                      <w:szCs w:val="21"/>
                      <w:highlight w:val="none"/>
                      <w:u w:val="none" w:color="auto"/>
                      <w:lang w:val="en-US" w:eastAsia="zh-CN"/>
                    </w:rPr>
                    <w:t>废润滑油</w:t>
                  </w:r>
                </w:p>
              </w:tc>
              <w:tc>
                <w:tcPr>
                  <w:tcW w:w="1118" w:type="pct"/>
                  <w:vMerge w:val="restart"/>
                  <w:tcBorders>
                    <w:tl2br w:val="nil"/>
                    <w:tr2bl w:val="nil"/>
                  </w:tcBorders>
                  <w:vAlign w:val="center"/>
                </w:tcPr>
                <w:p w14:paraId="689AFAFE">
                  <w:pPr>
                    <w:pStyle w:val="41"/>
                    <w:bidi w:val="0"/>
                    <w:rPr>
                      <w:rFonts w:hint="default" w:eastAsia="宋体"/>
                      <w:sz w:val="21"/>
                      <w:szCs w:val="21"/>
                      <w:lang w:val="en-US" w:eastAsia="zh-CN"/>
                    </w:rPr>
                  </w:pPr>
                  <w:r>
                    <w:rPr>
                      <w:rFonts w:hint="eastAsia"/>
                      <w:sz w:val="21"/>
                      <w:szCs w:val="21"/>
                      <w:lang w:val="en-US" w:eastAsia="zh-CN"/>
                    </w:rPr>
                    <w:t>废矿物油</w:t>
                  </w:r>
                </w:p>
              </w:tc>
              <w:tc>
                <w:tcPr>
                  <w:tcW w:w="1259" w:type="pct"/>
                  <w:vMerge w:val="continue"/>
                  <w:tcBorders>
                    <w:tl2br w:val="nil"/>
                    <w:tr2bl w:val="nil"/>
                  </w:tcBorders>
                  <w:vAlign w:val="center"/>
                </w:tcPr>
                <w:p w14:paraId="62F657A2">
                  <w:pPr>
                    <w:pStyle w:val="41"/>
                    <w:bidi w:val="0"/>
                    <w:rPr>
                      <w:rFonts w:hint="eastAsia"/>
                      <w:sz w:val="21"/>
                      <w:szCs w:val="21"/>
                      <w:highlight w:val="none"/>
                      <w:u w:val="none" w:color="auto"/>
                      <w:lang w:val="en-US" w:eastAsia="zh-CN"/>
                    </w:rPr>
                  </w:pPr>
                </w:p>
              </w:tc>
            </w:tr>
            <w:tr w14:paraId="31B411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1" w:hRule="atLeast"/>
              </w:trPr>
              <w:tc>
                <w:tcPr>
                  <w:tcW w:w="254" w:type="pct"/>
                  <w:vMerge w:val="continue"/>
                  <w:tcBorders>
                    <w:tl2br w:val="nil"/>
                    <w:tr2bl w:val="nil"/>
                  </w:tcBorders>
                  <w:vAlign w:val="center"/>
                </w:tcPr>
                <w:p w14:paraId="07DC128F">
                  <w:pPr>
                    <w:pStyle w:val="41"/>
                    <w:bidi w:val="0"/>
                    <w:rPr>
                      <w:sz w:val="21"/>
                      <w:szCs w:val="21"/>
                      <w:u w:val="none" w:color="auto"/>
                    </w:rPr>
                  </w:pPr>
                </w:p>
              </w:tc>
              <w:tc>
                <w:tcPr>
                  <w:tcW w:w="409" w:type="pct"/>
                  <w:vMerge w:val="continue"/>
                  <w:tcBorders>
                    <w:tl2br w:val="nil"/>
                    <w:tr2bl w:val="nil"/>
                  </w:tcBorders>
                  <w:vAlign w:val="center"/>
                </w:tcPr>
                <w:p w14:paraId="6BDFF06E">
                  <w:pPr>
                    <w:pStyle w:val="41"/>
                    <w:bidi w:val="0"/>
                    <w:rPr>
                      <w:rFonts w:hint="default"/>
                      <w:sz w:val="21"/>
                      <w:szCs w:val="21"/>
                      <w:u w:val="none" w:color="auto"/>
                      <w:lang w:val="en-US" w:eastAsia="zh-CN"/>
                    </w:rPr>
                  </w:pPr>
                </w:p>
              </w:tc>
              <w:tc>
                <w:tcPr>
                  <w:tcW w:w="505" w:type="pct"/>
                  <w:tcBorders>
                    <w:tl2br w:val="nil"/>
                    <w:tr2bl w:val="nil"/>
                  </w:tcBorders>
                  <w:vAlign w:val="center"/>
                </w:tcPr>
                <w:p w14:paraId="7E82FFF6">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S8</w:t>
                  </w:r>
                </w:p>
              </w:tc>
              <w:tc>
                <w:tcPr>
                  <w:tcW w:w="692" w:type="pct"/>
                  <w:tcBorders>
                    <w:tl2br w:val="nil"/>
                    <w:tr2bl w:val="nil"/>
                  </w:tcBorders>
                  <w:vAlign w:val="center"/>
                </w:tcPr>
                <w:p w14:paraId="321EE49C">
                  <w:pPr>
                    <w:bidi w:val="0"/>
                    <w:jc w:val="center"/>
                    <w:rPr>
                      <w:rFonts w:hint="eastAsia"/>
                      <w:sz w:val="21"/>
                      <w:szCs w:val="21"/>
                      <w:highlight w:val="none"/>
                      <w:u w:val="none" w:color="auto"/>
                      <w:lang w:val="en-US" w:eastAsia="zh-CN"/>
                    </w:rPr>
                  </w:pPr>
                  <w:r>
                    <w:rPr>
                      <w:rFonts w:hint="eastAsia"/>
                      <w:sz w:val="21"/>
                      <w:szCs w:val="21"/>
                      <w:highlight w:val="none"/>
                      <w:u w:val="none" w:color="auto"/>
                      <w:lang w:val="en-US" w:eastAsia="zh-CN"/>
                    </w:rPr>
                    <w:t>设备维修保养</w:t>
                  </w:r>
                </w:p>
              </w:tc>
              <w:tc>
                <w:tcPr>
                  <w:tcW w:w="760" w:type="pct"/>
                  <w:tcBorders>
                    <w:tl2br w:val="nil"/>
                    <w:tr2bl w:val="nil"/>
                  </w:tcBorders>
                  <w:vAlign w:val="center"/>
                </w:tcPr>
                <w:p w14:paraId="1D10FFD2">
                  <w:pPr>
                    <w:jc w:val="center"/>
                    <w:rPr>
                      <w:rFonts w:hint="default"/>
                      <w:sz w:val="21"/>
                      <w:szCs w:val="21"/>
                      <w:highlight w:val="none"/>
                      <w:u w:val="none" w:color="auto"/>
                      <w:lang w:val="en-US" w:eastAsia="zh-CN"/>
                    </w:rPr>
                  </w:pPr>
                  <w:r>
                    <w:rPr>
                      <w:rFonts w:hint="eastAsia"/>
                      <w:sz w:val="21"/>
                      <w:szCs w:val="21"/>
                      <w:highlight w:val="none"/>
                      <w:u w:val="none" w:color="auto"/>
                      <w:lang w:val="en-US" w:eastAsia="zh-CN"/>
                    </w:rPr>
                    <w:t>废润滑油桶</w:t>
                  </w:r>
                </w:p>
              </w:tc>
              <w:tc>
                <w:tcPr>
                  <w:tcW w:w="1118" w:type="pct"/>
                  <w:vMerge w:val="continue"/>
                  <w:tcBorders>
                    <w:tl2br w:val="nil"/>
                    <w:tr2bl w:val="nil"/>
                  </w:tcBorders>
                  <w:vAlign w:val="center"/>
                </w:tcPr>
                <w:p w14:paraId="0140BA6C">
                  <w:pPr>
                    <w:pStyle w:val="41"/>
                    <w:bidi w:val="0"/>
                    <w:rPr>
                      <w:sz w:val="21"/>
                      <w:szCs w:val="21"/>
                    </w:rPr>
                  </w:pPr>
                </w:p>
              </w:tc>
              <w:tc>
                <w:tcPr>
                  <w:tcW w:w="1259" w:type="pct"/>
                  <w:vMerge w:val="continue"/>
                  <w:tcBorders>
                    <w:tl2br w:val="nil"/>
                    <w:tr2bl w:val="nil"/>
                  </w:tcBorders>
                  <w:vAlign w:val="center"/>
                </w:tcPr>
                <w:p w14:paraId="3671B697">
                  <w:pPr>
                    <w:pStyle w:val="41"/>
                    <w:bidi w:val="0"/>
                    <w:rPr>
                      <w:rFonts w:hint="eastAsia"/>
                      <w:sz w:val="21"/>
                      <w:szCs w:val="21"/>
                      <w:highlight w:val="none"/>
                      <w:u w:val="none" w:color="auto"/>
                      <w:lang w:val="en-US" w:eastAsia="zh-CN"/>
                    </w:rPr>
                  </w:pPr>
                </w:p>
              </w:tc>
            </w:tr>
            <w:tr w14:paraId="4DF2C3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1" w:hRule="atLeast"/>
              </w:trPr>
              <w:tc>
                <w:tcPr>
                  <w:tcW w:w="254" w:type="pct"/>
                  <w:vMerge w:val="continue"/>
                  <w:tcBorders>
                    <w:tl2br w:val="nil"/>
                    <w:tr2bl w:val="nil"/>
                  </w:tcBorders>
                  <w:vAlign w:val="center"/>
                </w:tcPr>
                <w:p w14:paraId="40B542F0">
                  <w:pPr>
                    <w:pStyle w:val="41"/>
                    <w:bidi w:val="0"/>
                    <w:rPr>
                      <w:sz w:val="21"/>
                      <w:szCs w:val="21"/>
                      <w:u w:val="none" w:color="auto"/>
                    </w:rPr>
                  </w:pPr>
                </w:p>
              </w:tc>
              <w:tc>
                <w:tcPr>
                  <w:tcW w:w="409" w:type="pct"/>
                  <w:vMerge w:val="continue"/>
                  <w:tcBorders>
                    <w:tl2br w:val="nil"/>
                    <w:tr2bl w:val="nil"/>
                  </w:tcBorders>
                  <w:vAlign w:val="center"/>
                </w:tcPr>
                <w:p w14:paraId="6838B7DB">
                  <w:pPr>
                    <w:pStyle w:val="41"/>
                    <w:bidi w:val="0"/>
                    <w:rPr>
                      <w:rFonts w:hint="default"/>
                      <w:sz w:val="21"/>
                      <w:szCs w:val="21"/>
                      <w:u w:val="none" w:color="auto"/>
                      <w:lang w:val="en-US" w:eastAsia="zh-CN"/>
                    </w:rPr>
                  </w:pPr>
                </w:p>
              </w:tc>
              <w:tc>
                <w:tcPr>
                  <w:tcW w:w="505" w:type="pct"/>
                  <w:tcBorders>
                    <w:tl2br w:val="nil"/>
                    <w:tr2bl w:val="nil"/>
                  </w:tcBorders>
                  <w:vAlign w:val="center"/>
                </w:tcPr>
                <w:p w14:paraId="63FBBCB1">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S9</w:t>
                  </w:r>
                </w:p>
              </w:tc>
              <w:tc>
                <w:tcPr>
                  <w:tcW w:w="692" w:type="pct"/>
                  <w:tcBorders>
                    <w:tl2br w:val="nil"/>
                    <w:tr2bl w:val="nil"/>
                  </w:tcBorders>
                  <w:vAlign w:val="center"/>
                </w:tcPr>
                <w:p w14:paraId="5156DCB8">
                  <w:pPr>
                    <w:bidi w:val="0"/>
                    <w:jc w:val="center"/>
                    <w:rPr>
                      <w:rFonts w:hint="default"/>
                      <w:sz w:val="21"/>
                      <w:szCs w:val="21"/>
                      <w:lang w:val="en-US" w:eastAsia="zh-CN"/>
                    </w:rPr>
                  </w:pPr>
                  <w:r>
                    <w:rPr>
                      <w:rFonts w:hint="eastAsia"/>
                      <w:sz w:val="21"/>
                      <w:szCs w:val="21"/>
                      <w:highlight w:val="none"/>
                      <w:u w:val="none" w:color="auto"/>
                      <w:lang w:val="en-US" w:eastAsia="zh-CN"/>
                    </w:rPr>
                    <w:t>设备维修保养</w:t>
                  </w:r>
                </w:p>
              </w:tc>
              <w:tc>
                <w:tcPr>
                  <w:tcW w:w="760" w:type="pct"/>
                  <w:tcBorders>
                    <w:tl2br w:val="nil"/>
                    <w:tr2bl w:val="nil"/>
                  </w:tcBorders>
                  <w:vAlign w:val="center"/>
                </w:tcPr>
                <w:p w14:paraId="2768F87A">
                  <w:pPr>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废含油抹布和手套</w:t>
                  </w:r>
                </w:p>
              </w:tc>
              <w:tc>
                <w:tcPr>
                  <w:tcW w:w="1118" w:type="pct"/>
                  <w:vMerge w:val="continue"/>
                  <w:tcBorders>
                    <w:tl2br w:val="nil"/>
                    <w:tr2bl w:val="nil"/>
                  </w:tcBorders>
                  <w:vAlign w:val="center"/>
                </w:tcPr>
                <w:p w14:paraId="63C10EFE">
                  <w:pPr>
                    <w:pStyle w:val="41"/>
                    <w:bidi w:val="0"/>
                    <w:rPr>
                      <w:rFonts w:hint="eastAsia" w:eastAsia="宋体"/>
                      <w:sz w:val="21"/>
                      <w:szCs w:val="21"/>
                      <w:lang w:val="en-US" w:eastAsia="zh-CN"/>
                    </w:rPr>
                  </w:pPr>
                </w:p>
              </w:tc>
              <w:tc>
                <w:tcPr>
                  <w:tcW w:w="1259" w:type="pct"/>
                  <w:vMerge w:val="continue"/>
                  <w:tcBorders>
                    <w:tl2br w:val="nil"/>
                    <w:tr2bl w:val="nil"/>
                  </w:tcBorders>
                  <w:vAlign w:val="center"/>
                </w:tcPr>
                <w:p w14:paraId="338554CB">
                  <w:pPr>
                    <w:pStyle w:val="41"/>
                    <w:bidi w:val="0"/>
                    <w:rPr>
                      <w:rFonts w:hint="eastAsia"/>
                      <w:sz w:val="21"/>
                      <w:szCs w:val="21"/>
                    </w:rPr>
                  </w:pPr>
                </w:p>
              </w:tc>
            </w:tr>
            <w:tr w14:paraId="4CE1DA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8" w:hRule="atLeast"/>
              </w:trPr>
              <w:tc>
                <w:tcPr>
                  <w:tcW w:w="254" w:type="pct"/>
                  <w:vMerge w:val="continue"/>
                  <w:tcBorders>
                    <w:tl2br w:val="nil"/>
                    <w:tr2bl w:val="nil"/>
                  </w:tcBorders>
                  <w:vAlign w:val="center"/>
                </w:tcPr>
                <w:p w14:paraId="0E3B05BE">
                  <w:pPr>
                    <w:pStyle w:val="41"/>
                    <w:bidi w:val="0"/>
                    <w:rPr>
                      <w:sz w:val="21"/>
                      <w:szCs w:val="21"/>
                      <w:u w:val="none" w:color="auto"/>
                    </w:rPr>
                  </w:pPr>
                </w:p>
              </w:tc>
              <w:tc>
                <w:tcPr>
                  <w:tcW w:w="409" w:type="pct"/>
                  <w:tcBorders>
                    <w:tl2br w:val="nil"/>
                    <w:tr2bl w:val="nil"/>
                  </w:tcBorders>
                  <w:vAlign w:val="center"/>
                </w:tcPr>
                <w:p w14:paraId="440A6D55">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办公区</w:t>
                  </w:r>
                </w:p>
              </w:tc>
              <w:tc>
                <w:tcPr>
                  <w:tcW w:w="505" w:type="pct"/>
                  <w:tcBorders>
                    <w:tl2br w:val="nil"/>
                    <w:tr2bl w:val="nil"/>
                  </w:tcBorders>
                  <w:vAlign w:val="center"/>
                </w:tcPr>
                <w:p w14:paraId="13C793A7">
                  <w:pPr>
                    <w:pStyle w:val="41"/>
                    <w:bidi w:val="0"/>
                    <w:rPr>
                      <w:rFonts w:hint="default"/>
                      <w:sz w:val="21"/>
                      <w:szCs w:val="21"/>
                      <w:highlight w:val="none"/>
                      <w:u w:val="none" w:color="auto"/>
                      <w:lang w:val="en-US" w:eastAsia="zh-CN"/>
                    </w:rPr>
                  </w:pPr>
                  <w:r>
                    <w:rPr>
                      <w:rFonts w:hint="eastAsia"/>
                      <w:sz w:val="21"/>
                      <w:szCs w:val="21"/>
                      <w:highlight w:val="none"/>
                      <w:u w:val="none" w:color="auto"/>
                      <w:lang w:val="en-US" w:eastAsia="zh-CN"/>
                    </w:rPr>
                    <w:t>S10</w:t>
                  </w:r>
                </w:p>
              </w:tc>
              <w:tc>
                <w:tcPr>
                  <w:tcW w:w="692" w:type="pct"/>
                  <w:tcBorders>
                    <w:tl2br w:val="nil"/>
                    <w:tr2bl w:val="nil"/>
                  </w:tcBorders>
                  <w:vAlign w:val="center"/>
                </w:tcPr>
                <w:p w14:paraId="1F98540A">
                  <w:pPr>
                    <w:pStyle w:val="41"/>
                    <w:bidi w:val="0"/>
                    <w:rPr>
                      <w:rFonts w:hint="eastAsia"/>
                      <w:sz w:val="21"/>
                      <w:szCs w:val="21"/>
                      <w:highlight w:val="none"/>
                      <w:u w:val="none" w:color="auto"/>
                      <w:lang w:val="en-US" w:eastAsia="zh-CN"/>
                    </w:rPr>
                  </w:pPr>
                  <w:r>
                    <w:rPr>
                      <w:rFonts w:hint="eastAsia"/>
                      <w:sz w:val="21"/>
                      <w:szCs w:val="21"/>
                      <w:highlight w:val="none"/>
                      <w:u w:val="none" w:color="auto"/>
                      <w:lang w:val="en-US" w:eastAsia="zh-CN"/>
                    </w:rPr>
                    <w:t>员工生活</w:t>
                  </w:r>
                </w:p>
              </w:tc>
              <w:tc>
                <w:tcPr>
                  <w:tcW w:w="760" w:type="pct"/>
                  <w:tcBorders>
                    <w:tl2br w:val="nil"/>
                    <w:tr2bl w:val="nil"/>
                  </w:tcBorders>
                  <w:vAlign w:val="center"/>
                </w:tcPr>
                <w:p w14:paraId="3163D7ED">
                  <w:pPr>
                    <w:pStyle w:val="41"/>
                    <w:bidi w:val="0"/>
                    <w:rPr>
                      <w:rFonts w:hint="eastAsia"/>
                      <w:sz w:val="21"/>
                      <w:szCs w:val="21"/>
                      <w:highlight w:val="none"/>
                      <w:u w:val="none" w:color="auto"/>
                      <w:lang w:val="en-US" w:eastAsia="zh-CN"/>
                    </w:rPr>
                  </w:pPr>
                  <w:r>
                    <w:rPr>
                      <w:sz w:val="21"/>
                      <w:szCs w:val="21"/>
                      <w:highlight w:val="none"/>
                      <w:u w:val="none" w:color="auto"/>
                    </w:rPr>
                    <w:t>生活垃圾</w:t>
                  </w:r>
                </w:p>
              </w:tc>
              <w:tc>
                <w:tcPr>
                  <w:tcW w:w="1118" w:type="pct"/>
                  <w:tcBorders>
                    <w:tl2br w:val="nil"/>
                    <w:tr2bl w:val="nil"/>
                  </w:tcBorders>
                  <w:vAlign w:val="center"/>
                </w:tcPr>
                <w:p w14:paraId="6A899ACB">
                  <w:pPr>
                    <w:pStyle w:val="41"/>
                    <w:bidi w:val="0"/>
                    <w:rPr>
                      <w:rFonts w:hint="eastAsia"/>
                      <w:sz w:val="21"/>
                      <w:szCs w:val="21"/>
                      <w:highlight w:val="none"/>
                      <w:u w:val="none" w:color="auto"/>
                      <w:lang w:val="en-US" w:eastAsia="zh-CN"/>
                    </w:rPr>
                  </w:pPr>
                  <w:r>
                    <w:rPr>
                      <w:sz w:val="21"/>
                      <w:szCs w:val="21"/>
                      <w:highlight w:val="none"/>
                      <w:u w:val="none" w:color="auto"/>
                    </w:rPr>
                    <w:t>/</w:t>
                  </w:r>
                </w:p>
              </w:tc>
              <w:tc>
                <w:tcPr>
                  <w:tcW w:w="1259" w:type="pct"/>
                  <w:tcBorders>
                    <w:tl2br w:val="nil"/>
                    <w:tr2bl w:val="nil"/>
                  </w:tcBorders>
                  <w:vAlign w:val="center"/>
                </w:tcPr>
                <w:p w14:paraId="74781B77">
                  <w:pPr>
                    <w:pStyle w:val="41"/>
                    <w:bidi w:val="0"/>
                    <w:rPr>
                      <w:rFonts w:hint="default" w:eastAsia="宋体"/>
                      <w:sz w:val="21"/>
                      <w:szCs w:val="21"/>
                      <w:highlight w:val="none"/>
                      <w:u w:val="none" w:color="auto"/>
                      <w:lang w:val="en-US" w:eastAsia="zh-CN"/>
                    </w:rPr>
                  </w:pPr>
                  <w:r>
                    <w:rPr>
                      <w:rFonts w:hint="eastAsia"/>
                      <w:sz w:val="21"/>
                      <w:szCs w:val="21"/>
                      <w:highlight w:val="none"/>
                      <w:u w:val="none" w:color="auto"/>
                      <w:lang w:val="en-US" w:eastAsia="zh-CN"/>
                    </w:rPr>
                    <w:t>交由环卫部门处置</w:t>
                  </w:r>
                </w:p>
              </w:tc>
            </w:tr>
          </w:tbl>
          <w:p w14:paraId="18E3C9C7">
            <w:pPr>
              <w:pStyle w:val="40"/>
              <w:bidi w:val="0"/>
              <w:rPr>
                <w:bCs/>
                <w:color w:val="000000" w:themeColor="text1"/>
                <w:szCs w:val="21"/>
                <w:u w:val="none" w:color="auto"/>
                <w14:textFill>
                  <w14:solidFill>
                    <w14:schemeClr w14:val="tx1"/>
                  </w14:solidFill>
                </w14:textFill>
              </w:rPr>
            </w:pPr>
          </w:p>
        </w:tc>
      </w:tr>
      <w:tr w14:paraId="4555A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03" w:hRule="atLeast"/>
          <w:jc w:val="center"/>
        </w:trPr>
        <w:tc>
          <w:tcPr>
            <w:tcW w:w="442" w:type="dxa"/>
            <w:vAlign w:val="center"/>
          </w:tcPr>
          <w:p w14:paraId="5C744387">
            <w:pPr>
              <w:adjustRightInd w:val="0"/>
              <w:snapToGrid w:val="0"/>
              <w:spacing w:before="0" w:beforeAutospacing="0" w:after="0" w:afterAutospacing="0"/>
              <w:jc w:val="center"/>
              <w:rPr>
                <w:rFonts w:ascii="Times New Roman" w:hAnsi="Times New Roman"/>
                <w:color w:val="000000" w:themeColor="text1"/>
                <w:sz w:val="24"/>
                <w:szCs w:val="24"/>
                <w:u w:val="none" w:color="auto"/>
                <w14:textFill>
                  <w14:solidFill>
                    <w14:schemeClr w14:val="tx1"/>
                  </w14:solidFill>
                </w14:textFill>
              </w:rPr>
            </w:pPr>
            <w:r>
              <w:rPr>
                <w:rFonts w:ascii="Times New Roman" w:hAnsi="Times New Roman"/>
                <w:color w:val="000000" w:themeColor="text1"/>
                <w:kern w:val="2"/>
                <w:sz w:val="24"/>
                <w:szCs w:val="24"/>
                <w:u w:val="none" w:color="auto"/>
                <w14:textFill>
                  <w14:solidFill>
                    <w14:schemeClr w14:val="tx1"/>
                  </w14:solidFill>
                </w14:textFill>
              </w:rPr>
              <w:t>与项目有关的原有环境污染问题</w:t>
            </w:r>
          </w:p>
        </w:tc>
        <w:tc>
          <w:tcPr>
            <w:tcW w:w="8618" w:type="dxa"/>
            <w:vAlign w:val="center"/>
          </w:tcPr>
          <w:p w14:paraId="6F942E26">
            <w:pPr>
              <w:pStyle w:val="40"/>
              <w:bidi w:val="0"/>
              <w:ind w:firstLine="480" w:firstLineChars="200"/>
              <w:rPr>
                <w:rFonts w:hint="default" w:eastAsia="宋体"/>
                <w:bCs/>
                <w:color w:val="000000" w:themeColor="text1"/>
                <w:szCs w:val="21"/>
                <w:u w:val="none" w:color="auto"/>
                <w:lang w:val="en-US" w:eastAsia="zh-CN"/>
                <w14:textFill>
                  <w14:solidFill>
                    <w14:schemeClr w14:val="tx1"/>
                  </w14:solidFill>
                </w14:textFill>
              </w:rPr>
            </w:pPr>
            <w:r>
              <w:rPr>
                <w:rFonts w:hint="eastAsia"/>
                <w:u w:val="single"/>
                <w:lang w:val="en-US" w:eastAsia="zh-CN"/>
              </w:rPr>
              <w:t>本项目租赁</w:t>
            </w:r>
            <w:r>
              <w:rPr>
                <w:rFonts w:hint="eastAsia" w:cs="Times New Roman"/>
                <w:color w:val="000000" w:themeColor="text1"/>
                <w:sz w:val="24"/>
                <w:szCs w:val="24"/>
                <w:u w:val="single"/>
                <w:lang w:val="en-US" w:eastAsia="zh-CN"/>
                <w14:textFill>
                  <w14:solidFill>
                    <w14:schemeClr w14:val="tx1"/>
                  </w14:solidFill>
                </w14:textFill>
              </w:rPr>
              <w:t>中方产业开发区泸阳片区</w:t>
            </w:r>
            <w:r>
              <w:rPr>
                <w:rFonts w:hint="default" w:ascii="Times New Roman" w:hAnsi="Times New Roman" w:eastAsia="宋体" w:cs="Times New Roman"/>
                <w:color w:val="000000" w:themeColor="text1"/>
                <w:sz w:val="24"/>
                <w:szCs w:val="24"/>
                <w:u w:val="single"/>
                <w:lang w:val="en-US" w:eastAsia="zh-CN"/>
                <w14:textFill>
                  <w14:solidFill>
                    <w14:schemeClr w14:val="tx1"/>
                  </w14:solidFill>
                </w14:textFill>
              </w:rPr>
              <w:t>众力创新园1栋</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（南区第2层）</w:t>
            </w:r>
            <w:r>
              <w:rPr>
                <w:rFonts w:hint="eastAsia" w:ascii="Times New Roman" w:hAnsi="Times New Roman" w:cs="Times New Roman"/>
                <w:color w:val="000000" w:themeColor="text1"/>
                <w:sz w:val="24"/>
                <w:szCs w:val="24"/>
                <w:u w:val="single"/>
                <w:lang w:val="en-US" w:eastAsia="zh-CN"/>
                <w14:textFill>
                  <w14:solidFill>
                    <w14:schemeClr w14:val="tx1"/>
                  </w14:solidFill>
                </w14:textFill>
              </w:rPr>
              <w:t>现有厂房</w:t>
            </w:r>
            <w:r>
              <w:rPr>
                <w:rFonts w:hint="eastAsia"/>
                <w:u w:val="single"/>
                <w:lang w:val="en-US" w:eastAsia="zh-CN"/>
              </w:rPr>
              <w:t>进行建设，该厂房共4层，高度为17m，本项目租赁第2层进行生产，租赁厂房原为空置厂房，4层现为空置厂房，1层、3层为湖南亿福照明科技有限公司，</w:t>
            </w:r>
            <w:r>
              <w:rPr>
                <w:rFonts w:hint="default" w:ascii="Times New Roman" w:hAnsi="Times New Roman" w:eastAsia="宋体" w:cs="Times New Roman"/>
                <w:color w:val="auto"/>
                <w:kern w:val="0"/>
                <w:sz w:val="24"/>
                <w:szCs w:val="24"/>
                <w:u w:val="single"/>
              </w:rPr>
              <w:t>厂区内不存在的明显环境问题。</w:t>
            </w:r>
          </w:p>
        </w:tc>
      </w:tr>
    </w:tbl>
    <w:p w14:paraId="114D64F3">
      <w:pPr>
        <w:pStyle w:val="5"/>
        <w:rPr>
          <w:u w:val="none" w:color="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4BB8204">
      <w:pPr>
        <w:pStyle w:val="3"/>
        <w:jc w:val="center"/>
        <w:rPr>
          <w:rStyle w:val="38"/>
          <w:rFonts w:eastAsia="宋体"/>
          <w:b/>
          <w:bCs/>
          <w:color w:val="000000" w:themeColor="text1"/>
          <w:u w:val="none" w:color="auto"/>
          <w14:textFill>
            <w14:solidFill>
              <w14:schemeClr w14:val="tx1"/>
            </w14:solidFill>
          </w14:textFill>
        </w:rPr>
      </w:pPr>
      <w:bookmarkStart w:id="14" w:name="_Toc23011"/>
      <w:r>
        <w:rPr>
          <w:rStyle w:val="38"/>
          <w:rFonts w:eastAsia="宋体"/>
          <w:b/>
          <w:bCs/>
          <w:color w:val="000000" w:themeColor="text1"/>
          <w:u w:val="none" w:color="auto"/>
          <w14:textFill>
            <w14:solidFill>
              <w14:schemeClr w14:val="tx1"/>
            </w14:solidFill>
          </w14:textFill>
        </w:rPr>
        <w:t>三、区域环境质量现状、环境保护目标及评价标准</w:t>
      </w:r>
      <w:bookmarkEnd w:id="14"/>
    </w:p>
    <w:tbl>
      <w:tblPr>
        <w:tblStyle w:val="3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8449"/>
      </w:tblGrid>
      <w:tr w14:paraId="5A3600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37" w:type="dxa"/>
            <w:vAlign w:val="center"/>
          </w:tcPr>
          <w:p w14:paraId="3C52366E">
            <w:pPr>
              <w:adjustRightInd w:val="0"/>
              <w:snapToGrid w:val="0"/>
              <w:jc w:val="center"/>
              <w:rPr>
                <w:color w:val="000000" w:themeColor="text1"/>
                <w:kern w:val="0"/>
                <w:szCs w:val="21"/>
                <w:u w:val="none" w:color="auto"/>
                <w14:textFill>
                  <w14:solidFill>
                    <w14:schemeClr w14:val="tx1"/>
                  </w14:solidFill>
                </w14:textFill>
              </w:rPr>
            </w:pPr>
            <w:r>
              <w:rPr>
                <w:color w:val="000000" w:themeColor="text1"/>
                <w:kern w:val="0"/>
                <w:szCs w:val="21"/>
                <w:u w:val="none" w:color="auto"/>
                <w14:textFill>
                  <w14:solidFill>
                    <w14:schemeClr w14:val="tx1"/>
                  </w14:solidFill>
                </w14:textFill>
              </w:rPr>
              <w:t>区域环境质量现状</w:t>
            </w:r>
          </w:p>
        </w:tc>
        <w:tc>
          <w:tcPr>
            <w:tcW w:w="8424" w:type="dxa"/>
            <w:vAlign w:val="center"/>
          </w:tcPr>
          <w:p w14:paraId="1375AC2D">
            <w:pPr>
              <w:pStyle w:val="5"/>
              <w:pageBreakBefore w:val="0"/>
              <w:widowControl w:val="0"/>
              <w:kinsoku/>
              <w:wordWrap/>
              <w:overflowPunct/>
              <w:topLinePunct w:val="0"/>
              <w:autoSpaceDE/>
              <w:autoSpaceDN/>
              <w:bidi w:val="0"/>
              <w:spacing w:before="0" w:beforeLines="0" w:after="0" w:afterLines="0" w:line="360" w:lineRule="auto"/>
              <w:ind w:firstLine="482" w:firstLineChars="200"/>
              <w:textAlignment w:val="auto"/>
              <w:rPr>
                <w:rFonts w:hint="default" w:ascii="Times New Roman" w:hAnsi="Times New Roman" w:cs="Times New Roman"/>
                <w:b/>
                <w:bCs/>
                <w:color w:val="auto"/>
                <w:sz w:val="24"/>
                <w:szCs w:val="24"/>
              </w:rPr>
            </w:pPr>
            <w:bookmarkStart w:id="15" w:name="_Toc10485"/>
            <w:r>
              <w:rPr>
                <w:rFonts w:hint="default" w:ascii="Times New Roman" w:hAnsi="Times New Roman" w:cs="Times New Roman"/>
                <w:b/>
                <w:bCs/>
                <w:color w:val="auto"/>
                <w:sz w:val="24"/>
                <w:szCs w:val="24"/>
                <w:lang w:val="en-US" w:eastAsia="zh-CN"/>
              </w:rPr>
              <w:t>1、</w:t>
            </w:r>
            <w:r>
              <w:rPr>
                <w:rFonts w:hint="eastAsia" w:ascii="Times New Roman" w:hAnsi="Times New Roman" w:cs="Times New Roman"/>
                <w:b/>
                <w:bCs/>
                <w:color w:val="auto"/>
                <w:sz w:val="24"/>
                <w:szCs w:val="24"/>
                <w:lang w:eastAsia="zh-CN"/>
              </w:rPr>
              <w:t>大气环境</w:t>
            </w:r>
            <w:r>
              <w:rPr>
                <w:rFonts w:hint="default" w:ascii="Times New Roman" w:hAnsi="Times New Roman" w:cs="Times New Roman"/>
                <w:b/>
                <w:bCs/>
                <w:color w:val="auto"/>
                <w:sz w:val="24"/>
                <w:szCs w:val="24"/>
              </w:rPr>
              <w:t>质量现状</w:t>
            </w:r>
            <w:bookmarkEnd w:id="15"/>
          </w:p>
          <w:p w14:paraId="4292FC59">
            <w:pPr>
              <w:pStyle w:val="5"/>
              <w:pageBreakBefore w:val="0"/>
              <w:widowControl w:val="0"/>
              <w:kinsoku/>
              <w:wordWrap/>
              <w:overflowPunct/>
              <w:topLinePunct w:val="0"/>
              <w:autoSpaceDE/>
              <w:autoSpaceDN/>
              <w:bidi w:val="0"/>
              <w:spacing w:before="0" w:beforeLines="0" w:after="0" w:afterLines="0" w:line="360" w:lineRule="auto"/>
              <w:ind w:firstLine="482" w:firstLineChars="200"/>
              <w:textAlignment w:val="auto"/>
              <w:rPr>
                <w:rFonts w:hint="default" w:ascii="Times New Roman" w:hAnsi="Times New Roman" w:eastAsia="宋体" w:cs="Times New Roman"/>
                <w:b/>
                <w:bCs/>
                <w:color w:val="auto"/>
                <w:sz w:val="24"/>
                <w:szCs w:val="24"/>
                <w:lang w:val="en-US" w:eastAsia="zh-CN"/>
              </w:rPr>
            </w:pPr>
            <w:bookmarkStart w:id="16" w:name="_Toc6781"/>
            <w:r>
              <w:rPr>
                <w:rFonts w:hint="default"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rPr>
              <w:t>1</w:t>
            </w:r>
            <w:r>
              <w:rPr>
                <w:rFonts w:hint="eastAsia" w:ascii="Times New Roman" w:hAnsi="Times New Roman" w:cs="Times New Roman"/>
                <w:b/>
                <w:bCs/>
                <w:color w:val="auto"/>
                <w:sz w:val="24"/>
                <w:szCs w:val="24"/>
                <w:lang w:val="en-US" w:eastAsia="zh-CN"/>
              </w:rPr>
              <w:t xml:space="preserve"> </w:t>
            </w:r>
            <w:bookmarkEnd w:id="16"/>
            <w:r>
              <w:rPr>
                <w:rFonts w:hint="eastAsia" w:ascii="Times New Roman" w:hAnsi="Times New Roman" w:cs="Times New Roman"/>
                <w:b/>
                <w:bCs/>
                <w:color w:val="auto"/>
                <w:sz w:val="24"/>
                <w:szCs w:val="24"/>
                <w:lang w:val="en-US" w:eastAsia="zh-CN"/>
              </w:rPr>
              <w:t>基本污染物环境质量现状</w:t>
            </w:r>
          </w:p>
          <w:p w14:paraId="65966ECF">
            <w:pPr>
              <w:pStyle w:val="61"/>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color w:val="auto"/>
                <w:sz w:val="24"/>
                <w:szCs w:val="24"/>
                <w:lang w:eastAsia="zh-CN"/>
              </w:rPr>
            </w:pPr>
            <w:r>
              <w:rPr>
                <w:rFonts w:hint="default" w:ascii="Times New Roman" w:hAnsi="Times New Roman" w:eastAsia="宋体" w:cs="Times New Roman"/>
                <w:b w:val="0"/>
                <w:bCs/>
                <w:color w:val="auto"/>
                <w:sz w:val="24"/>
                <w:szCs w:val="24"/>
                <w:lang w:eastAsia="zh-CN"/>
              </w:rPr>
              <w:t>本项目位于</w:t>
            </w:r>
            <w:r>
              <w:rPr>
                <w:rFonts w:hint="eastAsia" w:cs="Times New Roman"/>
                <w:b w:val="0"/>
                <w:bCs/>
                <w:color w:val="000000" w:themeColor="text1"/>
                <w:sz w:val="24"/>
                <w:szCs w:val="24"/>
                <w:u w:val="none"/>
                <w:lang w:val="en-US" w:eastAsia="zh-CN"/>
                <w14:textFill>
                  <w14:solidFill>
                    <w14:schemeClr w14:val="tx1"/>
                  </w14:solidFill>
                </w14:textFill>
              </w:rPr>
              <w:t>怀化市高新技术产业开发区管理委员会中方片区管理办公室泸阳片区（众力创新园1栋南区第2层）</w:t>
            </w:r>
            <w:r>
              <w:rPr>
                <w:rFonts w:hint="default" w:ascii="Times New Roman" w:hAnsi="Times New Roman" w:eastAsia="宋体" w:cs="Times New Roman"/>
                <w:b w:val="0"/>
                <w:bCs/>
                <w:color w:val="auto"/>
                <w:sz w:val="24"/>
                <w:szCs w:val="24"/>
                <w:lang w:eastAsia="zh-CN"/>
              </w:rPr>
              <w:t>，为了解评价基准年（202</w:t>
            </w:r>
            <w:r>
              <w:rPr>
                <w:rFonts w:hint="eastAsia" w:cs="Times New Roman"/>
                <w:b w:val="0"/>
                <w:bCs/>
                <w:color w:val="auto"/>
                <w:sz w:val="24"/>
                <w:szCs w:val="24"/>
                <w:lang w:val="en-US" w:eastAsia="zh-CN"/>
              </w:rPr>
              <w:t>5</w:t>
            </w:r>
            <w:r>
              <w:rPr>
                <w:rFonts w:hint="default" w:ascii="Times New Roman" w:hAnsi="Times New Roman" w:eastAsia="宋体" w:cs="Times New Roman"/>
                <w:b w:val="0"/>
                <w:bCs/>
                <w:color w:val="auto"/>
                <w:sz w:val="24"/>
                <w:szCs w:val="24"/>
                <w:lang w:eastAsia="zh-CN"/>
              </w:rPr>
              <w:t>年）项目所在区域环境空气质量现状，本次</w:t>
            </w:r>
            <w:r>
              <w:rPr>
                <w:rFonts w:hint="eastAsia" w:cs="Times New Roman"/>
                <w:b w:val="0"/>
                <w:bCs/>
                <w:color w:val="auto"/>
                <w:sz w:val="24"/>
                <w:szCs w:val="24"/>
                <w:lang w:val="en-US" w:eastAsia="zh-CN"/>
              </w:rPr>
              <w:t>基本污染物环境质量现状</w:t>
            </w:r>
            <w:r>
              <w:rPr>
                <w:rFonts w:hint="default" w:ascii="Times New Roman" w:hAnsi="Times New Roman" w:eastAsia="宋体" w:cs="Times New Roman"/>
                <w:b w:val="0"/>
                <w:bCs/>
                <w:color w:val="auto"/>
                <w:sz w:val="24"/>
                <w:szCs w:val="24"/>
                <w:lang w:eastAsia="zh-CN"/>
              </w:rPr>
              <w:t>评价引用了</w:t>
            </w:r>
            <w:r>
              <w:rPr>
                <w:rFonts w:hint="default" w:ascii="Times New Roman" w:hAnsi="Times New Roman" w:eastAsia="宋体" w:cs="Times New Roman"/>
                <w:b w:val="0"/>
                <w:bCs/>
                <w:color w:val="auto"/>
                <w:sz w:val="24"/>
                <w:szCs w:val="24"/>
                <w:u w:val="none" w:color="auto"/>
              </w:rPr>
              <w:t>怀化市生态环境主管部门公布的《202</w:t>
            </w:r>
            <w:r>
              <w:rPr>
                <w:rFonts w:hint="eastAsia" w:cs="Times New Roman"/>
                <w:b w:val="0"/>
                <w:bCs/>
                <w:color w:val="auto"/>
                <w:sz w:val="24"/>
                <w:szCs w:val="24"/>
                <w:u w:val="none" w:color="auto"/>
                <w:lang w:val="en-US" w:eastAsia="zh-CN"/>
              </w:rPr>
              <w:t>5</w:t>
            </w:r>
            <w:r>
              <w:rPr>
                <w:rFonts w:hint="default" w:ascii="Times New Roman" w:hAnsi="Times New Roman" w:eastAsia="宋体" w:cs="Times New Roman"/>
                <w:b w:val="0"/>
                <w:bCs/>
                <w:color w:val="auto"/>
                <w:sz w:val="24"/>
                <w:szCs w:val="24"/>
                <w:u w:val="none" w:color="auto"/>
              </w:rPr>
              <w:t>年12月环境空气质量月报》</w:t>
            </w:r>
            <w:r>
              <w:rPr>
                <w:rFonts w:hint="eastAsia" w:cs="Times New Roman"/>
                <w:b w:val="0"/>
                <w:bCs/>
                <w:color w:val="auto"/>
                <w:sz w:val="24"/>
                <w:szCs w:val="24"/>
                <w:u w:val="none" w:color="auto"/>
                <w:lang w:val="en-US" w:eastAsia="zh-CN"/>
              </w:rPr>
              <w:t>中方县</w:t>
            </w:r>
            <w:r>
              <w:rPr>
                <w:rFonts w:hint="default" w:ascii="Times New Roman" w:hAnsi="Times New Roman" w:eastAsia="宋体" w:cs="Times New Roman"/>
                <w:b w:val="0"/>
                <w:bCs/>
                <w:color w:val="auto"/>
                <w:sz w:val="24"/>
                <w:szCs w:val="24"/>
                <w:u w:val="none" w:color="auto"/>
              </w:rPr>
              <w:t>的环境空气监测数据，</w:t>
            </w:r>
            <w:r>
              <w:rPr>
                <w:rFonts w:hint="eastAsia" w:ascii="Times New Roman" w:hAnsi="Times New Roman" w:cs="Times New Roman"/>
                <w:b w:val="0"/>
                <w:bCs/>
                <w:color w:val="auto"/>
                <w:sz w:val="24"/>
                <w:szCs w:val="24"/>
                <w:u w:val="none" w:color="auto"/>
                <w:lang w:val="en-US" w:eastAsia="zh-CN"/>
              </w:rPr>
              <w:t>详</w:t>
            </w:r>
            <w:r>
              <w:rPr>
                <w:rFonts w:hint="default" w:ascii="Times New Roman" w:hAnsi="Times New Roman" w:eastAsia="宋体" w:cs="Times New Roman"/>
                <w:b w:val="0"/>
                <w:bCs/>
                <w:color w:val="auto"/>
                <w:sz w:val="24"/>
                <w:szCs w:val="24"/>
                <w:lang w:eastAsia="zh-CN"/>
              </w:rPr>
              <w:t>见下表3-1。</w:t>
            </w:r>
          </w:p>
          <w:p w14:paraId="2A96431A">
            <w:pPr>
              <w:pStyle w:val="61"/>
              <w:pageBreakBefore w:val="0"/>
              <w:widowControl w:val="0"/>
              <w:kinsoku/>
              <w:wordWrap/>
              <w:overflowPunct/>
              <w:topLinePunct w:val="0"/>
              <w:autoSpaceDE/>
              <w:autoSpaceDN/>
              <w:bidi w:val="0"/>
              <w:textAlignment w:val="auto"/>
              <w:rPr>
                <w:rFonts w:hint="eastAsia"/>
                <w:color w:val="auto"/>
                <w:lang w:val="en-US" w:eastAsia="zh-CN"/>
              </w:rPr>
            </w:pPr>
            <w:r>
              <w:rPr>
                <w:rFonts w:hint="eastAsia"/>
                <w:color w:val="auto"/>
                <w:lang w:val="en-US" w:eastAsia="zh-CN"/>
              </w:rPr>
              <w:t>表3-1 2025年中方县大气监测结果统计表 单位：</w:t>
            </w:r>
            <w:r>
              <w:rPr>
                <w:rFonts w:hint="default" w:ascii="Times New Roman" w:hAnsi="Times New Roman" w:cs="Times New Roman"/>
                <w:color w:val="auto"/>
                <w:lang w:val="en-US" w:eastAsia="zh-CN"/>
              </w:rPr>
              <w:t>μg/m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vertAlign w:val="baseline"/>
                <w:lang w:val="en-US" w:eastAsia="zh-CN"/>
              </w:rPr>
              <w:t>(CO:mg/m</w:t>
            </w:r>
            <w:r>
              <w:rPr>
                <w:rFonts w:hint="eastAsia" w:cs="Times New Roman"/>
                <w:color w:val="auto"/>
                <w:vertAlign w:val="superscript"/>
                <w:lang w:val="en-US" w:eastAsia="zh-CN"/>
              </w:rPr>
              <w:t>3</w:t>
            </w:r>
            <w:r>
              <w:rPr>
                <w:rFonts w:hint="default" w:ascii="Times New Roman" w:hAnsi="Times New Roman" w:cs="Times New Roman"/>
                <w:color w:val="auto"/>
                <w:vertAlign w:val="baseline"/>
                <w:lang w:val="en-US" w:eastAsia="zh-CN"/>
              </w:rPr>
              <w:t>)</w:t>
            </w:r>
          </w:p>
          <w:tbl>
            <w:tblPr>
              <w:tblStyle w:val="3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049"/>
              <w:gridCol w:w="724"/>
              <w:gridCol w:w="637"/>
              <w:gridCol w:w="860"/>
              <w:gridCol w:w="847"/>
              <w:gridCol w:w="671"/>
              <w:gridCol w:w="888"/>
              <w:gridCol w:w="737"/>
            </w:tblGrid>
            <w:tr w14:paraId="2739BB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vMerge w:val="restart"/>
                  <w:tcBorders>
                    <w:tl2br w:val="nil"/>
                    <w:tr2bl w:val="nil"/>
                  </w:tcBorders>
                  <w:shd w:val="clear" w:color="auto" w:fill="auto"/>
                  <w:vAlign w:val="center"/>
                </w:tcPr>
                <w:p w14:paraId="0CDCBCDC">
                  <w:pPr>
                    <w:bidi w:val="0"/>
                    <w:spacing w:line="240" w:lineRule="auto"/>
                    <w:jc w:val="center"/>
                    <w:rPr>
                      <w:rFonts w:hint="default" w:ascii="Times New Roman" w:hAnsi="Times New Roman" w:eastAsia="宋体" w:cs="Times New Roman"/>
                      <w:color w:val="auto"/>
                      <w:sz w:val="21"/>
                      <w:szCs w:val="21"/>
                      <w:u w:val="none" w:color="auto"/>
                    </w:rPr>
                  </w:pPr>
                  <w:bookmarkStart w:id="17" w:name="_Toc615"/>
                  <w:r>
                    <w:rPr>
                      <w:rFonts w:hint="default" w:ascii="Times New Roman" w:hAnsi="Times New Roman" w:eastAsia="宋体" w:cs="Times New Roman"/>
                      <w:color w:val="auto"/>
                      <w:sz w:val="21"/>
                      <w:szCs w:val="21"/>
                      <w:u w:val="none" w:color="auto"/>
                    </w:rPr>
                    <w:t>污染物</w:t>
                  </w:r>
                </w:p>
              </w:tc>
              <w:tc>
                <w:tcPr>
                  <w:tcW w:w="1249" w:type="pct"/>
                  <w:vMerge w:val="restart"/>
                  <w:tcBorders>
                    <w:tl2br w:val="nil"/>
                    <w:tr2bl w:val="nil"/>
                  </w:tcBorders>
                  <w:shd w:val="clear" w:color="auto" w:fill="auto"/>
                  <w:vAlign w:val="center"/>
                </w:tcPr>
                <w:p w14:paraId="30044756">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年评价指标</w:t>
                  </w:r>
                </w:p>
              </w:tc>
              <w:tc>
                <w:tcPr>
                  <w:tcW w:w="441" w:type="pct"/>
                  <w:vMerge w:val="restart"/>
                  <w:tcBorders>
                    <w:tl2br w:val="nil"/>
                    <w:tr2bl w:val="nil"/>
                  </w:tcBorders>
                  <w:shd w:val="clear" w:color="auto" w:fill="auto"/>
                  <w:vAlign w:val="center"/>
                </w:tcPr>
                <w:p w14:paraId="698AD98D">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现状浓度</w:t>
                  </w:r>
                </w:p>
              </w:tc>
              <w:tc>
                <w:tcPr>
                  <w:tcW w:w="1428" w:type="pct"/>
                  <w:gridSpan w:val="3"/>
                  <w:tcBorders>
                    <w:tl2br w:val="nil"/>
                    <w:tr2bl w:val="nil"/>
                  </w:tcBorders>
                  <w:shd w:val="clear" w:color="auto" w:fill="auto"/>
                  <w:vAlign w:val="center"/>
                </w:tcPr>
                <w:p w14:paraId="5140813C">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GB3095-2012</w:t>
                  </w:r>
                </w:p>
              </w:tc>
              <w:tc>
                <w:tcPr>
                  <w:tcW w:w="1399" w:type="pct"/>
                  <w:gridSpan w:val="3"/>
                  <w:tcBorders>
                    <w:tl2br w:val="nil"/>
                    <w:tr2bl w:val="nil"/>
                  </w:tcBorders>
                  <w:shd w:val="clear" w:color="auto" w:fill="auto"/>
                  <w:vAlign w:val="center"/>
                </w:tcPr>
                <w:p w14:paraId="0E099CCC">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rPr>
                    <w:t>GB3095-20</w:t>
                  </w:r>
                  <w:r>
                    <w:rPr>
                      <w:rFonts w:hint="default" w:ascii="Times New Roman" w:hAnsi="Times New Roman" w:eastAsia="宋体" w:cs="Times New Roman"/>
                      <w:color w:val="auto"/>
                      <w:sz w:val="21"/>
                      <w:szCs w:val="21"/>
                      <w:u w:val="none" w:color="auto"/>
                      <w:lang w:val="en-US" w:eastAsia="zh-CN"/>
                    </w:rPr>
                    <w:t>26</w:t>
                  </w:r>
                </w:p>
              </w:tc>
            </w:tr>
            <w:tr w14:paraId="6A9C1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vMerge w:val="continue"/>
                  <w:tcBorders>
                    <w:tl2br w:val="nil"/>
                    <w:tr2bl w:val="nil"/>
                  </w:tcBorders>
                  <w:shd w:val="clear" w:color="auto" w:fill="auto"/>
                  <w:vAlign w:val="center"/>
                </w:tcPr>
                <w:p w14:paraId="601865E1">
                  <w:pPr>
                    <w:bidi w:val="0"/>
                    <w:spacing w:line="240" w:lineRule="auto"/>
                    <w:jc w:val="center"/>
                    <w:rPr>
                      <w:rFonts w:hint="default" w:ascii="Times New Roman" w:hAnsi="Times New Roman" w:eastAsia="宋体" w:cs="Times New Roman"/>
                      <w:color w:val="auto"/>
                      <w:sz w:val="21"/>
                      <w:szCs w:val="21"/>
                      <w:u w:val="none" w:color="auto"/>
                    </w:rPr>
                  </w:pPr>
                </w:p>
              </w:tc>
              <w:tc>
                <w:tcPr>
                  <w:tcW w:w="1249" w:type="pct"/>
                  <w:vMerge w:val="continue"/>
                  <w:tcBorders>
                    <w:tl2br w:val="nil"/>
                    <w:tr2bl w:val="nil"/>
                  </w:tcBorders>
                  <w:shd w:val="clear" w:color="auto" w:fill="auto"/>
                  <w:vAlign w:val="center"/>
                </w:tcPr>
                <w:p w14:paraId="32EEF540">
                  <w:pPr>
                    <w:bidi w:val="0"/>
                    <w:spacing w:line="240" w:lineRule="auto"/>
                    <w:jc w:val="center"/>
                    <w:rPr>
                      <w:rFonts w:hint="default" w:ascii="Times New Roman" w:hAnsi="Times New Roman" w:eastAsia="宋体" w:cs="Times New Roman"/>
                      <w:color w:val="auto"/>
                      <w:sz w:val="21"/>
                      <w:szCs w:val="21"/>
                      <w:u w:val="none" w:color="auto"/>
                    </w:rPr>
                  </w:pPr>
                </w:p>
              </w:tc>
              <w:tc>
                <w:tcPr>
                  <w:tcW w:w="441" w:type="pct"/>
                  <w:vMerge w:val="continue"/>
                  <w:tcBorders>
                    <w:tl2br w:val="nil"/>
                    <w:tr2bl w:val="nil"/>
                  </w:tcBorders>
                  <w:shd w:val="clear" w:color="auto" w:fill="auto"/>
                  <w:vAlign w:val="center"/>
                </w:tcPr>
                <w:p w14:paraId="009C1E76">
                  <w:pPr>
                    <w:bidi w:val="0"/>
                    <w:spacing w:line="240" w:lineRule="auto"/>
                    <w:jc w:val="center"/>
                    <w:rPr>
                      <w:rFonts w:hint="default" w:ascii="Times New Roman" w:hAnsi="Times New Roman" w:eastAsia="宋体" w:cs="Times New Roman"/>
                      <w:color w:val="auto"/>
                      <w:sz w:val="21"/>
                      <w:szCs w:val="21"/>
                      <w:u w:val="none" w:color="auto"/>
                    </w:rPr>
                  </w:pPr>
                </w:p>
              </w:tc>
              <w:tc>
                <w:tcPr>
                  <w:tcW w:w="388" w:type="pct"/>
                  <w:tcBorders>
                    <w:tl2br w:val="nil"/>
                    <w:tr2bl w:val="nil"/>
                  </w:tcBorders>
                  <w:shd w:val="clear" w:color="auto" w:fill="auto"/>
                  <w:vAlign w:val="center"/>
                </w:tcPr>
                <w:p w14:paraId="300ADCC4">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标准值</w:t>
                  </w:r>
                </w:p>
              </w:tc>
              <w:tc>
                <w:tcPr>
                  <w:tcW w:w="524" w:type="pct"/>
                  <w:tcBorders>
                    <w:tl2br w:val="nil"/>
                    <w:tr2bl w:val="nil"/>
                  </w:tcBorders>
                  <w:shd w:val="clear" w:color="auto" w:fill="auto"/>
                  <w:vAlign w:val="center"/>
                </w:tcPr>
                <w:p w14:paraId="6BDE825B">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占标率（%）</w:t>
                  </w:r>
                </w:p>
              </w:tc>
              <w:tc>
                <w:tcPr>
                  <w:tcW w:w="516" w:type="pct"/>
                  <w:tcBorders>
                    <w:tl2br w:val="nil"/>
                    <w:tr2bl w:val="nil"/>
                  </w:tcBorders>
                  <w:shd w:val="clear" w:color="auto" w:fill="auto"/>
                  <w:vAlign w:val="center"/>
                </w:tcPr>
                <w:p w14:paraId="38589D09">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达标情况</w:t>
                  </w:r>
                </w:p>
              </w:tc>
              <w:tc>
                <w:tcPr>
                  <w:tcW w:w="409" w:type="pct"/>
                  <w:tcBorders>
                    <w:tl2br w:val="nil"/>
                    <w:tr2bl w:val="nil"/>
                  </w:tcBorders>
                  <w:shd w:val="clear" w:color="auto" w:fill="auto"/>
                  <w:vAlign w:val="center"/>
                </w:tcPr>
                <w:p w14:paraId="0855EFA4">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标准值</w:t>
                  </w:r>
                </w:p>
              </w:tc>
              <w:tc>
                <w:tcPr>
                  <w:tcW w:w="541" w:type="pct"/>
                  <w:tcBorders>
                    <w:tl2br w:val="nil"/>
                    <w:tr2bl w:val="nil"/>
                  </w:tcBorders>
                  <w:shd w:val="clear" w:color="auto" w:fill="auto"/>
                  <w:vAlign w:val="center"/>
                </w:tcPr>
                <w:p w14:paraId="6384478D">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占标率（%）</w:t>
                  </w:r>
                </w:p>
              </w:tc>
              <w:tc>
                <w:tcPr>
                  <w:tcW w:w="448" w:type="pct"/>
                  <w:tcBorders>
                    <w:tl2br w:val="nil"/>
                    <w:tr2bl w:val="nil"/>
                  </w:tcBorders>
                  <w:shd w:val="clear" w:color="auto" w:fill="auto"/>
                  <w:vAlign w:val="center"/>
                </w:tcPr>
                <w:p w14:paraId="665115A3">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达标情况</w:t>
                  </w:r>
                </w:p>
              </w:tc>
            </w:tr>
            <w:tr w14:paraId="1D4095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tcBorders>
                    <w:tl2br w:val="nil"/>
                    <w:tr2bl w:val="nil"/>
                  </w:tcBorders>
                  <w:shd w:val="clear" w:color="auto" w:fill="auto"/>
                  <w:vAlign w:val="center"/>
                </w:tcPr>
                <w:p w14:paraId="50B1286D">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SO</w:t>
                  </w:r>
                  <w:r>
                    <w:rPr>
                      <w:rFonts w:hint="default" w:ascii="Times New Roman" w:hAnsi="Times New Roman" w:eastAsia="宋体" w:cs="Times New Roman"/>
                      <w:color w:val="auto"/>
                      <w:sz w:val="21"/>
                      <w:szCs w:val="21"/>
                      <w:u w:val="none" w:color="auto"/>
                      <w:vertAlign w:val="subscript"/>
                    </w:rPr>
                    <w:t>2</w:t>
                  </w:r>
                </w:p>
              </w:tc>
              <w:tc>
                <w:tcPr>
                  <w:tcW w:w="1249" w:type="pct"/>
                  <w:tcBorders>
                    <w:tl2br w:val="nil"/>
                    <w:tr2bl w:val="nil"/>
                  </w:tcBorders>
                  <w:shd w:val="clear" w:color="auto" w:fill="auto"/>
                  <w:vAlign w:val="center"/>
                </w:tcPr>
                <w:p w14:paraId="26378D4D">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年平均质量浓度</w:t>
                  </w:r>
                </w:p>
              </w:tc>
              <w:tc>
                <w:tcPr>
                  <w:tcW w:w="441" w:type="pct"/>
                  <w:tcBorders>
                    <w:tl2br w:val="nil"/>
                    <w:tr2bl w:val="nil"/>
                  </w:tcBorders>
                  <w:shd w:val="clear" w:color="auto" w:fill="auto"/>
                  <w:vAlign w:val="center"/>
                </w:tcPr>
                <w:p w14:paraId="734D3110">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7</w:t>
                  </w:r>
                </w:p>
              </w:tc>
              <w:tc>
                <w:tcPr>
                  <w:tcW w:w="388" w:type="pct"/>
                  <w:tcBorders>
                    <w:tl2br w:val="nil"/>
                    <w:tr2bl w:val="nil"/>
                  </w:tcBorders>
                  <w:shd w:val="clear" w:color="auto" w:fill="auto"/>
                  <w:vAlign w:val="center"/>
                </w:tcPr>
                <w:p w14:paraId="2E42EE45">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60</w:t>
                  </w:r>
                </w:p>
              </w:tc>
              <w:tc>
                <w:tcPr>
                  <w:tcW w:w="524" w:type="pct"/>
                  <w:tcBorders>
                    <w:tl2br w:val="nil"/>
                    <w:tr2bl w:val="nil"/>
                  </w:tcBorders>
                  <w:shd w:val="clear" w:color="auto" w:fill="auto"/>
                  <w:vAlign w:val="center"/>
                </w:tcPr>
                <w:p w14:paraId="71FB4F30">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lang w:val="en-US" w:eastAsia="zh-CN"/>
                    </w:rPr>
                    <w:t>11.7</w:t>
                  </w:r>
                </w:p>
              </w:tc>
              <w:tc>
                <w:tcPr>
                  <w:tcW w:w="516" w:type="pct"/>
                  <w:tcBorders>
                    <w:tl2br w:val="nil"/>
                    <w:tr2bl w:val="nil"/>
                  </w:tcBorders>
                  <w:shd w:val="clear" w:color="auto" w:fill="auto"/>
                  <w:vAlign w:val="center"/>
                </w:tcPr>
                <w:p w14:paraId="24FB35C4">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达标</w:t>
                  </w:r>
                </w:p>
              </w:tc>
              <w:tc>
                <w:tcPr>
                  <w:tcW w:w="409" w:type="pct"/>
                  <w:tcBorders>
                    <w:tl2br w:val="nil"/>
                    <w:tr2bl w:val="nil"/>
                  </w:tcBorders>
                  <w:shd w:val="clear" w:color="auto" w:fill="auto"/>
                  <w:vAlign w:val="center"/>
                </w:tcPr>
                <w:p w14:paraId="08800245">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60</w:t>
                  </w:r>
                </w:p>
              </w:tc>
              <w:tc>
                <w:tcPr>
                  <w:tcW w:w="888" w:type="dxa"/>
                  <w:tcBorders>
                    <w:tl2br w:val="nil"/>
                    <w:tr2bl w:val="nil"/>
                  </w:tcBorders>
                  <w:shd w:val="clear" w:color="auto" w:fill="auto"/>
                  <w:vAlign w:val="center"/>
                </w:tcPr>
                <w:p w14:paraId="7DC249BD">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11.7</w:t>
                  </w:r>
                </w:p>
              </w:tc>
              <w:tc>
                <w:tcPr>
                  <w:tcW w:w="448" w:type="pct"/>
                  <w:tcBorders>
                    <w:tl2br w:val="nil"/>
                    <w:tr2bl w:val="nil"/>
                  </w:tcBorders>
                  <w:shd w:val="clear" w:color="auto" w:fill="auto"/>
                  <w:vAlign w:val="center"/>
                </w:tcPr>
                <w:p w14:paraId="22499E9F">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达标</w:t>
                  </w:r>
                </w:p>
              </w:tc>
            </w:tr>
            <w:tr w14:paraId="279A26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tcBorders>
                    <w:tl2br w:val="nil"/>
                    <w:tr2bl w:val="nil"/>
                  </w:tcBorders>
                  <w:shd w:val="clear" w:color="auto" w:fill="auto"/>
                  <w:vAlign w:val="center"/>
                </w:tcPr>
                <w:p w14:paraId="6A641C48">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NO</w:t>
                  </w:r>
                  <w:r>
                    <w:rPr>
                      <w:rFonts w:hint="default" w:ascii="Times New Roman" w:hAnsi="Times New Roman" w:eastAsia="宋体" w:cs="Times New Roman"/>
                      <w:color w:val="auto"/>
                      <w:sz w:val="21"/>
                      <w:szCs w:val="21"/>
                      <w:u w:val="none" w:color="auto"/>
                      <w:vertAlign w:val="subscript"/>
                    </w:rPr>
                    <w:t>2</w:t>
                  </w:r>
                </w:p>
              </w:tc>
              <w:tc>
                <w:tcPr>
                  <w:tcW w:w="1249" w:type="pct"/>
                  <w:tcBorders>
                    <w:tl2br w:val="nil"/>
                    <w:tr2bl w:val="nil"/>
                  </w:tcBorders>
                  <w:shd w:val="clear" w:color="auto" w:fill="auto"/>
                  <w:vAlign w:val="center"/>
                </w:tcPr>
                <w:p w14:paraId="5BF31B8B">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年平均质量浓度</w:t>
                  </w:r>
                </w:p>
              </w:tc>
              <w:tc>
                <w:tcPr>
                  <w:tcW w:w="441" w:type="pct"/>
                  <w:tcBorders>
                    <w:tl2br w:val="nil"/>
                    <w:tr2bl w:val="nil"/>
                  </w:tcBorders>
                  <w:shd w:val="clear" w:color="auto" w:fill="auto"/>
                  <w:vAlign w:val="center"/>
                </w:tcPr>
                <w:p w14:paraId="41B700FA">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16</w:t>
                  </w:r>
                </w:p>
              </w:tc>
              <w:tc>
                <w:tcPr>
                  <w:tcW w:w="388" w:type="pct"/>
                  <w:tcBorders>
                    <w:tl2br w:val="nil"/>
                    <w:tr2bl w:val="nil"/>
                  </w:tcBorders>
                  <w:shd w:val="clear" w:color="auto" w:fill="auto"/>
                  <w:vAlign w:val="center"/>
                </w:tcPr>
                <w:p w14:paraId="352AB226">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40</w:t>
                  </w:r>
                </w:p>
              </w:tc>
              <w:tc>
                <w:tcPr>
                  <w:tcW w:w="524" w:type="pct"/>
                  <w:tcBorders>
                    <w:tl2br w:val="nil"/>
                    <w:tr2bl w:val="nil"/>
                  </w:tcBorders>
                  <w:shd w:val="clear" w:color="auto" w:fill="auto"/>
                  <w:vAlign w:val="center"/>
                </w:tcPr>
                <w:p w14:paraId="5CB75E28">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lang w:val="en-US" w:eastAsia="zh-CN"/>
                    </w:rPr>
                    <w:t>40</w:t>
                  </w:r>
                </w:p>
              </w:tc>
              <w:tc>
                <w:tcPr>
                  <w:tcW w:w="516" w:type="pct"/>
                  <w:tcBorders>
                    <w:tl2br w:val="nil"/>
                    <w:tr2bl w:val="nil"/>
                  </w:tcBorders>
                  <w:shd w:val="clear" w:color="auto" w:fill="auto"/>
                  <w:vAlign w:val="center"/>
                </w:tcPr>
                <w:p w14:paraId="6738182A">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达标</w:t>
                  </w:r>
                </w:p>
              </w:tc>
              <w:tc>
                <w:tcPr>
                  <w:tcW w:w="409" w:type="pct"/>
                  <w:tcBorders>
                    <w:tl2br w:val="nil"/>
                    <w:tr2bl w:val="nil"/>
                  </w:tcBorders>
                  <w:shd w:val="clear" w:color="auto" w:fill="auto"/>
                  <w:vAlign w:val="center"/>
                </w:tcPr>
                <w:p w14:paraId="1749D361">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40</w:t>
                  </w:r>
                </w:p>
              </w:tc>
              <w:tc>
                <w:tcPr>
                  <w:tcW w:w="888" w:type="dxa"/>
                  <w:tcBorders>
                    <w:tl2br w:val="nil"/>
                    <w:tr2bl w:val="nil"/>
                  </w:tcBorders>
                  <w:shd w:val="clear" w:color="auto" w:fill="auto"/>
                  <w:vAlign w:val="center"/>
                </w:tcPr>
                <w:p w14:paraId="23ADD393">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40</w:t>
                  </w:r>
                </w:p>
              </w:tc>
              <w:tc>
                <w:tcPr>
                  <w:tcW w:w="448" w:type="pct"/>
                  <w:tcBorders>
                    <w:tl2br w:val="nil"/>
                    <w:tr2bl w:val="nil"/>
                  </w:tcBorders>
                  <w:shd w:val="clear" w:color="auto" w:fill="auto"/>
                  <w:vAlign w:val="center"/>
                </w:tcPr>
                <w:p w14:paraId="035B0E08">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val="en-US" w:eastAsia="zh-CN"/>
                    </w:rPr>
                    <w:t>达标</w:t>
                  </w:r>
                </w:p>
              </w:tc>
            </w:tr>
            <w:tr w14:paraId="6B8F81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tcBorders>
                    <w:tl2br w:val="nil"/>
                    <w:tr2bl w:val="nil"/>
                  </w:tcBorders>
                  <w:shd w:val="clear" w:color="auto" w:fill="auto"/>
                  <w:vAlign w:val="center"/>
                </w:tcPr>
                <w:p w14:paraId="6474097C">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PM</w:t>
                  </w:r>
                  <w:r>
                    <w:rPr>
                      <w:rFonts w:hint="default" w:ascii="Times New Roman" w:hAnsi="Times New Roman" w:eastAsia="宋体" w:cs="Times New Roman"/>
                      <w:color w:val="auto"/>
                      <w:sz w:val="21"/>
                      <w:szCs w:val="21"/>
                      <w:u w:val="none" w:color="auto"/>
                      <w:vertAlign w:val="subscript"/>
                    </w:rPr>
                    <w:t>10</w:t>
                  </w:r>
                </w:p>
              </w:tc>
              <w:tc>
                <w:tcPr>
                  <w:tcW w:w="1249" w:type="pct"/>
                  <w:tcBorders>
                    <w:tl2br w:val="nil"/>
                    <w:tr2bl w:val="nil"/>
                  </w:tcBorders>
                  <w:shd w:val="clear" w:color="auto" w:fill="auto"/>
                  <w:vAlign w:val="center"/>
                </w:tcPr>
                <w:p w14:paraId="4DACF492">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年平均质量浓度</w:t>
                  </w:r>
                </w:p>
              </w:tc>
              <w:tc>
                <w:tcPr>
                  <w:tcW w:w="441" w:type="pct"/>
                  <w:tcBorders>
                    <w:tl2br w:val="nil"/>
                    <w:tr2bl w:val="nil"/>
                  </w:tcBorders>
                  <w:shd w:val="clear" w:color="auto" w:fill="auto"/>
                  <w:vAlign w:val="center"/>
                </w:tcPr>
                <w:p w14:paraId="2D4D4F9E">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42</w:t>
                  </w:r>
                </w:p>
              </w:tc>
              <w:tc>
                <w:tcPr>
                  <w:tcW w:w="388" w:type="pct"/>
                  <w:tcBorders>
                    <w:tl2br w:val="nil"/>
                    <w:tr2bl w:val="nil"/>
                  </w:tcBorders>
                  <w:shd w:val="clear" w:color="auto" w:fill="auto"/>
                  <w:vAlign w:val="center"/>
                </w:tcPr>
                <w:p w14:paraId="784D895B">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70</w:t>
                  </w:r>
                </w:p>
              </w:tc>
              <w:tc>
                <w:tcPr>
                  <w:tcW w:w="524" w:type="pct"/>
                  <w:tcBorders>
                    <w:tl2br w:val="nil"/>
                    <w:tr2bl w:val="nil"/>
                  </w:tcBorders>
                  <w:shd w:val="clear" w:color="auto" w:fill="auto"/>
                  <w:vAlign w:val="center"/>
                </w:tcPr>
                <w:p w14:paraId="7D843718">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lang w:val="en-US" w:eastAsia="zh-CN"/>
                    </w:rPr>
                    <w:t>60</w:t>
                  </w:r>
                </w:p>
              </w:tc>
              <w:tc>
                <w:tcPr>
                  <w:tcW w:w="516" w:type="pct"/>
                  <w:tcBorders>
                    <w:tl2br w:val="nil"/>
                    <w:tr2bl w:val="nil"/>
                  </w:tcBorders>
                  <w:shd w:val="clear" w:color="auto" w:fill="auto"/>
                  <w:vAlign w:val="center"/>
                </w:tcPr>
                <w:p w14:paraId="6C2556F0">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达标</w:t>
                  </w:r>
                </w:p>
              </w:tc>
              <w:tc>
                <w:tcPr>
                  <w:tcW w:w="409" w:type="pct"/>
                  <w:tcBorders>
                    <w:tl2br w:val="nil"/>
                    <w:tr2bl w:val="nil"/>
                  </w:tcBorders>
                  <w:shd w:val="clear" w:color="auto" w:fill="auto"/>
                  <w:vAlign w:val="center"/>
                </w:tcPr>
                <w:p w14:paraId="723DB717">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60</w:t>
                  </w:r>
                </w:p>
              </w:tc>
              <w:tc>
                <w:tcPr>
                  <w:tcW w:w="541" w:type="pct"/>
                  <w:tcBorders>
                    <w:tl2br w:val="nil"/>
                    <w:tr2bl w:val="nil"/>
                  </w:tcBorders>
                  <w:shd w:val="clear" w:color="auto" w:fill="auto"/>
                  <w:vAlign w:val="center"/>
                </w:tcPr>
                <w:p w14:paraId="1840A357">
                  <w:pPr>
                    <w:keepNext w:val="0"/>
                    <w:keepLines w:val="0"/>
                    <w:widowControl/>
                    <w:suppressLineNumbers w:val="0"/>
                    <w:jc w:val="center"/>
                    <w:textAlignment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70</w:t>
                  </w:r>
                </w:p>
              </w:tc>
              <w:tc>
                <w:tcPr>
                  <w:tcW w:w="448" w:type="pct"/>
                  <w:tcBorders>
                    <w:tl2br w:val="nil"/>
                    <w:tr2bl w:val="nil"/>
                  </w:tcBorders>
                  <w:shd w:val="clear" w:color="auto" w:fill="auto"/>
                  <w:vAlign w:val="center"/>
                </w:tcPr>
                <w:p w14:paraId="45B5A2F8">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val="en-US" w:eastAsia="zh-CN"/>
                    </w:rPr>
                    <w:t>达标</w:t>
                  </w:r>
                </w:p>
              </w:tc>
            </w:tr>
            <w:tr w14:paraId="52438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tcBorders>
                    <w:tl2br w:val="nil"/>
                    <w:tr2bl w:val="nil"/>
                  </w:tcBorders>
                  <w:shd w:val="clear" w:color="auto" w:fill="auto"/>
                  <w:vAlign w:val="center"/>
                </w:tcPr>
                <w:p w14:paraId="30ACC2CC">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PM</w:t>
                  </w:r>
                  <w:r>
                    <w:rPr>
                      <w:rFonts w:hint="default" w:ascii="Times New Roman" w:hAnsi="Times New Roman" w:eastAsia="宋体" w:cs="Times New Roman"/>
                      <w:color w:val="auto"/>
                      <w:sz w:val="21"/>
                      <w:szCs w:val="21"/>
                      <w:u w:val="none" w:color="auto"/>
                      <w:vertAlign w:val="subscript"/>
                    </w:rPr>
                    <w:t>2.5</w:t>
                  </w:r>
                </w:p>
              </w:tc>
              <w:tc>
                <w:tcPr>
                  <w:tcW w:w="1249" w:type="pct"/>
                  <w:tcBorders>
                    <w:tl2br w:val="nil"/>
                    <w:tr2bl w:val="nil"/>
                  </w:tcBorders>
                  <w:shd w:val="clear" w:color="auto" w:fill="auto"/>
                  <w:vAlign w:val="center"/>
                </w:tcPr>
                <w:p w14:paraId="164A1BB1">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年平均质量浓度</w:t>
                  </w:r>
                </w:p>
              </w:tc>
              <w:tc>
                <w:tcPr>
                  <w:tcW w:w="441" w:type="pct"/>
                  <w:tcBorders>
                    <w:tl2br w:val="nil"/>
                    <w:tr2bl w:val="nil"/>
                  </w:tcBorders>
                  <w:shd w:val="clear" w:color="auto" w:fill="auto"/>
                  <w:vAlign w:val="center"/>
                </w:tcPr>
                <w:p w14:paraId="5D0BDCFE">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20.5</w:t>
                  </w:r>
                </w:p>
              </w:tc>
              <w:tc>
                <w:tcPr>
                  <w:tcW w:w="388" w:type="pct"/>
                  <w:tcBorders>
                    <w:tl2br w:val="nil"/>
                    <w:tr2bl w:val="nil"/>
                  </w:tcBorders>
                  <w:shd w:val="clear" w:color="auto" w:fill="auto"/>
                  <w:vAlign w:val="center"/>
                </w:tcPr>
                <w:p w14:paraId="79CABB06">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35</w:t>
                  </w:r>
                </w:p>
              </w:tc>
              <w:tc>
                <w:tcPr>
                  <w:tcW w:w="524" w:type="pct"/>
                  <w:tcBorders>
                    <w:tl2br w:val="nil"/>
                    <w:tr2bl w:val="nil"/>
                  </w:tcBorders>
                  <w:shd w:val="clear" w:color="auto" w:fill="auto"/>
                  <w:vAlign w:val="center"/>
                </w:tcPr>
                <w:p w14:paraId="28D6C801">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lang w:val="en-US" w:eastAsia="zh-CN"/>
                    </w:rPr>
                    <w:t>58.6</w:t>
                  </w:r>
                </w:p>
              </w:tc>
              <w:tc>
                <w:tcPr>
                  <w:tcW w:w="516" w:type="pct"/>
                  <w:tcBorders>
                    <w:tl2br w:val="nil"/>
                    <w:tr2bl w:val="nil"/>
                  </w:tcBorders>
                  <w:shd w:val="clear" w:color="auto" w:fill="auto"/>
                  <w:vAlign w:val="center"/>
                </w:tcPr>
                <w:p w14:paraId="34BFCD64">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达标</w:t>
                  </w:r>
                </w:p>
              </w:tc>
              <w:tc>
                <w:tcPr>
                  <w:tcW w:w="409" w:type="pct"/>
                  <w:tcBorders>
                    <w:tl2br w:val="nil"/>
                    <w:tr2bl w:val="nil"/>
                  </w:tcBorders>
                  <w:shd w:val="clear" w:color="auto" w:fill="auto"/>
                  <w:vAlign w:val="center"/>
                </w:tcPr>
                <w:p w14:paraId="0BFE8602">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val="en-US" w:eastAsia="zh-CN"/>
                    </w:rPr>
                    <w:t>30</w:t>
                  </w:r>
                </w:p>
              </w:tc>
              <w:tc>
                <w:tcPr>
                  <w:tcW w:w="541" w:type="pct"/>
                  <w:tcBorders>
                    <w:tl2br w:val="nil"/>
                    <w:tr2bl w:val="nil"/>
                  </w:tcBorders>
                  <w:shd w:val="clear" w:color="auto" w:fill="auto"/>
                  <w:vAlign w:val="center"/>
                </w:tcPr>
                <w:p w14:paraId="7DD43958">
                  <w:pPr>
                    <w:keepNext w:val="0"/>
                    <w:keepLines w:val="0"/>
                    <w:widowControl/>
                    <w:suppressLineNumbers w:val="0"/>
                    <w:jc w:val="center"/>
                    <w:textAlignment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68.3</w:t>
                  </w:r>
                </w:p>
              </w:tc>
              <w:tc>
                <w:tcPr>
                  <w:tcW w:w="448" w:type="pct"/>
                  <w:tcBorders>
                    <w:tl2br w:val="nil"/>
                    <w:tr2bl w:val="nil"/>
                  </w:tcBorders>
                  <w:shd w:val="clear" w:color="auto" w:fill="auto"/>
                  <w:vAlign w:val="center"/>
                </w:tcPr>
                <w:p w14:paraId="460C4353">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val="en-US" w:eastAsia="zh-CN"/>
                    </w:rPr>
                    <w:t>达标</w:t>
                  </w:r>
                </w:p>
              </w:tc>
            </w:tr>
            <w:tr w14:paraId="17013B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tcBorders>
                    <w:tl2br w:val="nil"/>
                    <w:tr2bl w:val="nil"/>
                  </w:tcBorders>
                  <w:shd w:val="clear" w:color="auto" w:fill="auto"/>
                  <w:vAlign w:val="center"/>
                </w:tcPr>
                <w:p w14:paraId="75524AB0">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O</w:t>
                  </w:r>
                  <w:r>
                    <w:rPr>
                      <w:rFonts w:hint="default" w:ascii="Times New Roman" w:hAnsi="Times New Roman" w:eastAsia="宋体" w:cs="Times New Roman"/>
                      <w:color w:val="auto"/>
                      <w:sz w:val="21"/>
                      <w:szCs w:val="21"/>
                      <w:u w:val="none" w:color="auto"/>
                      <w:vertAlign w:val="subscript"/>
                    </w:rPr>
                    <w:t>3</w:t>
                  </w:r>
                </w:p>
              </w:tc>
              <w:tc>
                <w:tcPr>
                  <w:tcW w:w="1249" w:type="pct"/>
                  <w:tcBorders>
                    <w:tl2br w:val="nil"/>
                    <w:tr2bl w:val="nil"/>
                  </w:tcBorders>
                  <w:shd w:val="clear" w:color="auto" w:fill="auto"/>
                  <w:vAlign w:val="center"/>
                </w:tcPr>
                <w:p w14:paraId="39A313AC">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90百分位数最大8小时平均质量浓度</w:t>
                  </w:r>
                </w:p>
              </w:tc>
              <w:tc>
                <w:tcPr>
                  <w:tcW w:w="441" w:type="pct"/>
                  <w:tcBorders>
                    <w:tl2br w:val="nil"/>
                    <w:tr2bl w:val="nil"/>
                  </w:tcBorders>
                  <w:shd w:val="clear" w:color="auto" w:fill="auto"/>
                  <w:vAlign w:val="center"/>
                </w:tcPr>
                <w:p w14:paraId="3BDFF91E">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106</w:t>
                  </w:r>
                </w:p>
              </w:tc>
              <w:tc>
                <w:tcPr>
                  <w:tcW w:w="388" w:type="pct"/>
                  <w:tcBorders>
                    <w:tl2br w:val="nil"/>
                    <w:tr2bl w:val="nil"/>
                  </w:tcBorders>
                  <w:shd w:val="clear" w:color="auto" w:fill="auto"/>
                  <w:vAlign w:val="center"/>
                </w:tcPr>
                <w:p w14:paraId="3BDBD5A6">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160</w:t>
                  </w:r>
                </w:p>
              </w:tc>
              <w:tc>
                <w:tcPr>
                  <w:tcW w:w="524" w:type="pct"/>
                  <w:tcBorders>
                    <w:tl2br w:val="nil"/>
                    <w:tr2bl w:val="nil"/>
                  </w:tcBorders>
                  <w:shd w:val="clear" w:color="auto" w:fill="auto"/>
                  <w:vAlign w:val="center"/>
                </w:tcPr>
                <w:p w14:paraId="69EFE6C6">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lang w:val="en-US" w:eastAsia="zh-CN"/>
                    </w:rPr>
                    <w:t>66.3</w:t>
                  </w:r>
                </w:p>
              </w:tc>
              <w:tc>
                <w:tcPr>
                  <w:tcW w:w="516" w:type="pct"/>
                  <w:tcBorders>
                    <w:tl2br w:val="nil"/>
                    <w:tr2bl w:val="nil"/>
                  </w:tcBorders>
                  <w:shd w:val="clear" w:color="auto" w:fill="auto"/>
                  <w:vAlign w:val="center"/>
                </w:tcPr>
                <w:p w14:paraId="70CF012B">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达标</w:t>
                  </w:r>
                </w:p>
              </w:tc>
              <w:tc>
                <w:tcPr>
                  <w:tcW w:w="409" w:type="pct"/>
                  <w:tcBorders>
                    <w:tl2br w:val="nil"/>
                    <w:tr2bl w:val="nil"/>
                  </w:tcBorders>
                  <w:shd w:val="clear" w:color="auto" w:fill="auto"/>
                  <w:vAlign w:val="center"/>
                </w:tcPr>
                <w:p w14:paraId="729D3EDA">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160</w:t>
                  </w:r>
                </w:p>
              </w:tc>
              <w:tc>
                <w:tcPr>
                  <w:tcW w:w="541" w:type="pct"/>
                  <w:tcBorders>
                    <w:tl2br w:val="nil"/>
                    <w:tr2bl w:val="nil"/>
                  </w:tcBorders>
                  <w:shd w:val="clear" w:color="auto" w:fill="auto"/>
                  <w:vAlign w:val="center"/>
                </w:tcPr>
                <w:p w14:paraId="21EB2C77">
                  <w:pPr>
                    <w:keepNext w:val="0"/>
                    <w:keepLines w:val="0"/>
                    <w:widowControl/>
                    <w:suppressLineNumbers w:val="0"/>
                    <w:jc w:val="center"/>
                    <w:textAlignment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66.3</w:t>
                  </w:r>
                </w:p>
              </w:tc>
              <w:tc>
                <w:tcPr>
                  <w:tcW w:w="448" w:type="pct"/>
                  <w:tcBorders>
                    <w:tl2br w:val="nil"/>
                    <w:tr2bl w:val="nil"/>
                  </w:tcBorders>
                  <w:shd w:val="clear" w:color="auto" w:fill="auto"/>
                  <w:vAlign w:val="center"/>
                </w:tcPr>
                <w:p w14:paraId="6B8392C8">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val="en-US" w:eastAsia="zh-CN"/>
                    </w:rPr>
                    <w:t>达标</w:t>
                  </w:r>
                </w:p>
              </w:tc>
            </w:tr>
            <w:tr w14:paraId="770D2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tcBorders>
                    <w:tl2br w:val="nil"/>
                    <w:tr2bl w:val="nil"/>
                  </w:tcBorders>
                  <w:shd w:val="clear" w:color="auto" w:fill="auto"/>
                  <w:vAlign w:val="center"/>
                </w:tcPr>
                <w:p w14:paraId="1B867E1A">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CO</w:t>
                  </w:r>
                </w:p>
              </w:tc>
              <w:tc>
                <w:tcPr>
                  <w:tcW w:w="1249" w:type="pct"/>
                  <w:tcBorders>
                    <w:tl2br w:val="nil"/>
                    <w:tr2bl w:val="nil"/>
                  </w:tcBorders>
                  <w:shd w:val="clear" w:color="auto" w:fill="auto"/>
                  <w:vAlign w:val="center"/>
                </w:tcPr>
                <w:p w14:paraId="19C6D868">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rPr>
                    <w:t>95百分位数日平均质量浓度</w:t>
                  </w:r>
                </w:p>
              </w:tc>
              <w:tc>
                <w:tcPr>
                  <w:tcW w:w="441" w:type="pct"/>
                  <w:tcBorders>
                    <w:tl2br w:val="nil"/>
                    <w:tr2bl w:val="nil"/>
                  </w:tcBorders>
                  <w:shd w:val="clear" w:color="auto" w:fill="auto"/>
                  <w:vAlign w:val="center"/>
                </w:tcPr>
                <w:p w14:paraId="58CBF7C4">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1.1</w:t>
                  </w:r>
                </w:p>
              </w:tc>
              <w:tc>
                <w:tcPr>
                  <w:tcW w:w="388" w:type="pct"/>
                  <w:tcBorders>
                    <w:tl2br w:val="nil"/>
                    <w:tr2bl w:val="nil"/>
                  </w:tcBorders>
                  <w:shd w:val="clear" w:color="auto" w:fill="auto"/>
                  <w:vAlign w:val="center"/>
                </w:tcPr>
                <w:p w14:paraId="37708C85">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4.0</w:t>
                  </w:r>
                </w:p>
              </w:tc>
              <w:tc>
                <w:tcPr>
                  <w:tcW w:w="524" w:type="pct"/>
                  <w:tcBorders>
                    <w:tl2br w:val="nil"/>
                    <w:tr2bl w:val="nil"/>
                  </w:tcBorders>
                  <w:shd w:val="clear" w:color="auto" w:fill="auto"/>
                  <w:vAlign w:val="center"/>
                </w:tcPr>
                <w:p w14:paraId="4F6004D1">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lang w:val="en-US" w:eastAsia="zh-CN"/>
                    </w:rPr>
                    <w:t>27</w:t>
                  </w:r>
                  <w:r>
                    <w:rPr>
                      <w:rFonts w:hint="default" w:ascii="Times New Roman" w:hAnsi="Times New Roman" w:eastAsia="宋体" w:cs="Times New Roman"/>
                      <w:color w:val="auto"/>
                      <w:sz w:val="21"/>
                      <w:szCs w:val="21"/>
                      <w:u w:val="none" w:color="auto"/>
                    </w:rPr>
                    <w:t>.5</w:t>
                  </w:r>
                </w:p>
              </w:tc>
              <w:tc>
                <w:tcPr>
                  <w:tcW w:w="516" w:type="pct"/>
                  <w:tcBorders>
                    <w:tl2br w:val="nil"/>
                    <w:tr2bl w:val="nil"/>
                  </w:tcBorders>
                  <w:shd w:val="clear" w:color="auto" w:fill="auto"/>
                  <w:vAlign w:val="center"/>
                </w:tcPr>
                <w:p w14:paraId="60F24ECB">
                  <w:pPr>
                    <w:bidi w:val="0"/>
                    <w:spacing w:line="240" w:lineRule="auto"/>
                    <w:jc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rPr>
                    <w:t>达标</w:t>
                  </w:r>
                </w:p>
              </w:tc>
              <w:tc>
                <w:tcPr>
                  <w:tcW w:w="409" w:type="pct"/>
                  <w:tcBorders>
                    <w:tl2br w:val="nil"/>
                    <w:tr2bl w:val="nil"/>
                  </w:tcBorders>
                  <w:shd w:val="clear" w:color="auto" w:fill="auto"/>
                  <w:vAlign w:val="center"/>
                </w:tcPr>
                <w:p w14:paraId="27B084F8">
                  <w:pPr>
                    <w:bidi w:val="0"/>
                    <w:spacing w:line="240" w:lineRule="auto"/>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4.0</w:t>
                  </w:r>
                </w:p>
              </w:tc>
              <w:tc>
                <w:tcPr>
                  <w:tcW w:w="541" w:type="pct"/>
                  <w:tcBorders>
                    <w:tl2br w:val="nil"/>
                    <w:tr2bl w:val="nil"/>
                  </w:tcBorders>
                  <w:shd w:val="clear" w:color="auto" w:fill="auto"/>
                  <w:vAlign w:val="center"/>
                </w:tcPr>
                <w:p w14:paraId="31B7A9D6">
                  <w:pPr>
                    <w:keepNext w:val="0"/>
                    <w:keepLines w:val="0"/>
                    <w:widowControl/>
                    <w:suppressLineNumbers w:val="0"/>
                    <w:jc w:val="center"/>
                    <w:textAlignment w:val="center"/>
                    <w:rPr>
                      <w:rFonts w:hint="default" w:ascii="Times New Roman" w:hAnsi="Times New Roman" w:eastAsia="宋体" w:cs="Times New Roman"/>
                      <w:color w:val="auto"/>
                      <w:sz w:val="21"/>
                      <w:szCs w:val="21"/>
                      <w:u w:val="none" w:color="auto"/>
                      <w:lang w:val="en-US"/>
                    </w:rPr>
                  </w:pPr>
                  <w:r>
                    <w:rPr>
                      <w:rFonts w:hint="default" w:ascii="Times New Roman" w:hAnsi="Times New Roman" w:eastAsia="宋体" w:cs="Times New Roman"/>
                      <w:color w:val="auto"/>
                      <w:sz w:val="21"/>
                      <w:szCs w:val="21"/>
                      <w:u w:val="none" w:color="auto"/>
                      <w:lang w:val="en-US" w:eastAsia="zh-CN"/>
                    </w:rPr>
                    <w:t>27</w:t>
                  </w:r>
                  <w:r>
                    <w:rPr>
                      <w:rFonts w:hint="default" w:ascii="Times New Roman" w:hAnsi="Times New Roman" w:eastAsia="宋体" w:cs="Times New Roman"/>
                      <w:color w:val="auto"/>
                      <w:sz w:val="21"/>
                      <w:szCs w:val="21"/>
                      <w:u w:val="none" w:color="auto"/>
                    </w:rPr>
                    <w:t>.5</w:t>
                  </w:r>
                </w:p>
              </w:tc>
              <w:tc>
                <w:tcPr>
                  <w:tcW w:w="448" w:type="pct"/>
                  <w:tcBorders>
                    <w:tl2br w:val="nil"/>
                    <w:tr2bl w:val="nil"/>
                  </w:tcBorders>
                  <w:shd w:val="clear" w:color="auto" w:fill="auto"/>
                  <w:vAlign w:val="center"/>
                </w:tcPr>
                <w:p w14:paraId="6D160A00">
                  <w:pPr>
                    <w:bidi w:val="0"/>
                    <w:spacing w:line="240" w:lineRule="auto"/>
                    <w:jc w:val="center"/>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val="en-US" w:eastAsia="zh-CN"/>
                    </w:rPr>
                    <w:t>达标</w:t>
                  </w:r>
                </w:p>
              </w:tc>
            </w:tr>
          </w:tbl>
          <w:p w14:paraId="30FAA7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bCs/>
                <w:color w:val="auto"/>
                <w:sz w:val="24"/>
                <w:szCs w:val="24"/>
              </w:rPr>
            </w:pPr>
            <w:r>
              <w:rPr>
                <w:rFonts w:hint="default" w:ascii="Times New Roman" w:hAnsi="Times New Roman" w:eastAsia="宋体" w:cs="Times New Roman"/>
                <w:b w:val="0"/>
                <w:bCs w:val="0"/>
                <w:color w:val="auto"/>
                <w:sz w:val="24"/>
                <w:szCs w:val="24"/>
                <w:u w:val="none" w:color="auto"/>
              </w:rPr>
              <w:t>综上所述，本项目所在区域的SO</w:t>
            </w:r>
            <w:r>
              <w:rPr>
                <w:rFonts w:hint="default" w:ascii="Times New Roman" w:hAnsi="Times New Roman" w:eastAsia="宋体" w:cs="Times New Roman"/>
                <w:b w:val="0"/>
                <w:bCs w:val="0"/>
                <w:color w:val="auto"/>
                <w:sz w:val="24"/>
                <w:szCs w:val="24"/>
                <w:u w:val="none" w:color="auto"/>
                <w:vertAlign w:val="subscript"/>
              </w:rPr>
              <w:t>2</w:t>
            </w:r>
            <w:r>
              <w:rPr>
                <w:rFonts w:hint="default" w:ascii="Times New Roman" w:hAnsi="Times New Roman" w:eastAsia="宋体" w:cs="Times New Roman"/>
                <w:b w:val="0"/>
                <w:bCs w:val="0"/>
                <w:color w:val="auto"/>
                <w:sz w:val="24"/>
                <w:szCs w:val="24"/>
                <w:u w:val="none" w:color="auto"/>
              </w:rPr>
              <w:t>、PM</w:t>
            </w:r>
            <w:r>
              <w:rPr>
                <w:rFonts w:hint="default" w:ascii="Times New Roman" w:hAnsi="Times New Roman" w:eastAsia="宋体" w:cs="Times New Roman"/>
                <w:b w:val="0"/>
                <w:bCs w:val="0"/>
                <w:color w:val="auto"/>
                <w:sz w:val="24"/>
                <w:szCs w:val="24"/>
                <w:u w:val="none" w:color="auto"/>
                <w:vertAlign w:val="subscript"/>
              </w:rPr>
              <w:t>2.5</w:t>
            </w:r>
            <w:r>
              <w:rPr>
                <w:rFonts w:hint="default" w:ascii="Times New Roman" w:hAnsi="Times New Roman" w:eastAsia="宋体" w:cs="Times New Roman"/>
                <w:b w:val="0"/>
                <w:bCs w:val="0"/>
                <w:color w:val="auto"/>
                <w:sz w:val="24"/>
                <w:szCs w:val="24"/>
                <w:u w:val="none" w:color="auto"/>
              </w:rPr>
              <w:t>、PM</w:t>
            </w:r>
            <w:r>
              <w:rPr>
                <w:rFonts w:hint="default" w:ascii="Times New Roman" w:hAnsi="Times New Roman" w:eastAsia="宋体" w:cs="Times New Roman"/>
                <w:b w:val="0"/>
                <w:bCs w:val="0"/>
                <w:color w:val="auto"/>
                <w:sz w:val="24"/>
                <w:szCs w:val="24"/>
                <w:u w:val="none" w:color="auto"/>
                <w:vertAlign w:val="subscript"/>
              </w:rPr>
              <w:t>10</w:t>
            </w:r>
            <w:r>
              <w:rPr>
                <w:rFonts w:hint="default" w:ascii="Times New Roman" w:hAnsi="Times New Roman" w:eastAsia="宋体" w:cs="Times New Roman"/>
                <w:b w:val="0"/>
                <w:bCs w:val="0"/>
                <w:color w:val="auto"/>
                <w:sz w:val="24"/>
                <w:szCs w:val="24"/>
                <w:u w:val="none" w:color="auto"/>
              </w:rPr>
              <w:t>、NO</w:t>
            </w:r>
            <w:r>
              <w:rPr>
                <w:rFonts w:hint="default" w:ascii="Times New Roman" w:hAnsi="Times New Roman" w:eastAsia="宋体" w:cs="Times New Roman"/>
                <w:b w:val="0"/>
                <w:bCs w:val="0"/>
                <w:color w:val="auto"/>
                <w:sz w:val="24"/>
                <w:szCs w:val="24"/>
                <w:u w:val="none" w:color="auto"/>
                <w:vertAlign w:val="subscript"/>
              </w:rPr>
              <w:t>2</w:t>
            </w:r>
            <w:r>
              <w:rPr>
                <w:rFonts w:hint="default" w:ascii="Times New Roman" w:hAnsi="Times New Roman" w:eastAsia="宋体" w:cs="Times New Roman"/>
                <w:b w:val="0"/>
                <w:bCs w:val="0"/>
                <w:color w:val="auto"/>
                <w:sz w:val="24"/>
                <w:szCs w:val="24"/>
                <w:u w:val="none" w:color="auto"/>
              </w:rPr>
              <w:t>年平均质量浓度、CO第95百分位数日平均质量浓度和臭氧百分位数日最大8小时平均质量浓度</w:t>
            </w:r>
            <w:r>
              <w:rPr>
                <w:rFonts w:hint="eastAsia" w:cs="Times New Roman"/>
                <w:b w:val="0"/>
                <w:bCs w:val="0"/>
                <w:color w:val="auto"/>
                <w:sz w:val="24"/>
                <w:szCs w:val="24"/>
                <w:u w:val="none" w:color="auto"/>
                <w:lang w:val="en-US" w:eastAsia="zh-CN"/>
              </w:rPr>
              <w:t>符合</w:t>
            </w:r>
            <w:r>
              <w:rPr>
                <w:rFonts w:hint="default" w:ascii="Times New Roman" w:hAnsi="Times New Roman" w:eastAsia="宋体" w:cs="Times New Roman"/>
                <w:b w:val="0"/>
                <w:bCs w:val="0"/>
                <w:color w:val="auto"/>
                <w:sz w:val="24"/>
                <w:szCs w:val="24"/>
                <w:u w:val="none" w:color="auto"/>
              </w:rPr>
              <w:t>《环境空气质量标准》</w:t>
            </w:r>
            <w:r>
              <w:rPr>
                <w:rFonts w:hint="eastAsia" w:ascii="Times New Roman" w:hAnsi="Times New Roman" w:eastAsia="宋体" w:cs="Times New Roman"/>
                <w:b w:val="0"/>
                <w:bCs w:val="0"/>
                <w:color w:val="auto"/>
                <w:sz w:val="24"/>
                <w:szCs w:val="24"/>
                <w:u w:val="none" w:color="auto"/>
                <w:lang w:eastAsia="zh-CN"/>
              </w:rPr>
              <w:t>（</w:t>
            </w:r>
            <w:r>
              <w:rPr>
                <w:rFonts w:hint="default" w:ascii="Times New Roman" w:hAnsi="Times New Roman" w:cs="Times New Roman" w:eastAsiaTheme="minorEastAsia"/>
                <w:color w:val="auto"/>
                <w:sz w:val="21"/>
                <w:szCs w:val="21"/>
                <w:u w:val="none" w:color="auto"/>
              </w:rPr>
              <w:t>GB3095-2012</w:t>
            </w:r>
            <w:r>
              <w:rPr>
                <w:rFonts w:hint="eastAsia" w:ascii="Times New Roman" w:hAnsi="Times New Roman" w:eastAsia="宋体" w:cs="Times New Roman"/>
                <w:b w:val="0"/>
                <w:bCs w:val="0"/>
                <w:color w:val="auto"/>
                <w:sz w:val="24"/>
                <w:szCs w:val="24"/>
                <w:u w:val="none" w:color="auto"/>
                <w:lang w:eastAsia="zh-CN"/>
              </w:rPr>
              <w:t>）及修改单二级标准</w:t>
            </w:r>
            <w:r>
              <w:rPr>
                <w:rFonts w:hint="eastAsia" w:ascii="Times New Roman" w:hAnsi="Times New Roman" w:eastAsia="宋体" w:cs="Times New Roman"/>
                <w:b w:val="0"/>
                <w:bCs w:val="0"/>
                <w:color w:val="auto"/>
                <w:sz w:val="24"/>
                <w:szCs w:val="24"/>
                <w:u w:val="none" w:color="auto"/>
                <w:lang w:val="en-US" w:eastAsia="zh-CN"/>
              </w:rPr>
              <w:t>及</w:t>
            </w:r>
            <w:r>
              <w:rPr>
                <w:rFonts w:hint="default" w:ascii="Times New Roman" w:hAnsi="Times New Roman" w:eastAsia="宋体" w:cs="Times New Roman"/>
                <w:b w:val="0"/>
                <w:bCs w:val="0"/>
                <w:color w:val="auto"/>
                <w:sz w:val="24"/>
                <w:szCs w:val="24"/>
                <w:u w:val="none" w:color="auto"/>
              </w:rPr>
              <w:t>《环境空气质量标准》（GB3095-20</w:t>
            </w:r>
            <w:r>
              <w:rPr>
                <w:rFonts w:hint="eastAsia" w:cs="Times New Roman"/>
                <w:b w:val="0"/>
                <w:bCs w:val="0"/>
                <w:color w:val="auto"/>
                <w:sz w:val="24"/>
                <w:szCs w:val="24"/>
                <w:u w:val="none" w:color="auto"/>
                <w:lang w:val="en-US" w:eastAsia="zh-CN"/>
              </w:rPr>
              <w:t>26</w:t>
            </w:r>
            <w:r>
              <w:rPr>
                <w:rFonts w:hint="default" w:ascii="Times New Roman" w:hAnsi="Times New Roman" w:eastAsia="宋体" w:cs="Times New Roman"/>
                <w:b w:val="0"/>
                <w:bCs w:val="0"/>
                <w:color w:val="auto"/>
                <w:sz w:val="24"/>
                <w:szCs w:val="24"/>
                <w:u w:val="none" w:color="auto"/>
              </w:rPr>
              <w:t>）</w:t>
            </w:r>
            <w:r>
              <w:rPr>
                <w:rFonts w:hint="eastAsia" w:cs="Times New Roman"/>
                <w:b w:val="0"/>
                <w:bCs w:val="0"/>
                <w:color w:val="auto"/>
                <w:sz w:val="24"/>
                <w:szCs w:val="24"/>
                <w:u w:val="none" w:color="auto"/>
                <w:lang w:val="en-US" w:eastAsia="zh-CN"/>
              </w:rPr>
              <w:t>过渡阶段</w:t>
            </w:r>
            <w:r>
              <w:rPr>
                <w:rFonts w:hint="default" w:ascii="Times New Roman" w:hAnsi="Times New Roman" w:eastAsia="宋体" w:cs="Times New Roman"/>
                <w:b w:val="0"/>
                <w:bCs w:val="0"/>
                <w:color w:val="auto"/>
                <w:sz w:val="24"/>
                <w:szCs w:val="24"/>
                <w:u w:val="none" w:color="auto"/>
              </w:rPr>
              <w:t>二级标准。</w:t>
            </w:r>
          </w:p>
          <w:p w14:paraId="1CD8A54E">
            <w:pPr>
              <w:pStyle w:val="5"/>
              <w:keepNext/>
              <w:keepLines/>
              <w:pageBreakBefore w:val="0"/>
              <w:widowControl w:val="0"/>
              <w:kinsoku/>
              <w:wordWrap/>
              <w:overflowPunct/>
              <w:topLinePunct w:val="0"/>
              <w:autoSpaceDE/>
              <w:autoSpaceDN/>
              <w:bidi w:val="0"/>
              <w:adjustRightInd/>
              <w:snapToGrid/>
              <w:spacing w:before="0" w:beforeLines="0" w:after="0" w:afterLines="0" w:line="360" w:lineRule="auto"/>
              <w:ind w:firstLine="482" w:firstLineChars="200"/>
              <w:textAlignment w:val="auto"/>
              <w:rPr>
                <w:rFonts w:hint="default" w:ascii="Times New Roman" w:hAnsi="Times New Roman" w:cs="Times New Roman"/>
                <w:b/>
                <w:bCs/>
                <w:color w:val="auto"/>
                <w:sz w:val="24"/>
                <w:szCs w:val="24"/>
                <w:lang w:eastAsia="zh-CN"/>
              </w:rPr>
            </w:pPr>
            <w:r>
              <w:rPr>
                <w:rFonts w:hint="default" w:ascii="Times New Roman" w:hAnsi="Times New Roman" w:cs="Times New Roman"/>
                <w:b/>
                <w:bCs/>
                <w:color w:val="auto"/>
                <w:sz w:val="24"/>
                <w:szCs w:val="24"/>
              </w:rPr>
              <w:t>1.</w:t>
            </w:r>
            <w:r>
              <w:rPr>
                <w:rFonts w:hint="default" w:ascii="Times New Roman" w:hAnsi="Times New Roman" w:cs="Times New Roman"/>
                <w:b/>
                <w:bCs/>
                <w:color w:val="auto"/>
                <w:sz w:val="24"/>
                <w:szCs w:val="24"/>
                <w:lang w:val="en-US" w:eastAsia="zh-CN"/>
              </w:rPr>
              <w:t>2</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lang w:val="en-US" w:eastAsia="zh-CN"/>
              </w:rPr>
              <w:t>特征</w:t>
            </w:r>
            <w:r>
              <w:rPr>
                <w:rFonts w:hint="default" w:ascii="Times New Roman" w:hAnsi="Times New Roman" w:cs="Times New Roman"/>
                <w:b/>
                <w:bCs/>
                <w:color w:val="auto"/>
                <w:sz w:val="24"/>
                <w:szCs w:val="24"/>
                <w:lang w:eastAsia="zh-CN"/>
              </w:rPr>
              <w:t>污染物</w:t>
            </w:r>
            <w:bookmarkEnd w:id="17"/>
          </w:p>
          <w:p w14:paraId="0E09A747">
            <w:pPr>
              <w:spacing w:line="360" w:lineRule="auto"/>
              <w:ind w:firstLine="480" w:firstLineChars="200"/>
              <w:rPr>
                <w:rFonts w:hint="default"/>
                <w:sz w:val="24"/>
                <w:szCs w:val="24"/>
                <w:lang w:eastAsia="zh-CN"/>
              </w:rPr>
            </w:pPr>
            <w:r>
              <w:rPr>
                <w:rFonts w:hint="eastAsia" w:ascii="Times New Roman" w:hAnsi="Times New Roman" w:eastAsia="宋体" w:cs="Times New Roman"/>
                <w:color w:val="auto"/>
                <w:kern w:val="0"/>
                <w:sz w:val="24"/>
                <w:szCs w:val="24"/>
                <w:u w:val="none"/>
                <w:lang w:val="en-US" w:eastAsia="zh-CN"/>
              </w:rPr>
              <w:t>本项目运营期特征污染因子为</w:t>
            </w:r>
            <w:r>
              <w:rPr>
                <w:rFonts w:hint="eastAsia" w:cs="Times New Roman"/>
                <w:color w:val="auto"/>
                <w:kern w:val="0"/>
                <w:sz w:val="24"/>
                <w:szCs w:val="24"/>
                <w:u w:val="none"/>
                <w:lang w:val="en-US" w:eastAsia="zh-CN"/>
              </w:rPr>
              <w:t>TSP、TVOC、二甲苯，</w:t>
            </w:r>
            <w:r>
              <w:rPr>
                <w:rFonts w:hint="default"/>
                <w:sz w:val="24"/>
                <w:szCs w:val="24"/>
                <w:lang w:eastAsia="zh-CN"/>
              </w:rPr>
              <w:t>根据生态环境部环境工程评估中心发布的〈《建设项目环境影响报告表》内容、格式及编制技术指南常见问题解答&gt;:“技术指南中提到“排放国家、地方环境空气质量标准中有标准限值要求的特征污染物”，其中环境空气质量标准指《环境空气质量标准》(GB3095)和地方的环境空气质量标准，不包括《环境影响评价技术导则 大气环境》(HJ2.2-2018)附录D、《工业企业设计卫生标准》(TJ36-97)、《前苏联居住区标准》(CH245-71)、《环境影响评价技术导则 制药建设项目》(HJ611-2011)、《大气污染物综合排放标准详解》等导则或参考资料。排放的特征污染物需要在国家、地方环境空气质量标准中有限值要求才涉及现状监测，且优先引用现有监测数据。”综上，特征因子TSP属于《环境空气质量标准》中有标准限值要求的特征污染物，需有现状数据支撑或进行补充监测，而TVOC、二甲苯不属于《环境空气质量标准》中有标准限值要求的特征污染物，不涉及现状监测，</w:t>
            </w:r>
            <w:r>
              <w:rPr>
                <w:rFonts w:hint="eastAsia"/>
                <w:color w:val="auto"/>
              </w:rPr>
              <w:t>本项目仅引用了TSP的现有监测数据作为特征因子进行评价。</w:t>
            </w:r>
          </w:p>
          <w:p w14:paraId="2C8018D5">
            <w:pPr>
              <w:pStyle w:val="4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0"/>
                <w:sz w:val="24"/>
                <w:szCs w:val="24"/>
                <w:u w:val="none" w:color="auto"/>
                <w:lang w:val="en-US" w:eastAsia="zh-CN"/>
              </w:rPr>
            </w:pPr>
            <w:r>
              <w:rPr>
                <w:rFonts w:hint="default" w:ascii="Times New Roman" w:hAnsi="Times New Roman" w:eastAsia="宋体" w:cs="Times New Roman"/>
                <w:color w:val="auto"/>
                <w:sz w:val="24"/>
              </w:rPr>
              <w:t>为了解本项目特征因子质量现状，</w:t>
            </w:r>
            <w:r>
              <w:rPr>
                <w:rFonts w:hint="eastAsia" w:ascii="Times New Roman" w:hAnsi="Times New Roman" w:eastAsia="宋体" w:cs="Times New Roman"/>
                <w:color w:val="auto"/>
                <w:kern w:val="0"/>
                <w:sz w:val="24"/>
                <w:szCs w:val="24"/>
                <w:u w:val="none" w:color="auto"/>
              </w:rPr>
              <w:t>本次引用《中方产业开发区2025年环境质量现状监测(年度)》</w:t>
            </w:r>
            <w:r>
              <w:rPr>
                <w:rFonts w:hint="eastAsia" w:cs="Times New Roman"/>
                <w:color w:val="auto"/>
                <w:kern w:val="0"/>
                <w:sz w:val="24"/>
                <w:szCs w:val="24"/>
                <w:u w:val="none" w:color="auto"/>
                <w:lang w:eastAsia="zh-CN"/>
              </w:rPr>
              <w:t>（得成检测(2025)测字第01-056号）</w:t>
            </w:r>
            <w:r>
              <w:rPr>
                <w:rFonts w:hint="eastAsia" w:cs="Times New Roman"/>
                <w:color w:val="auto"/>
                <w:kern w:val="0"/>
                <w:sz w:val="24"/>
                <w:szCs w:val="24"/>
                <w:u w:val="none" w:color="auto"/>
                <w:lang w:val="en-US" w:eastAsia="zh-CN"/>
              </w:rPr>
              <w:t>检测报告</w:t>
            </w:r>
            <w:r>
              <w:rPr>
                <w:rFonts w:hint="eastAsia" w:ascii="Times New Roman" w:hAnsi="Times New Roman" w:eastAsia="宋体" w:cs="Times New Roman"/>
                <w:color w:val="auto"/>
                <w:kern w:val="0"/>
                <w:sz w:val="24"/>
                <w:szCs w:val="24"/>
                <w:u w:val="none" w:color="auto"/>
              </w:rPr>
              <w:t>中对周边环境空气质量的监测数据，中方产业开发区2025年环境质量监测点位为</w:t>
            </w:r>
            <w:r>
              <w:rPr>
                <w:rFonts w:hint="eastAsia" w:cs="Times New Roman"/>
                <w:color w:val="auto"/>
                <w:kern w:val="0"/>
                <w:sz w:val="24"/>
                <w:szCs w:val="24"/>
                <w:u w:val="none" w:color="auto"/>
                <w:lang w:val="en-US" w:eastAsia="zh-CN"/>
              </w:rPr>
              <w:t>火马塘村</w:t>
            </w:r>
            <w:r>
              <w:rPr>
                <w:rFonts w:hint="eastAsia" w:ascii="Times New Roman" w:hAnsi="Times New Roman" w:eastAsia="宋体" w:cs="Times New Roman"/>
                <w:color w:val="auto"/>
                <w:kern w:val="0"/>
                <w:sz w:val="24"/>
                <w:szCs w:val="24"/>
                <w:u w:val="none" w:color="auto"/>
              </w:rPr>
              <w:t>(东经110.133611</w:t>
            </w:r>
            <w:r>
              <w:rPr>
                <w:rFonts w:hint="eastAsia" w:cs="Times New Roman"/>
                <w:color w:val="auto"/>
                <w:kern w:val="0"/>
                <w:sz w:val="24"/>
                <w:szCs w:val="24"/>
                <w:u w:val="none" w:color="auto"/>
                <w:lang w:val="en-US" w:eastAsia="zh-CN"/>
              </w:rPr>
              <w:t>°</w:t>
            </w:r>
            <w:r>
              <w:rPr>
                <w:rFonts w:hint="eastAsia" w:cs="Times New Roman"/>
                <w:color w:val="auto"/>
                <w:kern w:val="0"/>
                <w:sz w:val="24"/>
                <w:szCs w:val="24"/>
                <w:u w:val="none" w:color="auto"/>
                <w:lang w:eastAsia="zh-CN"/>
              </w:rPr>
              <w:t>，</w:t>
            </w:r>
            <w:r>
              <w:rPr>
                <w:rFonts w:hint="eastAsia" w:ascii="Times New Roman" w:hAnsi="Times New Roman" w:eastAsia="宋体" w:cs="Times New Roman"/>
                <w:color w:val="auto"/>
                <w:kern w:val="0"/>
                <w:sz w:val="24"/>
                <w:szCs w:val="24"/>
                <w:u w:val="none" w:color="auto"/>
              </w:rPr>
              <w:t>北纬27.650555</w:t>
            </w:r>
            <w:r>
              <w:rPr>
                <w:rFonts w:hint="eastAsia" w:cs="Times New Roman"/>
                <w:color w:val="auto"/>
                <w:kern w:val="0"/>
                <w:sz w:val="24"/>
                <w:szCs w:val="24"/>
                <w:u w:val="none" w:color="auto"/>
                <w:lang w:val="en-US" w:eastAsia="zh-CN"/>
              </w:rPr>
              <w:t>°</w:t>
            </w:r>
            <w:r>
              <w:rPr>
                <w:rFonts w:hint="eastAsia" w:ascii="Times New Roman" w:hAnsi="Times New Roman" w:eastAsia="宋体" w:cs="Times New Roman"/>
                <w:color w:val="auto"/>
                <w:kern w:val="0"/>
                <w:sz w:val="24"/>
                <w:szCs w:val="24"/>
                <w:u w:val="none" w:color="auto"/>
              </w:rPr>
              <w:t>)，位于本项目东侧</w:t>
            </w:r>
            <w:r>
              <w:rPr>
                <w:rFonts w:hint="eastAsia" w:cs="Times New Roman"/>
                <w:color w:val="auto"/>
                <w:kern w:val="0"/>
                <w:sz w:val="24"/>
                <w:szCs w:val="24"/>
                <w:u w:val="none" w:color="auto"/>
                <w:lang w:val="en-US" w:eastAsia="zh-CN"/>
              </w:rPr>
              <w:t>0.883</w:t>
            </w:r>
            <w:r>
              <w:rPr>
                <w:rFonts w:hint="eastAsia" w:ascii="Times New Roman" w:hAnsi="Times New Roman" w:eastAsia="宋体" w:cs="Times New Roman"/>
                <w:color w:val="auto"/>
                <w:kern w:val="0"/>
                <w:sz w:val="24"/>
                <w:szCs w:val="24"/>
                <w:u w:val="none" w:color="auto"/>
              </w:rPr>
              <w:t>km处，距离项目较近，其监测时间为202</w:t>
            </w:r>
            <w:r>
              <w:rPr>
                <w:rFonts w:hint="eastAsia" w:cs="Times New Roman"/>
                <w:color w:val="auto"/>
                <w:kern w:val="0"/>
                <w:sz w:val="24"/>
                <w:szCs w:val="24"/>
                <w:u w:val="none" w:color="auto"/>
                <w:lang w:val="en-US" w:eastAsia="zh-CN"/>
              </w:rPr>
              <w:t>5</w:t>
            </w:r>
            <w:r>
              <w:rPr>
                <w:rFonts w:hint="eastAsia" w:ascii="Times New Roman" w:hAnsi="Times New Roman" w:eastAsia="宋体" w:cs="Times New Roman"/>
                <w:color w:val="auto"/>
                <w:kern w:val="0"/>
                <w:sz w:val="24"/>
                <w:szCs w:val="24"/>
                <w:u w:val="none" w:color="auto"/>
              </w:rPr>
              <w:t>年</w:t>
            </w:r>
            <w:r>
              <w:rPr>
                <w:rFonts w:hint="eastAsia" w:cs="Times New Roman"/>
                <w:color w:val="auto"/>
                <w:kern w:val="0"/>
                <w:sz w:val="24"/>
                <w:szCs w:val="24"/>
                <w:u w:val="none" w:color="auto"/>
                <w:lang w:val="en-US" w:eastAsia="zh-CN"/>
              </w:rPr>
              <w:t>02</w:t>
            </w:r>
            <w:r>
              <w:rPr>
                <w:rFonts w:hint="eastAsia" w:ascii="Times New Roman" w:hAnsi="Times New Roman" w:eastAsia="宋体" w:cs="Times New Roman"/>
                <w:color w:val="auto"/>
                <w:kern w:val="0"/>
                <w:sz w:val="24"/>
                <w:szCs w:val="24"/>
                <w:u w:val="none" w:color="auto"/>
              </w:rPr>
              <w:t>月</w:t>
            </w:r>
            <w:r>
              <w:rPr>
                <w:rFonts w:hint="eastAsia" w:cs="Times New Roman"/>
                <w:color w:val="auto"/>
                <w:kern w:val="0"/>
                <w:sz w:val="24"/>
                <w:szCs w:val="24"/>
                <w:u w:val="none" w:color="auto"/>
                <w:lang w:val="en-US" w:eastAsia="zh-CN"/>
              </w:rPr>
              <w:t>17</w:t>
            </w:r>
            <w:r>
              <w:rPr>
                <w:rFonts w:hint="eastAsia" w:ascii="Times New Roman" w:hAnsi="Times New Roman" w:eastAsia="宋体" w:cs="Times New Roman"/>
                <w:color w:val="auto"/>
                <w:kern w:val="0"/>
                <w:sz w:val="24"/>
                <w:szCs w:val="24"/>
                <w:u w:val="none" w:color="auto"/>
              </w:rPr>
              <w:t>日~</w:t>
            </w:r>
            <w:r>
              <w:rPr>
                <w:rFonts w:hint="eastAsia" w:cs="Times New Roman"/>
                <w:color w:val="auto"/>
                <w:kern w:val="0"/>
                <w:sz w:val="24"/>
                <w:szCs w:val="24"/>
                <w:u w:val="none" w:color="auto"/>
                <w:lang w:val="en-US" w:eastAsia="zh-CN"/>
              </w:rPr>
              <w:t>02</w:t>
            </w:r>
            <w:r>
              <w:rPr>
                <w:rFonts w:hint="eastAsia" w:ascii="Times New Roman" w:hAnsi="Times New Roman" w:eastAsia="宋体" w:cs="Times New Roman"/>
                <w:color w:val="auto"/>
                <w:kern w:val="0"/>
                <w:sz w:val="24"/>
                <w:szCs w:val="24"/>
                <w:u w:val="none" w:color="auto"/>
              </w:rPr>
              <w:t>月</w:t>
            </w:r>
            <w:r>
              <w:rPr>
                <w:rFonts w:hint="eastAsia" w:cs="Times New Roman"/>
                <w:color w:val="auto"/>
                <w:kern w:val="0"/>
                <w:sz w:val="24"/>
                <w:szCs w:val="24"/>
                <w:u w:val="none" w:color="auto"/>
                <w:lang w:val="en-US" w:eastAsia="zh-CN"/>
              </w:rPr>
              <w:t>24</w:t>
            </w:r>
            <w:r>
              <w:rPr>
                <w:rFonts w:hint="eastAsia" w:ascii="Times New Roman" w:hAnsi="Times New Roman" w:eastAsia="宋体" w:cs="Times New Roman"/>
                <w:color w:val="auto"/>
                <w:kern w:val="0"/>
                <w:sz w:val="24"/>
                <w:szCs w:val="24"/>
                <w:u w:val="none" w:color="auto"/>
              </w:rPr>
              <w:t>日，监测时间未超过3年，因此引用其监测数据进行评价可行。</w:t>
            </w:r>
          </w:p>
          <w:p w14:paraId="196F023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sz w:val="24"/>
                <w:u w:val="none"/>
              </w:rPr>
            </w:pPr>
            <w:r>
              <w:rPr>
                <w:sz w:val="24"/>
                <w:u w:val="none"/>
              </w:rPr>
              <w:t>监测结果详见表3-</w:t>
            </w:r>
            <w:r>
              <w:rPr>
                <w:rFonts w:hint="eastAsia"/>
                <w:sz w:val="24"/>
                <w:u w:val="none"/>
                <w:lang w:val="en-US" w:eastAsia="zh-CN"/>
              </w:rPr>
              <w:t>2</w:t>
            </w:r>
            <w:r>
              <w:rPr>
                <w:sz w:val="24"/>
                <w:u w:val="none"/>
              </w:rPr>
              <w:t>。</w:t>
            </w:r>
          </w:p>
          <w:p w14:paraId="579EDB9A">
            <w:pPr>
              <w:keepNext w:val="0"/>
              <w:keepLines w:val="0"/>
              <w:pageBreakBefore w:val="0"/>
              <w:widowControl/>
              <w:kinsoku/>
              <w:wordWrap/>
              <w:overflowPunct/>
              <w:topLinePunct w:val="0"/>
              <w:autoSpaceDE/>
              <w:autoSpaceDN/>
              <w:bidi w:val="0"/>
              <w:adjustRightInd w:val="0"/>
              <w:snapToGrid w:val="0"/>
              <w:jc w:val="center"/>
              <w:textAlignment w:val="auto"/>
              <w:rPr>
                <w:b/>
                <w:bCs/>
                <w:sz w:val="21"/>
                <w:szCs w:val="21"/>
                <w:u w:val="single"/>
              </w:rPr>
            </w:pPr>
            <w:r>
              <w:rPr>
                <w:b/>
                <w:bCs/>
                <w:sz w:val="21"/>
                <w:szCs w:val="21"/>
                <w:u w:val="none"/>
              </w:rPr>
              <w:t>表3-</w:t>
            </w:r>
            <w:r>
              <w:rPr>
                <w:rFonts w:hint="eastAsia"/>
                <w:b/>
                <w:bCs/>
                <w:sz w:val="21"/>
                <w:szCs w:val="21"/>
                <w:u w:val="none"/>
                <w:lang w:val="en-US" w:eastAsia="zh-CN"/>
              </w:rPr>
              <w:t>2</w:t>
            </w:r>
            <w:r>
              <w:rPr>
                <w:b/>
                <w:bCs/>
                <w:sz w:val="21"/>
                <w:szCs w:val="21"/>
                <w:u w:val="none"/>
              </w:rPr>
              <w:t xml:space="preserve">  环境空气质量现状监测结果一览表</w:t>
            </w:r>
            <w:r>
              <w:rPr>
                <w:rFonts w:hint="eastAsia"/>
                <w:b/>
                <w:bCs/>
                <w:sz w:val="21"/>
                <w:szCs w:val="21"/>
                <w:u w:val="none"/>
                <w:lang w:val="en-US" w:eastAsia="zh-CN"/>
              </w:rPr>
              <w:t xml:space="preserve"> </w:t>
            </w:r>
            <w:r>
              <w:rPr>
                <w:b/>
                <w:bCs/>
                <w:sz w:val="21"/>
                <w:szCs w:val="21"/>
                <w:u w:val="none"/>
              </w:rPr>
              <w:t>单位：μg/m</w:t>
            </w:r>
            <w:r>
              <w:rPr>
                <w:b/>
                <w:bCs/>
                <w:sz w:val="21"/>
                <w:szCs w:val="21"/>
                <w:u w:val="none"/>
                <w:vertAlign w:val="superscript"/>
              </w:rPr>
              <w:t>3</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425"/>
              <w:gridCol w:w="3862"/>
              <w:gridCol w:w="1913"/>
            </w:tblGrid>
            <w:tr w14:paraId="3759ED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479" w:type="pct"/>
                  <w:vMerge w:val="restart"/>
                  <w:tcBorders>
                    <w:tl2br w:val="nil"/>
                    <w:tr2bl w:val="nil"/>
                  </w:tcBorders>
                  <w:vAlign w:val="center"/>
                </w:tcPr>
                <w:p w14:paraId="3B1697E4">
                  <w:pPr>
                    <w:pStyle w:val="66"/>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lang w:val="en-US"/>
                    </w:rPr>
                    <w:t>监测点位名称</w:t>
                  </w:r>
                </w:p>
              </w:tc>
              <w:tc>
                <w:tcPr>
                  <w:tcW w:w="2354" w:type="pct"/>
                  <w:vMerge w:val="restart"/>
                  <w:tcBorders>
                    <w:tl2br w:val="nil"/>
                    <w:tr2bl w:val="nil"/>
                  </w:tcBorders>
                  <w:vAlign w:val="center"/>
                </w:tcPr>
                <w:p w14:paraId="680B0458">
                  <w:pPr>
                    <w:pStyle w:val="66"/>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lang w:val="en-US"/>
                    </w:rPr>
                    <w:t>采样日期</w:t>
                  </w:r>
                </w:p>
              </w:tc>
              <w:tc>
                <w:tcPr>
                  <w:tcW w:w="1166" w:type="pct"/>
                  <w:tcBorders>
                    <w:tl2br w:val="nil"/>
                    <w:tr2bl w:val="nil"/>
                  </w:tcBorders>
                  <w:vAlign w:val="center"/>
                </w:tcPr>
                <w:p w14:paraId="59B824D0">
                  <w:pPr>
                    <w:pStyle w:val="66"/>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textAlignment w:val="auto"/>
                    <w:rPr>
                      <w:rFonts w:hint="eastAsia"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监测结果</w:t>
                  </w:r>
                </w:p>
              </w:tc>
            </w:tr>
            <w:tr w14:paraId="659D8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479" w:type="pct"/>
                  <w:vMerge w:val="continue"/>
                  <w:tcBorders>
                    <w:tl2br w:val="nil"/>
                    <w:tr2bl w:val="nil"/>
                  </w:tcBorders>
                  <w:vAlign w:val="center"/>
                </w:tcPr>
                <w:p w14:paraId="14753BF9">
                  <w:pPr>
                    <w:pStyle w:val="66"/>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宋体" w:cs="Times New Roman"/>
                      <w:b w:val="0"/>
                      <w:bCs w:val="0"/>
                      <w:color w:val="auto"/>
                      <w:sz w:val="21"/>
                      <w:szCs w:val="21"/>
                      <w:u w:val="none"/>
                    </w:rPr>
                  </w:pPr>
                </w:p>
              </w:tc>
              <w:tc>
                <w:tcPr>
                  <w:tcW w:w="2354" w:type="pct"/>
                  <w:vMerge w:val="continue"/>
                  <w:tcBorders>
                    <w:tl2br w:val="nil"/>
                    <w:tr2bl w:val="nil"/>
                  </w:tcBorders>
                  <w:vAlign w:val="center"/>
                </w:tcPr>
                <w:p w14:paraId="4895A555">
                  <w:pPr>
                    <w:pStyle w:val="66"/>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宋体" w:cs="Times New Roman"/>
                      <w:b w:val="0"/>
                      <w:bCs w:val="0"/>
                      <w:color w:val="auto"/>
                      <w:sz w:val="21"/>
                      <w:szCs w:val="21"/>
                      <w:u w:val="none"/>
                    </w:rPr>
                  </w:pPr>
                </w:p>
              </w:tc>
              <w:tc>
                <w:tcPr>
                  <w:tcW w:w="1166" w:type="pct"/>
                  <w:tcBorders>
                    <w:tl2br w:val="nil"/>
                    <w:tr2bl w:val="nil"/>
                  </w:tcBorders>
                  <w:vAlign w:val="center"/>
                </w:tcPr>
                <w:p w14:paraId="40ACA9D2">
                  <w:pPr>
                    <w:pStyle w:val="66"/>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sz w:val="21"/>
                      <w:szCs w:val="21"/>
                      <w:u w:val="none"/>
                      <w:lang w:val="en-US"/>
                    </w:rPr>
                    <w:t>TSP</w:t>
                  </w:r>
                </w:p>
              </w:tc>
            </w:tr>
            <w:tr w14:paraId="32A267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479" w:type="pct"/>
                  <w:vMerge w:val="restart"/>
                  <w:tcBorders>
                    <w:tl2br w:val="nil"/>
                    <w:tr2bl w:val="nil"/>
                  </w:tcBorders>
                  <w:shd w:val="clear" w:color="auto" w:fill="auto"/>
                  <w:vAlign w:val="center"/>
                </w:tcPr>
                <w:p w14:paraId="484B291A">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spacing w:val="-2"/>
                      <w:sz w:val="21"/>
                      <w:szCs w:val="21"/>
                      <w:u w:val="none"/>
                      <w:lang w:val="en-US" w:eastAsia="zh-CN"/>
                    </w:rPr>
                  </w:pPr>
                  <w:r>
                    <w:rPr>
                      <w:rFonts w:hint="eastAsia" w:ascii="Times New Roman" w:hAnsi="Times New Roman" w:cs="Times New Roman"/>
                      <w:b w:val="0"/>
                      <w:bCs w:val="0"/>
                      <w:spacing w:val="-2"/>
                      <w:sz w:val="21"/>
                      <w:szCs w:val="21"/>
                      <w:u w:val="none"/>
                      <w:lang w:val="en-US" w:eastAsia="zh-CN"/>
                    </w:rPr>
                    <w:t>火马塘村</w:t>
                  </w:r>
                </w:p>
              </w:tc>
              <w:tc>
                <w:tcPr>
                  <w:tcW w:w="2354" w:type="pct"/>
                  <w:tcBorders>
                    <w:tl2br w:val="nil"/>
                    <w:tr2bl w:val="nil"/>
                  </w:tcBorders>
                  <w:shd w:val="clear" w:color="auto" w:fill="auto"/>
                  <w:vAlign w:val="center"/>
                </w:tcPr>
                <w:p w14:paraId="240BF678">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2"/>
                      <w:sz w:val="21"/>
                      <w:szCs w:val="21"/>
                      <w:u w:val="none"/>
                      <w:lang w:val="en-US" w:eastAsia="zh-CN"/>
                    </w:rPr>
                  </w:pPr>
                  <w:r>
                    <w:rPr>
                      <w:rFonts w:hint="eastAsia" w:ascii="Times New Roman" w:hAnsi="Times New Roman" w:cs="Times New Roman"/>
                      <w:b w:val="0"/>
                      <w:bCs w:val="0"/>
                      <w:color w:val="auto"/>
                      <w:spacing w:val="-2"/>
                      <w:sz w:val="21"/>
                      <w:szCs w:val="21"/>
                      <w:u w:val="none"/>
                      <w:lang w:val="en-US" w:eastAsia="zh-CN"/>
                    </w:rPr>
                    <w:t>2025.02.17-2025.02.18</w:t>
                  </w:r>
                </w:p>
              </w:tc>
              <w:tc>
                <w:tcPr>
                  <w:tcW w:w="1166" w:type="pct"/>
                  <w:tcBorders>
                    <w:tl2br w:val="nil"/>
                    <w:tr2bl w:val="nil"/>
                  </w:tcBorders>
                  <w:shd w:val="clear" w:color="auto" w:fill="auto"/>
                  <w:vAlign w:val="center"/>
                </w:tcPr>
                <w:p w14:paraId="752CFADE">
                  <w:pPr>
                    <w:pStyle w:val="67"/>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ascii="Times New Roman" w:hAnsi="Times New Roman" w:eastAsia="宋体" w:cs="Times New Roman"/>
                      <w:b w:val="0"/>
                      <w:bCs w:val="0"/>
                      <w:color w:val="auto"/>
                      <w:spacing w:val="-2"/>
                      <w:sz w:val="21"/>
                      <w:szCs w:val="21"/>
                      <w:u w:val="none"/>
                      <w:lang w:val="en-US" w:eastAsia="zh-CN"/>
                    </w:rPr>
                  </w:pPr>
                  <w:r>
                    <w:rPr>
                      <w:rFonts w:hint="eastAsia" w:ascii="Times New Roman" w:hAnsi="Times New Roman" w:cs="Times New Roman"/>
                      <w:color w:val="auto"/>
                      <w:spacing w:val="-2"/>
                      <w:sz w:val="21"/>
                      <w:szCs w:val="21"/>
                      <w:u w:val="none"/>
                      <w:lang w:val="en-US" w:eastAsia="zh-CN"/>
                    </w:rPr>
                    <w:t>182</w:t>
                  </w:r>
                </w:p>
              </w:tc>
            </w:tr>
            <w:tr w14:paraId="46C96A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479" w:type="pct"/>
                  <w:vMerge w:val="continue"/>
                  <w:tcBorders>
                    <w:tl2br w:val="nil"/>
                    <w:tr2bl w:val="nil"/>
                  </w:tcBorders>
                  <w:vAlign w:val="center"/>
                </w:tcPr>
                <w:p w14:paraId="02037316">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spacing w:val="-2"/>
                      <w:sz w:val="21"/>
                      <w:szCs w:val="21"/>
                      <w:u w:val="none"/>
                      <w:lang w:eastAsia="zh-CN"/>
                    </w:rPr>
                  </w:pPr>
                </w:p>
              </w:tc>
              <w:tc>
                <w:tcPr>
                  <w:tcW w:w="2354" w:type="pct"/>
                  <w:tcBorders>
                    <w:tl2br w:val="nil"/>
                    <w:tr2bl w:val="nil"/>
                  </w:tcBorders>
                  <w:shd w:val="clear" w:color="auto" w:fill="auto"/>
                  <w:vAlign w:val="center"/>
                </w:tcPr>
                <w:p w14:paraId="4C0F92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2"/>
                      <w:sz w:val="21"/>
                      <w:szCs w:val="21"/>
                      <w:u w:val="none"/>
                      <w:lang w:eastAsia="zh-CN"/>
                    </w:rPr>
                  </w:pPr>
                  <w:r>
                    <w:rPr>
                      <w:rFonts w:hint="eastAsia" w:ascii="Times New Roman" w:hAnsi="Times New Roman" w:cs="Times New Roman"/>
                      <w:b w:val="0"/>
                      <w:bCs w:val="0"/>
                      <w:color w:val="auto"/>
                      <w:spacing w:val="-2"/>
                      <w:sz w:val="21"/>
                      <w:szCs w:val="21"/>
                      <w:u w:val="none"/>
                      <w:lang w:val="en-US" w:eastAsia="zh-CN"/>
                    </w:rPr>
                    <w:t>2025.02.1</w:t>
                  </w:r>
                  <w:r>
                    <w:rPr>
                      <w:rFonts w:hint="eastAsia" w:cs="Times New Roman"/>
                      <w:b w:val="0"/>
                      <w:bCs w:val="0"/>
                      <w:color w:val="auto"/>
                      <w:spacing w:val="-2"/>
                      <w:sz w:val="21"/>
                      <w:szCs w:val="21"/>
                      <w:u w:val="none"/>
                      <w:lang w:val="en-US" w:eastAsia="zh-CN"/>
                    </w:rPr>
                    <w:t>8</w:t>
                  </w:r>
                  <w:r>
                    <w:rPr>
                      <w:rFonts w:hint="eastAsia" w:ascii="Times New Roman" w:hAnsi="Times New Roman" w:cs="Times New Roman"/>
                      <w:b w:val="0"/>
                      <w:bCs w:val="0"/>
                      <w:color w:val="auto"/>
                      <w:spacing w:val="-2"/>
                      <w:sz w:val="21"/>
                      <w:szCs w:val="21"/>
                      <w:u w:val="none"/>
                      <w:lang w:val="en-US" w:eastAsia="zh-CN"/>
                    </w:rPr>
                    <w:t>-2025.02.1</w:t>
                  </w:r>
                  <w:r>
                    <w:rPr>
                      <w:rFonts w:hint="eastAsia" w:cs="Times New Roman"/>
                      <w:b w:val="0"/>
                      <w:bCs w:val="0"/>
                      <w:color w:val="auto"/>
                      <w:spacing w:val="-2"/>
                      <w:sz w:val="21"/>
                      <w:szCs w:val="21"/>
                      <w:u w:val="none"/>
                      <w:lang w:val="en-US" w:eastAsia="zh-CN"/>
                    </w:rPr>
                    <w:t>9</w:t>
                  </w:r>
                </w:p>
              </w:tc>
              <w:tc>
                <w:tcPr>
                  <w:tcW w:w="1166" w:type="pct"/>
                  <w:tcBorders>
                    <w:tl2br w:val="nil"/>
                    <w:tr2bl w:val="nil"/>
                  </w:tcBorders>
                  <w:shd w:val="clear" w:color="auto" w:fill="auto"/>
                  <w:vAlign w:val="center"/>
                </w:tcPr>
                <w:p w14:paraId="5EB8D8C1">
                  <w:pPr>
                    <w:pStyle w:val="67"/>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ascii="Times New Roman" w:hAnsi="Times New Roman" w:eastAsia="宋体" w:cs="Times New Roman"/>
                      <w:b w:val="0"/>
                      <w:bCs w:val="0"/>
                      <w:color w:val="auto"/>
                      <w:spacing w:val="-2"/>
                      <w:sz w:val="21"/>
                      <w:szCs w:val="21"/>
                      <w:u w:val="none"/>
                      <w:lang w:val="en-US" w:eastAsia="zh-CN"/>
                    </w:rPr>
                  </w:pPr>
                  <w:r>
                    <w:rPr>
                      <w:rFonts w:hint="eastAsia" w:ascii="Times New Roman" w:hAnsi="Times New Roman" w:cs="Times New Roman"/>
                      <w:color w:val="auto"/>
                      <w:spacing w:val="-2"/>
                      <w:sz w:val="21"/>
                      <w:szCs w:val="21"/>
                      <w:u w:val="none"/>
                      <w:lang w:val="en-US" w:eastAsia="zh-CN"/>
                    </w:rPr>
                    <w:t>204</w:t>
                  </w:r>
                </w:p>
              </w:tc>
            </w:tr>
            <w:tr w14:paraId="2DC039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479" w:type="pct"/>
                  <w:vMerge w:val="continue"/>
                  <w:tcBorders>
                    <w:tl2br w:val="nil"/>
                    <w:tr2bl w:val="nil"/>
                  </w:tcBorders>
                  <w:vAlign w:val="center"/>
                </w:tcPr>
                <w:p w14:paraId="1A78635C">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spacing w:val="-2"/>
                      <w:sz w:val="21"/>
                      <w:szCs w:val="21"/>
                      <w:u w:val="none"/>
                      <w:lang w:eastAsia="zh-CN"/>
                    </w:rPr>
                  </w:pPr>
                </w:p>
              </w:tc>
              <w:tc>
                <w:tcPr>
                  <w:tcW w:w="2354" w:type="pct"/>
                  <w:tcBorders>
                    <w:tl2br w:val="nil"/>
                    <w:tr2bl w:val="nil"/>
                  </w:tcBorders>
                  <w:shd w:val="clear" w:color="auto" w:fill="auto"/>
                  <w:vAlign w:val="center"/>
                </w:tcPr>
                <w:p w14:paraId="0D3235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2"/>
                      <w:sz w:val="21"/>
                      <w:szCs w:val="21"/>
                      <w:u w:val="none"/>
                      <w:lang w:val="en-US" w:eastAsia="zh-CN"/>
                    </w:rPr>
                  </w:pPr>
                  <w:r>
                    <w:rPr>
                      <w:rFonts w:hint="eastAsia" w:ascii="Times New Roman" w:hAnsi="Times New Roman" w:cs="Times New Roman"/>
                      <w:b w:val="0"/>
                      <w:bCs w:val="0"/>
                      <w:color w:val="auto"/>
                      <w:spacing w:val="-2"/>
                      <w:sz w:val="21"/>
                      <w:szCs w:val="21"/>
                      <w:u w:val="none"/>
                      <w:lang w:val="en-US" w:eastAsia="zh-CN"/>
                    </w:rPr>
                    <w:t>2025.02.1</w:t>
                  </w:r>
                  <w:r>
                    <w:rPr>
                      <w:rFonts w:hint="eastAsia" w:cs="Times New Roman"/>
                      <w:b w:val="0"/>
                      <w:bCs w:val="0"/>
                      <w:color w:val="auto"/>
                      <w:spacing w:val="-2"/>
                      <w:sz w:val="21"/>
                      <w:szCs w:val="21"/>
                      <w:u w:val="none"/>
                      <w:lang w:val="en-US" w:eastAsia="zh-CN"/>
                    </w:rPr>
                    <w:t>9</w:t>
                  </w:r>
                  <w:r>
                    <w:rPr>
                      <w:rFonts w:hint="eastAsia" w:ascii="Times New Roman" w:hAnsi="Times New Roman" w:cs="Times New Roman"/>
                      <w:b w:val="0"/>
                      <w:bCs w:val="0"/>
                      <w:color w:val="auto"/>
                      <w:spacing w:val="-2"/>
                      <w:sz w:val="21"/>
                      <w:szCs w:val="21"/>
                      <w:u w:val="none"/>
                      <w:lang w:val="en-US" w:eastAsia="zh-CN"/>
                    </w:rPr>
                    <w:t>-2025.02.</w:t>
                  </w:r>
                  <w:r>
                    <w:rPr>
                      <w:rFonts w:hint="eastAsia" w:cs="Times New Roman"/>
                      <w:b w:val="0"/>
                      <w:bCs w:val="0"/>
                      <w:color w:val="auto"/>
                      <w:spacing w:val="-2"/>
                      <w:sz w:val="21"/>
                      <w:szCs w:val="21"/>
                      <w:u w:val="none"/>
                      <w:lang w:val="en-US" w:eastAsia="zh-CN"/>
                    </w:rPr>
                    <w:t>20</w:t>
                  </w:r>
                </w:p>
              </w:tc>
              <w:tc>
                <w:tcPr>
                  <w:tcW w:w="1166" w:type="pct"/>
                  <w:tcBorders>
                    <w:tl2br w:val="nil"/>
                    <w:tr2bl w:val="nil"/>
                  </w:tcBorders>
                  <w:shd w:val="clear" w:color="auto" w:fill="auto"/>
                  <w:vAlign w:val="center"/>
                </w:tcPr>
                <w:p w14:paraId="49E601D2">
                  <w:pPr>
                    <w:pStyle w:val="67"/>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ascii="Times New Roman" w:hAnsi="Times New Roman" w:eastAsia="宋体" w:cs="Times New Roman"/>
                      <w:b w:val="0"/>
                      <w:bCs w:val="0"/>
                      <w:color w:val="auto"/>
                      <w:spacing w:val="-2"/>
                      <w:sz w:val="21"/>
                      <w:szCs w:val="21"/>
                      <w:u w:val="none"/>
                      <w:lang w:val="en-US" w:eastAsia="zh-CN"/>
                    </w:rPr>
                  </w:pPr>
                  <w:r>
                    <w:rPr>
                      <w:rFonts w:hint="eastAsia" w:ascii="Times New Roman" w:hAnsi="Times New Roman" w:cs="Times New Roman"/>
                      <w:color w:val="auto"/>
                      <w:spacing w:val="-2"/>
                      <w:sz w:val="21"/>
                      <w:szCs w:val="21"/>
                      <w:u w:val="none"/>
                      <w:lang w:val="en-US" w:eastAsia="zh-CN"/>
                    </w:rPr>
                    <w:t>187</w:t>
                  </w:r>
                </w:p>
              </w:tc>
            </w:tr>
            <w:tr w14:paraId="03089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479" w:type="pct"/>
                  <w:vMerge w:val="continue"/>
                  <w:tcBorders>
                    <w:tl2br w:val="nil"/>
                    <w:tr2bl w:val="nil"/>
                  </w:tcBorders>
                  <w:vAlign w:val="center"/>
                </w:tcPr>
                <w:p w14:paraId="0022552C">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spacing w:val="-2"/>
                      <w:sz w:val="21"/>
                      <w:szCs w:val="21"/>
                      <w:u w:val="none"/>
                      <w:lang w:eastAsia="zh-CN"/>
                    </w:rPr>
                  </w:pPr>
                </w:p>
              </w:tc>
              <w:tc>
                <w:tcPr>
                  <w:tcW w:w="2354" w:type="pct"/>
                  <w:tcBorders>
                    <w:tl2br w:val="nil"/>
                    <w:tr2bl w:val="nil"/>
                  </w:tcBorders>
                  <w:shd w:val="clear" w:color="auto" w:fill="auto"/>
                  <w:vAlign w:val="center"/>
                </w:tcPr>
                <w:p w14:paraId="199443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2"/>
                      <w:sz w:val="21"/>
                      <w:szCs w:val="21"/>
                      <w:u w:val="none"/>
                      <w:lang w:val="en-US" w:eastAsia="zh-CN"/>
                    </w:rPr>
                  </w:pPr>
                  <w:r>
                    <w:rPr>
                      <w:rFonts w:hint="eastAsia" w:ascii="Times New Roman" w:hAnsi="Times New Roman" w:cs="Times New Roman"/>
                      <w:b w:val="0"/>
                      <w:bCs w:val="0"/>
                      <w:color w:val="auto"/>
                      <w:spacing w:val="-2"/>
                      <w:sz w:val="21"/>
                      <w:szCs w:val="21"/>
                      <w:u w:val="none"/>
                      <w:lang w:val="en-US" w:eastAsia="zh-CN"/>
                    </w:rPr>
                    <w:t>2025.02.</w:t>
                  </w:r>
                  <w:r>
                    <w:rPr>
                      <w:rFonts w:hint="eastAsia" w:cs="Times New Roman"/>
                      <w:b w:val="0"/>
                      <w:bCs w:val="0"/>
                      <w:color w:val="auto"/>
                      <w:spacing w:val="-2"/>
                      <w:sz w:val="21"/>
                      <w:szCs w:val="21"/>
                      <w:u w:val="none"/>
                      <w:lang w:val="en-US" w:eastAsia="zh-CN"/>
                    </w:rPr>
                    <w:t>20</w:t>
                  </w:r>
                  <w:r>
                    <w:rPr>
                      <w:rFonts w:hint="eastAsia" w:ascii="Times New Roman" w:hAnsi="Times New Roman" w:cs="Times New Roman"/>
                      <w:b w:val="0"/>
                      <w:bCs w:val="0"/>
                      <w:color w:val="auto"/>
                      <w:spacing w:val="-2"/>
                      <w:sz w:val="21"/>
                      <w:szCs w:val="21"/>
                      <w:u w:val="none"/>
                      <w:lang w:val="en-US" w:eastAsia="zh-CN"/>
                    </w:rPr>
                    <w:t>-2025.02.</w:t>
                  </w:r>
                  <w:r>
                    <w:rPr>
                      <w:rFonts w:hint="eastAsia" w:cs="Times New Roman"/>
                      <w:b w:val="0"/>
                      <w:bCs w:val="0"/>
                      <w:color w:val="auto"/>
                      <w:spacing w:val="-2"/>
                      <w:sz w:val="21"/>
                      <w:szCs w:val="21"/>
                      <w:u w:val="none"/>
                      <w:lang w:val="en-US" w:eastAsia="zh-CN"/>
                    </w:rPr>
                    <w:t>21</w:t>
                  </w:r>
                </w:p>
              </w:tc>
              <w:tc>
                <w:tcPr>
                  <w:tcW w:w="1166" w:type="pct"/>
                  <w:tcBorders>
                    <w:tl2br w:val="nil"/>
                    <w:tr2bl w:val="nil"/>
                  </w:tcBorders>
                  <w:shd w:val="clear" w:color="auto" w:fill="auto"/>
                  <w:vAlign w:val="center"/>
                </w:tcPr>
                <w:p w14:paraId="775209F3">
                  <w:pPr>
                    <w:pStyle w:val="67"/>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ascii="Times New Roman" w:hAnsi="Times New Roman" w:cs="Times New Roman"/>
                      <w:color w:val="auto"/>
                      <w:spacing w:val="-2"/>
                      <w:sz w:val="21"/>
                      <w:szCs w:val="21"/>
                      <w:u w:val="none"/>
                      <w:lang w:val="en-US" w:eastAsia="zh-CN"/>
                    </w:rPr>
                  </w:pPr>
                  <w:r>
                    <w:rPr>
                      <w:rFonts w:hint="eastAsia" w:ascii="Times New Roman" w:hAnsi="Times New Roman" w:cs="Times New Roman"/>
                      <w:color w:val="auto"/>
                      <w:spacing w:val="-2"/>
                      <w:sz w:val="21"/>
                      <w:szCs w:val="21"/>
                      <w:u w:val="none"/>
                      <w:lang w:val="en-US" w:eastAsia="zh-CN"/>
                    </w:rPr>
                    <w:t>186</w:t>
                  </w:r>
                </w:p>
              </w:tc>
            </w:tr>
            <w:tr w14:paraId="318C4C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479" w:type="pct"/>
                  <w:vMerge w:val="continue"/>
                  <w:tcBorders>
                    <w:tl2br w:val="nil"/>
                    <w:tr2bl w:val="nil"/>
                  </w:tcBorders>
                  <w:vAlign w:val="center"/>
                </w:tcPr>
                <w:p w14:paraId="5DE7C73E">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spacing w:val="-2"/>
                      <w:sz w:val="21"/>
                      <w:szCs w:val="21"/>
                      <w:u w:val="none"/>
                      <w:lang w:eastAsia="zh-CN"/>
                    </w:rPr>
                  </w:pPr>
                </w:p>
              </w:tc>
              <w:tc>
                <w:tcPr>
                  <w:tcW w:w="2354" w:type="pct"/>
                  <w:tcBorders>
                    <w:tl2br w:val="nil"/>
                    <w:tr2bl w:val="nil"/>
                  </w:tcBorders>
                  <w:shd w:val="clear" w:color="auto" w:fill="auto"/>
                  <w:vAlign w:val="center"/>
                </w:tcPr>
                <w:p w14:paraId="0EA0E1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2"/>
                      <w:sz w:val="21"/>
                      <w:szCs w:val="21"/>
                      <w:u w:val="none"/>
                      <w:lang w:val="en-US" w:eastAsia="zh-CN"/>
                    </w:rPr>
                  </w:pPr>
                  <w:r>
                    <w:rPr>
                      <w:rFonts w:hint="eastAsia" w:ascii="Times New Roman" w:hAnsi="Times New Roman" w:cs="Times New Roman"/>
                      <w:b w:val="0"/>
                      <w:bCs w:val="0"/>
                      <w:color w:val="auto"/>
                      <w:spacing w:val="-2"/>
                      <w:sz w:val="21"/>
                      <w:szCs w:val="21"/>
                      <w:u w:val="none"/>
                      <w:lang w:val="en-US" w:eastAsia="zh-CN"/>
                    </w:rPr>
                    <w:t>2025.02.</w:t>
                  </w:r>
                  <w:r>
                    <w:rPr>
                      <w:rFonts w:hint="eastAsia" w:cs="Times New Roman"/>
                      <w:b w:val="0"/>
                      <w:bCs w:val="0"/>
                      <w:color w:val="auto"/>
                      <w:spacing w:val="-2"/>
                      <w:sz w:val="21"/>
                      <w:szCs w:val="21"/>
                      <w:u w:val="none"/>
                      <w:lang w:val="en-US" w:eastAsia="zh-CN"/>
                    </w:rPr>
                    <w:t>21</w:t>
                  </w:r>
                  <w:r>
                    <w:rPr>
                      <w:rFonts w:hint="eastAsia" w:ascii="Times New Roman" w:hAnsi="Times New Roman" w:cs="Times New Roman"/>
                      <w:b w:val="0"/>
                      <w:bCs w:val="0"/>
                      <w:color w:val="auto"/>
                      <w:spacing w:val="-2"/>
                      <w:sz w:val="21"/>
                      <w:szCs w:val="21"/>
                      <w:u w:val="none"/>
                      <w:lang w:val="en-US" w:eastAsia="zh-CN"/>
                    </w:rPr>
                    <w:t>2025.02.</w:t>
                  </w:r>
                  <w:r>
                    <w:rPr>
                      <w:rFonts w:hint="eastAsia" w:cs="Times New Roman"/>
                      <w:b w:val="0"/>
                      <w:bCs w:val="0"/>
                      <w:color w:val="auto"/>
                      <w:spacing w:val="-2"/>
                      <w:sz w:val="21"/>
                      <w:szCs w:val="21"/>
                      <w:u w:val="none"/>
                      <w:lang w:val="en-US" w:eastAsia="zh-CN"/>
                    </w:rPr>
                    <w:t>22</w:t>
                  </w:r>
                </w:p>
              </w:tc>
              <w:tc>
                <w:tcPr>
                  <w:tcW w:w="1166" w:type="pct"/>
                  <w:tcBorders>
                    <w:tl2br w:val="nil"/>
                    <w:tr2bl w:val="nil"/>
                  </w:tcBorders>
                  <w:shd w:val="clear" w:color="auto" w:fill="auto"/>
                  <w:vAlign w:val="center"/>
                </w:tcPr>
                <w:p w14:paraId="654E824F">
                  <w:pPr>
                    <w:pStyle w:val="67"/>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ascii="Times New Roman" w:hAnsi="Times New Roman" w:cs="Times New Roman"/>
                      <w:color w:val="auto"/>
                      <w:spacing w:val="-2"/>
                      <w:sz w:val="21"/>
                      <w:szCs w:val="21"/>
                      <w:u w:val="none"/>
                      <w:lang w:val="en-US" w:eastAsia="zh-CN"/>
                    </w:rPr>
                  </w:pPr>
                  <w:r>
                    <w:rPr>
                      <w:rFonts w:hint="eastAsia" w:ascii="Times New Roman" w:hAnsi="Times New Roman" w:cs="Times New Roman"/>
                      <w:color w:val="auto"/>
                      <w:spacing w:val="-2"/>
                      <w:sz w:val="21"/>
                      <w:szCs w:val="21"/>
                      <w:u w:val="none"/>
                      <w:lang w:val="en-US" w:eastAsia="zh-CN"/>
                    </w:rPr>
                    <w:t>204</w:t>
                  </w:r>
                </w:p>
              </w:tc>
            </w:tr>
            <w:tr w14:paraId="379C8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9" w:hRule="atLeast"/>
              </w:trPr>
              <w:tc>
                <w:tcPr>
                  <w:tcW w:w="1479" w:type="pct"/>
                  <w:vMerge w:val="continue"/>
                  <w:tcBorders>
                    <w:tl2br w:val="nil"/>
                    <w:tr2bl w:val="nil"/>
                  </w:tcBorders>
                  <w:vAlign w:val="center"/>
                </w:tcPr>
                <w:p w14:paraId="48BB9BE4">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spacing w:val="-2"/>
                      <w:sz w:val="21"/>
                      <w:szCs w:val="21"/>
                      <w:u w:val="none"/>
                      <w:lang w:eastAsia="zh-CN"/>
                    </w:rPr>
                  </w:pPr>
                </w:p>
              </w:tc>
              <w:tc>
                <w:tcPr>
                  <w:tcW w:w="2354" w:type="pct"/>
                  <w:tcBorders>
                    <w:tl2br w:val="nil"/>
                    <w:tr2bl w:val="nil"/>
                  </w:tcBorders>
                  <w:shd w:val="clear" w:color="auto" w:fill="auto"/>
                  <w:vAlign w:val="center"/>
                </w:tcPr>
                <w:p w14:paraId="643880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2"/>
                      <w:sz w:val="21"/>
                      <w:szCs w:val="21"/>
                      <w:u w:val="none"/>
                      <w:lang w:val="en-US" w:eastAsia="zh-CN"/>
                    </w:rPr>
                  </w:pPr>
                  <w:r>
                    <w:rPr>
                      <w:rFonts w:hint="eastAsia" w:ascii="Times New Roman" w:hAnsi="Times New Roman" w:cs="Times New Roman"/>
                      <w:b w:val="0"/>
                      <w:bCs w:val="0"/>
                      <w:color w:val="auto"/>
                      <w:spacing w:val="-2"/>
                      <w:sz w:val="21"/>
                      <w:szCs w:val="21"/>
                      <w:u w:val="none"/>
                      <w:lang w:val="en-US" w:eastAsia="zh-CN"/>
                    </w:rPr>
                    <w:t>2025.02.</w:t>
                  </w:r>
                  <w:r>
                    <w:rPr>
                      <w:rFonts w:hint="eastAsia" w:cs="Times New Roman"/>
                      <w:b w:val="0"/>
                      <w:bCs w:val="0"/>
                      <w:color w:val="auto"/>
                      <w:spacing w:val="-2"/>
                      <w:sz w:val="21"/>
                      <w:szCs w:val="21"/>
                      <w:u w:val="none"/>
                      <w:lang w:val="en-US" w:eastAsia="zh-CN"/>
                    </w:rPr>
                    <w:t>22</w:t>
                  </w:r>
                  <w:r>
                    <w:rPr>
                      <w:rFonts w:hint="eastAsia" w:ascii="Times New Roman" w:hAnsi="Times New Roman" w:cs="Times New Roman"/>
                      <w:b w:val="0"/>
                      <w:bCs w:val="0"/>
                      <w:color w:val="auto"/>
                      <w:spacing w:val="-2"/>
                      <w:sz w:val="21"/>
                      <w:szCs w:val="21"/>
                      <w:u w:val="none"/>
                      <w:lang w:val="en-US" w:eastAsia="zh-CN"/>
                    </w:rPr>
                    <w:t>-2025.02.</w:t>
                  </w:r>
                  <w:r>
                    <w:rPr>
                      <w:rFonts w:hint="eastAsia" w:cs="Times New Roman"/>
                      <w:b w:val="0"/>
                      <w:bCs w:val="0"/>
                      <w:color w:val="auto"/>
                      <w:spacing w:val="-2"/>
                      <w:sz w:val="21"/>
                      <w:szCs w:val="21"/>
                      <w:u w:val="none"/>
                      <w:lang w:val="en-US" w:eastAsia="zh-CN"/>
                    </w:rPr>
                    <w:t>23</w:t>
                  </w:r>
                </w:p>
              </w:tc>
              <w:tc>
                <w:tcPr>
                  <w:tcW w:w="1166" w:type="pct"/>
                  <w:tcBorders>
                    <w:tl2br w:val="nil"/>
                    <w:tr2bl w:val="nil"/>
                  </w:tcBorders>
                  <w:shd w:val="clear" w:color="auto" w:fill="auto"/>
                  <w:vAlign w:val="center"/>
                </w:tcPr>
                <w:p w14:paraId="0324A121">
                  <w:pPr>
                    <w:pStyle w:val="67"/>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ascii="Times New Roman" w:hAnsi="Times New Roman" w:cs="Times New Roman"/>
                      <w:color w:val="auto"/>
                      <w:spacing w:val="-2"/>
                      <w:sz w:val="21"/>
                      <w:szCs w:val="21"/>
                      <w:u w:val="none"/>
                      <w:lang w:val="en-US" w:eastAsia="zh-CN"/>
                    </w:rPr>
                  </w:pPr>
                  <w:r>
                    <w:rPr>
                      <w:rFonts w:hint="eastAsia" w:ascii="Times New Roman" w:hAnsi="Times New Roman" w:cs="Times New Roman"/>
                      <w:color w:val="auto"/>
                      <w:spacing w:val="-2"/>
                      <w:sz w:val="21"/>
                      <w:szCs w:val="21"/>
                      <w:u w:val="none"/>
                      <w:lang w:val="en-US" w:eastAsia="zh-CN"/>
                    </w:rPr>
                    <w:t>199</w:t>
                  </w:r>
                </w:p>
              </w:tc>
            </w:tr>
            <w:tr w14:paraId="65BB2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479" w:type="pct"/>
                  <w:vMerge w:val="continue"/>
                  <w:tcBorders>
                    <w:tl2br w:val="nil"/>
                    <w:tr2bl w:val="nil"/>
                  </w:tcBorders>
                  <w:vAlign w:val="center"/>
                </w:tcPr>
                <w:p w14:paraId="06AB3749">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spacing w:val="-2"/>
                      <w:sz w:val="21"/>
                      <w:szCs w:val="21"/>
                      <w:u w:val="none"/>
                      <w:lang w:eastAsia="zh-CN"/>
                    </w:rPr>
                  </w:pPr>
                </w:p>
              </w:tc>
              <w:tc>
                <w:tcPr>
                  <w:tcW w:w="2354" w:type="pct"/>
                  <w:tcBorders>
                    <w:tl2br w:val="nil"/>
                    <w:tr2bl w:val="nil"/>
                  </w:tcBorders>
                  <w:shd w:val="clear" w:color="auto" w:fill="auto"/>
                  <w:vAlign w:val="center"/>
                </w:tcPr>
                <w:p w14:paraId="048698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2"/>
                      <w:sz w:val="21"/>
                      <w:szCs w:val="21"/>
                      <w:u w:val="none"/>
                      <w:lang w:val="en-US" w:eastAsia="zh-CN"/>
                    </w:rPr>
                  </w:pPr>
                  <w:r>
                    <w:rPr>
                      <w:rFonts w:hint="eastAsia" w:ascii="Times New Roman" w:hAnsi="Times New Roman" w:cs="Times New Roman"/>
                      <w:b w:val="0"/>
                      <w:bCs w:val="0"/>
                      <w:color w:val="auto"/>
                      <w:spacing w:val="-2"/>
                      <w:sz w:val="21"/>
                      <w:szCs w:val="21"/>
                      <w:u w:val="none"/>
                      <w:lang w:val="en-US" w:eastAsia="zh-CN"/>
                    </w:rPr>
                    <w:t>2025.02.</w:t>
                  </w:r>
                  <w:r>
                    <w:rPr>
                      <w:rFonts w:hint="eastAsia" w:cs="Times New Roman"/>
                      <w:b w:val="0"/>
                      <w:bCs w:val="0"/>
                      <w:color w:val="auto"/>
                      <w:spacing w:val="-2"/>
                      <w:sz w:val="21"/>
                      <w:szCs w:val="21"/>
                      <w:u w:val="none"/>
                      <w:lang w:val="en-US" w:eastAsia="zh-CN"/>
                    </w:rPr>
                    <w:t>23</w:t>
                  </w:r>
                  <w:r>
                    <w:rPr>
                      <w:rFonts w:hint="eastAsia" w:ascii="Times New Roman" w:hAnsi="Times New Roman" w:cs="Times New Roman"/>
                      <w:b w:val="0"/>
                      <w:bCs w:val="0"/>
                      <w:color w:val="auto"/>
                      <w:spacing w:val="-2"/>
                      <w:sz w:val="21"/>
                      <w:szCs w:val="21"/>
                      <w:u w:val="none"/>
                      <w:lang w:val="en-US" w:eastAsia="zh-CN"/>
                    </w:rPr>
                    <w:t>-2025.02.</w:t>
                  </w:r>
                  <w:r>
                    <w:rPr>
                      <w:rFonts w:hint="eastAsia" w:cs="Times New Roman"/>
                      <w:b w:val="0"/>
                      <w:bCs w:val="0"/>
                      <w:color w:val="auto"/>
                      <w:spacing w:val="-2"/>
                      <w:sz w:val="21"/>
                      <w:szCs w:val="21"/>
                      <w:u w:val="none"/>
                      <w:lang w:val="en-US" w:eastAsia="zh-CN"/>
                    </w:rPr>
                    <w:t>24</w:t>
                  </w:r>
                </w:p>
              </w:tc>
              <w:tc>
                <w:tcPr>
                  <w:tcW w:w="1166" w:type="pct"/>
                  <w:tcBorders>
                    <w:tl2br w:val="nil"/>
                    <w:tr2bl w:val="nil"/>
                  </w:tcBorders>
                  <w:shd w:val="clear" w:color="auto" w:fill="auto"/>
                  <w:vAlign w:val="center"/>
                </w:tcPr>
                <w:p w14:paraId="6C996F61">
                  <w:pPr>
                    <w:pStyle w:val="67"/>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ascii="Times New Roman" w:hAnsi="Times New Roman" w:cs="Times New Roman"/>
                      <w:color w:val="auto"/>
                      <w:spacing w:val="-2"/>
                      <w:sz w:val="21"/>
                      <w:szCs w:val="21"/>
                      <w:u w:val="none"/>
                      <w:lang w:val="en-US" w:eastAsia="zh-CN"/>
                    </w:rPr>
                  </w:pPr>
                  <w:r>
                    <w:rPr>
                      <w:rFonts w:hint="eastAsia" w:ascii="Times New Roman" w:hAnsi="Times New Roman" w:cs="Times New Roman"/>
                      <w:color w:val="auto"/>
                      <w:spacing w:val="-2"/>
                      <w:sz w:val="21"/>
                      <w:szCs w:val="21"/>
                      <w:u w:val="none"/>
                      <w:lang w:val="en-US" w:eastAsia="zh-CN"/>
                    </w:rPr>
                    <w:t>203</w:t>
                  </w:r>
                </w:p>
              </w:tc>
            </w:tr>
            <w:tr w14:paraId="2DB8F3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833" w:type="pct"/>
                  <w:gridSpan w:val="2"/>
                  <w:tcBorders>
                    <w:tl2br w:val="nil"/>
                    <w:tr2bl w:val="nil"/>
                  </w:tcBorders>
                  <w:vAlign w:val="center"/>
                </w:tcPr>
                <w:p w14:paraId="542EDA63">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spacing w:val="-2"/>
                      <w:sz w:val="21"/>
                      <w:szCs w:val="21"/>
                      <w:u w:val="none"/>
                      <w:lang w:eastAsia="zh-CN"/>
                    </w:rPr>
                  </w:pPr>
                  <w:r>
                    <w:rPr>
                      <w:rFonts w:hint="default" w:ascii="Times New Roman" w:hAnsi="Times New Roman" w:eastAsia="宋体" w:cs="Times New Roman"/>
                      <w:b w:val="0"/>
                      <w:bCs w:val="0"/>
                      <w:sz w:val="21"/>
                      <w:szCs w:val="21"/>
                      <w:u w:val="none"/>
                      <w:lang w:eastAsia="zh-CN"/>
                    </w:rPr>
                    <w:t>标准限值</w:t>
                  </w:r>
                </w:p>
              </w:tc>
              <w:tc>
                <w:tcPr>
                  <w:tcW w:w="1166" w:type="pct"/>
                  <w:tcBorders>
                    <w:tl2br w:val="nil"/>
                    <w:tr2bl w:val="nil"/>
                  </w:tcBorders>
                  <w:shd w:val="clear" w:color="auto" w:fill="auto"/>
                  <w:vAlign w:val="center"/>
                </w:tcPr>
                <w:p w14:paraId="170464B7">
                  <w:pPr>
                    <w:pStyle w:val="6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spacing w:val="-2"/>
                      <w:sz w:val="21"/>
                      <w:szCs w:val="21"/>
                      <w:u w:val="none"/>
                      <w:lang w:eastAsia="zh-CN"/>
                    </w:rPr>
                  </w:pPr>
                  <w:r>
                    <w:rPr>
                      <w:rFonts w:hint="default" w:ascii="Times New Roman" w:hAnsi="Times New Roman" w:eastAsia="宋体" w:cs="Times New Roman"/>
                      <w:b w:val="0"/>
                      <w:bCs w:val="0"/>
                      <w:spacing w:val="-2"/>
                      <w:sz w:val="21"/>
                      <w:szCs w:val="21"/>
                      <w:u w:val="none"/>
                      <w:lang w:eastAsia="zh-CN"/>
                    </w:rPr>
                    <w:t>300</w:t>
                  </w:r>
                </w:p>
              </w:tc>
            </w:tr>
          </w:tbl>
          <w:p w14:paraId="2C4D1E68">
            <w:pPr>
              <w:pStyle w:val="6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kern w:val="0"/>
                <w:u w:val="none"/>
                <w:lang w:eastAsia="zh-CN"/>
              </w:rPr>
            </w:pPr>
            <w:r>
              <w:rPr>
                <w:szCs w:val="32"/>
                <w:u w:val="none"/>
              </w:rPr>
              <w:t>根据表3-3的监测结果表明，TSP达到了《环境空气质量标准》（GB3095-20</w:t>
            </w:r>
            <w:r>
              <w:rPr>
                <w:rFonts w:hint="eastAsia"/>
                <w:szCs w:val="32"/>
                <w:u w:val="none"/>
                <w:lang w:val="en-US" w:eastAsia="zh-CN"/>
              </w:rPr>
              <w:t>26</w:t>
            </w:r>
            <w:r>
              <w:rPr>
                <w:szCs w:val="32"/>
                <w:u w:val="none"/>
              </w:rPr>
              <w:t>）</w:t>
            </w:r>
            <w:r>
              <w:rPr>
                <w:rFonts w:hint="eastAsia"/>
                <w:szCs w:val="32"/>
                <w:u w:val="none"/>
                <w:lang w:val="en-US" w:eastAsia="zh-CN"/>
              </w:rPr>
              <w:t>二级</w:t>
            </w:r>
            <w:r>
              <w:rPr>
                <w:szCs w:val="32"/>
                <w:u w:val="none"/>
              </w:rPr>
              <w:t>标准限值</w:t>
            </w:r>
            <w:r>
              <w:rPr>
                <w:rFonts w:hint="eastAsia"/>
                <w:szCs w:val="32"/>
                <w:u w:val="none"/>
                <w:lang w:eastAsia="zh-CN"/>
              </w:rPr>
              <w:t>。</w:t>
            </w:r>
          </w:p>
          <w:p w14:paraId="1DFAE8EA">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2、地表水环境质量现状</w:t>
            </w:r>
          </w:p>
          <w:p w14:paraId="509BCA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本项目受纳水体为太平溪支流及太平溪。为了解项目所在区域的地表水环境质量现状，本次环评引用《中方产业开发区2025年环境质量现状监测项目检测报告》(得成检测(2025)测字第03-038号)中湖南得成检测有限公司于2025年4月22日-10月24日对中方产业开发区环境质量现状监测中地表水环境监测断面的数据。监测点位以及结果见下列各表。</w:t>
            </w:r>
          </w:p>
          <w:p w14:paraId="4FE482C1">
            <w:pPr>
              <w:pStyle w:val="32"/>
              <w:keepNext w:val="0"/>
              <w:keepLines w:val="0"/>
              <w:pageBreakBefore w:val="0"/>
              <w:widowControl w:val="0"/>
              <w:kinsoku/>
              <w:wordWrap/>
              <w:overflowPunct/>
              <w:topLinePunct w:val="0"/>
              <w:autoSpaceDE/>
              <w:autoSpaceDN/>
              <w:bidi w:val="0"/>
              <w:adjustRightInd/>
              <w:snapToGrid/>
              <w:spacing w:after="0"/>
              <w:ind w:left="0" w:leftChars="0"/>
              <w:textAlignment w:val="auto"/>
              <w:rPr>
                <w:rFonts w:hint="default"/>
              </w:rPr>
            </w:pPr>
            <w:r>
              <w:rPr>
                <w:rFonts w:hint="default"/>
              </w:rPr>
              <w:t>1、监测因子和监测断面</w:t>
            </w:r>
          </w:p>
          <w:p w14:paraId="0E9471E9">
            <w:pPr>
              <w:pStyle w:val="69"/>
              <w:bidi w:val="0"/>
              <w:rPr>
                <w:rFonts w:hint="default"/>
                <w:color w:val="auto"/>
                <w:u w:val="none"/>
                <w:lang w:val="en-US" w:eastAsia="zh-CN"/>
              </w:rPr>
            </w:pPr>
            <w:r>
              <w:rPr>
                <w:rFonts w:hint="default"/>
                <w:color w:val="auto"/>
                <w:u w:val="none"/>
                <w:lang w:val="en-US" w:eastAsia="zh-CN"/>
              </w:rPr>
              <w:t>表3</w:t>
            </w:r>
            <w:r>
              <w:rPr>
                <w:rFonts w:hint="eastAsia"/>
                <w:color w:val="auto"/>
                <w:u w:val="none"/>
                <w:lang w:val="en-US" w:eastAsia="zh-CN"/>
              </w:rPr>
              <w:t>-3</w:t>
            </w:r>
            <w:r>
              <w:rPr>
                <w:rFonts w:hint="default"/>
                <w:color w:val="auto"/>
                <w:u w:val="none"/>
                <w:lang w:val="en-US" w:eastAsia="zh-CN"/>
              </w:rPr>
              <w:t>水环境质量现状监测断面和监测因子一览表</w:t>
            </w:r>
          </w:p>
          <w:tbl>
            <w:tblPr>
              <w:tblStyle w:val="33"/>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49"/>
              <w:gridCol w:w="1503"/>
              <w:gridCol w:w="3394"/>
              <w:gridCol w:w="1954"/>
            </w:tblGrid>
            <w:tr w14:paraId="3256D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23" w:type="pct"/>
                  <w:tcBorders>
                    <w:tl2br w:val="nil"/>
                    <w:tr2bl w:val="nil"/>
                  </w:tcBorders>
                  <w:noWrap w:val="0"/>
                  <w:vAlign w:val="center"/>
                </w:tcPr>
                <w:p w14:paraId="054CB8DA">
                  <w:pPr>
                    <w:pStyle w:val="70"/>
                    <w:bidi w:val="0"/>
                    <w:jc w:val="center"/>
                    <w:rPr>
                      <w:rFonts w:hint="default"/>
                      <w:color w:val="auto"/>
                      <w:sz w:val="21"/>
                      <w:szCs w:val="21"/>
                      <w:u w:val="none"/>
                      <w:lang w:val="en-US" w:eastAsia="zh-CN"/>
                    </w:rPr>
                  </w:pPr>
                  <w:r>
                    <w:rPr>
                      <w:rFonts w:hint="eastAsia"/>
                      <w:color w:val="auto"/>
                      <w:sz w:val="21"/>
                      <w:szCs w:val="21"/>
                      <w:u w:val="none"/>
                      <w:lang w:val="en-US" w:eastAsia="zh-CN"/>
                    </w:rPr>
                    <w:t>序号</w:t>
                  </w:r>
                </w:p>
              </w:tc>
              <w:tc>
                <w:tcPr>
                  <w:tcW w:w="916" w:type="pct"/>
                  <w:tcBorders>
                    <w:tl2br w:val="nil"/>
                    <w:tr2bl w:val="nil"/>
                  </w:tcBorders>
                  <w:noWrap w:val="0"/>
                  <w:vAlign w:val="center"/>
                </w:tcPr>
                <w:p w14:paraId="289BADA5">
                  <w:pPr>
                    <w:pStyle w:val="70"/>
                    <w:bidi w:val="0"/>
                    <w:ind w:firstLine="0" w:firstLineChars="0"/>
                    <w:jc w:val="center"/>
                    <w:rPr>
                      <w:rFonts w:hint="default" w:ascii="Times New Roman" w:hAnsi="Times New Roman" w:eastAsia="宋体"/>
                      <w:color w:val="auto"/>
                      <w:kern w:val="2"/>
                      <w:sz w:val="21"/>
                      <w:szCs w:val="21"/>
                      <w:u w:val="none"/>
                      <w:lang w:val="en-US" w:eastAsia="zh-CN" w:bidi="ar-SA"/>
                    </w:rPr>
                  </w:pPr>
                  <w:r>
                    <w:rPr>
                      <w:rFonts w:hint="eastAsia"/>
                      <w:color w:val="auto"/>
                      <w:kern w:val="2"/>
                      <w:sz w:val="21"/>
                      <w:szCs w:val="21"/>
                      <w:u w:val="none"/>
                      <w:lang w:val="en-US" w:eastAsia="zh-CN" w:bidi="ar-SA"/>
                    </w:rPr>
                    <w:t>监测水体</w:t>
                  </w:r>
                </w:p>
              </w:tc>
              <w:tc>
                <w:tcPr>
                  <w:tcW w:w="2069" w:type="pct"/>
                  <w:tcBorders>
                    <w:tl2br w:val="nil"/>
                    <w:tr2bl w:val="nil"/>
                  </w:tcBorders>
                  <w:noWrap w:val="0"/>
                  <w:vAlign w:val="center"/>
                </w:tcPr>
                <w:p w14:paraId="66D51E4C">
                  <w:pPr>
                    <w:pStyle w:val="70"/>
                    <w:bidi w:val="0"/>
                    <w:ind w:firstLine="0" w:firstLineChars="0"/>
                    <w:jc w:val="center"/>
                    <w:rPr>
                      <w:rFonts w:hint="default" w:ascii="Times New Roman" w:hAnsi="Times New Roman" w:eastAsia="宋体"/>
                      <w:color w:val="auto"/>
                      <w:kern w:val="2"/>
                      <w:sz w:val="21"/>
                      <w:szCs w:val="21"/>
                      <w:u w:val="none"/>
                      <w:lang w:val="en-US" w:eastAsia="zh-CN" w:bidi="ar-SA"/>
                    </w:rPr>
                  </w:pPr>
                  <w:r>
                    <w:rPr>
                      <w:rFonts w:hint="eastAsia"/>
                      <w:color w:val="auto"/>
                      <w:sz w:val="21"/>
                      <w:szCs w:val="21"/>
                      <w:u w:val="none"/>
                      <w:lang w:val="en-US" w:eastAsia="zh-CN"/>
                    </w:rPr>
                    <w:t>监测断面</w:t>
                  </w:r>
                </w:p>
              </w:tc>
              <w:tc>
                <w:tcPr>
                  <w:tcW w:w="1191" w:type="pct"/>
                  <w:tcBorders>
                    <w:tl2br w:val="nil"/>
                    <w:tr2bl w:val="nil"/>
                  </w:tcBorders>
                  <w:noWrap w:val="0"/>
                  <w:vAlign w:val="center"/>
                </w:tcPr>
                <w:p w14:paraId="496C2AE2">
                  <w:pPr>
                    <w:pStyle w:val="70"/>
                    <w:bidi w:val="0"/>
                    <w:jc w:val="center"/>
                    <w:rPr>
                      <w:rFonts w:hint="default"/>
                      <w:color w:val="auto"/>
                      <w:sz w:val="21"/>
                      <w:szCs w:val="21"/>
                      <w:u w:val="none"/>
                      <w:lang w:val="en-US" w:eastAsia="zh-CN"/>
                    </w:rPr>
                  </w:pPr>
                  <w:r>
                    <w:rPr>
                      <w:rFonts w:hint="eastAsia"/>
                      <w:color w:val="auto"/>
                      <w:sz w:val="21"/>
                      <w:szCs w:val="21"/>
                      <w:u w:val="none"/>
                      <w:lang w:val="en-US" w:eastAsia="zh-CN"/>
                    </w:rPr>
                    <w:t>监测因子</w:t>
                  </w:r>
                </w:p>
              </w:tc>
            </w:tr>
            <w:tr w14:paraId="5B787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4" w:hRule="atLeast"/>
              </w:trPr>
              <w:tc>
                <w:tcPr>
                  <w:tcW w:w="823" w:type="pct"/>
                  <w:tcBorders>
                    <w:tl2br w:val="nil"/>
                    <w:tr2bl w:val="nil"/>
                  </w:tcBorders>
                  <w:noWrap w:val="0"/>
                  <w:vAlign w:val="center"/>
                </w:tcPr>
                <w:p w14:paraId="44C9F639">
                  <w:pPr>
                    <w:pStyle w:val="70"/>
                    <w:bidi w:val="0"/>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W1</w:t>
                  </w:r>
                </w:p>
              </w:tc>
              <w:tc>
                <w:tcPr>
                  <w:tcW w:w="916" w:type="pct"/>
                  <w:tcBorders>
                    <w:tl2br w:val="nil"/>
                    <w:tr2bl w:val="nil"/>
                  </w:tcBorders>
                  <w:noWrap w:val="0"/>
                  <w:vAlign w:val="center"/>
                </w:tcPr>
                <w:p w14:paraId="464744DA">
                  <w:pPr>
                    <w:pStyle w:val="70"/>
                    <w:bidi w:val="0"/>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太平溪</w:t>
                  </w:r>
                </w:p>
              </w:tc>
              <w:tc>
                <w:tcPr>
                  <w:tcW w:w="2069" w:type="pct"/>
                  <w:tcBorders>
                    <w:tl2br w:val="nil"/>
                    <w:tr2bl w:val="nil"/>
                  </w:tcBorders>
                  <w:noWrap w:val="0"/>
                  <w:vAlign w:val="center"/>
                </w:tcPr>
                <w:p w14:paraId="53F5EC21">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太平溪支流汇入太平溪交汇口上游500m</w:t>
                  </w:r>
                </w:p>
              </w:tc>
              <w:tc>
                <w:tcPr>
                  <w:tcW w:w="1191" w:type="pct"/>
                  <w:vMerge w:val="restart"/>
                  <w:tcBorders>
                    <w:tl2br w:val="nil"/>
                    <w:tr2bl w:val="nil"/>
                  </w:tcBorders>
                  <w:noWrap w:val="0"/>
                  <w:vAlign w:val="center"/>
                </w:tcPr>
                <w:p w14:paraId="0E82BEF7">
                  <w:pPr>
                    <w:bidi w:val="0"/>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pH、COD、NH</w:t>
                  </w:r>
                  <w:r>
                    <w:rPr>
                      <w:rFonts w:hint="default" w:ascii="Times New Roman" w:hAnsi="Times New Roman" w:eastAsia="宋体" w:cs="Times New Roman"/>
                      <w:color w:val="auto"/>
                      <w:sz w:val="21"/>
                      <w:szCs w:val="21"/>
                      <w:u w:val="none"/>
                      <w:vertAlign w:val="subscript"/>
                      <w:lang w:val="en-US" w:eastAsia="zh-CN"/>
                    </w:rPr>
                    <w:t>3</w:t>
                  </w:r>
                  <w:r>
                    <w:rPr>
                      <w:rFonts w:hint="default" w:ascii="Times New Roman" w:hAnsi="Times New Roman" w:eastAsia="宋体" w:cs="Times New Roman"/>
                      <w:color w:val="auto"/>
                      <w:sz w:val="21"/>
                      <w:szCs w:val="21"/>
                      <w:u w:val="none"/>
                      <w:lang w:val="en-US" w:eastAsia="zh-CN"/>
                    </w:rPr>
                    <w:t>-N、BOD</w:t>
                  </w:r>
                  <w:r>
                    <w:rPr>
                      <w:rFonts w:hint="eastAsia" w:ascii="Times New Roman" w:hAnsi="Times New Roman" w:eastAsia="宋体" w:cs="Times New Roman"/>
                      <w:color w:val="auto"/>
                      <w:sz w:val="21"/>
                      <w:szCs w:val="21"/>
                      <w:u w:val="none"/>
                      <w:vertAlign w:val="subscript"/>
                      <w:lang w:val="en-US" w:eastAsia="zh-CN"/>
                    </w:rPr>
                    <w:t>5</w:t>
                  </w:r>
                  <w:r>
                    <w:rPr>
                      <w:rFonts w:hint="eastAsia" w:ascii="Times New Roman" w:hAnsi="Times New Roman" w:eastAsia="宋体" w:cs="Times New Roman"/>
                      <w:color w:val="auto"/>
                      <w:sz w:val="21"/>
                      <w:szCs w:val="21"/>
                      <w:u w:val="none"/>
                      <w:vertAlign w:val="baseline"/>
                      <w:lang w:val="en-US" w:eastAsia="zh-CN"/>
                    </w:rPr>
                    <w:t>、</w:t>
                  </w:r>
                  <w:r>
                    <w:rPr>
                      <w:rFonts w:hint="default" w:ascii="Times New Roman" w:hAnsi="Times New Roman" w:eastAsia="宋体" w:cs="Times New Roman"/>
                      <w:color w:val="auto"/>
                      <w:sz w:val="21"/>
                      <w:szCs w:val="21"/>
                      <w:u w:val="none"/>
                      <w:lang w:val="en-US" w:eastAsia="zh-CN"/>
                    </w:rPr>
                    <w:t>TP</w:t>
                  </w:r>
                </w:p>
              </w:tc>
            </w:tr>
            <w:tr w14:paraId="3AEF20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4" w:hRule="atLeast"/>
              </w:trPr>
              <w:tc>
                <w:tcPr>
                  <w:tcW w:w="823" w:type="pct"/>
                  <w:tcBorders>
                    <w:tl2br w:val="nil"/>
                    <w:tr2bl w:val="nil"/>
                  </w:tcBorders>
                  <w:noWrap w:val="0"/>
                  <w:vAlign w:val="center"/>
                </w:tcPr>
                <w:p w14:paraId="0330A998">
                  <w:pPr>
                    <w:bidi w:val="0"/>
                    <w:jc w:val="center"/>
                    <w:rPr>
                      <w:rFonts w:hint="eastAsia" w:cs="Times New Roman"/>
                      <w:color w:val="auto"/>
                      <w:sz w:val="21"/>
                      <w:szCs w:val="21"/>
                      <w:u w:val="none"/>
                      <w:lang w:val="en-US" w:eastAsia="zh-CN"/>
                    </w:rPr>
                  </w:pPr>
                  <w:r>
                    <w:rPr>
                      <w:rFonts w:hint="eastAsia" w:cs="Times New Roman"/>
                      <w:color w:val="auto"/>
                      <w:sz w:val="21"/>
                      <w:szCs w:val="21"/>
                      <w:u w:val="none"/>
                      <w:lang w:val="en-US" w:eastAsia="zh-CN"/>
                    </w:rPr>
                    <w:t>W2</w:t>
                  </w:r>
                </w:p>
              </w:tc>
              <w:tc>
                <w:tcPr>
                  <w:tcW w:w="916" w:type="pct"/>
                  <w:tcBorders>
                    <w:tl2br w:val="nil"/>
                    <w:tr2bl w:val="nil"/>
                  </w:tcBorders>
                  <w:noWrap w:val="0"/>
                  <w:vAlign w:val="center"/>
                </w:tcPr>
                <w:p w14:paraId="4DA1C26E">
                  <w:pPr>
                    <w:bidi w:val="0"/>
                    <w:jc w:val="center"/>
                    <w:rPr>
                      <w:rFonts w:hint="eastAsia" w:cs="Times New Roman"/>
                      <w:color w:val="auto"/>
                      <w:sz w:val="21"/>
                      <w:szCs w:val="21"/>
                      <w:u w:val="none"/>
                      <w:lang w:val="en-US" w:eastAsia="zh-CN"/>
                    </w:rPr>
                  </w:pPr>
                  <w:r>
                    <w:rPr>
                      <w:rFonts w:hint="eastAsia" w:cs="Times New Roman"/>
                      <w:color w:val="auto"/>
                      <w:sz w:val="21"/>
                      <w:szCs w:val="21"/>
                      <w:u w:val="none"/>
                      <w:lang w:val="en-US" w:eastAsia="zh-CN"/>
                    </w:rPr>
                    <w:t>太平溪</w:t>
                  </w:r>
                </w:p>
              </w:tc>
              <w:tc>
                <w:tcPr>
                  <w:tcW w:w="2069" w:type="pct"/>
                  <w:tcBorders>
                    <w:tl2br w:val="nil"/>
                    <w:tr2bl w:val="nil"/>
                  </w:tcBorders>
                  <w:noWrap w:val="0"/>
                  <w:vAlign w:val="center"/>
                </w:tcPr>
                <w:p w14:paraId="0ECA276E">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太平溪支流汇入太平溪交汇口</w:t>
                  </w:r>
                  <w:r>
                    <w:rPr>
                      <w:rFonts w:hint="eastAsia" w:cs="Times New Roman"/>
                      <w:color w:val="auto"/>
                      <w:sz w:val="21"/>
                      <w:szCs w:val="21"/>
                      <w:u w:val="none"/>
                      <w:lang w:val="en-US" w:eastAsia="zh-CN"/>
                    </w:rPr>
                    <w:t>下</w:t>
                  </w:r>
                  <w:r>
                    <w:rPr>
                      <w:rFonts w:hint="eastAsia" w:ascii="Times New Roman" w:hAnsi="Times New Roman" w:eastAsia="宋体" w:cs="Times New Roman"/>
                      <w:color w:val="auto"/>
                      <w:sz w:val="21"/>
                      <w:szCs w:val="21"/>
                      <w:u w:val="none"/>
                      <w:lang w:val="en-US" w:eastAsia="zh-CN"/>
                    </w:rPr>
                    <w:t>游</w:t>
                  </w:r>
                  <w:r>
                    <w:rPr>
                      <w:rFonts w:hint="eastAsia" w:cs="Times New Roman"/>
                      <w:color w:val="auto"/>
                      <w:sz w:val="21"/>
                      <w:szCs w:val="21"/>
                      <w:u w:val="none"/>
                      <w:lang w:val="en-US" w:eastAsia="zh-CN"/>
                    </w:rPr>
                    <w:t>20</w:t>
                  </w:r>
                  <w:r>
                    <w:rPr>
                      <w:rFonts w:hint="eastAsia" w:ascii="Times New Roman" w:hAnsi="Times New Roman" w:eastAsia="宋体" w:cs="Times New Roman"/>
                      <w:color w:val="auto"/>
                      <w:sz w:val="21"/>
                      <w:szCs w:val="21"/>
                      <w:u w:val="none"/>
                      <w:lang w:val="en-US" w:eastAsia="zh-CN"/>
                    </w:rPr>
                    <w:t>00m</w:t>
                  </w:r>
                </w:p>
              </w:tc>
              <w:tc>
                <w:tcPr>
                  <w:tcW w:w="1191" w:type="pct"/>
                  <w:vMerge w:val="continue"/>
                  <w:tcBorders>
                    <w:tl2br w:val="nil"/>
                    <w:tr2bl w:val="nil"/>
                  </w:tcBorders>
                  <w:noWrap w:val="0"/>
                  <w:vAlign w:val="center"/>
                </w:tcPr>
                <w:p w14:paraId="10EFEA5C">
                  <w:pPr>
                    <w:bidi w:val="0"/>
                    <w:jc w:val="center"/>
                    <w:rPr>
                      <w:rFonts w:hint="default" w:ascii="Times New Roman" w:hAnsi="Times New Roman" w:eastAsia="宋体" w:cs="Times New Roman"/>
                      <w:color w:val="auto"/>
                      <w:sz w:val="21"/>
                      <w:szCs w:val="21"/>
                      <w:u w:val="none"/>
                      <w:lang w:val="en-US" w:eastAsia="zh-CN"/>
                    </w:rPr>
                  </w:pPr>
                </w:p>
              </w:tc>
            </w:tr>
            <w:tr w14:paraId="52378C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823" w:type="pct"/>
                  <w:tcBorders>
                    <w:tl2br w:val="nil"/>
                    <w:tr2bl w:val="nil"/>
                  </w:tcBorders>
                  <w:noWrap w:val="0"/>
                  <w:vAlign w:val="center"/>
                </w:tcPr>
                <w:p w14:paraId="3B8684B3">
                  <w:pPr>
                    <w:bidi w:val="0"/>
                    <w:jc w:val="center"/>
                    <w:rPr>
                      <w:rFonts w:hint="eastAsia" w:cs="Times New Roman"/>
                      <w:color w:val="auto"/>
                      <w:sz w:val="21"/>
                      <w:szCs w:val="21"/>
                      <w:u w:val="none"/>
                      <w:lang w:val="en-US" w:eastAsia="zh-CN"/>
                    </w:rPr>
                  </w:pPr>
                  <w:r>
                    <w:rPr>
                      <w:rFonts w:hint="eastAsia" w:cs="Times New Roman"/>
                      <w:color w:val="auto"/>
                      <w:sz w:val="21"/>
                      <w:szCs w:val="21"/>
                      <w:u w:val="none"/>
                      <w:lang w:val="en-US" w:eastAsia="zh-CN"/>
                    </w:rPr>
                    <w:t>W3</w:t>
                  </w:r>
                </w:p>
              </w:tc>
              <w:tc>
                <w:tcPr>
                  <w:tcW w:w="916" w:type="pct"/>
                  <w:tcBorders>
                    <w:tl2br w:val="nil"/>
                    <w:tr2bl w:val="nil"/>
                  </w:tcBorders>
                  <w:noWrap w:val="0"/>
                  <w:vAlign w:val="center"/>
                </w:tcPr>
                <w:p w14:paraId="221E441D">
                  <w:pPr>
                    <w:bidi w:val="0"/>
                    <w:jc w:val="center"/>
                    <w:rPr>
                      <w:rFonts w:hint="default" w:cs="Times New Roman"/>
                      <w:color w:val="auto"/>
                      <w:sz w:val="21"/>
                      <w:szCs w:val="21"/>
                      <w:u w:val="none"/>
                      <w:lang w:val="en-US" w:eastAsia="zh-CN"/>
                    </w:rPr>
                  </w:pPr>
                  <w:r>
                    <w:rPr>
                      <w:rFonts w:hint="eastAsia" w:cs="Times New Roman"/>
                      <w:color w:val="auto"/>
                      <w:sz w:val="21"/>
                      <w:szCs w:val="21"/>
                      <w:u w:val="none"/>
                      <w:lang w:val="en-US" w:eastAsia="zh-CN"/>
                    </w:rPr>
                    <w:t>太平溪支流</w:t>
                  </w:r>
                </w:p>
              </w:tc>
              <w:tc>
                <w:tcPr>
                  <w:tcW w:w="2069" w:type="pct"/>
                  <w:tcBorders>
                    <w:tl2br w:val="nil"/>
                    <w:tr2bl w:val="nil"/>
                  </w:tcBorders>
                  <w:noWrap w:val="0"/>
                  <w:vAlign w:val="center"/>
                </w:tcPr>
                <w:p w14:paraId="095158BB">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污水处理厂排污口上游500m</w:t>
                  </w:r>
                </w:p>
              </w:tc>
              <w:tc>
                <w:tcPr>
                  <w:tcW w:w="1191" w:type="pct"/>
                  <w:vMerge w:val="continue"/>
                  <w:tcBorders>
                    <w:tl2br w:val="nil"/>
                    <w:tr2bl w:val="nil"/>
                  </w:tcBorders>
                  <w:noWrap w:val="0"/>
                  <w:vAlign w:val="center"/>
                </w:tcPr>
                <w:p w14:paraId="3D7A5757">
                  <w:pPr>
                    <w:bidi w:val="0"/>
                    <w:jc w:val="center"/>
                    <w:rPr>
                      <w:rFonts w:hint="default" w:ascii="Times New Roman" w:hAnsi="Times New Roman" w:eastAsia="宋体" w:cs="Times New Roman"/>
                      <w:color w:val="auto"/>
                      <w:sz w:val="21"/>
                      <w:szCs w:val="21"/>
                      <w:u w:val="none"/>
                      <w:lang w:val="en-US" w:eastAsia="zh-CN"/>
                    </w:rPr>
                  </w:pPr>
                </w:p>
              </w:tc>
            </w:tr>
            <w:tr w14:paraId="24F744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24" w:hRule="atLeast"/>
              </w:trPr>
              <w:tc>
                <w:tcPr>
                  <w:tcW w:w="823" w:type="pct"/>
                  <w:tcBorders>
                    <w:tl2br w:val="nil"/>
                    <w:tr2bl w:val="nil"/>
                  </w:tcBorders>
                  <w:noWrap w:val="0"/>
                  <w:vAlign w:val="center"/>
                </w:tcPr>
                <w:p w14:paraId="6DD6FACD">
                  <w:pPr>
                    <w:bidi w:val="0"/>
                    <w:jc w:val="center"/>
                    <w:rPr>
                      <w:rFonts w:hint="eastAsia" w:cs="Times New Roman"/>
                      <w:color w:val="auto"/>
                      <w:sz w:val="21"/>
                      <w:szCs w:val="21"/>
                      <w:u w:val="none"/>
                      <w:lang w:val="en-US" w:eastAsia="zh-CN"/>
                    </w:rPr>
                  </w:pPr>
                  <w:r>
                    <w:rPr>
                      <w:rFonts w:hint="eastAsia" w:cs="Times New Roman"/>
                      <w:color w:val="auto"/>
                      <w:sz w:val="21"/>
                      <w:szCs w:val="21"/>
                      <w:u w:val="none"/>
                      <w:lang w:val="en-US" w:eastAsia="zh-CN"/>
                    </w:rPr>
                    <w:t>W4</w:t>
                  </w:r>
                </w:p>
              </w:tc>
              <w:tc>
                <w:tcPr>
                  <w:tcW w:w="916" w:type="pct"/>
                  <w:tcBorders>
                    <w:tl2br w:val="nil"/>
                    <w:tr2bl w:val="nil"/>
                  </w:tcBorders>
                  <w:noWrap w:val="0"/>
                  <w:vAlign w:val="center"/>
                </w:tcPr>
                <w:p w14:paraId="4EBE1755">
                  <w:pPr>
                    <w:bidi w:val="0"/>
                    <w:jc w:val="center"/>
                    <w:rPr>
                      <w:rFonts w:hint="eastAsia" w:cs="Times New Roman"/>
                      <w:color w:val="auto"/>
                      <w:sz w:val="21"/>
                      <w:szCs w:val="21"/>
                      <w:u w:val="none"/>
                      <w:lang w:val="en-US" w:eastAsia="zh-CN"/>
                    </w:rPr>
                  </w:pPr>
                  <w:r>
                    <w:rPr>
                      <w:rFonts w:hint="eastAsia" w:cs="Times New Roman"/>
                      <w:color w:val="auto"/>
                      <w:sz w:val="21"/>
                      <w:szCs w:val="21"/>
                      <w:u w:val="none"/>
                      <w:lang w:val="en-US" w:eastAsia="zh-CN"/>
                    </w:rPr>
                    <w:t>太平溪支流</w:t>
                  </w:r>
                </w:p>
              </w:tc>
              <w:tc>
                <w:tcPr>
                  <w:tcW w:w="2069" w:type="pct"/>
                  <w:tcBorders>
                    <w:tl2br w:val="nil"/>
                    <w:tr2bl w:val="nil"/>
                  </w:tcBorders>
                  <w:noWrap w:val="0"/>
                  <w:vAlign w:val="center"/>
                </w:tcPr>
                <w:p w14:paraId="39E6FAE8">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太平溪支流汇入太平溪上游500m(工业污水处理厂排污口下游1670m)</w:t>
                  </w:r>
                </w:p>
              </w:tc>
              <w:tc>
                <w:tcPr>
                  <w:tcW w:w="1191" w:type="pct"/>
                  <w:vMerge w:val="continue"/>
                  <w:tcBorders>
                    <w:tl2br w:val="nil"/>
                    <w:tr2bl w:val="nil"/>
                  </w:tcBorders>
                  <w:noWrap w:val="0"/>
                  <w:vAlign w:val="center"/>
                </w:tcPr>
                <w:p w14:paraId="4F0B6A9E">
                  <w:pPr>
                    <w:bidi w:val="0"/>
                    <w:jc w:val="center"/>
                    <w:rPr>
                      <w:rFonts w:hint="default" w:ascii="Times New Roman" w:hAnsi="Times New Roman" w:eastAsia="宋体" w:cs="Times New Roman"/>
                      <w:color w:val="auto"/>
                      <w:sz w:val="21"/>
                      <w:szCs w:val="21"/>
                      <w:u w:val="none"/>
                      <w:lang w:val="en-US" w:eastAsia="zh-CN"/>
                    </w:rPr>
                  </w:pPr>
                </w:p>
              </w:tc>
            </w:tr>
          </w:tbl>
          <w:p w14:paraId="5ADFE08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2、监测时间和频次:采样时间为2025年4月22日-10月24日，连续监测3天，</w:t>
            </w:r>
            <w:r>
              <w:rPr>
                <w:rFonts w:hint="eastAsia" w:cs="Times New Roman"/>
                <w:color w:val="auto"/>
                <w:sz w:val="24"/>
                <w:szCs w:val="24"/>
                <w:u w:val="none"/>
                <w:lang w:val="en-US" w:eastAsia="zh-CN"/>
              </w:rPr>
              <w:t>每天采样一次</w:t>
            </w:r>
          </w:p>
          <w:p w14:paraId="7E0A8D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3、评价标准:《地表水环境质量标准》(GB3838-2002)</w:t>
            </w:r>
            <w:r>
              <w:rPr>
                <w:rFonts w:hint="eastAsia" w:ascii="Times New Roman" w:hAnsi="Times New Roman" w:cs="Times New Roman"/>
                <w:color w:val="auto"/>
                <w:sz w:val="24"/>
                <w:szCs w:val="24"/>
                <w:u w:val="none"/>
                <w:lang w:val="en-US" w:eastAsia="zh-CN"/>
              </w:rPr>
              <w:t>III</w:t>
            </w:r>
            <w:r>
              <w:rPr>
                <w:rFonts w:hint="default" w:ascii="Times New Roman" w:hAnsi="Times New Roman" w:cs="Times New Roman"/>
                <w:color w:val="auto"/>
                <w:sz w:val="24"/>
                <w:szCs w:val="24"/>
                <w:u w:val="none"/>
                <w:lang w:val="en-US" w:eastAsia="zh-CN"/>
              </w:rPr>
              <w:t>类水质标准</w:t>
            </w:r>
            <w:r>
              <w:rPr>
                <w:rFonts w:hint="eastAsia" w:cs="Times New Roman"/>
                <w:color w:val="auto"/>
                <w:sz w:val="24"/>
                <w:szCs w:val="24"/>
                <w:u w:val="none"/>
                <w:lang w:val="en-US" w:eastAsia="zh-CN"/>
              </w:rPr>
              <w:t>。</w:t>
            </w:r>
            <w:r>
              <w:rPr>
                <w:rFonts w:hint="default" w:ascii="Times New Roman" w:hAnsi="Times New Roman" w:cs="Times New Roman"/>
                <w:color w:val="auto"/>
                <w:sz w:val="24"/>
                <w:szCs w:val="24"/>
                <w:u w:val="none"/>
                <w:lang w:val="en-US" w:eastAsia="zh-CN"/>
              </w:rPr>
              <w:t>具体检测结果详见下表。</w:t>
            </w:r>
          </w:p>
          <w:p w14:paraId="26BB1CD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b/>
                <w:bCs/>
                <w:color w:val="auto"/>
                <w:sz w:val="21"/>
                <w:szCs w:val="21"/>
                <w:u w:val="none"/>
                <w:lang w:val="en-US" w:eastAsia="zh-CN"/>
              </w:rPr>
            </w:pPr>
            <w:r>
              <w:rPr>
                <w:rFonts w:hint="default"/>
                <w:b/>
                <w:bCs/>
                <w:color w:val="auto"/>
                <w:sz w:val="21"/>
                <w:szCs w:val="21"/>
                <w:u w:val="none"/>
                <w:lang w:val="en-US" w:eastAsia="zh-CN"/>
              </w:rPr>
              <w:t>表3</w:t>
            </w:r>
            <w:r>
              <w:rPr>
                <w:rFonts w:hint="eastAsia"/>
                <w:b/>
                <w:bCs/>
                <w:color w:val="auto"/>
                <w:sz w:val="21"/>
                <w:szCs w:val="21"/>
                <w:u w:val="none"/>
                <w:lang w:val="en-US" w:eastAsia="zh-CN"/>
              </w:rPr>
              <w:t>-4</w:t>
            </w:r>
            <w:r>
              <w:rPr>
                <w:rFonts w:hint="default"/>
                <w:b/>
                <w:bCs/>
                <w:color w:val="auto"/>
                <w:sz w:val="21"/>
                <w:szCs w:val="21"/>
                <w:u w:val="none"/>
                <w:lang w:val="en-US" w:eastAsia="zh-CN"/>
              </w:rPr>
              <w:t xml:space="preserve"> 地表水环境质量现状监测结果一览表</w:t>
            </w:r>
          </w:p>
          <w:tbl>
            <w:tblPr>
              <w:tblStyle w:val="33"/>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361"/>
              <w:gridCol w:w="645"/>
              <w:gridCol w:w="821"/>
              <w:gridCol w:w="1375"/>
              <w:gridCol w:w="1375"/>
              <w:gridCol w:w="1382"/>
              <w:gridCol w:w="688"/>
              <w:gridCol w:w="553"/>
            </w:tblGrid>
            <w:tr w14:paraId="3D7A4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5" w:hRule="atLeast"/>
                <w:jc w:val="center"/>
              </w:trPr>
              <w:tc>
                <w:tcPr>
                  <w:tcW w:w="830" w:type="pct"/>
                  <w:vMerge w:val="restart"/>
                  <w:tcBorders>
                    <w:tl2br w:val="nil"/>
                    <w:tr2bl w:val="nil"/>
                  </w:tcBorders>
                  <w:vAlign w:val="center"/>
                </w:tcPr>
                <w:p w14:paraId="1A341C2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监测断面</w:t>
                  </w:r>
                </w:p>
              </w:tc>
              <w:tc>
                <w:tcPr>
                  <w:tcW w:w="393" w:type="pct"/>
                  <w:vMerge w:val="restart"/>
                  <w:tcBorders>
                    <w:tl2br w:val="nil"/>
                    <w:tr2bl w:val="nil"/>
                  </w:tcBorders>
                  <w:vAlign w:val="center"/>
                </w:tcPr>
                <w:p w14:paraId="5F862E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监测因子</w:t>
                  </w:r>
                </w:p>
              </w:tc>
              <w:tc>
                <w:tcPr>
                  <w:tcW w:w="500" w:type="pct"/>
                  <w:vMerge w:val="restart"/>
                  <w:tcBorders>
                    <w:tl2br w:val="nil"/>
                    <w:tr2bl w:val="nil"/>
                  </w:tcBorders>
                  <w:vAlign w:val="center"/>
                </w:tcPr>
                <w:p w14:paraId="67F4F7C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单位</w:t>
                  </w:r>
                </w:p>
              </w:tc>
              <w:tc>
                <w:tcPr>
                  <w:tcW w:w="2518" w:type="pct"/>
                  <w:gridSpan w:val="3"/>
                  <w:tcBorders>
                    <w:tl2br w:val="nil"/>
                    <w:tr2bl w:val="nil"/>
                  </w:tcBorders>
                  <w:vAlign w:val="center"/>
                </w:tcPr>
                <w:p w14:paraId="7D9FBE1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检测结果</w:t>
                  </w:r>
                </w:p>
              </w:tc>
              <w:tc>
                <w:tcPr>
                  <w:tcW w:w="419" w:type="pct"/>
                  <w:vMerge w:val="restart"/>
                  <w:tcBorders>
                    <w:tl2br w:val="nil"/>
                    <w:tr2bl w:val="nil"/>
                  </w:tcBorders>
                  <w:vAlign w:val="center"/>
                </w:tcPr>
                <w:p w14:paraId="1498842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标准限值</w:t>
                  </w:r>
                </w:p>
              </w:tc>
              <w:tc>
                <w:tcPr>
                  <w:tcW w:w="337" w:type="pct"/>
                  <w:vMerge w:val="restart"/>
                  <w:tcBorders>
                    <w:tl2br w:val="nil"/>
                    <w:tr2bl w:val="nil"/>
                  </w:tcBorders>
                  <w:vAlign w:val="center"/>
                </w:tcPr>
                <w:p w14:paraId="2752B99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达标情况</w:t>
                  </w:r>
                </w:p>
              </w:tc>
            </w:tr>
            <w:tr w14:paraId="6082C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continue"/>
                  <w:tcBorders>
                    <w:tl2br w:val="nil"/>
                    <w:tr2bl w:val="nil"/>
                  </w:tcBorders>
                  <w:vAlign w:val="center"/>
                </w:tcPr>
                <w:p w14:paraId="412622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vMerge w:val="continue"/>
                  <w:tcBorders>
                    <w:tl2br w:val="nil"/>
                    <w:tr2bl w:val="nil"/>
                  </w:tcBorders>
                  <w:vAlign w:val="center"/>
                </w:tcPr>
                <w:p w14:paraId="1AAD647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500" w:type="pct"/>
                  <w:vMerge w:val="continue"/>
                  <w:tcBorders>
                    <w:tl2br w:val="nil"/>
                    <w:tr2bl w:val="nil"/>
                  </w:tcBorders>
                  <w:vAlign w:val="center"/>
                </w:tcPr>
                <w:p w14:paraId="7262F36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838" w:type="pct"/>
                  <w:tcBorders>
                    <w:tl2br w:val="nil"/>
                    <w:tr2bl w:val="nil"/>
                  </w:tcBorders>
                  <w:vAlign w:val="center"/>
                </w:tcPr>
                <w:p w14:paraId="5EC0DD5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2025.4.22</w:t>
                  </w:r>
                </w:p>
              </w:tc>
              <w:tc>
                <w:tcPr>
                  <w:tcW w:w="838" w:type="pct"/>
                  <w:tcBorders>
                    <w:tl2br w:val="nil"/>
                    <w:tr2bl w:val="nil"/>
                  </w:tcBorders>
                  <w:vAlign w:val="center"/>
                </w:tcPr>
                <w:p w14:paraId="6C3340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2025.4.23</w:t>
                  </w:r>
                </w:p>
              </w:tc>
              <w:tc>
                <w:tcPr>
                  <w:tcW w:w="842" w:type="pct"/>
                  <w:tcBorders>
                    <w:tl2br w:val="nil"/>
                    <w:tr2bl w:val="nil"/>
                  </w:tcBorders>
                  <w:vAlign w:val="center"/>
                </w:tcPr>
                <w:p w14:paraId="2E85D8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2025.4.24</w:t>
                  </w:r>
                </w:p>
              </w:tc>
              <w:tc>
                <w:tcPr>
                  <w:tcW w:w="419" w:type="pct"/>
                  <w:vMerge w:val="continue"/>
                  <w:tcBorders>
                    <w:tl2br w:val="nil"/>
                    <w:tr2bl w:val="nil"/>
                  </w:tcBorders>
                  <w:vAlign w:val="center"/>
                </w:tcPr>
                <w:p w14:paraId="3275A1D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37" w:type="pct"/>
                  <w:vMerge w:val="continue"/>
                  <w:tcBorders>
                    <w:tl2br w:val="nil"/>
                    <w:tr2bl w:val="nil"/>
                  </w:tcBorders>
                  <w:vAlign w:val="center"/>
                </w:tcPr>
                <w:p w14:paraId="790148B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r>
            <w:tr w14:paraId="33D00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restart"/>
                  <w:tcBorders>
                    <w:tl2br w:val="nil"/>
                    <w:tr2bl w:val="nil"/>
                  </w:tcBorders>
                  <w:vAlign w:val="center"/>
                </w:tcPr>
                <w:p w14:paraId="6096F1B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W1</w:t>
                  </w:r>
                </w:p>
                <w:p w14:paraId="0EB3026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太平溪支流汇入太平溪交汇口上游 500m</w:t>
                  </w:r>
                </w:p>
              </w:tc>
              <w:tc>
                <w:tcPr>
                  <w:tcW w:w="393" w:type="pct"/>
                  <w:tcBorders>
                    <w:tl2br w:val="nil"/>
                    <w:tr2bl w:val="nil"/>
                  </w:tcBorders>
                  <w:vAlign w:val="center"/>
                </w:tcPr>
                <w:p w14:paraId="03CC859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pH</w:t>
                  </w:r>
                </w:p>
              </w:tc>
              <w:tc>
                <w:tcPr>
                  <w:tcW w:w="500" w:type="pct"/>
                  <w:tcBorders>
                    <w:tl2br w:val="nil"/>
                    <w:tr2bl w:val="nil"/>
                  </w:tcBorders>
                  <w:vAlign w:val="center"/>
                </w:tcPr>
                <w:p w14:paraId="04F4043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无量纲</w:t>
                  </w:r>
                </w:p>
              </w:tc>
              <w:tc>
                <w:tcPr>
                  <w:tcW w:w="838" w:type="pct"/>
                  <w:tcBorders>
                    <w:tl2br w:val="nil"/>
                    <w:tr2bl w:val="nil"/>
                  </w:tcBorders>
                  <w:vAlign w:val="center"/>
                </w:tcPr>
                <w:p w14:paraId="7B98A8C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7.3</w:t>
                  </w:r>
                </w:p>
              </w:tc>
              <w:tc>
                <w:tcPr>
                  <w:tcW w:w="838" w:type="pct"/>
                  <w:tcBorders>
                    <w:tl2br w:val="nil"/>
                    <w:tr2bl w:val="nil"/>
                  </w:tcBorders>
                  <w:vAlign w:val="center"/>
                </w:tcPr>
                <w:p w14:paraId="26046E9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7.1</w:t>
                  </w:r>
                </w:p>
              </w:tc>
              <w:tc>
                <w:tcPr>
                  <w:tcW w:w="842" w:type="pct"/>
                  <w:tcBorders>
                    <w:tl2br w:val="nil"/>
                    <w:tr2bl w:val="nil"/>
                  </w:tcBorders>
                  <w:vAlign w:val="center"/>
                </w:tcPr>
                <w:p w14:paraId="4880996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7.4</w:t>
                  </w:r>
                </w:p>
              </w:tc>
              <w:tc>
                <w:tcPr>
                  <w:tcW w:w="419" w:type="pct"/>
                  <w:tcBorders>
                    <w:tl2br w:val="nil"/>
                    <w:tr2bl w:val="nil"/>
                  </w:tcBorders>
                  <w:vAlign w:val="center"/>
                </w:tcPr>
                <w:p w14:paraId="7B6DE1A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6-9</w:t>
                  </w:r>
                </w:p>
              </w:tc>
              <w:tc>
                <w:tcPr>
                  <w:tcW w:w="337" w:type="pct"/>
                  <w:tcBorders>
                    <w:tl2br w:val="nil"/>
                    <w:tr2bl w:val="nil"/>
                  </w:tcBorders>
                  <w:vAlign w:val="center"/>
                </w:tcPr>
                <w:p w14:paraId="7FBBABC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36483C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continue"/>
                  <w:tcBorders>
                    <w:tl2br w:val="nil"/>
                    <w:tr2bl w:val="nil"/>
                  </w:tcBorders>
                  <w:vAlign w:val="center"/>
                </w:tcPr>
                <w:p w14:paraId="256C56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45105E0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COD</w:t>
                  </w:r>
                </w:p>
              </w:tc>
              <w:tc>
                <w:tcPr>
                  <w:tcW w:w="500" w:type="pct"/>
                  <w:tcBorders>
                    <w:tl2br w:val="nil"/>
                    <w:tr2bl w:val="nil"/>
                  </w:tcBorders>
                  <w:vAlign w:val="center"/>
                </w:tcPr>
                <w:p w14:paraId="7333B2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4BA2CF5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10</w:t>
                  </w:r>
                </w:p>
              </w:tc>
              <w:tc>
                <w:tcPr>
                  <w:tcW w:w="838" w:type="pct"/>
                  <w:tcBorders>
                    <w:tl2br w:val="nil"/>
                    <w:tr2bl w:val="nil"/>
                  </w:tcBorders>
                  <w:vAlign w:val="center"/>
                </w:tcPr>
                <w:p w14:paraId="16D3FE6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842" w:type="pct"/>
                  <w:tcBorders>
                    <w:tl2br w:val="nil"/>
                    <w:tr2bl w:val="nil"/>
                  </w:tcBorders>
                  <w:vAlign w:val="center"/>
                </w:tcPr>
                <w:p w14:paraId="1AFE73F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11</w:t>
                  </w:r>
                </w:p>
              </w:tc>
              <w:tc>
                <w:tcPr>
                  <w:tcW w:w="419" w:type="pct"/>
                  <w:tcBorders>
                    <w:tl2br w:val="nil"/>
                    <w:tr2bl w:val="nil"/>
                  </w:tcBorders>
                  <w:vAlign w:val="center"/>
                </w:tcPr>
                <w:p w14:paraId="51FEB90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≤20</w:t>
                  </w:r>
                </w:p>
              </w:tc>
              <w:tc>
                <w:tcPr>
                  <w:tcW w:w="337" w:type="pct"/>
                  <w:tcBorders>
                    <w:tl2br w:val="nil"/>
                    <w:tr2bl w:val="nil"/>
                  </w:tcBorders>
                  <w:vAlign w:val="center"/>
                </w:tcPr>
                <w:p w14:paraId="5D8503F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6A1553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continue"/>
                  <w:tcBorders>
                    <w:tl2br w:val="nil"/>
                    <w:tr2bl w:val="nil"/>
                  </w:tcBorders>
                  <w:vAlign w:val="center"/>
                </w:tcPr>
                <w:p w14:paraId="4E2C59C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5B3C85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NH</w:t>
                  </w:r>
                  <w:r>
                    <w:rPr>
                      <w:rFonts w:hint="default" w:ascii="Times New Roman" w:hAnsi="Times New Roman" w:cs="Times New Roman"/>
                      <w:sz w:val="21"/>
                      <w:szCs w:val="21"/>
                      <w:vertAlign w:val="subscript"/>
                    </w:rPr>
                    <w:t>3</w:t>
                  </w:r>
                  <w:r>
                    <w:rPr>
                      <w:rFonts w:hint="default" w:ascii="Times New Roman" w:hAnsi="Times New Roman" w:cs="Times New Roman"/>
                      <w:sz w:val="21"/>
                      <w:szCs w:val="21"/>
                    </w:rPr>
                    <w:t>-N</w:t>
                  </w:r>
                </w:p>
              </w:tc>
              <w:tc>
                <w:tcPr>
                  <w:tcW w:w="500" w:type="pct"/>
                  <w:tcBorders>
                    <w:tl2br w:val="nil"/>
                    <w:tr2bl w:val="nil"/>
                  </w:tcBorders>
                  <w:vAlign w:val="center"/>
                </w:tcPr>
                <w:p w14:paraId="0B1093F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11B569F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0.761</w:t>
                  </w:r>
                </w:p>
              </w:tc>
              <w:tc>
                <w:tcPr>
                  <w:tcW w:w="838" w:type="pct"/>
                  <w:tcBorders>
                    <w:tl2br w:val="nil"/>
                    <w:tr2bl w:val="nil"/>
                  </w:tcBorders>
                  <w:vAlign w:val="center"/>
                </w:tcPr>
                <w:p w14:paraId="470951A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0.720</w:t>
                  </w:r>
                </w:p>
              </w:tc>
              <w:tc>
                <w:tcPr>
                  <w:tcW w:w="842" w:type="pct"/>
                  <w:tcBorders>
                    <w:tl2br w:val="nil"/>
                    <w:tr2bl w:val="nil"/>
                  </w:tcBorders>
                  <w:vAlign w:val="center"/>
                </w:tcPr>
                <w:p w14:paraId="410B70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0.732</w:t>
                  </w:r>
                </w:p>
              </w:tc>
              <w:tc>
                <w:tcPr>
                  <w:tcW w:w="419" w:type="pct"/>
                  <w:tcBorders>
                    <w:tl2br w:val="nil"/>
                    <w:tr2bl w:val="nil"/>
                  </w:tcBorders>
                  <w:vAlign w:val="center"/>
                </w:tcPr>
                <w:p w14:paraId="4E24927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≤1.0</w:t>
                  </w:r>
                </w:p>
              </w:tc>
              <w:tc>
                <w:tcPr>
                  <w:tcW w:w="337" w:type="pct"/>
                  <w:tcBorders>
                    <w:tl2br w:val="nil"/>
                    <w:tr2bl w:val="nil"/>
                  </w:tcBorders>
                  <w:vAlign w:val="center"/>
                </w:tcPr>
                <w:p w14:paraId="2360663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307B0E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continue"/>
                  <w:tcBorders>
                    <w:tl2br w:val="nil"/>
                    <w:tr2bl w:val="nil"/>
                  </w:tcBorders>
                  <w:vAlign w:val="center"/>
                </w:tcPr>
                <w:p w14:paraId="64984AF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16D078F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BOD</w:t>
                  </w:r>
                  <w:r>
                    <w:rPr>
                      <w:rFonts w:hint="default" w:ascii="Times New Roman" w:hAnsi="Times New Roman" w:cs="Times New Roman"/>
                      <w:sz w:val="21"/>
                      <w:szCs w:val="21"/>
                      <w:vertAlign w:val="subscript"/>
                    </w:rPr>
                    <w:t>5</w:t>
                  </w:r>
                </w:p>
              </w:tc>
              <w:tc>
                <w:tcPr>
                  <w:tcW w:w="500" w:type="pct"/>
                  <w:tcBorders>
                    <w:tl2br w:val="nil"/>
                    <w:tr2bl w:val="nil"/>
                  </w:tcBorders>
                  <w:vAlign w:val="center"/>
                </w:tcPr>
                <w:p w14:paraId="4920DBD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06AFC7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3.0</w:t>
                  </w:r>
                </w:p>
              </w:tc>
              <w:tc>
                <w:tcPr>
                  <w:tcW w:w="838" w:type="pct"/>
                  <w:tcBorders>
                    <w:tl2br w:val="nil"/>
                    <w:tr2bl w:val="nil"/>
                  </w:tcBorders>
                  <w:vAlign w:val="center"/>
                </w:tcPr>
                <w:p w14:paraId="07DD2BB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2.8</w:t>
                  </w:r>
                </w:p>
              </w:tc>
              <w:tc>
                <w:tcPr>
                  <w:tcW w:w="842" w:type="pct"/>
                  <w:tcBorders>
                    <w:tl2br w:val="nil"/>
                    <w:tr2bl w:val="nil"/>
                  </w:tcBorders>
                  <w:vAlign w:val="center"/>
                </w:tcPr>
                <w:p w14:paraId="6C1F589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3.6</w:t>
                  </w:r>
                </w:p>
              </w:tc>
              <w:tc>
                <w:tcPr>
                  <w:tcW w:w="419" w:type="pct"/>
                  <w:tcBorders>
                    <w:tl2br w:val="nil"/>
                    <w:tr2bl w:val="nil"/>
                  </w:tcBorders>
                  <w:vAlign w:val="center"/>
                </w:tcPr>
                <w:p w14:paraId="0A3B496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w:t>
                  </w:r>
                </w:p>
              </w:tc>
              <w:tc>
                <w:tcPr>
                  <w:tcW w:w="337" w:type="pct"/>
                  <w:tcBorders>
                    <w:tl2br w:val="nil"/>
                    <w:tr2bl w:val="nil"/>
                  </w:tcBorders>
                  <w:vAlign w:val="center"/>
                </w:tcPr>
                <w:p w14:paraId="74B6890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67009D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continue"/>
                  <w:tcBorders>
                    <w:tl2br w:val="nil"/>
                    <w:tr2bl w:val="nil"/>
                  </w:tcBorders>
                  <w:vAlign w:val="center"/>
                </w:tcPr>
                <w:p w14:paraId="6E661AE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4E9543F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TP</w:t>
                  </w:r>
                </w:p>
              </w:tc>
              <w:tc>
                <w:tcPr>
                  <w:tcW w:w="500" w:type="pct"/>
                  <w:tcBorders>
                    <w:tl2br w:val="nil"/>
                    <w:tr2bl w:val="nil"/>
                  </w:tcBorders>
                  <w:vAlign w:val="center"/>
                </w:tcPr>
                <w:p w14:paraId="5197EE4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6C8C953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0.08</w:t>
                  </w:r>
                </w:p>
              </w:tc>
              <w:tc>
                <w:tcPr>
                  <w:tcW w:w="838" w:type="pct"/>
                  <w:tcBorders>
                    <w:tl2br w:val="nil"/>
                    <w:tr2bl w:val="nil"/>
                  </w:tcBorders>
                  <w:vAlign w:val="center"/>
                </w:tcPr>
                <w:p w14:paraId="2640340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0.05</w:t>
                  </w:r>
                </w:p>
              </w:tc>
              <w:tc>
                <w:tcPr>
                  <w:tcW w:w="842" w:type="pct"/>
                  <w:tcBorders>
                    <w:tl2br w:val="nil"/>
                    <w:tr2bl w:val="nil"/>
                  </w:tcBorders>
                  <w:vAlign w:val="center"/>
                </w:tcPr>
                <w:p w14:paraId="17DAF7D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0.12</w:t>
                  </w:r>
                </w:p>
              </w:tc>
              <w:tc>
                <w:tcPr>
                  <w:tcW w:w="419" w:type="pct"/>
                  <w:tcBorders>
                    <w:tl2br w:val="nil"/>
                    <w:tr2bl w:val="nil"/>
                  </w:tcBorders>
                  <w:vAlign w:val="center"/>
                </w:tcPr>
                <w:p w14:paraId="04BE79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≤0.2</w:t>
                  </w:r>
                </w:p>
              </w:tc>
              <w:tc>
                <w:tcPr>
                  <w:tcW w:w="337" w:type="pct"/>
                  <w:tcBorders>
                    <w:tl2br w:val="nil"/>
                    <w:tr2bl w:val="nil"/>
                  </w:tcBorders>
                  <w:vAlign w:val="center"/>
                </w:tcPr>
                <w:p w14:paraId="3EA1639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1A55C9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restart"/>
                  <w:tcBorders>
                    <w:tl2br w:val="nil"/>
                    <w:tr2bl w:val="nil"/>
                  </w:tcBorders>
                  <w:vAlign w:val="center"/>
                </w:tcPr>
                <w:p w14:paraId="28309B2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W2</w:t>
                  </w:r>
                </w:p>
                <w:p w14:paraId="6A7EBF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太平溪支流汇入太平溪交汇口下游 2000m</w:t>
                  </w:r>
                </w:p>
              </w:tc>
              <w:tc>
                <w:tcPr>
                  <w:tcW w:w="393" w:type="pct"/>
                  <w:tcBorders>
                    <w:tl2br w:val="nil"/>
                    <w:tr2bl w:val="nil"/>
                  </w:tcBorders>
                  <w:vAlign w:val="center"/>
                </w:tcPr>
                <w:p w14:paraId="24CE76B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pH</w:t>
                  </w:r>
                </w:p>
              </w:tc>
              <w:tc>
                <w:tcPr>
                  <w:tcW w:w="500" w:type="pct"/>
                  <w:tcBorders>
                    <w:tl2br w:val="nil"/>
                    <w:tr2bl w:val="nil"/>
                  </w:tcBorders>
                  <w:vAlign w:val="center"/>
                </w:tcPr>
                <w:p w14:paraId="044EBBA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无量纲</w:t>
                  </w:r>
                </w:p>
              </w:tc>
              <w:tc>
                <w:tcPr>
                  <w:tcW w:w="838" w:type="pct"/>
                  <w:tcBorders>
                    <w:tl2br w:val="nil"/>
                    <w:tr2bl w:val="nil"/>
                  </w:tcBorders>
                  <w:vAlign w:val="center"/>
                </w:tcPr>
                <w:p w14:paraId="7155D1F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7.0</w:t>
                  </w:r>
                </w:p>
              </w:tc>
              <w:tc>
                <w:tcPr>
                  <w:tcW w:w="838" w:type="pct"/>
                  <w:tcBorders>
                    <w:tl2br w:val="nil"/>
                    <w:tr2bl w:val="nil"/>
                  </w:tcBorders>
                  <w:vAlign w:val="center"/>
                </w:tcPr>
                <w:p w14:paraId="2EB2B0D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7.4</w:t>
                  </w:r>
                </w:p>
              </w:tc>
              <w:tc>
                <w:tcPr>
                  <w:tcW w:w="842" w:type="pct"/>
                  <w:tcBorders>
                    <w:tl2br w:val="nil"/>
                    <w:tr2bl w:val="nil"/>
                  </w:tcBorders>
                  <w:vAlign w:val="center"/>
                </w:tcPr>
                <w:p w14:paraId="2373348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7.6</w:t>
                  </w:r>
                </w:p>
              </w:tc>
              <w:tc>
                <w:tcPr>
                  <w:tcW w:w="419" w:type="pct"/>
                  <w:tcBorders>
                    <w:tl2br w:val="nil"/>
                    <w:tr2bl w:val="nil"/>
                  </w:tcBorders>
                  <w:vAlign w:val="center"/>
                </w:tcPr>
                <w:p w14:paraId="028508A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6-9</w:t>
                  </w:r>
                </w:p>
              </w:tc>
              <w:tc>
                <w:tcPr>
                  <w:tcW w:w="337" w:type="pct"/>
                  <w:tcBorders>
                    <w:tl2br w:val="nil"/>
                    <w:tr2bl w:val="nil"/>
                  </w:tcBorders>
                  <w:vAlign w:val="center"/>
                </w:tcPr>
                <w:p w14:paraId="41F1EE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1B1F2E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continue"/>
                  <w:tcBorders>
                    <w:tl2br w:val="nil"/>
                    <w:tr2bl w:val="nil"/>
                  </w:tcBorders>
                  <w:vAlign w:val="center"/>
                </w:tcPr>
                <w:p w14:paraId="4B5460B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3F11385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COD</w:t>
                  </w:r>
                </w:p>
              </w:tc>
              <w:tc>
                <w:tcPr>
                  <w:tcW w:w="500" w:type="pct"/>
                  <w:tcBorders>
                    <w:tl2br w:val="nil"/>
                    <w:tr2bl w:val="nil"/>
                  </w:tcBorders>
                  <w:vAlign w:val="center"/>
                </w:tcPr>
                <w:p w14:paraId="6FC6A73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340E981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4L</w:t>
                  </w:r>
                </w:p>
              </w:tc>
              <w:tc>
                <w:tcPr>
                  <w:tcW w:w="838" w:type="pct"/>
                  <w:tcBorders>
                    <w:tl2br w:val="nil"/>
                    <w:tr2bl w:val="nil"/>
                  </w:tcBorders>
                  <w:vAlign w:val="center"/>
                </w:tcPr>
                <w:p w14:paraId="48B2756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4L</w:t>
                  </w:r>
                </w:p>
              </w:tc>
              <w:tc>
                <w:tcPr>
                  <w:tcW w:w="842" w:type="pct"/>
                  <w:tcBorders>
                    <w:tl2br w:val="nil"/>
                    <w:tr2bl w:val="nil"/>
                  </w:tcBorders>
                  <w:vAlign w:val="center"/>
                </w:tcPr>
                <w:p w14:paraId="0FFC55C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4L</w:t>
                  </w:r>
                </w:p>
              </w:tc>
              <w:tc>
                <w:tcPr>
                  <w:tcW w:w="419" w:type="pct"/>
                  <w:tcBorders>
                    <w:tl2br w:val="nil"/>
                    <w:tr2bl w:val="nil"/>
                  </w:tcBorders>
                  <w:vAlign w:val="center"/>
                </w:tcPr>
                <w:p w14:paraId="295CD94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≤20</w:t>
                  </w:r>
                </w:p>
              </w:tc>
              <w:tc>
                <w:tcPr>
                  <w:tcW w:w="337" w:type="pct"/>
                  <w:tcBorders>
                    <w:tl2br w:val="nil"/>
                    <w:tr2bl w:val="nil"/>
                  </w:tcBorders>
                  <w:vAlign w:val="center"/>
                </w:tcPr>
                <w:p w14:paraId="50BFF25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04B9B7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continue"/>
                  <w:tcBorders>
                    <w:tl2br w:val="nil"/>
                    <w:tr2bl w:val="nil"/>
                  </w:tcBorders>
                  <w:vAlign w:val="center"/>
                </w:tcPr>
                <w:p w14:paraId="03A4672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6B87E7F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NH</w:t>
                  </w:r>
                  <w:r>
                    <w:rPr>
                      <w:rFonts w:hint="default" w:ascii="Times New Roman" w:hAnsi="Times New Roman" w:cs="Times New Roman"/>
                      <w:sz w:val="21"/>
                      <w:szCs w:val="21"/>
                      <w:vertAlign w:val="subscript"/>
                    </w:rPr>
                    <w:t>3</w:t>
                  </w:r>
                  <w:r>
                    <w:rPr>
                      <w:rFonts w:hint="default" w:ascii="Times New Roman" w:hAnsi="Times New Roman" w:cs="Times New Roman"/>
                      <w:sz w:val="21"/>
                      <w:szCs w:val="21"/>
                    </w:rPr>
                    <w:t>-N</w:t>
                  </w:r>
                </w:p>
              </w:tc>
              <w:tc>
                <w:tcPr>
                  <w:tcW w:w="500" w:type="pct"/>
                  <w:tcBorders>
                    <w:tl2br w:val="nil"/>
                    <w:tr2bl w:val="nil"/>
                  </w:tcBorders>
                  <w:vAlign w:val="center"/>
                </w:tcPr>
                <w:p w14:paraId="5FC852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39F3ED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0.767</w:t>
                  </w:r>
                </w:p>
              </w:tc>
              <w:tc>
                <w:tcPr>
                  <w:tcW w:w="838" w:type="pct"/>
                  <w:tcBorders>
                    <w:tl2br w:val="nil"/>
                    <w:tr2bl w:val="nil"/>
                  </w:tcBorders>
                  <w:vAlign w:val="center"/>
                </w:tcPr>
                <w:p w14:paraId="3956F0F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0.696</w:t>
                  </w:r>
                </w:p>
              </w:tc>
              <w:tc>
                <w:tcPr>
                  <w:tcW w:w="842" w:type="pct"/>
                  <w:tcBorders>
                    <w:tl2br w:val="nil"/>
                    <w:tr2bl w:val="nil"/>
                  </w:tcBorders>
                  <w:vAlign w:val="center"/>
                </w:tcPr>
                <w:p w14:paraId="3FFB11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0.711</w:t>
                  </w:r>
                </w:p>
              </w:tc>
              <w:tc>
                <w:tcPr>
                  <w:tcW w:w="419" w:type="pct"/>
                  <w:tcBorders>
                    <w:tl2br w:val="nil"/>
                    <w:tr2bl w:val="nil"/>
                  </w:tcBorders>
                  <w:vAlign w:val="center"/>
                </w:tcPr>
                <w:p w14:paraId="5CECB7F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≤1.0</w:t>
                  </w:r>
                </w:p>
              </w:tc>
              <w:tc>
                <w:tcPr>
                  <w:tcW w:w="337" w:type="pct"/>
                  <w:tcBorders>
                    <w:tl2br w:val="nil"/>
                    <w:tr2bl w:val="nil"/>
                  </w:tcBorders>
                  <w:vAlign w:val="center"/>
                </w:tcPr>
                <w:p w14:paraId="3739E1D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45195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continue"/>
                  <w:tcBorders>
                    <w:tl2br w:val="nil"/>
                    <w:tr2bl w:val="nil"/>
                  </w:tcBorders>
                  <w:vAlign w:val="center"/>
                </w:tcPr>
                <w:p w14:paraId="1DBA46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3756BBA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BOD</w:t>
                  </w:r>
                  <w:r>
                    <w:rPr>
                      <w:rFonts w:hint="default" w:ascii="Times New Roman" w:hAnsi="Times New Roman" w:cs="Times New Roman"/>
                      <w:sz w:val="21"/>
                      <w:szCs w:val="21"/>
                      <w:vertAlign w:val="subscript"/>
                    </w:rPr>
                    <w:t>5</w:t>
                  </w:r>
                </w:p>
              </w:tc>
              <w:tc>
                <w:tcPr>
                  <w:tcW w:w="500" w:type="pct"/>
                  <w:tcBorders>
                    <w:tl2br w:val="nil"/>
                    <w:tr2bl w:val="nil"/>
                  </w:tcBorders>
                  <w:vAlign w:val="center"/>
                </w:tcPr>
                <w:p w14:paraId="4D18C7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6323AEE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1.6</w:t>
                  </w:r>
                </w:p>
              </w:tc>
              <w:tc>
                <w:tcPr>
                  <w:tcW w:w="838" w:type="pct"/>
                  <w:tcBorders>
                    <w:tl2br w:val="nil"/>
                    <w:tr2bl w:val="nil"/>
                  </w:tcBorders>
                  <w:vAlign w:val="center"/>
                </w:tcPr>
                <w:p w14:paraId="5A36275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1.5</w:t>
                  </w:r>
                </w:p>
              </w:tc>
              <w:tc>
                <w:tcPr>
                  <w:tcW w:w="842" w:type="pct"/>
                  <w:tcBorders>
                    <w:tl2br w:val="nil"/>
                    <w:tr2bl w:val="nil"/>
                  </w:tcBorders>
                  <w:vAlign w:val="center"/>
                </w:tcPr>
                <w:p w14:paraId="0BE0C0D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1.8</w:t>
                  </w:r>
                </w:p>
              </w:tc>
              <w:tc>
                <w:tcPr>
                  <w:tcW w:w="419" w:type="pct"/>
                  <w:tcBorders>
                    <w:tl2br w:val="nil"/>
                    <w:tr2bl w:val="nil"/>
                  </w:tcBorders>
                  <w:vAlign w:val="center"/>
                </w:tcPr>
                <w:p w14:paraId="407F2A9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w:t>
                  </w:r>
                </w:p>
              </w:tc>
              <w:tc>
                <w:tcPr>
                  <w:tcW w:w="337" w:type="pct"/>
                  <w:tcBorders>
                    <w:tl2br w:val="nil"/>
                    <w:tr2bl w:val="nil"/>
                  </w:tcBorders>
                  <w:vAlign w:val="center"/>
                </w:tcPr>
                <w:p w14:paraId="450A946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528D3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continue"/>
                  <w:tcBorders>
                    <w:tl2br w:val="nil"/>
                    <w:tr2bl w:val="nil"/>
                  </w:tcBorders>
                  <w:vAlign w:val="center"/>
                </w:tcPr>
                <w:p w14:paraId="3EF8E10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16276B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TP</w:t>
                  </w:r>
                </w:p>
              </w:tc>
              <w:tc>
                <w:tcPr>
                  <w:tcW w:w="500" w:type="pct"/>
                  <w:tcBorders>
                    <w:tl2br w:val="nil"/>
                    <w:tr2bl w:val="nil"/>
                  </w:tcBorders>
                  <w:vAlign w:val="center"/>
                </w:tcPr>
                <w:p w14:paraId="6C9B61E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43E6269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0.11</w:t>
                  </w:r>
                </w:p>
              </w:tc>
              <w:tc>
                <w:tcPr>
                  <w:tcW w:w="838" w:type="pct"/>
                  <w:tcBorders>
                    <w:tl2br w:val="nil"/>
                    <w:tr2bl w:val="nil"/>
                  </w:tcBorders>
                  <w:vAlign w:val="center"/>
                </w:tcPr>
                <w:p w14:paraId="717B345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0.13</w:t>
                  </w:r>
                </w:p>
              </w:tc>
              <w:tc>
                <w:tcPr>
                  <w:tcW w:w="842" w:type="pct"/>
                  <w:tcBorders>
                    <w:tl2br w:val="nil"/>
                    <w:tr2bl w:val="nil"/>
                  </w:tcBorders>
                  <w:vAlign w:val="center"/>
                </w:tcPr>
                <w:p w14:paraId="77D9880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0.11</w:t>
                  </w:r>
                </w:p>
              </w:tc>
              <w:tc>
                <w:tcPr>
                  <w:tcW w:w="419" w:type="pct"/>
                  <w:tcBorders>
                    <w:tl2br w:val="nil"/>
                    <w:tr2bl w:val="nil"/>
                  </w:tcBorders>
                  <w:vAlign w:val="center"/>
                </w:tcPr>
                <w:p w14:paraId="7DF6294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≤0.2</w:t>
                  </w:r>
                </w:p>
              </w:tc>
              <w:tc>
                <w:tcPr>
                  <w:tcW w:w="337" w:type="pct"/>
                  <w:tcBorders>
                    <w:tl2br w:val="nil"/>
                    <w:tr2bl w:val="nil"/>
                  </w:tcBorders>
                  <w:vAlign w:val="center"/>
                </w:tcPr>
                <w:p w14:paraId="189A00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4F154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restart"/>
                  <w:tcBorders>
                    <w:tl2br w:val="nil"/>
                    <w:tr2bl w:val="nil"/>
                  </w:tcBorders>
                  <w:vAlign w:val="center"/>
                </w:tcPr>
                <w:p w14:paraId="0344A2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W3</w:t>
                  </w:r>
                </w:p>
                <w:p w14:paraId="5D89353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工业集中区污水处理厂</w:t>
                  </w:r>
                  <w:r>
                    <w:rPr>
                      <w:rFonts w:hint="default" w:ascii="Times New Roman" w:hAnsi="Times New Roman" w:cs="Times New Roman"/>
                      <w:sz w:val="21"/>
                      <w:szCs w:val="21"/>
                      <w:lang w:val="en-US" w:eastAsia="zh-CN"/>
                    </w:rPr>
                    <w:t>排污口上游500m</w:t>
                  </w:r>
                </w:p>
              </w:tc>
              <w:tc>
                <w:tcPr>
                  <w:tcW w:w="393" w:type="pct"/>
                  <w:tcBorders>
                    <w:tl2br w:val="nil"/>
                    <w:tr2bl w:val="nil"/>
                  </w:tcBorders>
                  <w:vAlign w:val="center"/>
                </w:tcPr>
                <w:p w14:paraId="2FBA2E9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pH</w:t>
                  </w:r>
                </w:p>
              </w:tc>
              <w:tc>
                <w:tcPr>
                  <w:tcW w:w="500" w:type="pct"/>
                  <w:tcBorders>
                    <w:tl2br w:val="nil"/>
                    <w:tr2bl w:val="nil"/>
                  </w:tcBorders>
                  <w:vAlign w:val="center"/>
                </w:tcPr>
                <w:p w14:paraId="1B11A28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无量纲</w:t>
                  </w:r>
                </w:p>
              </w:tc>
              <w:tc>
                <w:tcPr>
                  <w:tcW w:w="838" w:type="pct"/>
                  <w:tcBorders>
                    <w:tl2br w:val="nil"/>
                    <w:tr2bl w:val="nil"/>
                  </w:tcBorders>
                  <w:vAlign w:val="center"/>
                </w:tcPr>
                <w:p w14:paraId="0249F88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7.2</w:t>
                  </w:r>
                </w:p>
              </w:tc>
              <w:tc>
                <w:tcPr>
                  <w:tcW w:w="838" w:type="pct"/>
                  <w:tcBorders>
                    <w:tl2br w:val="nil"/>
                    <w:tr2bl w:val="nil"/>
                  </w:tcBorders>
                  <w:vAlign w:val="center"/>
                </w:tcPr>
                <w:p w14:paraId="138C00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7.2</w:t>
                  </w:r>
                </w:p>
              </w:tc>
              <w:tc>
                <w:tcPr>
                  <w:tcW w:w="842" w:type="pct"/>
                  <w:tcBorders>
                    <w:tl2br w:val="nil"/>
                    <w:tr2bl w:val="nil"/>
                  </w:tcBorders>
                  <w:vAlign w:val="center"/>
                </w:tcPr>
                <w:p w14:paraId="613D31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7.2</w:t>
                  </w:r>
                </w:p>
              </w:tc>
              <w:tc>
                <w:tcPr>
                  <w:tcW w:w="419" w:type="pct"/>
                  <w:tcBorders>
                    <w:tl2br w:val="nil"/>
                    <w:tr2bl w:val="nil"/>
                  </w:tcBorders>
                  <w:vAlign w:val="center"/>
                </w:tcPr>
                <w:p w14:paraId="1466E0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6-9</w:t>
                  </w:r>
                </w:p>
              </w:tc>
              <w:tc>
                <w:tcPr>
                  <w:tcW w:w="337" w:type="pct"/>
                  <w:tcBorders>
                    <w:tl2br w:val="nil"/>
                    <w:tr2bl w:val="nil"/>
                  </w:tcBorders>
                  <w:vAlign w:val="center"/>
                </w:tcPr>
                <w:p w14:paraId="2C701B9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63CF67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30" w:type="pct"/>
                  <w:vMerge w:val="continue"/>
                  <w:tcBorders>
                    <w:tl2br w:val="nil"/>
                    <w:tr2bl w:val="nil"/>
                  </w:tcBorders>
                  <w:vAlign w:val="center"/>
                </w:tcPr>
                <w:p w14:paraId="6E706B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62630C1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COD</w:t>
                  </w:r>
                </w:p>
              </w:tc>
              <w:tc>
                <w:tcPr>
                  <w:tcW w:w="500" w:type="pct"/>
                  <w:tcBorders>
                    <w:tl2br w:val="nil"/>
                    <w:tr2bl w:val="nil"/>
                  </w:tcBorders>
                  <w:vAlign w:val="center"/>
                </w:tcPr>
                <w:p w14:paraId="00307C4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5C8F35E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4L</w:t>
                  </w:r>
                </w:p>
              </w:tc>
              <w:tc>
                <w:tcPr>
                  <w:tcW w:w="838" w:type="pct"/>
                  <w:tcBorders>
                    <w:tl2br w:val="nil"/>
                    <w:tr2bl w:val="nil"/>
                  </w:tcBorders>
                  <w:vAlign w:val="center"/>
                </w:tcPr>
                <w:p w14:paraId="30F3C23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4L</w:t>
                  </w:r>
                </w:p>
              </w:tc>
              <w:tc>
                <w:tcPr>
                  <w:tcW w:w="842" w:type="pct"/>
                  <w:tcBorders>
                    <w:tl2br w:val="nil"/>
                    <w:tr2bl w:val="nil"/>
                  </w:tcBorders>
                  <w:vAlign w:val="center"/>
                </w:tcPr>
                <w:p w14:paraId="30C7D27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4L</w:t>
                  </w:r>
                </w:p>
              </w:tc>
              <w:tc>
                <w:tcPr>
                  <w:tcW w:w="419" w:type="pct"/>
                  <w:tcBorders>
                    <w:tl2br w:val="nil"/>
                    <w:tr2bl w:val="nil"/>
                  </w:tcBorders>
                  <w:vAlign w:val="center"/>
                </w:tcPr>
                <w:p w14:paraId="0573573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≤20</w:t>
                  </w:r>
                </w:p>
              </w:tc>
              <w:tc>
                <w:tcPr>
                  <w:tcW w:w="337" w:type="pct"/>
                  <w:tcBorders>
                    <w:tl2br w:val="nil"/>
                    <w:tr2bl w:val="nil"/>
                  </w:tcBorders>
                  <w:vAlign w:val="center"/>
                </w:tcPr>
                <w:p w14:paraId="37D5D22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093E2A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7" w:hRule="atLeast"/>
                <w:jc w:val="center"/>
              </w:trPr>
              <w:tc>
                <w:tcPr>
                  <w:tcW w:w="830" w:type="pct"/>
                  <w:vMerge w:val="continue"/>
                  <w:tcBorders>
                    <w:tl2br w:val="nil"/>
                    <w:tr2bl w:val="nil"/>
                  </w:tcBorders>
                  <w:vAlign w:val="center"/>
                </w:tcPr>
                <w:p w14:paraId="026B712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7EF64C6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NH</w:t>
                  </w:r>
                  <w:r>
                    <w:rPr>
                      <w:rFonts w:hint="default" w:ascii="Times New Roman" w:hAnsi="Times New Roman" w:cs="Times New Roman"/>
                      <w:sz w:val="21"/>
                      <w:szCs w:val="21"/>
                      <w:vertAlign w:val="subscript"/>
                    </w:rPr>
                    <w:t>3</w:t>
                  </w:r>
                  <w:r>
                    <w:rPr>
                      <w:rFonts w:hint="default" w:ascii="Times New Roman" w:hAnsi="Times New Roman" w:cs="Times New Roman"/>
                      <w:sz w:val="21"/>
                      <w:szCs w:val="21"/>
                    </w:rPr>
                    <w:t>-N</w:t>
                  </w:r>
                </w:p>
              </w:tc>
              <w:tc>
                <w:tcPr>
                  <w:tcW w:w="500" w:type="pct"/>
                  <w:tcBorders>
                    <w:tl2br w:val="nil"/>
                    <w:tr2bl w:val="nil"/>
                  </w:tcBorders>
                  <w:vAlign w:val="center"/>
                </w:tcPr>
                <w:p w14:paraId="4A92ABD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15FEF9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0.335</w:t>
                  </w:r>
                </w:p>
              </w:tc>
              <w:tc>
                <w:tcPr>
                  <w:tcW w:w="838" w:type="pct"/>
                  <w:tcBorders>
                    <w:tl2br w:val="nil"/>
                    <w:tr2bl w:val="nil"/>
                  </w:tcBorders>
                  <w:vAlign w:val="center"/>
                </w:tcPr>
                <w:p w14:paraId="671720A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0.317</w:t>
                  </w:r>
                </w:p>
              </w:tc>
              <w:tc>
                <w:tcPr>
                  <w:tcW w:w="842" w:type="pct"/>
                  <w:tcBorders>
                    <w:tl2br w:val="nil"/>
                    <w:tr2bl w:val="nil"/>
                  </w:tcBorders>
                  <w:vAlign w:val="center"/>
                </w:tcPr>
                <w:p w14:paraId="3DE75E4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0.305</w:t>
                  </w:r>
                </w:p>
              </w:tc>
              <w:tc>
                <w:tcPr>
                  <w:tcW w:w="419" w:type="pct"/>
                  <w:tcBorders>
                    <w:tl2br w:val="nil"/>
                    <w:tr2bl w:val="nil"/>
                  </w:tcBorders>
                  <w:vAlign w:val="center"/>
                </w:tcPr>
                <w:p w14:paraId="60B8A4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≤1.0</w:t>
                  </w:r>
                </w:p>
              </w:tc>
              <w:tc>
                <w:tcPr>
                  <w:tcW w:w="337" w:type="pct"/>
                  <w:tcBorders>
                    <w:tl2br w:val="nil"/>
                    <w:tr2bl w:val="nil"/>
                  </w:tcBorders>
                  <w:vAlign w:val="center"/>
                </w:tcPr>
                <w:p w14:paraId="0F6A8A2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21751F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7" w:hRule="atLeast"/>
                <w:jc w:val="center"/>
              </w:trPr>
              <w:tc>
                <w:tcPr>
                  <w:tcW w:w="830" w:type="pct"/>
                  <w:vMerge w:val="continue"/>
                  <w:tcBorders>
                    <w:tl2br w:val="nil"/>
                    <w:tr2bl w:val="nil"/>
                  </w:tcBorders>
                  <w:vAlign w:val="center"/>
                </w:tcPr>
                <w:p w14:paraId="490B754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534C795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BOD</w:t>
                  </w:r>
                  <w:r>
                    <w:rPr>
                      <w:rFonts w:hint="default" w:ascii="Times New Roman" w:hAnsi="Times New Roman" w:cs="Times New Roman"/>
                      <w:sz w:val="21"/>
                      <w:szCs w:val="21"/>
                      <w:vertAlign w:val="subscript"/>
                    </w:rPr>
                    <w:t>5</w:t>
                  </w:r>
                </w:p>
              </w:tc>
              <w:tc>
                <w:tcPr>
                  <w:tcW w:w="500" w:type="pct"/>
                  <w:tcBorders>
                    <w:tl2br w:val="nil"/>
                    <w:tr2bl w:val="nil"/>
                  </w:tcBorders>
                  <w:vAlign w:val="center"/>
                </w:tcPr>
                <w:p w14:paraId="6E26EAC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6A690CA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1.3</w:t>
                  </w:r>
                </w:p>
              </w:tc>
              <w:tc>
                <w:tcPr>
                  <w:tcW w:w="838" w:type="pct"/>
                  <w:tcBorders>
                    <w:tl2br w:val="nil"/>
                    <w:tr2bl w:val="nil"/>
                  </w:tcBorders>
                  <w:vAlign w:val="center"/>
                </w:tcPr>
                <w:p w14:paraId="41DDC99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842" w:type="pct"/>
                  <w:tcBorders>
                    <w:tl2br w:val="nil"/>
                    <w:tr2bl w:val="nil"/>
                  </w:tcBorders>
                  <w:vAlign w:val="center"/>
                </w:tcPr>
                <w:p w14:paraId="0BEFBF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w:t>
                  </w:r>
                </w:p>
              </w:tc>
              <w:tc>
                <w:tcPr>
                  <w:tcW w:w="688" w:type="dxa"/>
                  <w:tcBorders>
                    <w:tl2br w:val="nil"/>
                    <w:tr2bl w:val="nil"/>
                  </w:tcBorders>
                  <w:vAlign w:val="center"/>
                </w:tcPr>
                <w:p w14:paraId="5A97D72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w:t>
                  </w:r>
                </w:p>
              </w:tc>
              <w:tc>
                <w:tcPr>
                  <w:tcW w:w="337" w:type="pct"/>
                  <w:tcBorders>
                    <w:tl2br w:val="nil"/>
                    <w:tr2bl w:val="nil"/>
                  </w:tcBorders>
                  <w:vAlign w:val="center"/>
                </w:tcPr>
                <w:p w14:paraId="003644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461BE8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7" w:hRule="atLeast"/>
                <w:jc w:val="center"/>
              </w:trPr>
              <w:tc>
                <w:tcPr>
                  <w:tcW w:w="830" w:type="pct"/>
                  <w:vMerge w:val="continue"/>
                  <w:tcBorders>
                    <w:tl2br w:val="nil"/>
                    <w:tr2bl w:val="nil"/>
                  </w:tcBorders>
                  <w:vAlign w:val="center"/>
                </w:tcPr>
                <w:p w14:paraId="42E204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32DA608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TP</w:t>
                  </w:r>
                </w:p>
              </w:tc>
              <w:tc>
                <w:tcPr>
                  <w:tcW w:w="500" w:type="pct"/>
                  <w:tcBorders>
                    <w:tl2br w:val="nil"/>
                    <w:tr2bl w:val="nil"/>
                  </w:tcBorders>
                  <w:vAlign w:val="center"/>
                </w:tcPr>
                <w:p w14:paraId="691ED85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1415065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0.05</w:t>
                  </w:r>
                </w:p>
              </w:tc>
              <w:tc>
                <w:tcPr>
                  <w:tcW w:w="838" w:type="pct"/>
                  <w:tcBorders>
                    <w:tl2br w:val="nil"/>
                    <w:tr2bl w:val="nil"/>
                  </w:tcBorders>
                  <w:vAlign w:val="center"/>
                </w:tcPr>
                <w:p w14:paraId="51F52D0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0.09</w:t>
                  </w:r>
                </w:p>
              </w:tc>
              <w:tc>
                <w:tcPr>
                  <w:tcW w:w="842" w:type="pct"/>
                  <w:tcBorders>
                    <w:tl2br w:val="nil"/>
                    <w:tr2bl w:val="nil"/>
                  </w:tcBorders>
                  <w:vAlign w:val="center"/>
                </w:tcPr>
                <w:p w14:paraId="12DB907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0.06</w:t>
                  </w:r>
                </w:p>
              </w:tc>
              <w:tc>
                <w:tcPr>
                  <w:tcW w:w="688" w:type="dxa"/>
                  <w:tcBorders>
                    <w:tl2br w:val="nil"/>
                    <w:tr2bl w:val="nil"/>
                  </w:tcBorders>
                  <w:vAlign w:val="center"/>
                </w:tcPr>
                <w:p w14:paraId="016976B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≤0.2</w:t>
                  </w:r>
                </w:p>
              </w:tc>
              <w:tc>
                <w:tcPr>
                  <w:tcW w:w="337" w:type="pct"/>
                  <w:tcBorders>
                    <w:tl2br w:val="nil"/>
                    <w:tr2bl w:val="nil"/>
                  </w:tcBorders>
                  <w:vAlign w:val="center"/>
                </w:tcPr>
                <w:p w14:paraId="586140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60487F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7" w:hRule="atLeast"/>
                <w:jc w:val="center"/>
              </w:trPr>
              <w:tc>
                <w:tcPr>
                  <w:tcW w:w="830" w:type="pct"/>
                  <w:vMerge w:val="restart"/>
                  <w:tcBorders>
                    <w:tl2br w:val="nil"/>
                    <w:tr2bl w:val="nil"/>
                  </w:tcBorders>
                  <w:vAlign w:val="center"/>
                </w:tcPr>
                <w:p w14:paraId="3B3463E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W4太平溪支流汇入太平溪上游500m</w:t>
                  </w:r>
                </w:p>
              </w:tc>
              <w:tc>
                <w:tcPr>
                  <w:tcW w:w="393" w:type="pct"/>
                  <w:tcBorders>
                    <w:tl2br w:val="nil"/>
                    <w:tr2bl w:val="nil"/>
                  </w:tcBorders>
                  <w:vAlign w:val="center"/>
                </w:tcPr>
                <w:p w14:paraId="6173A78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pH</w:t>
                  </w:r>
                </w:p>
              </w:tc>
              <w:tc>
                <w:tcPr>
                  <w:tcW w:w="500" w:type="pct"/>
                  <w:tcBorders>
                    <w:tl2br w:val="nil"/>
                    <w:tr2bl w:val="nil"/>
                  </w:tcBorders>
                  <w:vAlign w:val="center"/>
                </w:tcPr>
                <w:p w14:paraId="6B24279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无量纲</w:t>
                  </w:r>
                </w:p>
              </w:tc>
              <w:tc>
                <w:tcPr>
                  <w:tcW w:w="838" w:type="pct"/>
                  <w:tcBorders>
                    <w:tl2br w:val="nil"/>
                    <w:tr2bl w:val="nil"/>
                  </w:tcBorders>
                  <w:vAlign w:val="center"/>
                </w:tcPr>
                <w:p w14:paraId="27293B5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7.4</w:t>
                  </w:r>
                </w:p>
              </w:tc>
              <w:tc>
                <w:tcPr>
                  <w:tcW w:w="838" w:type="pct"/>
                  <w:tcBorders>
                    <w:tl2br w:val="nil"/>
                    <w:tr2bl w:val="nil"/>
                  </w:tcBorders>
                  <w:vAlign w:val="center"/>
                </w:tcPr>
                <w:p w14:paraId="6375058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7.3</w:t>
                  </w:r>
                </w:p>
              </w:tc>
              <w:tc>
                <w:tcPr>
                  <w:tcW w:w="842" w:type="pct"/>
                  <w:tcBorders>
                    <w:tl2br w:val="nil"/>
                    <w:tr2bl w:val="nil"/>
                  </w:tcBorders>
                  <w:vAlign w:val="center"/>
                </w:tcPr>
                <w:p w14:paraId="58C5D7A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7.5</w:t>
                  </w:r>
                </w:p>
              </w:tc>
              <w:tc>
                <w:tcPr>
                  <w:tcW w:w="688" w:type="dxa"/>
                  <w:tcBorders>
                    <w:tl2br w:val="nil"/>
                    <w:tr2bl w:val="nil"/>
                  </w:tcBorders>
                  <w:vAlign w:val="center"/>
                </w:tcPr>
                <w:p w14:paraId="7EE4DFF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6-9</w:t>
                  </w:r>
                </w:p>
              </w:tc>
              <w:tc>
                <w:tcPr>
                  <w:tcW w:w="337" w:type="pct"/>
                  <w:tcBorders>
                    <w:tl2br w:val="nil"/>
                    <w:tr2bl w:val="nil"/>
                  </w:tcBorders>
                  <w:vAlign w:val="center"/>
                </w:tcPr>
                <w:p w14:paraId="0D759B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0CB447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7" w:hRule="atLeast"/>
                <w:jc w:val="center"/>
              </w:trPr>
              <w:tc>
                <w:tcPr>
                  <w:tcW w:w="830" w:type="pct"/>
                  <w:vMerge w:val="continue"/>
                  <w:tcBorders>
                    <w:tl2br w:val="nil"/>
                    <w:tr2bl w:val="nil"/>
                  </w:tcBorders>
                  <w:vAlign w:val="center"/>
                </w:tcPr>
                <w:p w14:paraId="61B4758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25E812D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COD</w:t>
                  </w:r>
                </w:p>
              </w:tc>
              <w:tc>
                <w:tcPr>
                  <w:tcW w:w="500" w:type="pct"/>
                  <w:tcBorders>
                    <w:tl2br w:val="nil"/>
                    <w:tr2bl w:val="nil"/>
                  </w:tcBorders>
                  <w:vAlign w:val="center"/>
                </w:tcPr>
                <w:p w14:paraId="7BF608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3671BAA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4L</w:t>
                  </w:r>
                </w:p>
              </w:tc>
              <w:tc>
                <w:tcPr>
                  <w:tcW w:w="838" w:type="pct"/>
                  <w:tcBorders>
                    <w:tl2br w:val="nil"/>
                    <w:tr2bl w:val="nil"/>
                  </w:tcBorders>
                  <w:vAlign w:val="center"/>
                </w:tcPr>
                <w:p w14:paraId="55411F3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eastAsia" w:ascii="Times New Roman" w:hAnsi="Times New Roman" w:cs="Times New Roman"/>
                      <w:sz w:val="21"/>
                      <w:szCs w:val="21"/>
                      <w:lang w:val="en-US" w:eastAsia="zh-CN"/>
                    </w:rPr>
                    <w:t>4L</w:t>
                  </w:r>
                </w:p>
              </w:tc>
              <w:tc>
                <w:tcPr>
                  <w:tcW w:w="842" w:type="pct"/>
                  <w:tcBorders>
                    <w:tl2br w:val="nil"/>
                    <w:tr2bl w:val="nil"/>
                  </w:tcBorders>
                  <w:vAlign w:val="center"/>
                </w:tcPr>
                <w:p w14:paraId="72F9D7E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eastAsia" w:ascii="Times New Roman" w:hAnsi="Times New Roman" w:cs="Times New Roman"/>
                      <w:sz w:val="21"/>
                      <w:szCs w:val="21"/>
                      <w:lang w:val="en-US" w:eastAsia="zh-CN"/>
                    </w:rPr>
                    <w:t>4L</w:t>
                  </w:r>
                </w:p>
              </w:tc>
              <w:tc>
                <w:tcPr>
                  <w:tcW w:w="688" w:type="dxa"/>
                  <w:tcBorders>
                    <w:tl2br w:val="nil"/>
                    <w:tr2bl w:val="nil"/>
                  </w:tcBorders>
                  <w:vAlign w:val="center"/>
                </w:tcPr>
                <w:p w14:paraId="56DD569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≤20</w:t>
                  </w:r>
                </w:p>
              </w:tc>
              <w:tc>
                <w:tcPr>
                  <w:tcW w:w="337" w:type="pct"/>
                  <w:tcBorders>
                    <w:tl2br w:val="nil"/>
                    <w:tr2bl w:val="nil"/>
                  </w:tcBorders>
                  <w:vAlign w:val="center"/>
                </w:tcPr>
                <w:p w14:paraId="4A3E11C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0F6E7E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7" w:hRule="atLeast"/>
                <w:jc w:val="center"/>
              </w:trPr>
              <w:tc>
                <w:tcPr>
                  <w:tcW w:w="830" w:type="pct"/>
                  <w:vMerge w:val="continue"/>
                  <w:tcBorders>
                    <w:tl2br w:val="nil"/>
                    <w:tr2bl w:val="nil"/>
                  </w:tcBorders>
                  <w:vAlign w:val="center"/>
                </w:tcPr>
                <w:p w14:paraId="72F5301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42C8BC0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NH</w:t>
                  </w:r>
                  <w:r>
                    <w:rPr>
                      <w:rFonts w:hint="default" w:ascii="Times New Roman" w:hAnsi="Times New Roman" w:cs="Times New Roman"/>
                      <w:sz w:val="21"/>
                      <w:szCs w:val="21"/>
                      <w:vertAlign w:val="subscript"/>
                    </w:rPr>
                    <w:t>3</w:t>
                  </w:r>
                  <w:r>
                    <w:rPr>
                      <w:rFonts w:hint="default" w:ascii="Times New Roman" w:hAnsi="Times New Roman" w:cs="Times New Roman"/>
                      <w:sz w:val="21"/>
                      <w:szCs w:val="21"/>
                    </w:rPr>
                    <w:t>-N</w:t>
                  </w:r>
                </w:p>
              </w:tc>
              <w:tc>
                <w:tcPr>
                  <w:tcW w:w="500" w:type="pct"/>
                  <w:tcBorders>
                    <w:tl2br w:val="nil"/>
                    <w:tr2bl w:val="nil"/>
                  </w:tcBorders>
                  <w:vAlign w:val="center"/>
                </w:tcPr>
                <w:p w14:paraId="7CD3EB5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26585A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0.275</w:t>
                  </w:r>
                </w:p>
              </w:tc>
              <w:tc>
                <w:tcPr>
                  <w:tcW w:w="838" w:type="pct"/>
                  <w:tcBorders>
                    <w:tl2br w:val="nil"/>
                    <w:tr2bl w:val="nil"/>
                  </w:tcBorders>
                  <w:vAlign w:val="center"/>
                </w:tcPr>
                <w:p w14:paraId="3507278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0.296</w:t>
                  </w:r>
                </w:p>
              </w:tc>
              <w:tc>
                <w:tcPr>
                  <w:tcW w:w="842" w:type="pct"/>
                  <w:tcBorders>
                    <w:tl2br w:val="nil"/>
                    <w:tr2bl w:val="nil"/>
                  </w:tcBorders>
                  <w:vAlign w:val="center"/>
                </w:tcPr>
                <w:p w14:paraId="77F0491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0.260</w:t>
                  </w:r>
                </w:p>
              </w:tc>
              <w:tc>
                <w:tcPr>
                  <w:tcW w:w="688" w:type="dxa"/>
                  <w:tcBorders>
                    <w:tl2br w:val="nil"/>
                    <w:tr2bl w:val="nil"/>
                  </w:tcBorders>
                  <w:vAlign w:val="center"/>
                </w:tcPr>
                <w:p w14:paraId="4C876F7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≤1.0</w:t>
                  </w:r>
                </w:p>
              </w:tc>
              <w:tc>
                <w:tcPr>
                  <w:tcW w:w="337" w:type="pct"/>
                  <w:tcBorders>
                    <w:tl2br w:val="nil"/>
                    <w:tr2bl w:val="nil"/>
                  </w:tcBorders>
                  <w:vAlign w:val="center"/>
                </w:tcPr>
                <w:p w14:paraId="5FB505B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62B14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7" w:hRule="atLeast"/>
                <w:jc w:val="center"/>
              </w:trPr>
              <w:tc>
                <w:tcPr>
                  <w:tcW w:w="830" w:type="pct"/>
                  <w:vMerge w:val="continue"/>
                  <w:tcBorders>
                    <w:tl2br w:val="nil"/>
                    <w:tr2bl w:val="nil"/>
                  </w:tcBorders>
                  <w:vAlign w:val="center"/>
                </w:tcPr>
                <w:p w14:paraId="5947B13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75BCC6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BOD</w:t>
                  </w:r>
                  <w:r>
                    <w:rPr>
                      <w:rFonts w:hint="default" w:ascii="Times New Roman" w:hAnsi="Times New Roman" w:cs="Times New Roman"/>
                      <w:sz w:val="21"/>
                      <w:szCs w:val="21"/>
                      <w:vertAlign w:val="subscript"/>
                    </w:rPr>
                    <w:t>5</w:t>
                  </w:r>
                </w:p>
              </w:tc>
              <w:tc>
                <w:tcPr>
                  <w:tcW w:w="500" w:type="pct"/>
                  <w:tcBorders>
                    <w:tl2br w:val="nil"/>
                    <w:tr2bl w:val="nil"/>
                  </w:tcBorders>
                  <w:vAlign w:val="center"/>
                </w:tcPr>
                <w:p w14:paraId="730121F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14FE0B0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w:t>
                  </w:r>
                </w:p>
              </w:tc>
              <w:tc>
                <w:tcPr>
                  <w:tcW w:w="838" w:type="pct"/>
                  <w:tcBorders>
                    <w:tl2br w:val="nil"/>
                    <w:tr2bl w:val="nil"/>
                  </w:tcBorders>
                  <w:vAlign w:val="center"/>
                </w:tcPr>
                <w:p w14:paraId="383FF0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1.8</w:t>
                  </w:r>
                </w:p>
              </w:tc>
              <w:tc>
                <w:tcPr>
                  <w:tcW w:w="842" w:type="pct"/>
                  <w:tcBorders>
                    <w:tl2br w:val="nil"/>
                    <w:tr2bl w:val="nil"/>
                  </w:tcBorders>
                  <w:vAlign w:val="center"/>
                </w:tcPr>
                <w:p w14:paraId="7B11FEC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w:t>
                  </w:r>
                </w:p>
              </w:tc>
              <w:tc>
                <w:tcPr>
                  <w:tcW w:w="688" w:type="dxa"/>
                  <w:tcBorders>
                    <w:tl2br w:val="nil"/>
                    <w:tr2bl w:val="nil"/>
                  </w:tcBorders>
                  <w:vAlign w:val="center"/>
                </w:tcPr>
                <w:p w14:paraId="7055E2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w:t>
                  </w:r>
                </w:p>
              </w:tc>
              <w:tc>
                <w:tcPr>
                  <w:tcW w:w="337" w:type="pct"/>
                  <w:tcBorders>
                    <w:tl2br w:val="nil"/>
                    <w:tr2bl w:val="nil"/>
                  </w:tcBorders>
                  <w:vAlign w:val="center"/>
                </w:tcPr>
                <w:p w14:paraId="381E2C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r w14:paraId="76A84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7" w:hRule="atLeast"/>
                <w:jc w:val="center"/>
              </w:trPr>
              <w:tc>
                <w:tcPr>
                  <w:tcW w:w="830" w:type="pct"/>
                  <w:vMerge w:val="continue"/>
                  <w:tcBorders>
                    <w:tl2br w:val="nil"/>
                    <w:tr2bl w:val="nil"/>
                  </w:tcBorders>
                  <w:vAlign w:val="center"/>
                </w:tcPr>
                <w:p w14:paraId="138A1B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p>
              </w:tc>
              <w:tc>
                <w:tcPr>
                  <w:tcW w:w="393" w:type="pct"/>
                  <w:tcBorders>
                    <w:tl2br w:val="nil"/>
                    <w:tr2bl w:val="nil"/>
                  </w:tcBorders>
                  <w:vAlign w:val="center"/>
                </w:tcPr>
                <w:p w14:paraId="508AEB6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TP</w:t>
                  </w:r>
                </w:p>
              </w:tc>
              <w:tc>
                <w:tcPr>
                  <w:tcW w:w="500" w:type="pct"/>
                  <w:tcBorders>
                    <w:tl2br w:val="nil"/>
                    <w:tr2bl w:val="nil"/>
                  </w:tcBorders>
                  <w:vAlign w:val="center"/>
                </w:tcPr>
                <w:p w14:paraId="178C963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mg/L</w:t>
                  </w:r>
                </w:p>
              </w:tc>
              <w:tc>
                <w:tcPr>
                  <w:tcW w:w="838" w:type="pct"/>
                  <w:tcBorders>
                    <w:tl2br w:val="nil"/>
                    <w:tr2bl w:val="nil"/>
                  </w:tcBorders>
                  <w:vAlign w:val="center"/>
                </w:tcPr>
                <w:p w14:paraId="550465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0.01</w:t>
                  </w:r>
                </w:p>
              </w:tc>
              <w:tc>
                <w:tcPr>
                  <w:tcW w:w="838" w:type="pct"/>
                  <w:tcBorders>
                    <w:tl2br w:val="nil"/>
                    <w:tr2bl w:val="nil"/>
                  </w:tcBorders>
                  <w:vAlign w:val="center"/>
                </w:tcPr>
                <w:p w14:paraId="123019E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0.03</w:t>
                  </w:r>
                </w:p>
              </w:tc>
              <w:tc>
                <w:tcPr>
                  <w:tcW w:w="842" w:type="pct"/>
                  <w:tcBorders>
                    <w:tl2br w:val="nil"/>
                    <w:tr2bl w:val="nil"/>
                  </w:tcBorders>
                  <w:vAlign w:val="center"/>
                </w:tcPr>
                <w:p w14:paraId="6B5619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0.02</w:t>
                  </w:r>
                </w:p>
              </w:tc>
              <w:tc>
                <w:tcPr>
                  <w:tcW w:w="688" w:type="dxa"/>
                  <w:tcBorders>
                    <w:tl2br w:val="nil"/>
                    <w:tr2bl w:val="nil"/>
                  </w:tcBorders>
                  <w:vAlign w:val="center"/>
                </w:tcPr>
                <w:p w14:paraId="1EE98E8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≤0.2</w:t>
                  </w:r>
                </w:p>
              </w:tc>
              <w:tc>
                <w:tcPr>
                  <w:tcW w:w="337" w:type="pct"/>
                  <w:tcBorders>
                    <w:tl2br w:val="nil"/>
                    <w:tr2bl w:val="nil"/>
                  </w:tcBorders>
                  <w:vAlign w:val="center"/>
                </w:tcPr>
                <w:p w14:paraId="3AD91EF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达标</w:t>
                  </w:r>
                </w:p>
              </w:tc>
            </w:tr>
          </w:tbl>
          <w:p w14:paraId="2F57B03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上述监测结果表明，太平溪水质符合《地表水环境质量标准》(GB3838-2002)</w:t>
            </w:r>
            <w:r>
              <w:rPr>
                <w:rFonts w:hint="eastAsia" w:cs="Times New Roman"/>
                <w:b w:val="0"/>
                <w:bCs w:val="0"/>
                <w:color w:val="auto"/>
                <w:kern w:val="0"/>
                <w:sz w:val="24"/>
                <w:szCs w:val="24"/>
                <w:lang w:val="en-US" w:eastAsia="zh-CN" w:bidi="ar"/>
              </w:rPr>
              <w:t>III</w:t>
            </w:r>
            <w:r>
              <w:rPr>
                <w:rFonts w:hint="default" w:ascii="Times New Roman" w:hAnsi="Times New Roman" w:eastAsia="宋体" w:cs="Times New Roman"/>
                <w:b w:val="0"/>
                <w:bCs w:val="0"/>
                <w:color w:val="auto"/>
                <w:kern w:val="0"/>
                <w:sz w:val="24"/>
                <w:szCs w:val="24"/>
                <w:lang w:val="en-US" w:eastAsia="zh-CN" w:bidi="ar"/>
              </w:rPr>
              <w:t>类水质标准，说明区域地表水水质状况为良好。</w:t>
            </w:r>
          </w:p>
          <w:p w14:paraId="53703322">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3、声环境质量现状</w:t>
            </w:r>
          </w:p>
          <w:p w14:paraId="48B9CDAB">
            <w:pPr>
              <w:pStyle w:val="48"/>
              <w:bidi w:val="0"/>
              <w:rPr>
                <w:rFonts w:hint="eastAsia"/>
                <w:color w:val="auto"/>
                <w:u w:val="none"/>
              </w:rPr>
            </w:pPr>
            <w:r>
              <w:rPr>
                <w:rFonts w:hint="eastAsia" w:ascii="Times New Roman" w:hAnsi="Times New Roman" w:eastAsia="宋体" w:cs="Times New Roman"/>
                <w:bCs/>
                <w:color w:val="auto"/>
                <w:kern w:val="2"/>
                <w:sz w:val="24"/>
                <w:szCs w:val="21"/>
                <w:lang w:val="en-US" w:eastAsia="zh-CN" w:bidi="ar-SA"/>
              </w:rPr>
              <w:t>项目位于</w:t>
            </w:r>
            <w:r>
              <w:rPr>
                <w:rFonts w:hint="eastAsia" w:cs="Times New Roman"/>
                <w:b w:val="0"/>
                <w:bCs/>
                <w:color w:val="000000" w:themeColor="text1"/>
                <w:sz w:val="24"/>
                <w:szCs w:val="24"/>
                <w:u w:val="none"/>
                <w:lang w:val="en-US" w:eastAsia="zh-CN"/>
                <w14:textFill>
                  <w14:solidFill>
                    <w14:schemeClr w14:val="tx1"/>
                  </w14:solidFill>
                </w14:textFill>
              </w:rPr>
              <w:t>怀化市高新技术产业开发区管理委员会中方片区管理办公室泸阳片区（众力创新园1栋南区第2层）</w:t>
            </w:r>
            <w:r>
              <w:rPr>
                <w:rFonts w:hint="eastAsia" w:ascii="Times New Roman" w:hAnsi="Times New Roman" w:eastAsia="宋体" w:cs="Times New Roman"/>
                <w:bCs/>
                <w:color w:val="auto"/>
                <w:kern w:val="2"/>
                <w:sz w:val="24"/>
                <w:szCs w:val="21"/>
                <w:lang w:val="en-US" w:eastAsia="zh-CN" w:bidi="ar-SA"/>
              </w:rPr>
              <w:t>，</w:t>
            </w:r>
            <w:r>
              <w:rPr>
                <w:rFonts w:hint="eastAsia"/>
                <w:color w:val="auto"/>
                <w:u w:val="none"/>
              </w:rPr>
              <w:t>属于声环境</w:t>
            </w:r>
            <w:r>
              <w:rPr>
                <w:rFonts w:hint="eastAsia"/>
                <w:color w:val="auto"/>
                <w:u w:val="none"/>
                <w:lang w:val="en-US" w:eastAsia="zh-CN"/>
              </w:rPr>
              <w:t>3</w:t>
            </w:r>
            <w:r>
              <w:rPr>
                <w:rFonts w:hint="eastAsia"/>
                <w:color w:val="auto"/>
                <w:u w:val="none"/>
              </w:rPr>
              <w:t>类区域，</w:t>
            </w:r>
            <w:r>
              <w:rPr>
                <w:rFonts w:hint="eastAsia"/>
                <w:color w:val="auto"/>
                <w:u w:val="none"/>
                <w:lang w:val="en-US" w:eastAsia="zh-CN"/>
              </w:rPr>
              <w:t>本项目夜间不生产，</w:t>
            </w:r>
            <w:r>
              <w:rPr>
                <w:rFonts w:hint="eastAsia"/>
                <w:color w:val="auto"/>
                <w:u w:val="none"/>
              </w:rPr>
              <w:t>执行《声环境质量标准》(GB3096-2008)中的</w:t>
            </w:r>
            <w:r>
              <w:rPr>
                <w:rFonts w:hint="eastAsia"/>
                <w:color w:val="auto"/>
                <w:u w:val="none"/>
                <w:lang w:val="en-US" w:eastAsia="zh-CN"/>
              </w:rPr>
              <w:t>3</w:t>
            </w:r>
            <w:r>
              <w:rPr>
                <w:rFonts w:hint="eastAsia"/>
                <w:color w:val="auto"/>
                <w:u w:val="none"/>
              </w:rPr>
              <w:t>类标准（即昼间≤6</w:t>
            </w:r>
            <w:r>
              <w:rPr>
                <w:rFonts w:hint="eastAsia"/>
                <w:color w:val="auto"/>
                <w:u w:val="none"/>
                <w:lang w:val="en-US" w:eastAsia="zh-CN"/>
              </w:rPr>
              <w:t>5</w:t>
            </w:r>
            <w:r>
              <w:rPr>
                <w:rFonts w:hint="eastAsia"/>
                <w:color w:val="auto"/>
                <w:u w:val="none"/>
              </w:rPr>
              <w:t>dB(A)）。</w:t>
            </w:r>
          </w:p>
          <w:p w14:paraId="4B01F6BD">
            <w:pPr>
              <w:pStyle w:val="60"/>
              <w:bidi w:val="0"/>
              <w:rPr>
                <w:rFonts w:hint="eastAsia" w:ascii="Times New Roman" w:hAnsi="Times New Roman" w:eastAsia="宋体" w:cs="Times New Roman"/>
                <w:color w:val="auto"/>
                <w:u w:val="none" w:color="auto"/>
                <w:lang w:val="en-US" w:eastAsia="zh-CN"/>
              </w:rPr>
            </w:pPr>
            <w:r>
              <w:rPr>
                <w:rFonts w:hint="eastAsia"/>
                <w:color w:val="auto"/>
                <w:u w:val="none"/>
              </w:rPr>
              <w:t>根据《建设项目环境影响报告表编制技术指南（污染影响类）（试行）》要求，</w:t>
            </w:r>
            <w:r>
              <w:rPr>
                <w:rFonts w:hint="eastAsia" w:ascii="Times New Roman" w:hAnsi="Times New Roman" w:eastAsia="宋体" w:cs="Times New Roman"/>
                <w:color w:val="auto"/>
                <w:u w:val="none" w:color="auto"/>
                <w:lang w:val="en-US" w:eastAsia="zh-CN"/>
              </w:rPr>
              <w:t>本项目厂界外50m范围内</w:t>
            </w:r>
            <w:r>
              <w:rPr>
                <w:rFonts w:hint="eastAsia" w:ascii="Times New Roman" w:hAnsi="Times New Roman" w:cs="Times New Roman"/>
                <w:color w:val="auto"/>
                <w:u w:val="none" w:color="auto"/>
                <w:lang w:val="en-US" w:eastAsia="zh-CN"/>
              </w:rPr>
              <w:t>不</w:t>
            </w:r>
            <w:r>
              <w:rPr>
                <w:rFonts w:hint="eastAsia" w:ascii="Times New Roman" w:hAnsi="Times New Roman" w:eastAsia="宋体" w:cs="Times New Roman"/>
                <w:color w:val="auto"/>
                <w:u w:val="none" w:color="auto"/>
                <w:lang w:val="en-US" w:eastAsia="zh-CN"/>
              </w:rPr>
              <w:t>存在声环境保护目标，因此</w:t>
            </w:r>
            <w:r>
              <w:rPr>
                <w:rFonts w:hint="eastAsia" w:ascii="Times New Roman" w:hAnsi="Times New Roman" w:cs="Times New Roman"/>
                <w:color w:val="auto"/>
                <w:u w:val="none" w:color="auto"/>
                <w:lang w:val="en-US" w:eastAsia="zh-CN"/>
              </w:rPr>
              <w:t>无需</w:t>
            </w:r>
            <w:r>
              <w:rPr>
                <w:rFonts w:hint="eastAsia" w:ascii="Times New Roman" w:hAnsi="Times New Roman" w:eastAsia="宋体" w:cs="Times New Roman"/>
                <w:color w:val="auto"/>
                <w:u w:val="none" w:color="auto"/>
                <w:lang w:val="en-US" w:eastAsia="zh-CN"/>
              </w:rPr>
              <w:t>进行声环境质量现状监测。</w:t>
            </w:r>
          </w:p>
          <w:p w14:paraId="24CAC2CD">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ascii="Times New Roman" w:hAnsi="Times New Roman" w:eastAsia="宋体" w:cs="Times New Roman"/>
                <w:b/>
                <w:bCs/>
                <w:color w:val="auto"/>
                <w:kern w:val="0"/>
                <w:sz w:val="24"/>
                <w:szCs w:val="24"/>
                <w:lang w:val="en-US" w:eastAsia="zh-CN" w:bidi="ar"/>
              </w:rPr>
            </w:pPr>
            <w:r>
              <w:rPr>
                <w:rFonts w:hint="eastAsia" w:ascii="Times New Roman" w:hAnsi="Times New Roman" w:eastAsia="宋体" w:cs="Times New Roman"/>
                <w:b/>
                <w:bCs/>
                <w:color w:val="auto"/>
                <w:kern w:val="0"/>
                <w:sz w:val="24"/>
                <w:szCs w:val="24"/>
                <w:lang w:val="en-US" w:eastAsia="zh-CN" w:bidi="ar"/>
              </w:rPr>
              <w:t>4、生态环境质量现状</w:t>
            </w:r>
          </w:p>
          <w:p w14:paraId="218970DD">
            <w:pPr>
              <w:pStyle w:val="32"/>
              <w:tabs>
                <w:tab w:val="left" w:pos="540"/>
              </w:tabs>
              <w:spacing w:after="0" w:line="360" w:lineRule="auto"/>
              <w:ind w:left="0" w:leftChars="0" w:firstLine="480"/>
              <w:rPr>
                <w:rFonts w:hint="default" w:ascii="Times New Roman" w:hAnsi="Times New Roman" w:cs="Times New Roman"/>
                <w:color w:val="auto"/>
                <w:kern w:val="2"/>
                <w:szCs w:val="24"/>
                <w:lang w:val="en-US" w:eastAsia="zh-CN"/>
              </w:rPr>
            </w:pPr>
            <w:r>
              <w:rPr>
                <w:rFonts w:hint="default" w:ascii="Times New Roman" w:hAnsi="Times New Roman" w:cs="Times New Roman"/>
                <w:color w:val="auto"/>
                <w:kern w:val="2"/>
                <w:szCs w:val="24"/>
                <w:lang w:val="en-US" w:eastAsia="zh-CN"/>
              </w:rPr>
              <w:t>项目位于</w:t>
            </w:r>
            <w:r>
              <w:rPr>
                <w:rFonts w:hint="eastAsia" w:cs="Times New Roman"/>
                <w:b w:val="0"/>
                <w:bCs/>
                <w:color w:val="000000" w:themeColor="text1"/>
                <w:sz w:val="24"/>
                <w:szCs w:val="24"/>
                <w:u w:val="none"/>
                <w:lang w:val="en-US" w:eastAsia="zh-CN"/>
                <w14:textFill>
                  <w14:solidFill>
                    <w14:schemeClr w14:val="tx1"/>
                  </w14:solidFill>
                </w14:textFill>
              </w:rPr>
              <w:t>怀化市高新技术产业开发区管理委员会中方片区管理办公室泸阳片区（众力创新园1栋南区第2层）</w:t>
            </w:r>
            <w:r>
              <w:rPr>
                <w:rFonts w:hint="default" w:ascii="Times New Roman" w:hAnsi="Times New Roman" w:cs="Times New Roman"/>
                <w:color w:val="auto"/>
                <w:kern w:val="2"/>
                <w:szCs w:val="24"/>
                <w:lang w:val="en-US" w:eastAsia="zh-CN"/>
              </w:rPr>
              <w:t>，周围、区域自然植被少，主要为人工种植的树木，项目区域内无珍稀动、植物也无古稀树木和保护树种，因此区域生态系统敏感程度低。</w:t>
            </w:r>
          </w:p>
          <w:p w14:paraId="6B882148">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ascii="Times New Roman" w:hAnsi="Times New Roman" w:eastAsia="宋体" w:cs="Times New Roman"/>
                <w:b/>
                <w:bCs/>
                <w:color w:val="auto"/>
                <w:kern w:val="0"/>
                <w:sz w:val="24"/>
                <w:szCs w:val="24"/>
                <w:lang w:val="en-US" w:eastAsia="zh-CN" w:bidi="ar"/>
              </w:rPr>
            </w:pPr>
            <w:r>
              <w:rPr>
                <w:rFonts w:hint="eastAsia" w:ascii="Times New Roman" w:hAnsi="Times New Roman" w:eastAsia="宋体" w:cs="Times New Roman"/>
                <w:b/>
                <w:bCs/>
                <w:color w:val="auto"/>
                <w:kern w:val="0"/>
                <w:sz w:val="24"/>
                <w:szCs w:val="24"/>
                <w:lang w:val="en-US" w:eastAsia="zh-CN" w:bidi="ar"/>
              </w:rPr>
              <w:t>5、电磁辐射</w:t>
            </w:r>
          </w:p>
          <w:p w14:paraId="2F142BF0">
            <w:pPr>
              <w:pStyle w:val="50"/>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宋体" w:hAnsi="宋体" w:cs="宋体"/>
                <w:b w:val="0"/>
                <w:bCs/>
                <w:color w:val="auto"/>
                <w:kern w:val="0"/>
                <w:sz w:val="24"/>
                <w:szCs w:val="24"/>
                <w:lang w:eastAsia="zh-CN"/>
              </w:rPr>
            </w:pPr>
            <w:r>
              <w:rPr>
                <w:rFonts w:hint="eastAsia" w:ascii="Times New Roman" w:hAnsi="Times New Roman" w:eastAsia="宋体" w:cs="Times New Roman"/>
                <w:b w:val="0"/>
                <w:bCs/>
                <w:color w:val="auto"/>
                <w:kern w:val="0"/>
                <w:sz w:val="24"/>
                <w:szCs w:val="24"/>
                <w:lang w:val="en-US" w:eastAsia="zh-CN" w:bidi="ar"/>
              </w:rPr>
              <w:t>根据《建设项目环境影响报告表编制技术指南（污染影响类）（试行）》“区域环境质量现状”中的电磁辐射环境质量现状调查要求“新建或改建、扩建广播电台、差转台、电视塔台、卫星地球上行站、雷达等电磁辐射类项目，应根据相关技术导则对项目电磁辐射现状开展监测与评价。”</w:t>
            </w:r>
          </w:p>
          <w:p w14:paraId="6BE9DBDD">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宋体" w:hAnsi="宋体" w:cs="宋体"/>
                <w:color w:val="auto"/>
                <w:kern w:val="0"/>
                <w:sz w:val="24"/>
                <w:szCs w:val="24"/>
                <w:lang w:eastAsia="zh-CN"/>
              </w:rPr>
            </w:pPr>
            <w:r>
              <w:rPr>
                <w:rFonts w:hint="eastAsia" w:ascii="Times New Roman" w:hAnsi="Times New Roman" w:eastAsia="宋体" w:cs="Times New Roman"/>
                <w:color w:val="auto"/>
                <w:kern w:val="0"/>
                <w:sz w:val="24"/>
                <w:szCs w:val="24"/>
                <w:lang w:val="en-US" w:eastAsia="zh-CN" w:bidi="ar"/>
              </w:rPr>
              <w:t>本项目</w:t>
            </w:r>
            <w:r>
              <w:rPr>
                <w:rFonts w:hint="eastAsia" w:ascii="宋体" w:hAnsi="宋体" w:cs="宋体"/>
                <w:color w:val="auto"/>
                <w:kern w:val="0"/>
                <w:sz w:val="24"/>
                <w:szCs w:val="24"/>
                <w:lang w:eastAsia="zh-CN"/>
              </w:rPr>
              <w:t>不属于上述电磁辐射类项目，无需</w:t>
            </w:r>
            <w:r>
              <w:rPr>
                <w:rFonts w:hint="eastAsia" w:ascii="Times New Roman" w:hAnsi="Times New Roman" w:eastAsia="宋体" w:cs="Times New Roman"/>
                <w:color w:val="auto"/>
                <w:kern w:val="0"/>
                <w:sz w:val="24"/>
                <w:szCs w:val="24"/>
                <w:lang w:val="en-US" w:eastAsia="zh-CN" w:bidi="ar"/>
              </w:rPr>
              <w:t>开展电磁辐射现状监测与评价。</w:t>
            </w:r>
          </w:p>
          <w:p w14:paraId="72E73729">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ascii="Times New Roman" w:hAnsi="Times New Roman" w:eastAsia="宋体" w:cs="Times New Roman"/>
                <w:b/>
                <w:bCs/>
                <w:color w:val="auto"/>
                <w:kern w:val="0"/>
                <w:sz w:val="24"/>
                <w:szCs w:val="24"/>
                <w:lang w:val="en-US" w:eastAsia="zh-CN" w:bidi="ar"/>
              </w:rPr>
            </w:pPr>
            <w:r>
              <w:rPr>
                <w:rFonts w:hint="eastAsia" w:ascii="Times New Roman" w:hAnsi="Times New Roman" w:eastAsia="宋体" w:cs="Times New Roman"/>
                <w:b/>
                <w:bCs/>
                <w:color w:val="auto"/>
                <w:kern w:val="0"/>
                <w:sz w:val="24"/>
                <w:szCs w:val="24"/>
                <w:lang w:val="en-US" w:eastAsia="zh-CN" w:bidi="ar"/>
              </w:rPr>
              <w:t>6、地下水、土壤环境</w:t>
            </w:r>
          </w:p>
          <w:p w14:paraId="72A09A4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000000" w:themeColor="text1"/>
                <w:kern w:val="0"/>
                <w:szCs w:val="21"/>
                <w:u w:val="none" w:color="auto"/>
                <w14:textFill>
                  <w14:solidFill>
                    <w14:schemeClr w14:val="tx1"/>
                  </w14:solidFill>
                </w14:textFill>
              </w:rPr>
            </w:pPr>
            <w:r>
              <w:rPr>
                <w:rFonts w:hint="eastAsia" w:ascii="Times New Roman" w:hAnsi="Times New Roman" w:eastAsia="宋体" w:cs="Times New Roman"/>
                <w:color w:val="auto"/>
                <w:u w:val="none"/>
              </w:rPr>
              <w:t>根据《建设项目环境影响报告表编制技术指南(污染影响类)(试行)》，“原则上不开展环境质量现状调查。建设项目存在土壤、地下水环境污染途径的，应结合污染源、保护目标分布情况开展现状调查以留作背景值”。本项目位于</w:t>
            </w:r>
            <w:r>
              <w:rPr>
                <w:rFonts w:hint="eastAsia" w:cs="Times New Roman"/>
                <w:b w:val="0"/>
                <w:bCs/>
                <w:color w:val="000000" w:themeColor="text1"/>
                <w:sz w:val="24"/>
                <w:szCs w:val="24"/>
                <w:u w:val="none"/>
                <w:lang w:val="en-US" w:eastAsia="zh-CN"/>
                <w14:textFill>
                  <w14:solidFill>
                    <w14:schemeClr w14:val="tx1"/>
                  </w14:solidFill>
                </w14:textFill>
              </w:rPr>
              <w:t>怀化市高新技术产业开发区管理委员会中方片区管理办公室泸阳片区（众力创新园1栋南区第2层）</w:t>
            </w:r>
            <w:r>
              <w:rPr>
                <w:rFonts w:hint="eastAsia" w:ascii="Times New Roman" w:hAnsi="Times New Roman" w:eastAsia="宋体" w:cs="Times New Roman"/>
                <w:color w:val="auto"/>
                <w:u w:val="none"/>
              </w:rPr>
              <w:t>，厂房内地面已硬化，项目基本不存在土壤、地下水环境污染途径，因此，本项目不开展土壤及地下水现状调查。</w:t>
            </w:r>
          </w:p>
        </w:tc>
      </w:tr>
      <w:tr w14:paraId="05F013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37" w:type="dxa"/>
            <w:vAlign w:val="center"/>
          </w:tcPr>
          <w:p w14:paraId="5D3C91DA">
            <w:pPr>
              <w:adjustRightInd w:val="0"/>
              <w:snapToGrid w:val="0"/>
              <w:jc w:val="center"/>
              <w:rPr>
                <w:color w:val="000000" w:themeColor="text1"/>
                <w:kern w:val="0"/>
                <w:szCs w:val="21"/>
                <w:u w:val="none" w:color="auto"/>
                <w14:textFill>
                  <w14:solidFill>
                    <w14:schemeClr w14:val="tx1"/>
                  </w14:solidFill>
                </w14:textFill>
              </w:rPr>
            </w:pPr>
            <w:r>
              <w:rPr>
                <w:color w:val="000000" w:themeColor="text1"/>
                <w:kern w:val="0"/>
                <w:szCs w:val="21"/>
                <w:u w:val="none" w:color="auto"/>
                <w14:textFill>
                  <w14:solidFill>
                    <w14:schemeClr w14:val="tx1"/>
                  </w14:solidFill>
                </w14:textFill>
              </w:rPr>
              <w:t>环境保护目标</w:t>
            </w:r>
          </w:p>
        </w:tc>
        <w:tc>
          <w:tcPr>
            <w:tcW w:w="8424" w:type="dxa"/>
            <w:vAlign w:val="center"/>
          </w:tcPr>
          <w:p w14:paraId="05C3C598">
            <w:pPr>
              <w:pStyle w:val="6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val="0"/>
                <w:color w:val="auto"/>
                <w:lang w:val="en-US" w:eastAsia="zh-CN"/>
              </w:rPr>
            </w:pPr>
            <w:r>
              <w:rPr>
                <w:rFonts w:hint="eastAsia" w:ascii="Times New Roman" w:hAnsi="Times New Roman" w:eastAsia="宋体" w:cs="Times New Roman"/>
                <w:b/>
                <w:bCs w:val="0"/>
                <w:color w:val="auto"/>
                <w:lang w:val="en-US" w:eastAsia="zh-CN"/>
              </w:rPr>
              <w:t>1、大气环境保护目标</w:t>
            </w:r>
          </w:p>
          <w:p w14:paraId="2995CD20">
            <w:pPr>
              <w:pStyle w:val="6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b w:val="0"/>
                <w:bCs/>
                <w:color w:val="auto"/>
                <w:lang w:val="en-US" w:eastAsia="zh-CN"/>
              </w:rPr>
            </w:pPr>
            <w:r>
              <w:rPr>
                <w:rFonts w:hint="eastAsia" w:ascii="Times New Roman" w:hAnsi="Times New Roman" w:eastAsia="宋体" w:cs="Times New Roman"/>
                <w:b w:val="0"/>
                <w:bCs/>
                <w:color w:val="auto"/>
                <w:lang w:val="en-US" w:eastAsia="zh-CN"/>
              </w:rPr>
              <w:t>本项目厂界外500m范围内大气环境保护目标见下表3-</w:t>
            </w:r>
            <w:r>
              <w:rPr>
                <w:rFonts w:hint="eastAsia" w:ascii="Times New Roman" w:hAnsi="Times New Roman" w:cs="Times New Roman"/>
                <w:b w:val="0"/>
                <w:bCs/>
                <w:color w:val="auto"/>
                <w:lang w:val="en-US" w:eastAsia="zh-CN"/>
              </w:rPr>
              <w:t>5</w:t>
            </w:r>
            <w:r>
              <w:rPr>
                <w:rFonts w:hint="eastAsia" w:ascii="Times New Roman" w:hAnsi="Times New Roman" w:eastAsia="宋体" w:cs="Times New Roman"/>
                <w:color w:val="auto"/>
                <w:kern w:val="0"/>
                <w:sz w:val="24"/>
                <w:szCs w:val="24"/>
                <w:lang w:val="en-US" w:eastAsia="zh-CN" w:bidi="ar"/>
              </w:rPr>
              <w:t>。</w:t>
            </w:r>
          </w:p>
          <w:p w14:paraId="6330AD06">
            <w:pPr>
              <w:pStyle w:val="71"/>
              <w:spacing w:line="240" w:lineRule="auto"/>
              <w:ind w:firstLine="0" w:firstLineChars="0"/>
              <w:jc w:val="center"/>
              <w:rPr>
                <w:rFonts w:ascii="Times New Roman" w:hAnsi="Times New Roman" w:cs="Times New Roman"/>
                <w:b/>
                <w:bCs/>
                <w:color w:val="auto"/>
                <w:sz w:val="21"/>
              </w:rPr>
            </w:pPr>
            <w:r>
              <w:rPr>
                <w:rFonts w:ascii="Times New Roman" w:hAnsi="Times New Roman" w:cs="Times New Roman"/>
                <w:b/>
                <w:bCs/>
                <w:color w:val="auto"/>
                <w:sz w:val="21"/>
              </w:rPr>
              <w:t>表3-</w:t>
            </w:r>
            <w:r>
              <w:rPr>
                <w:rFonts w:hint="eastAsia" w:ascii="Times New Roman" w:hAnsi="Times New Roman" w:cs="Times New Roman"/>
                <w:b/>
                <w:bCs/>
                <w:color w:val="auto"/>
                <w:sz w:val="21"/>
                <w:lang w:val="en-US" w:eastAsia="zh-CN"/>
              </w:rPr>
              <w:t>5</w:t>
            </w:r>
            <w:r>
              <w:rPr>
                <w:rFonts w:hint="eastAsia" w:ascii="Times New Roman" w:hAnsi="Times New Roman" w:cs="Times New Roman"/>
                <w:b/>
                <w:bCs/>
                <w:color w:val="auto"/>
                <w:sz w:val="21"/>
              </w:rPr>
              <w:t xml:space="preserve"> </w:t>
            </w:r>
            <w:r>
              <w:rPr>
                <w:rFonts w:ascii="Times New Roman" w:hAnsi="Times New Roman" w:cs="Times New Roman"/>
                <w:b/>
                <w:bCs/>
                <w:color w:val="auto"/>
                <w:sz w:val="21"/>
              </w:rPr>
              <w:t>项目</w:t>
            </w:r>
            <w:r>
              <w:rPr>
                <w:rFonts w:hint="eastAsia" w:ascii="Times New Roman" w:hAnsi="Times New Roman" w:cs="Times New Roman"/>
                <w:b/>
                <w:bCs/>
                <w:color w:val="auto"/>
                <w:sz w:val="21"/>
              </w:rPr>
              <w:t>大气</w:t>
            </w:r>
            <w:r>
              <w:rPr>
                <w:rFonts w:ascii="Times New Roman" w:hAnsi="Times New Roman" w:cs="Times New Roman"/>
                <w:b/>
                <w:bCs/>
                <w:color w:val="auto"/>
                <w:sz w:val="21"/>
              </w:rPr>
              <w:t>环境保护目标</w:t>
            </w:r>
            <w:r>
              <w:rPr>
                <w:rFonts w:hint="eastAsia" w:ascii="Times New Roman" w:hAnsi="Times New Roman" w:cs="Times New Roman"/>
                <w:b/>
                <w:bCs/>
                <w:color w:val="auto"/>
                <w:sz w:val="21"/>
              </w:rPr>
              <w:t>一览表</w:t>
            </w:r>
          </w:p>
          <w:tbl>
            <w:tblPr>
              <w:tblStyle w:val="33"/>
              <w:tblW w:w="4993"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682"/>
              <w:gridCol w:w="1288"/>
              <w:gridCol w:w="1720"/>
              <w:gridCol w:w="893"/>
              <w:gridCol w:w="1300"/>
              <w:gridCol w:w="832"/>
              <w:gridCol w:w="1477"/>
            </w:tblGrid>
            <w:tr w14:paraId="0B2AD6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82" w:hRule="atLeast"/>
                <w:jc w:val="center"/>
              </w:trPr>
              <w:tc>
                <w:tcPr>
                  <w:tcW w:w="682" w:type="dxa"/>
                  <w:tcBorders>
                    <w:tl2br w:val="nil"/>
                    <w:tr2bl w:val="nil"/>
                  </w:tcBorders>
                  <w:noWrap w:val="0"/>
                  <w:vAlign w:val="center"/>
                </w:tcPr>
                <w:p w14:paraId="52DEB270">
                  <w:pPr>
                    <w:pStyle w:val="65"/>
                    <w:keepNext w:val="0"/>
                    <w:keepLines w:val="0"/>
                    <w:pageBreakBefore w:val="0"/>
                    <w:kinsoku/>
                    <w:wordWrap/>
                    <w:topLinePunct w:val="0"/>
                    <w:bidi w:val="0"/>
                    <w:spacing w:before="0" w:after="0" w:line="240" w:lineRule="auto"/>
                    <w:ind w:right="0"/>
                    <w:jc w:val="center"/>
                    <w:rPr>
                      <w:b w:val="0"/>
                      <w:bCs w:val="0"/>
                      <w:color w:val="auto"/>
                      <w:sz w:val="21"/>
                      <w:szCs w:val="21"/>
                    </w:rPr>
                  </w:pPr>
                  <w:r>
                    <w:rPr>
                      <w:b w:val="0"/>
                      <w:bCs w:val="0"/>
                      <w:color w:val="auto"/>
                      <w:sz w:val="21"/>
                      <w:szCs w:val="21"/>
                    </w:rPr>
                    <w:t>类别</w:t>
                  </w:r>
                </w:p>
              </w:tc>
              <w:tc>
                <w:tcPr>
                  <w:tcW w:w="1288" w:type="dxa"/>
                  <w:tcBorders>
                    <w:tl2br w:val="nil"/>
                    <w:tr2bl w:val="nil"/>
                  </w:tcBorders>
                  <w:noWrap w:val="0"/>
                  <w:vAlign w:val="center"/>
                </w:tcPr>
                <w:p w14:paraId="79A7B15E">
                  <w:pPr>
                    <w:pStyle w:val="65"/>
                    <w:keepNext w:val="0"/>
                    <w:keepLines w:val="0"/>
                    <w:pageBreakBefore w:val="0"/>
                    <w:kinsoku/>
                    <w:wordWrap/>
                    <w:topLinePunct w:val="0"/>
                    <w:bidi w:val="0"/>
                    <w:spacing w:before="0" w:after="0" w:line="240" w:lineRule="auto"/>
                    <w:ind w:right="0"/>
                    <w:jc w:val="center"/>
                    <w:rPr>
                      <w:b w:val="0"/>
                      <w:bCs w:val="0"/>
                      <w:color w:val="auto"/>
                      <w:sz w:val="21"/>
                      <w:szCs w:val="21"/>
                    </w:rPr>
                  </w:pPr>
                  <w:r>
                    <w:rPr>
                      <w:b w:val="0"/>
                      <w:bCs w:val="0"/>
                      <w:color w:val="auto"/>
                      <w:sz w:val="21"/>
                      <w:szCs w:val="21"/>
                    </w:rPr>
                    <w:t>环保目标</w:t>
                  </w:r>
                </w:p>
              </w:tc>
              <w:tc>
                <w:tcPr>
                  <w:tcW w:w="1720" w:type="dxa"/>
                  <w:tcBorders>
                    <w:tl2br w:val="nil"/>
                    <w:tr2bl w:val="nil"/>
                  </w:tcBorders>
                  <w:noWrap w:val="0"/>
                  <w:vAlign w:val="center"/>
                </w:tcPr>
                <w:p w14:paraId="6E0544F6">
                  <w:pPr>
                    <w:pStyle w:val="65"/>
                    <w:keepNext w:val="0"/>
                    <w:keepLines w:val="0"/>
                    <w:pageBreakBefore w:val="0"/>
                    <w:kinsoku/>
                    <w:wordWrap/>
                    <w:topLinePunct w:val="0"/>
                    <w:bidi w:val="0"/>
                    <w:spacing w:before="0" w:after="0" w:line="240" w:lineRule="auto"/>
                    <w:ind w:right="0"/>
                    <w:jc w:val="center"/>
                    <w:rPr>
                      <w:b w:val="0"/>
                      <w:bCs w:val="0"/>
                      <w:color w:val="auto"/>
                      <w:sz w:val="21"/>
                      <w:szCs w:val="21"/>
                    </w:rPr>
                  </w:pPr>
                  <w:r>
                    <w:rPr>
                      <w:b w:val="0"/>
                      <w:bCs w:val="0"/>
                      <w:color w:val="auto"/>
                      <w:sz w:val="21"/>
                      <w:szCs w:val="21"/>
                    </w:rPr>
                    <w:t>坐标</w:t>
                  </w:r>
                </w:p>
              </w:tc>
              <w:tc>
                <w:tcPr>
                  <w:tcW w:w="893" w:type="dxa"/>
                  <w:tcBorders>
                    <w:tl2br w:val="nil"/>
                    <w:tr2bl w:val="nil"/>
                  </w:tcBorders>
                  <w:noWrap w:val="0"/>
                  <w:vAlign w:val="center"/>
                </w:tcPr>
                <w:p w14:paraId="007801D7">
                  <w:pPr>
                    <w:pStyle w:val="65"/>
                    <w:keepNext w:val="0"/>
                    <w:keepLines w:val="0"/>
                    <w:pageBreakBefore w:val="0"/>
                    <w:kinsoku/>
                    <w:wordWrap/>
                    <w:topLinePunct w:val="0"/>
                    <w:bidi w:val="0"/>
                    <w:spacing w:before="0" w:after="0" w:line="240" w:lineRule="auto"/>
                    <w:ind w:right="0"/>
                    <w:jc w:val="center"/>
                    <w:rPr>
                      <w:b w:val="0"/>
                      <w:bCs w:val="0"/>
                      <w:color w:val="auto"/>
                      <w:sz w:val="21"/>
                      <w:szCs w:val="21"/>
                    </w:rPr>
                  </w:pPr>
                  <w:r>
                    <w:rPr>
                      <w:b w:val="0"/>
                      <w:bCs w:val="0"/>
                      <w:color w:val="auto"/>
                      <w:sz w:val="21"/>
                      <w:szCs w:val="21"/>
                    </w:rPr>
                    <w:t>规模</w:t>
                  </w:r>
                </w:p>
              </w:tc>
              <w:tc>
                <w:tcPr>
                  <w:tcW w:w="1300" w:type="dxa"/>
                  <w:tcBorders>
                    <w:tl2br w:val="nil"/>
                    <w:tr2bl w:val="nil"/>
                  </w:tcBorders>
                  <w:noWrap w:val="0"/>
                  <w:vAlign w:val="center"/>
                </w:tcPr>
                <w:p w14:paraId="74831B04">
                  <w:pPr>
                    <w:pStyle w:val="65"/>
                    <w:keepNext w:val="0"/>
                    <w:keepLines w:val="0"/>
                    <w:pageBreakBefore w:val="0"/>
                    <w:widowControl/>
                    <w:kinsoku/>
                    <w:wordWrap/>
                    <w:overflowPunct w:val="0"/>
                    <w:topLinePunct w:val="0"/>
                    <w:autoSpaceDE w:val="0"/>
                    <w:autoSpaceDN w:val="0"/>
                    <w:bidi w:val="0"/>
                    <w:adjustRightInd w:val="0"/>
                    <w:snapToGrid w:val="0"/>
                    <w:spacing w:before="0" w:after="0" w:line="240" w:lineRule="auto"/>
                    <w:ind w:right="0"/>
                    <w:jc w:val="center"/>
                    <w:textAlignment w:val="baseline"/>
                    <w:rPr>
                      <w:b w:val="0"/>
                      <w:bCs w:val="0"/>
                      <w:color w:val="auto"/>
                      <w:sz w:val="21"/>
                      <w:szCs w:val="21"/>
                    </w:rPr>
                  </w:pPr>
                  <w:r>
                    <w:rPr>
                      <w:b w:val="0"/>
                      <w:bCs w:val="0"/>
                      <w:color w:val="auto"/>
                      <w:sz w:val="21"/>
                      <w:szCs w:val="21"/>
                    </w:rPr>
                    <w:t>方位，直线距离</w:t>
                  </w:r>
                </w:p>
              </w:tc>
              <w:tc>
                <w:tcPr>
                  <w:tcW w:w="832" w:type="dxa"/>
                  <w:tcBorders>
                    <w:tl2br w:val="nil"/>
                    <w:tr2bl w:val="nil"/>
                  </w:tcBorders>
                  <w:noWrap w:val="0"/>
                  <w:vAlign w:val="center"/>
                </w:tcPr>
                <w:p w14:paraId="3F1AAA78">
                  <w:pPr>
                    <w:pStyle w:val="65"/>
                    <w:keepNext w:val="0"/>
                    <w:keepLines w:val="0"/>
                    <w:pageBreakBefore w:val="0"/>
                    <w:kinsoku/>
                    <w:wordWrap/>
                    <w:topLinePunct w:val="0"/>
                    <w:bidi w:val="0"/>
                    <w:spacing w:before="0" w:after="0" w:line="240" w:lineRule="auto"/>
                    <w:ind w:right="0"/>
                    <w:jc w:val="center"/>
                    <w:rPr>
                      <w:b w:val="0"/>
                      <w:bCs w:val="0"/>
                      <w:color w:val="auto"/>
                      <w:sz w:val="21"/>
                      <w:szCs w:val="21"/>
                    </w:rPr>
                  </w:pPr>
                  <w:r>
                    <w:rPr>
                      <w:b w:val="0"/>
                      <w:bCs w:val="0"/>
                      <w:color w:val="auto"/>
                      <w:sz w:val="21"/>
                      <w:szCs w:val="21"/>
                    </w:rPr>
                    <w:t>环境功能</w:t>
                  </w:r>
                </w:p>
              </w:tc>
              <w:tc>
                <w:tcPr>
                  <w:tcW w:w="1477" w:type="dxa"/>
                  <w:tcBorders>
                    <w:tl2br w:val="nil"/>
                    <w:tr2bl w:val="nil"/>
                  </w:tcBorders>
                  <w:noWrap w:val="0"/>
                  <w:vAlign w:val="center"/>
                </w:tcPr>
                <w:p w14:paraId="2B36A015">
                  <w:pPr>
                    <w:pStyle w:val="65"/>
                    <w:keepNext w:val="0"/>
                    <w:keepLines w:val="0"/>
                    <w:pageBreakBefore w:val="0"/>
                    <w:kinsoku/>
                    <w:wordWrap/>
                    <w:topLinePunct w:val="0"/>
                    <w:bidi w:val="0"/>
                    <w:spacing w:before="0" w:after="0" w:line="240" w:lineRule="auto"/>
                    <w:ind w:right="0"/>
                    <w:jc w:val="center"/>
                    <w:rPr>
                      <w:b w:val="0"/>
                      <w:bCs w:val="0"/>
                      <w:color w:val="auto"/>
                      <w:sz w:val="21"/>
                      <w:szCs w:val="21"/>
                    </w:rPr>
                  </w:pPr>
                  <w:r>
                    <w:rPr>
                      <w:b w:val="0"/>
                      <w:bCs w:val="0"/>
                      <w:color w:val="auto"/>
                      <w:sz w:val="21"/>
                      <w:szCs w:val="21"/>
                    </w:rPr>
                    <w:t>保护级别</w:t>
                  </w:r>
                </w:p>
              </w:tc>
            </w:tr>
            <w:tr w14:paraId="4BBE36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5" w:hRule="atLeast"/>
                <w:jc w:val="center"/>
              </w:trPr>
              <w:tc>
                <w:tcPr>
                  <w:tcW w:w="682" w:type="dxa"/>
                  <w:vMerge w:val="restart"/>
                  <w:tcBorders>
                    <w:tl2br w:val="nil"/>
                    <w:tr2bl w:val="nil"/>
                  </w:tcBorders>
                  <w:noWrap w:val="0"/>
                  <w:vAlign w:val="center"/>
                </w:tcPr>
                <w:p w14:paraId="17350977">
                  <w:pPr>
                    <w:pStyle w:val="65"/>
                    <w:keepNext w:val="0"/>
                    <w:keepLines w:val="0"/>
                    <w:pageBreakBefore w:val="0"/>
                    <w:widowControl/>
                    <w:kinsoku/>
                    <w:wordWrap/>
                    <w:overflowPunct w:val="0"/>
                    <w:topLinePunct w:val="0"/>
                    <w:autoSpaceDE w:val="0"/>
                    <w:autoSpaceDN w:val="0"/>
                    <w:bidi w:val="0"/>
                    <w:adjustRightInd w:val="0"/>
                    <w:snapToGrid w:val="0"/>
                    <w:spacing w:before="0" w:after="0" w:line="240" w:lineRule="auto"/>
                    <w:ind w:right="0"/>
                    <w:jc w:val="center"/>
                    <w:textAlignment w:val="baseline"/>
                    <w:rPr>
                      <w:b w:val="0"/>
                      <w:bCs w:val="0"/>
                      <w:color w:val="auto"/>
                      <w:sz w:val="21"/>
                      <w:szCs w:val="21"/>
                    </w:rPr>
                  </w:pPr>
                  <w:r>
                    <w:rPr>
                      <w:b w:val="0"/>
                      <w:bCs w:val="0"/>
                      <w:color w:val="auto"/>
                      <w:sz w:val="21"/>
                      <w:szCs w:val="21"/>
                    </w:rPr>
                    <w:t>环境</w:t>
                  </w:r>
                </w:p>
                <w:p w14:paraId="51C8EE13">
                  <w:pPr>
                    <w:pStyle w:val="65"/>
                    <w:keepNext w:val="0"/>
                    <w:keepLines w:val="0"/>
                    <w:pageBreakBefore w:val="0"/>
                    <w:widowControl/>
                    <w:kinsoku/>
                    <w:wordWrap/>
                    <w:overflowPunct w:val="0"/>
                    <w:topLinePunct w:val="0"/>
                    <w:autoSpaceDE w:val="0"/>
                    <w:autoSpaceDN w:val="0"/>
                    <w:bidi w:val="0"/>
                    <w:adjustRightInd w:val="0"/>
                    <w:snapToGrid w:val="0"/>
                    <w:spacing w:before="0" w:after="0" w:line="240" w:lineRule="auto"/>
                    <w:ind w:right="0"/>
                    <w:jc w:val="center"/>
                    <w:textAlignment w:val="baseline"/>
                    <w:rPr>
                      <w:b w:val="0"/>
                      <w:bCs w:val="0"/>
                      <w:color w:val="auto"/>
                      <w:sz w:val="21"/>
                      <w:szCs w:val="21"/>
                    </w:rPr>
                  </w:pPr>
                  <w:r>
                    <w:rPr>
                      <w:b w:val="0"/>
                      <w:bCs w:val="0"/>
                      <w:color w:val="auto"/>
                      <w:sz w:val="21"/>
                      <w:szCs w:val="21"/>
                    </w:rPr>
                    <w:t>空气</w:t>
                  </w:r>
                </w:p>
              </w:tc>
              <w:tc>
                <w:tcPr>
                  <w:tcW w:w="1288" w:type="dxa"/>
                  <w:tcBorders>
                    <w:tl2br w:val="nil"/>
                    <w:tr2bl w:val="nil"/>
                  </w:tcBorders>
                  <w:noWrap w:val="0"/>
                  <w:vAlign w:val="center"/>
                </w:tcPr>
                <w:p w14:paraId="5713C81F">
                  <w:pPr>
                    <w:keepNext w:val="0"/>
                    <w:keepLines w:val="0"/>
                    <w:pageBreakBefore w:val="0"/>
                    <w:widowControl/>
                    <w:suppressLineNumbers w:val="0"/>
                    <w:kinsoku/>
                    <w:wordWrap/>
                    <w:topLinePunct w:val="0"/>
                    <w:bidi w:val="0"/>
                    <w:spacing w:line="240" w:lineRule="auto"/>
                    <w:ind w:right="0"/>
                    <w:jc w:val="center"/>
                    <w:rPr>
                      <w:rFonts w:hint="default"/>
                      <w:b w:val="0"/>
                      <w:bCs w:val="0"/>
                      <w:color w:val="auto"/>
                      <w:sz w:val="21"/>
                      <w:szCs w:val="21"/>
                      <w:lang w:val="en-US" w:eastAsia="zh-CN"/>
                    </w:rPr>
                  </w:pPr>
                  <w:r>
                    <w:rPr>
                      <w:rFonts w:hint="eastAsia"/>
                      <w:b w:val="0"/>
                      <w:bCs w:val="0"/>
                      <w:color w:val="auto"/>
                      <w:sz w:val="21"/>
                      <w:szCs w:val="21"/>
                      <w:lang w:val="en-US" w:eastAsia="zh-CN"/>
                    </w:rPr>
                    <w:t>火马塘村</w:t>
                  </w:r>
                </w:p>
              </w:tc>
              <w:tc>
                <w:tcPr>
                  <w:tcW w:w="1720" w:type="dxa"/>
                  <w:tcBorders>
                    <w:tl2br w:val="nil"/>
                    <w:tr2bl w:val="nil"/>
                  </w:tcBorders>
                  <w:noWrap w:val="0"/>
                  <w:vAlign w:val="center"/>
                </w:tcPr>
                <w:p w14:paraId="3040B695">
                  <w:pPr>
                    <w:keepNext w:val="0"/>
                    <w:keepLines w:val="0"/>
                    <w:pageBreakBefore w:val="0"/>
                    <w:kinsoku/>
                    <w:wordWrap/>
                    <w:topLinePunct w:val="0"/>
                    <w:bidi w:val="0"/>
                    <w:spacing w:line="240" w:lineRule="auto"/>
                    <w:ind w:right="0"/>
                    <w:jc w:val="center"/>
                    <w:rPr>
                      <w:b w:val="0"/>
                      <w:bCs w:val="0"/>
                      <w:color w:val="auto"/>
                      <w:sz w:val="21"/>
                      <w:szCs w:val="21"/>
                    </w:rPr>
                  </w:pPr>
                  <w:r>
                    <w:rPr>
                      <w:rFonts w:hint="default"/>
                      <w:b w:val="0"/>
                      <w:bCs w:val="0"/>
                      <w:color w:val="auto"/>
                      <w:sz w:val="21"/>
                      <w:szCs w:val="21"/>
                      <w:lang w:val="en-US" w:eastAsia="zh-CN"/>
                    </w:rPr>
                    <w:t>27.650422</w:t>
                  </w:r>
                  <w:r>
                    <w:rPr>
                      <w:b w:val="0"/>
                      <w:bCs w:val="0"/>
                      <w:color w:val="auto"/>
                      <w:sz w:val="21"/>
                      <w:szCs w:val="21"/>
                    </w:rPr>
                    <w:t>°</w:t>
                  </w:r>
                  <w:r>
                    <w:rPr>
                      <w:rFonts w:hint="default"/>
                      <w:b w:val="0"/>
                      <w:bCs w:val="0"/>
                      <w:color w:val="auto"/>
                      <w:sz w:val="21"/>
                      <w:szCs w:val="21"/>
                    </w:rPr>
                    <w:t>N</w:t>
                  </w:r>
                </w:p>
                <w:p w14:paraId="184DA2A9">
                  <w:pPr>
                    <w:keepNext w:val="0"/>
                    <w:keepLines w:val="0"/>
                    <w:pageBreakBefore w:val="0"/>
                    <w:kinsoku/>
                    <w:wordWrap/>
                    <w:topLinePunct w:val="0"/>
                    <w:bidi w:val="0"/>
                    <w:spacing w:line="240" w:lineRule="auto"/>
                    <w:ind w:right="0"/>
                    <w:jc w:val="center"/>
                    <w:rPr>
                      <w:b w:val="0"/>
                      <w:bCs w:val="0"/>
                      <w:color w:val="auto"/>
                      <w:sz w:val="21"/>
                      <w:szCs w:val="21"/>
                    </w:rPr>
                  </w:pPr>
                  <w:r>
                    <w:rPr>
                      <w:rFonts w:hint="default"/>
                      <w:b w:val="0"/>
                      <w:bCs w:val="0"/>
                      <w:color w:val="auto"/>
                      <w:sz w:val="21"/>
                      <w:szCs w:val="21"/>
                      <w:lang w:val="en-US" w:eastAsia="zh-CN"/>
                    </w:rPr>
                    <w:t>110.128241</w:t>
                  </w:r>
                  <w:r>
                    <w:rPr>
                      <w:b w:val="0"/>
                      <w:bCs w:val="0"/>
                      <w:color w:val="auto"/>
                      <w:sz w:val="21"/>
                      <w:szCs w:val="21"/>
                    </w:rPr>
                    <w:t>°</w:t>
                  </w:r>
                  <w:r>
                    <w:rPr>
                      <w:rFonts w:hint="default"/>
                      <w:b w:val="0"/>
                      <w:bCs w:val="0"/>
                      <w:color w:val="auto"/>
                      <w:sz w:val="21"/>
                      <w:szCs w:val="21"/>
                    </w:rPr>
                    <w:t>E</w:t>
                  </w:r>
                </w:p>
              </w:tc>
              <w:tc>
                <w:tcPr>
                  <w:tcW w:w="893" w:type="dxa"/>
                  <w:tcBorders>
                    <w:tl2br w:val="nil"/>
                    <w:tr2bl w:val="nil"/>
                  </w:tcBorders>
                  <w:noWrap w:val="0"/>
                  <w:vAlign w:val="center"/>
                </w:tcPr>
                <w:p w14:paraId="3CBD3F60">
                  <w:pPr>
                    <w:keepNext w:val="0"/>
                    <w:keepLines w:val="0"/>
                    <w:pageBreakBefore w:val="0"/>
                    <w:kinsoku/>
                    <w:wordWrap/>
                    <w:topLinePunct w:val="0"/>
                    <w:bidi w:val="0"/>
                    <w:spacing w:line="240" w:lineRule="auto"/>
                    <w:ind w:right="0"/>
                    <w:jc w:val="center"/>
                    <w:rPr>
                      <w:b w:val="0"/>
                      <w:bCs w:val="0"/>
                      <w:color w:val="auto"/>
                      <w:sz w:val="21"/>
                      <w:szCs w:val="21"/>
                    </w:rPr>
                  </w:pPr>
                  <w:r>
                    <w:rPr>
                      <w:rFonts w:hint="eastAsia"/>
                      <w:b w:val="0"/>
                      <w:bCs w:val="0"/>
                      <w:color w:val="auto"/>
                      <w:sz w:val="21"/>
                      <w:szCs w:val="21"/>
                      <w:lang w:val="en-US" w:eastAsia="zh-CN"/>
                    </w:rPr>
                    <w:t>55</w:t>
                  </w:r>
                  <w:r>
                    <w:rPr>
                      <w:b w:val="0"/>
                      <w:bCs w:val="0"/>
                      <w:color w:val="auto"/>
                      <w:sz w:val="21"/>
                      <w:szCs w:val="21"/>
                    </w:rPr>
                    <w:t>户</w:t>
                  </w:r>
                  <w:r>
                    <w:rPr>
                      <w:rFonts w:hint="eastAsia"/>
                      <w:b w:val="0"/>
                      <w:bCs w:val="0"/>
                      <w:color w:val="auto"/>
                      <w:sz w:val="21"/>
                      <w:szCs w:val="21"/>
                      <w:lang w:eastAsia="zh-CN"/>
                    </w:rPr>
                    <w:t>，</w:t>
                  </w:r>
                  <w:r>
                    <w:rPr>
                      <w:rFonts w:hint="eastAsia"/>
                      <w:b w:val="0"/>
                      <w:bCs w:val="0"/>
                      <w:color w:val="auto"/>
                      <w:sz w:val="21"/>
                      <w:szCs w:val="21"/>
                      <w:lang w:val="en-US" w:eastAsia="zh-CN"/>
                    </w:rPr>
                    <w:t>约220</w:t>
                  </w:r>
                  <w:r>
                    <w:rPr>
                      <w:b w:val="0"/>
                      <w:bCs w:val="0"/>
                      <w:color w:val="auto"/>
                      <w:sz w:val="21"/>
                      <w:szCs w:val="21"/>
                    </w:rPr>
                    <w:t>人</w:t>
                  </w:r>
                </w:p>
              </w:tc>
              <w:tc>
                <w:tcPr>
                  <w:tcW w:w="1300" w:type="dxa"/>
                  <w:tcBorders>
                    <w:tl2br w:val="nil"/>
                    <w:tr2bl w:val="nil"/>
                  </w:tcBorders>
                  <w:noWrap w:val="0"/>
                  <w:vAlign w:val="center"/>
                </w:tcPr>
                <w:p w14:paraId="3B47AA45">
                  <w:pPr>
                    <w:keepNext w:val="0"/>
                    <w:keepLines w:val="0"/>
                    <w:pageBreakBefore w:val="0"/>
                    <w:kinsoku/>
                    <w:wordWrap/>
                    <w:topLinePunct w:val="0"/>
                    <w:bidi w:val="0"/>
                    <w:spacing w:line="240" w:lineRule="auto"/>
                    <w:ind w:right="0"/>
                    <w:jc w:val="center"/>
                    <w:rPr>
                      <w:rFonts w:hint="eastAsia"/>
                      <w:b w:val="0"/>
                      <w:bCs w:val="0"/>
                      <w:color w:val="auto"/>
                      <w:sz w:val="21"/>
                      <w:szCs w:val="21"/>
                      <w:lang w:val="en-US" w:eastAsia="zh-CN"/>
                    </w:rPr>
                  </w:pPr>
                  <w:r>
                    <w:rPr>
                      <w:rFonts w:hint="eastAsia"/>
                      <w:b w:val="0"/>
                      <w:bCs w:val="0"/>
                      <w:color w:val="auto"/>
                      <w:sz w:val="21"/>
                      <w:szCs w:val="21"/>
                      <w:lang w:val="en-US" w:eastAsia="zh-CN"/>
                    </w:rPr>
                    <w:t>NE</w:t>
                  </w:r>
                </w:p>
                <w:p w14:paraId="5297E5C1">
                  <w:pPr>
                    <w:keepNext w:val="0"/>
                    <w:keepLines w:val="0"/>
                    <w:pageBreakBefore w:val="0"/>
                    <w:kinsoku/>
                    <w:wordWrap/>
                    <w:topLinePunct w:val="0"/>
                    <w:bidi w:val="0"/>
                    <w:spacing w:line="240" w:lineRule="auto"/>
                    <w:ind w:right="0"/>
                    <w:jc w:val="center"/>
                    <w:rPr>
                      <w:rFonts w:hint="default"/>
                      <w:b w:val="0"/>
                      <w:bCs w:val="0"/>
                      <w:color w:val="auto"/>
                      <w:sz w:val="21"/>
                      <w:szCs w:val="21"/>
                      <w:lang w:val="en-US" w:eastAsia="zh-CN"/>
                    </w:rPr>
                  </w:pPr>
                  <w:r>
                    <w:rPr>
                      <w:rFonts w:hint="eastAsia"/>
                      <w:b w:val="0"/>
                      <w:bCs w:val="0"/>
                      <w:color w:val="auto"/>
                      <w:sz w:val="21"/>
                      <w:szCs w:val="21"/>
                      <w:lang w:val="en-US" w:eastAsia="zh-CN"/>
                    </w:rPr>
                    <w:t>292</w:t>
                  </w:r>
                  <w:r>
                    <w:rPr>
                      <w:rFonts w:hint="default"/>
                      <w:b w:val="0"/>
                      <w:bCs w:val="0"/>
                      <w:color w:val="auto"/>
                      <w:sz w:val="21"/>
                      <w:szCs w:val="21"/>
                    </w:rPr>
                    <w:t>m</w:t>
                  </w:r>
                  <w:r>
                    <w:rPr>
                      <w:rFonts w:hint="eastAsia"/>
                      <w:b w:val="0"/>
                      <w:bCs w:val="0"/>
                      <w:color w:val="auto"/>
                      <w:sz w:val="21"/>
                      <w:szCs w:val="21"/>
                      <w:lang w:val="en-US" w:eastAsia="zh-CN"/>
                    </w:rPr>
                    <w:t>-500m</w:t>
                  </w:r>
                </w:p>
              </w:tc>
              <w:tc>
                <w:tcPr>
                  <w:tcW w:w="832" w:type="dxa"/>
                  <w:tcBorders>
                    <w:tl2br w:val="nil"/>
                    <w:tr2bl w:val="nil"/>
                  </w:tcBorders>
                  <w:noWrap w:val="0"/>
                  <w:vAlign w:val="center"/>
                </w:tcPr>
                <w:p w14:paraId="038F8544">
                  <w:pPr>
                    <w:keepNext w:val="0"/>
                    <w:keepLines w:val="0"/>
                    <w:pageBreakBefore w:val="0"/>
                    <w:kinsoku/>
                    <w:wordWrap/>
                    <w:topLinePunct w:val="0"/>
                    <w:bidi w:val="0"/>
                    <w:spacing w:line="240" w:lineRule="auto"/>
                    <w:ind w:right="0"/>
                    <w:jc w:val="center"/>
                    <w:rPr>
                      <w:b w:val="0"/>
                      <w:bCs w:val="0"/>
                      <w:color w:val="auto"/>
                      <w:sz w:val="21"/>
                      <w:szCs w:val="21"/>
                    </w:rPr>
                  </w:pPr>
                  <w:r>
                    <w:rPr>
                      <w:b w:val="0"/>
                      <w:bCs w:val="0"/>
                      <w:color w:val="auto"/>
                      <w:sz w:val="21"/>
                      <w:szCs w:val="21"/>
                    </w:rPr>
                    <w:t>居住区</w:t>
                  </w:r>
                </w:p>
              </w:tc>
              <w:tc>
                <w:tcPr>
                  <w:tcW w:w="1477" w:type="dxa"/>
                  <w:vMerge w:val="restart"/>
                  <w:tcBorders>
                    <w:tl2br w:val="nil"/>
                    <w:tr2bl w:val="nil"/>
                  </w:tcBorders>
                  <w:noWrap w:val="0"/>
                  <w:vAlign w:val="center"/>
                </w:tcPr>
                <w:p w14:paraId="4F2ABB4C">
                  <w:pPr>
                    <w:keepNext w:val="0"/>
                    <w:keepLines w:val="0"/>
                    <w:pageBreakBefore w:val="0"/>
                    <w:widowControl/>
                    <w:suppressLineNumbers w:val="0"/>
                    <w:kinsoku/>
                    <w:wordWrap/>
                    <w:topLinePunct w:val="0"/>
                    <w:bidi w:val="0"/>
                    <w:spacing w:line="240" w:lineRule="auto"/>
                    <w:ind w:right="0"/>
                    <w:jc w:val="center"/>
                    <w:rPr>
                      <w:b w:val="0"/>
                      <w:bCs w:val="0"/>
                      <w:color w:val="auto"/>
                      <w:sz w:val="21"/>
                      <w:szCs w:val="21"/>
                    </w:rPr>
                  </w:pPr>
                  <w:r>
                    <w:rPr>
                      <w:rFonts w:hint="eastAsia" w:cs="Times New Roman"/>
                      <w:color w:val="000000"/>
                      <w:kern w:val="0"/>
                      <w:sz w:val="21"/>
                      <w:szCs w:val="21"/>
                      <w:lang w:val="en-US" w:eastAsia="zh-CN" w:bidi="ar"/>
                    </w:rPr>
                    <w:t>二类区</w:t>
                  </w:r>
                </w:p>
              </w:tc>
            </w:tr>
            <w:tr w14:paraId="3CB3DA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5" w:hRule="atLeast"/>
                <w:jc w:val="center"/>
              </w:trPr>
              <w:tc>
                <w:tcPr>
                  <w:tcW w:w="682" w:type="dxa"/>
                  <w:vMerge w:val="continue"/>
                  <w:tcBorders>
                    <w:tl2br w:val="nil"/>
                    <w:tr2bl w:val="nil"/>
                  </w:tcBorders>
                  <w:noWrap w:val="0"/>
                  <w:vAlign w:val="center"/>
                </w:tcPr>
                <w:p w14:paraId="5796F04C">
                  <w:pPr>
                    <w:pStyle w:val="65"/>
                    <w:keepNext w:val="0"/>
                    <w:keepLines w:val="0"/>
                    <w:pageBreakBefore w:val="0"/>
                    <w:widowControl/>
                    <w:kinsoku/>
                    <w:wordWrap/>
                    <w:overflowPunct w:val="0"/>
                    <w:topLinePunct w:val="0"/>
                    <w:autoSpaceDE w:val="0"/>
                    <w:autoSpaceDN w:val="0"/>
                    <w:bidi w:val="0"/>
                    <w:adjustRightInd w:val="0"/>
                    <w:snapToGrid w:val="0"/>
                    <w:spacing w:before="0" w:after="0" w:line="240" w:lineRule="auto"/>
                    <w:ind w:right="0"/>
                    <w:jc w:val="center"/>
                    <w:textAlignment w:val="baseline"/>
                    <w:rPr>
                      <w:b w:val="0"/>
                      <w:bCs w:val="0"/>
                      <w:color w:val="auto"/>
                      <w:sz w:val="21"/>
                      <w:szCs w:val="21"/>
                    </w:rPr>
                  </w:pPr>
                </w:p>
              </w:tc>
              <w:tc>
                <w:tcPr>
                  <w:tcW w:w="1288" w:type="dxa"/>
                  <w:tcBorders>
                    <w:tl2br w:val="nil"/>
                    <w:tr2bl w:val="nil"/>
                  </w:tcBorders>
                  <w:noWrap w:val="0"/>
                  <w:vAlign w:val="center"/>
                </w:tcPr>
                <w:p w14:paraId="312120AE">
                  <w:pPr>
                    <w:keepNext w:val="0"/>
                    <w:keepLines w:val="0"/>
                    <w:pageBreakBefore w:val="0"/>
                    <w:widowControl/>
                    <w:suppressLineNumbers w:val="0"/>
                    <w:kinsoku/>
                    <w:wordWrap/>
                    <w:topLinePunct w:val="0"/>
                    <w:bidi w:val="0"/>
                    <w:spacing w:line="240" w:lineRule="auto"/>
                    <w:ind w:right="0"/>
                    <w:jc w:val="center"/>
                    <w:rPr>
                      <w:rFonts w:hint="default"/>
                      <w:b w:val="0"/>
                      <w:bCs w:val="0"/>
                      <w:color w:val="auto"/>
                      <w:sz w:val="21"/>
                      <w:szCs w:val="21"/>
                      <w:lang w:val="en-US" w:eastAsia="zh-CN"/>
                    </w:rPr>
                  </w:pPr>
                  <w:r>
                    <w:rPr>
                      <w:rFonts w:hint="eastAsia"/>
                      <w:b w:val="0"/>
                      <w:bCs w:val="0"/>
                      <w:color w:val="auto"/>
                      <w:sz w:val="21"/>
                      <w:szCs w:val="21"/>
                      <w:lang w:val="en-US" w:eastAsia="zh-CN"/>
                    </w:rPr>
                    <w:t>火马塘小学</w:t>
                  </w:r>
                </w:p>
              </w:tc>
              <w:tc>
                <w:tcPr>
                  <w:tcW w:w="1720" w:type="dxa"/>
                  <w:tcBorders>
                    <w:tl2br w:val="nil"/>
                    <w:tr2bl w:val="nil"/>
                  </w:tcBorders>
                  <w:noWrap w:val="0"/>
                  <w:vAlign w:val="center"/>
                </w:tcPr>
                <w:p w14:paraId="54C9A025">
                  <w:pPr>
                    <w:keepNext w:val="0"/>
                    <w:keepLines w:val="0"/>
                    <w:pageBreakBefore w:val="0"/>
                    <w:kinsoku/>
                    <w:wordWrap/>
                    <w:topLinePunct w:val="0"/>
                    <w:bidi w:val="0"/>
                    <w:spacing w:line="240" w:lineRule="auto"/>
                    <w:ind w:right="0"/>
                    <w:jc w:val="center"/>
                    <w:rPr>
                      <w:rFonts w:hint="default"/>
                      <w:b w:val="0"/>
                      <w:bCs w:val="0"/>
                      <w:color w:val="auto"/>
                      <w:sz w:val="21"/>
                      <w:szCs w:val="21"/>
                      <w:lang w:val="en-US" w:eastAsia="zh-CN"/>
                    </w:rPr>
                  </w:pPr>
                  <w:r>
                    <w:rPr>
                      <w:rFonts w:hint="default"/>
                      <w:b w:val="0"/>
                      <w:bCs w:val="0"/>
                      <w:color w:val="auto"/>
                      <w:sz w:val="21"/>
                      <w:szCs w:val="21"/>
                      <w:lang w:val="en-US" w:eastAsia="zh-CN"/>
                    </w:rPr>
                    <w:t>27.650230</w:t>
                  </w:r>
                  <w:r>
                    <w:rPr>
                      <w:b w:val="0"/>
                      <w:bCs w:val="0"/>
                      <w:color w:val="auto"/>
                      <w:sz w:val="21"/>
                      <w:szCs w:val="21"/>
                    </w:rPr>
                    <w:t>°</w:t>
                  </w:r>
                  <w:r>
                    <w:rPr>
                      <w:rFonts w:hint="default"/>
                      <w:b w:val="0"/>
                      <w:bCs w:val="0"/>
                      <w:color w:val="auto"/>
                      <w:sz w:val="21"/>
                      <w:szCs w:val="21"/>
                    </w:rPr>
                    <w:t>N</w:t>
                  </w:r>
                </w:p>
                <w:p w14:paraId="7611EBA0">
                  <w:pPr>
                    <w:keepNext w:val="0"/>
                    <w:keepLines w:val="0"/>
                    <w:pageBreakBefore w:val="0"/>
                    <w:kinsoku/>
                    <w:wordWrap/>
                    <w:topLinePunct w:val="0"/>
                    <w:bidi w:val="0"/>
                    <w:spacing w:line="240" w:lineRule="auto"/>
                    <w:ind w:right="0"/>
                    <w:jc w:val="center"/>
                    <w:rPr>
                      <w:rFonts w:hint="default"/>
                      <w:b w:val="0"/>
                      <w:bCs w:val="0"/>
                      <w:color w:val="auto"/>
                      <w:sz w:val="21"/>
                      <w:szCs w:val="21"/>
                      <w:lang w:val="en-US" w:eastAsia="zh-CN"/>
                    </w:rPr>
                  </w:pPr>
                  <w:r>
                    <w:rPr>
                      <w:rFonts w:hint="default"/>
                      <w:b w:val="0"/>
                      <w:bCs w:val="0"/>
                      <w:color w:val="auto"/>
                      <w:sz w:val="21"/>
                      <w:szCs w:val="21"/>
                      <w:lang w:val="en-US" w:eastAsia="zh-CN"/>
                    </w:rPr>
                    <w:t>110.128902</w:t>
                  </w:r>
                  <w:r>
                    <w:rPr>
                      <w:b w:val="0"/>
                      <w:bCs w:val="0"/>
                      <w:color w:val="auto"/>
                      <w:sz w:val="21"/>
                      <w:szCs w:val="21"/>
                    </w:rPr>
                    <w:t>°</w:t>
                  </w:r>
                  <w:r>
                    <w:rPr>
                      <w:rFonts w:hint="default"/>
                      <w:b w:val="0"/>
                      <w:bCs w:val="0"/>
                      <w:color w:val="auto"/>
                      <w:sz w:val="21"/>
                      <w:szCs w:val="21"/>
                    </w:rPr>
                    <w:t>E</w:t>
                  </w:r>
                </w:p>
              </w:tc>
              <w:tc>
                <w:tcPr>
                  <w:tcW w:w="893" w:type="dxa"/>
                  <w:tcBorders>
                    <w:tl2br w:val="nil"/>
                    <w:tr2bl w:val="nil"/>
                  </w:tcBorders>
                  <w:noWrap w:val="0"/>
                  <w:vAlign w:val="center"/>
                </w:tcPr>
                <w:p w14:paraId="5D982F45">
                  <w:pPr>
                    <w:keepNext w:val="0"/>
                    <w:keepLines w:val="0"/>
                    <w:pageBreakBefore w:val="0"/>
                    <w:kinsoku/>
                    <w:wordWrap/>
                    <w:topLinePunct w:val="0"/>
                    <w:bidi w:val="0"/>
                    <w:spacing w:line="240" w:lineRule="auto"/>
                    <w:ind w:right="0"/>
                    <w:jc w:val="center"/>
                    <w:rPr>
                      <w:rFonts w:hint="default" w:eastAsia="宋体"/>
                      <w:b w:val="0"/>
                      <w:bCs w:val="0"/>
                      <w:color w:val="auto"/>
                      <w:sz w:val="21"/>
                      <w:szCs w:val="21"/>
                      <w:lang w:val="en-US" w:eastAsia="zh-CN"/>
                    </w:rPr>
                  </w:pPr>
                  <w:r>
                    <w:rPr>
                      <w:rFonts w:hint="eastAsia"/>
                      <w:b w:val="0"/>
                      <w:bCs w:val="0"/>
                      <w:color w:val="auto"/>
                      <w:sz w:val="21"/>
                      <w:szCs w:val="21"/>
                      <w:lang w:val="en-US" w:eastAsia="zh-CN"/>
                    </w:rPr>
                    <w:t>师生6人</w:t>
                  </w:r>
                </w:p>
              </w:tc>
              <w:tc>
                <w:tcPr>
                  <w:tcW w:w="1300" w:type="dxa"/>
                  <w:tcBorders>
                    <w:tl2br w:val="nil"/>
                    <w:tr2bl w:val="nil"/>
                  </w:tcBorders>
                  <w:noWrap w:val="0"/>
                  <w:vAlign w:val="center"/>
                </w:tcPr>
                <w:p w14:paraId="4A04587D">
                  <w:pPr>
                    <w:keepNext w:val="0"/>
                    <w:keepLines w:val="0"/>
                    <w:pageBreakBefore w:val="0"/>
                    <w:kinsoku/>
                    <w:wordWrap/>
                    <w:topLinePunct w:val="0"/>
                    <w:bidi w:val="0"/>
                    <w:spacing w:line="240" w:lineRule="auto"/>
                    <w:ind w:right="0"/>
                    <w:jc w:val="center"/>
                    <w:rPr>
                      <w:rFonts w:hint="eastAsia"/>
                      <w:b w:val="0"/>
                      <w:bCs w:val="0"/>
                      <w:color w:val="auto"/>
                      <w:sz w:val="21"/>
                      <w:szCs w:val="21"/>
                      <w:lang w:val="en-US" w:eastAsia="zh-CN"/>
                    </w:rPr>
                  </w:pPr>
                  <w:r>
                    <w:rPr>
                      <w:rFonts w:hint="eastAsia"/>
                      <w:b w:val="0"/>
                      <w:bCs w:val="0"/>
                      <w:color w:val="auto"/>
                      <w:sz w:val="21"/>
                      <w:szCs w:val="21"/>
                      <w:lang w:val="en-US" w:eastAsia="zh-CN"/>
                    </w:rPr>
                    <w:t>SE</w:t>
                  </w:r>
                </w:p>
                <w:p w14:paraId="27397E27">
                  <w:pPr>
                    <w:keepNext w:val="0"/>
                    <w:keepLines w:val="0"/>
                    <w:pageBreakBefore w:val="0"/>
                    <w:kinsoku/>
                    <w:wordWrap/>
                    <w:topLinePunct w:val="0"/>
                    <w:bidi w:val="0"/>
                    <w:spacing w:line="240" w:lineRule="auto"/>
                    <w:ind w:right="0"/>
                    <w:jc w:val="center"/>
                    <w:rPr>
                      <w:rFonts w:hint="default"/>
                      <w:b w:val="0"/>
                      <w:bCs w:val="0"/>
                      <w:color w:val="auto"/>
                      <w:sz w:val="21"/>
                      <w:szCs w:val="21"/>
                      <w:lang w:val="en-US" w:eastAsia="zh-CN"/>
                    </w:rPr>
                  </w:pPr>
                  <w:r>
                    <w:rPr>
                      <w:rFonts w:hint="eastAsia"/>
                      <w:b w:val="0"/>
                      <w:bCs w:val="0"/>
                      <w:color w:val="auto"/>
                      <w:sz w:val="21"/>
                      <w:szCs w:val="21"/>
                      <w:lang w:val="en-US" w:eastAsia="zh-CN"/>
                    </w:rPr>
                    <w:t>375m-434m</w:t>
                  </w:r>
                </w:p>
              </w:tc>
              <w:tc>
                <w:tcPr>
                  <w:tcW w:w="832" w:type="dxa"/>
                  <w:tcBorders>
                    <w:tl2br w:val="nil"/>
                    <w:tr2bl w:val="nil"/>
                  </w:tcBorders>
                  <w:noWrap w:val="0"/>
                  <w:vAlign w:val="center"/>
                </w:tcPr>
                <w:p w14:paraId="1230DDE2">
                  <w:pPr>
                    <w:keepNext w:val="0"/>
                    <w:keepLines w:val="0"/>
                    <w:pageBreakBefore w:val="0"/>
                    <w:kinsoku/>
                    <w:wordWrap/>
                    <w:topLinePunct w:val="0"/>
                    <w:bidi w:val="0"/>
                    <w:spacing w:line="240" w:lineRule="auto"/>
                    <w:ind w:right="0"/>
                    <w:jc w:val="center"/>
                    <w:rPr>
                      <w:rFonts w:hint="default" w:eastAsia="宋体"/>
                      <w:b w:val="0"/>
                      <w:bCs w:val="0"/>
                      <w:color w:val="auto"/>
                      <w:sz w:val="21"/>
                      <w:szCs w:val="21"/>
                      <w:lang w:val="en-US" w:eastAsia="zh-CN"/>
                    </w:rPr>
                  </w:pPr>
                  <w:r>
                    <w:rPr>
                      <w:rFonts w:hint="eastAsia"/>
                      <w:b w:val="0"/>
                      <w:bCs w:val="0"/>
                      <w:color w:val="auto"/>
                      <w:sz w:val="21"/>
                      <w:szCs w:val="21"/>
                      <w:lang w:val="en-US" w:eastAsia="zh-CN"/>
                    </w:rPr>
                    <w:t>学校</w:t>
                  </w:r>
                </w:p>
              </w:tc>
              <w:tc>
                <w:tcPr>
                  <w:tcW w:w="1477" w:type="dxa"/>
                  <w:vMerge w:val="continue"/>
                  <w:tcBorders>
                    <w:tl2br w:val="nil"/>
                    <w:tr2bl w:val="nil"/>
                  </w:tcBorders>
                  <w:noWrap w:val="0"/>
                  <w:vAlign w:val="center"/>
                </w:tcPr>
                <w:p w14:paraId="0B0455C6">
                  <w:pPr>
                    <w:keepNext w:val="0"/>
                    <w:keepLines w:val="0"/>
                    <w:pageBreakBefore w:val="0"/>
                    <w:widowControl/>
                    <w:suppressLineNumbers w:val="0"/>
                    <w:kinsoku/>
                    <w:wordWrap/>
                    <w:topLinePunct w:val="0"/>
                    <w:bidi w:val="0"/>
                    <w:spacing w:line="240" w:lineRule="auto"/>
                    <w:ind w:right="0"/>
                    <w:jc w:val="center"/>
                    <w:rPr>
                      <w:rFonts w:hint="eastAsia" w:ascii="宋体" w:hAnsi="宋体" w:eastAsia="宋体" w:cs="宋体"/>
                      <w:color w:val="000000"/>
                      <w:kern w:val="0"/>
                      <w:sz w:val="21"/>
                      <w:szCs w:val="21"/>
                      <w:lang w:val="en-US" w:eastAsia="zh-CN" w:bidi="ar"/>
                    </w:rPr>
                  </w:pPr>
                </w:p>
              </w:tc>
            </w:tr>
          </w:tbl>
          <w:p w14:paraId="37B7CD90">
            <w:pPr>
              <w:pStyle w:val="60"/>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color w:val="auto"/>
                <w:sz w:val="21"/>
                <w:szCs w:val="21"/>
                <w:u w:val="none" w:color="auto"/>
                <w:lang w:val="en-US" w:eastAsia="zh-CN"/>
              </w:rPr>
            </w:pPr>
            <w:r>
              <w:rPr>
                <w:rFonts w:hint="default" w:ascii="Times New Roman" w:hAnsi="Times New Roman" w:cs="Times New Roman"/>
                <w:b w:val="0"/>
                <w:bCs/>
                <w:color w:val="auto"/>
                <w:sz w:val="21"/>
                <w:szCs w:val="21"/>
                <w:u w:val="none" w:color="auto"/>
                <w:lang w:val="en-US" w:eastAsia="zh-CN"/>
              </w:rPr>
              <w:t>注：表中坐标为距离</w:t>
            </w:r>
            <w:r>
              <w:rPr>
                <w:rFonts w:hint="eastAsia" w:ascii="Times New Roman" w:hAnsi="Times New Roman" w:cs="Times New Roman"/>
                <w:b w:val="0"/>
                <w:bCs/>
                <w:color w:val="auto"/>
                <w:sz w:val="21"/>
                <w:szCs w:val="21"/>
                <w:u w:val="none" w:color="auto"/>
                <w:lang w:val="en-US" w:eastAsia="zh-CN"/>
              </w:rPr>
              <w:t>厂区</w:t>
            </w:r>
            <w:r>
              <w:rPr>
                <w:rFonts w:hint="default" w:ascii="Times New Roman" w:hAnsi="Times New Roman" w:cs="Times New Roman"/>
                <w:b w:val="0"/>
                <w:bCs/>
                <w:color w:val="auto"/>
                <w:sz w:val="21"/>
                <w:szCs w:val="21"/>
                <w:u w:val="none" w:color="auto"/>
                <w:lang w:val="en-US" w:eastAsia="zh-CN"/>
              </w:rPr>
              <w:t>最近的居民点坐标。</w:t>
            </w:r>
          </w:p>
          <w:p w14:paraId="65549C1E">
            <w:pPr>
              <w:pStyle w:val="6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Times New Roman" w:hAnsi="Times New Roman" w:eastAsia="宋体" w:cs="Times New Roman"/>
                <w:b/>
                <w:bCs w:val="0"/>
                <w:color w:val="auto"/>
                <w:lang w:val="en-US" w:eastAsia="zh-CN"/>
              </w:rPr>
            </w:pPr>
            <w:r>
              <w:rPr>
                <w:rFonts w:hint="eastAsia" w:ascii="Times New Roman" w:hAnsi="Times New Roman" w:eastAsia="宋体" w:cs="Times New Roman"/>
                <w:b/>
                <w:bCs w:val="0"/>
                <w:color w:val="auto"/>
                <w:lang w:val="en-US" w:eastAsia="zh-CN"/>
              </w:rPr>
              <w:t>2、声环境保护目标</w:t>
            </w:r>
          </w:p>
          <w:p w14:paraId="6885036D">
            <w:pPr>
              <w:pStyle w:val="40"/>
              <w:bidi w:val="0"/>
              <w:rPr>
                <w:rFonts w:hint="eastAsia" w:eastAsia="宋体"/>
                <w:u w:val="none" w:color="auto"/>
                <w:lang w:eastAsia="zh-CN"/>
              </w:rPr>
            </w:pPr>
            <w:r>
              <w:rPr>
                <w:rFonts w:hint="eastAsia"/>
                <w:sz w:val="24"/>
                <w:szCs w:val="24"/>
                <w:u w:val="none" w:color="auto"/>
              </w:rPr>
              <w:t>本项目50m范围内</w:t>
            </w:r>
            <w:r>
              <w:rPr>
                <w:rFonts w:hint="eastAsia"/>
                <w:sz w:val="24"/>
                <w:szCs w:val="24"/>
                <w:u w:val="none" w:color="auto"/>
                <w:lang w:val="en-US" w:eastAsia="zh-CN"/>
              </w:rPr>
              <w:t>无声</w:t>
            </w:r>
            <w:r>
              <w:rPr>
                <w:rFonts w:hint="eastAsia"/>
                <w:sz w:val="24"/>
                <w:szCs w:val="24"/>
                <w:u w:val="none" w:color="auto"/>
              </w:rPr>
              <w:t>环境保护目标</w:t>
            </w:r>
            <w:r>
              <w:rPr>
                <w:rFonts w:hint="eastAsia"/>
                <w:sz w:val="24"/>
                <w:szCs w:val="24"/>
                <w:u w:val="none" w:color="auto"/>
                <w:lang w:eastAsia="zh-CN"/>
              </w:rPr>
              <w:t>。</w:t>
            </w:r>
          </w:p>
          <w:p w14:paraId="3E840975">
            <w:pPr>
              <w:pStyle w:val="60"/>
              <w:ind w:firstLine="482"/>
              <w:rPr>
                <w:rFonts w:ascii="Times New Roman" w:cs="Times New Roman"/>
                <w:b/>
                <w:bCs w:val="0"/>
                <w:szCs w:val="24"/>
              </w:rPr>
            </w:pPr>
            <w:r>
              <w:rPr>
                <w:rFonts w:hint="eastAsia" w:ascii="Times New Roman" w:cs="Times New Roman"/>
                <w:b/>
                <w:bCs w:val="0"/>
                <w:szCs w:val="24"/>
              </w:rPr>
              <w:t>3、地表水环境</w:t>
            </w:r>
            <w:r>
              <w:rPr>
                <w:rFonts w:ascii="Times New Roman" w:cs="Times New Roman"/>
                <w:b/>
                <w:bCs w:val="0"/>
                <w:szCs w:val="24"/>
              </w:rPr>
              <w:t>保护目标</w:t>
            </w:r>
          </w:p>
          <w:p w14:paraId="316F8F20">
            <w:pPr>
              <w:pStyle w:val="60"/>
              <w:ind w:firstLine="480"/>
              <w:rPr>
                <w:rFonts w:hint="eastAsia" w:ascii="Times New Roman" w:hAnsi="Times New Roman" w:eastAsia="宋体" w:cs="Times New Roman"/>
                <w:b/>
                <w:bCs/>
                <w:color w:val="000000"/>
                <w:sz w:val="21"/>
                <w:lang w:val="en-US" w:eastAsia="zh-CN"/>
              </w:rPr>
            </w:pPr>
            <w:r>
              <w:rPr>
                <w:rFonts w:hint="eastAsia" w:ascii="Times New Roman" w:cs="Times New Roman"/>
                <w:kern w:val="0"/>
                <w:szCs w:val="24"/>
              </w:rPr>
              <w:t>本项目地表水环境保护目标见下表3-</w:t>
            </w:r>
            <w:r>
              <w:rPr>
                <w:rFonts w:hint="eastAsia" w:ascii="Times New Roman" w:cs="Times New Roman"/>
                <w:kern w:val="0"/>
                <w:szCs w:val="24"/>
                <w:lang w:val="en-US" w:eastAsia="zh-CN"/>
              </w:rPr>
              <w:t>6。</w:t>
            </w:r>
          </w:p>
          <w:p w14:paraId="3426C264">
            <w:pPr>
              <w:pStyle w:val="71"/>
              <w:spacing w:line="240" w:lineRule="auto"/>
              <w:ind w:firstLine="0" w:firstLineChars="0"/>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表3</w:t>
            </w:r>
            <w:r>
              <w:rPr>
                <w:rFonts w:hint="eastAsia" w:ascii="Times New Roman" w:hAnsi="Times New Roman" w:cs="Times New Roman"/>
                <w:b/>
                <w:bCs/>
                <w:color w:val="000000"/>
                <w:sz w:val="21"/>
                <w:szCs w:val="21"/>
                <w:lang w:val="en-US" w:eastAsia="zh-CN"/>
              </w:rPr>
              <w:t>-6</w:t>
            </w:r>
            <w:r>
              <w:rPr>
                <w:rFonts w:hint="eastAsia" w:ascii="Times New Roman" w:hAnsi="Times New Roman" w:cs="Times New Roman"/>
                <w:b/>
                <w:bCs/>
                <w:color w:val="000000"/>
                <w:sz w:val="21"/>
                <w:szCs w:val="21"/>
              </w:rPr>
              <w:t>地表水</w:t>
            </w:r>
            <w:r>
              <w:rPr>
                <w:rFonts w:ascii="Times New Roman" w:hAnsi="Times New Roman" w:cs="Times New Roman"/>
                <w:b/>
                <w:bCs/>
                <w:color w:val="000000"/>
                <w:sz w:val="21"/>
                <w:szCs w:val="21"/>
              </w:rPr>
              <w:t>环境保护目标</w:t>
            </w:r>
            <w:r>
              <w:rPr>
                <w:rFonts w:hint="eastAsia" w:ascii="Times New Roman" w:hAnsi="Times New Roman" w:cs="Times New Roman"/>
                <w:b/>
                <w:bCs/>
                <w:color w:val="000000"/>
                <w:sz w:val="21"/>
                <w:szCs w:val="21"/>
              </w:rPr>
              <w:t>一览表</w:t>
            </w:r>
          </w:p>
          <w:tbl>
            <w:tblPr>
              <w:tblStyle w:val="33"/>
              <w:tblW w:w="4998" w:type="pct"/>
              <w:tblInd w:w="-15"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096"/>
              <w:gridCol w:w="1415"/>
              <w:gridCol w:w="1416"/>
              <w:gridCol w:w="886"/>
              <w:gridCol w:w="1090"/>
              <w:gridCol w:w="2297"/>
            </w:tblGrid>
            <w:tr w14:paraId="5C39E1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668" w:type="pct"/>
                  <w:tcBorders>
                    <w:tl2br w:val="nil"/>
                    <w:tr2bl w:val="nil"/>
                  </w:tcBorders>
                  <w:noWrap w:val="0"/>
                  <w:vAlign w:val="center"/>
                </w:tcPr>
                <w:p w14:paraId="2D7A784F">
                  <w:pPr>
                    <w:pStyle w:val="2"/>
                    <w:snapToGrid/>
                    <w:spacing w:before="0" w:after="0" w:line="240" w:lineRule="auto"/>
                    <w:ind w:right="0"/>
                    <w:jc w:val="center"/>
                    <w:rPr>
                      <w:color w:val="000000"/>
                      <w:sz w:val="21"/>
                      <w:szCs w:val="21"/>
                    </w:rPr>
                  </w:pPr>
                  <w:r>
                    <w:rPr>
                      <w:color w:val="000000"/>
                      <w:sz w:val="21"/>
                      <w:szCs w:val="21"/>
                    </w:rPr>
                    <w:t>名称</w:t>
                  </w:r>
                </w:p>
              </w:tc>
              <w:tc>
                <w:tcPr>
                  <w:tcW w:w="862" w:type="pct"/>
                  <w:tcBorders>
                    <w:tl2br w:val="nil"/>
                    <w:tr2bl w:val="nil"/>
                  </w:tcBorders>
                  <w:noWrap w:val="0"/>
                  <w:vAlign w:val="center"/>
                </w:tcPr>
                <w:p w14:paraId="5C525599">
                  <w:pPr>
                    <w:pStyle w:val="2"/>
                    <w:snapToGrid/>
                    <w:spacing w:before="0" w:after="0" w:line="240" w:lineRule="auto"/>
                    <w:ind w:right="0"/>
                    <w:jc w:val="center"/>
                    <w:rPr>
                      <w:color w:val="000000"/>
                      <w:sz w:val="21"/>
                      <w:szCs w:val="21"/>
                    </w:rPr>
                  </w:pPr>
                  <w:r>
                    <w:rPr>
                      <w:color w:val="000000"/>
                      <w:sz w:val="21"/>
                      <w:szCs w:val="21"/>
                    </w:rPr>
                    <w:t>功能</w:t>
                  </w:r>
                </w:p>
              </w:tc>
              <w:tc>
                <w:tcPr>
                  <w:tcW w:w="863" w:type="pct"/>
                  <w:tcBorders>
                    <w:tl2br w:val="nil"/>
                    <w:tr2bl w:val="nil"/>
                  </w:tcBorders>
                  <w:noWrap w:val="0"/>
                  <w:vAlign w:val="center"/>
                </w:tcPr>
                <w:p w14:paraId="01E01D28">
                  <w:pPr>
                    <w:pStyle w:val="2"/>
                    <w:snapToGrid/>
                    <w:spacing w:before="0" w:after="0" w:line="240" w:lineRule="auto"/>
                    <w:ind w:right="0"/>
                    <w:jc w:val="center"/>
                    <w:rPr>
                      <w:color w:val="000000"/>
                      <w:sz w:val="21"/>
                      <w:szCs w:val="21"/>
                    </w:rPr>
                  </w:pPr>
                  <w:r>
                    <w:rPr>
                      <w:color w:val="000000"/>
                      <w:sz w:val="21"/>
                      <w:szCs w:val="21"/>
                    </w:rPr>
                    <w:t>规模</w:t>
                  </w:r>
                </w:p>
              </w:tc>
              <w:tc>
                <w:tcPr>
                  <w:tcW w:w="540" w:type="pct"/>
                  <w:tcBorders>
                    <w:tl2br w:val="nil"/>
                    <w:tr2bl w:val="nil"/>
                  </w:tcBorders>
                  <w:noWrap w:val="0"/>
                  <w:vAlign w:val="center"/>
                </w:tcPr>
                <w:p w14:paraId="4E123714">
                  <w:pPr>
                    <w:pStyle w:val="2"/>
                    <w:snapToGrid/>
                    <w:spacing w:before="0" w:after="0" w:line="240" w:lineRule="auto"/>
                    <w:ind w:right="0"/>
                    <w:jc w:val="center"/>
                    <w:rPr>
                      <w:color w:val="000000"/>
                      <w:sz w:val="21"/>
                      <w:szCs w:val="21"/>
                    </w:rPr>
                  </w:pPr>
                  <w:r>
                    <w:rPr>
                      <w:rFonts w:hint="eastAsia"/>
                      <w:color w:val="000000"/>
                      <w:sz w:val="21"/>
                      <w:szCs w:val="21"/>
                    </w:rPr>
                    <w:t>相对厂址</w:t>
                  </w:r>
                  <w:r>
                    <w:rPr>
                      <w:color w:val="000000"/>
                      <w:sz w:val="21"/>
                      <w:szCs w:val="21"/>
                    </w:rPr>
                    <w:t>位置</w:t>
                  </w:r>
                </w:p>
              </w:tc>
              <w:tc>
                <w:tcPr>
                  <w:tcW w:w="664" w:type="pct"/>
                  <w:tcBorders>
                    <w:tl2br w:val="nil"/>
                    <w:tr2bl w:val="nil"/>
                  </w:tcBorders>
                  <w:noWrap w:val="0"/>
                  <w:vAlign w:val="center"/>
                </w:tcPr>
                <w:p w14:paraId="234F0315">
                  <w:pPr>
                    <w:pStyle w:val="2"/>
                    <w:snapToGrid/>
                    <w:spacing w:before="0" w:after="0" w:line="240" w:lineRule="auto"/>
                    <w:ind w:right="0"/>
                    <w:jc w:val="center"/>
                    <w:rPr>
                      <w:color w:val="000000"/>
                      <w:sz w:val="21"/>
                      <w:szCs w:val="21"/>
                    </w:rPr>
                  </w:pPr>
                  <w:r>
                    <w:rPr>
                      <w:rFonts w:hint="eastAsia"/>
                      <w:color w:val="000000"/>
                      <w:sz w:val="21"/>
                      <w:szCs w:val="21"/>
                    </w:rPr>
                    <w:t>相对厂址</w:t>
                  </w:r>
                  <w:r>
                    <w:rPr>
                      <w:color w:val="000000"/>
                      <w:sz w:val="21"/>
                      <w:szCs w:val="21"/>
                    </w:rPr>
                    <w:t>距离/m</w:t>
                  </w:r>
                </w:p>
              </w:tc>
              <w:tc>
                <w:tcPr>
                  <w:tcW w:w="1400" w:type="pct"/>
                  <w:tcBorders>
                    <w:tl2br w:val="nil"/>
                    <w:tr2bl w:val="nil"/>
                  </w:tcBorders>
                  <w:noWrap w:val="0"/>
                  <w:vAlign w:val="center"/>
                </w:tcPr>
                <w:p w14:paraId="67891DBE">
                  <w:pPr>
                    <w:pStyle w:val="2"/>
                    <w:snapToGrid/>
                    <w:spacing w:before="0" w:after="0" w:line="240" w:lineRule="auto"/>
                    <w:ind w:right="0" w:rightChars="0"/>
                    <w:jc w:val="center"/>
                    <w:rPr>
                      <w:rFonts w:hint="eastAsia"/>
                      <w:color w:val="000000"/>
                      <w:sz w:val="21"/>
                      <w:szCs w:val="21"/>
                    </w:rPr>
                  </w:pPr>
                  <w:r>
                    <w:rPr>
                      <w:color w:val="000000"/>
                      <w:sz w:val="21"/>
                      <w:szCs w:val="21"/>
                    </w:rPr>
                    <w:t>环境功能区</w:t>
                  </w:r>
                </w:p>
              </w:tc>
            </w:tr>
            <w:tr w14:paraId="36578D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668" w:type="pct"/>
                  <w:tcBorders>
                    <w:tl2br w:val="nil"/>
                    <w:tr2bl w:val="nil"/>
                  </w:tcBorders>
                  <w:noWrap w:val="0"/>
                  <w:vAlign w:val="center"/>
                </w:tcPr>
                <w:p w14:paraId="45F62989">
                  <w:pPr>
                    <w:pStyle w:val="2"/>
                    <w:snapToGrid/>
                    <w:spacing w:before="0" w:after="0" w:line="240" w:lineRule="auto"/>
                    <w:ind w:right="0" w:rightChars="0"/>
                    <w:jc w:val="center"/>
                    <w:rPr>
                      <w:color w:val="000000"/>
                      <w:sz w:val="21"/>
                      <w:szCs w:val="21"/>
                    </w:rPr>
                  </w:pPr>
                  <w:r>
                    <w:rPr>
                      <w:rFonts w:hint="eastAsia"/>
                      <w:color w:val="000000"/>
                      <w:sz w:val="21"/>
                      <w:szCs w:val="21"/>
                      <w:lang w:val="en-US" w:eastAsia="zh-CN"/>
                    </w:rPr>
                    <w:t>太平溪</w:t>
                  </w:r>
                </w:p>
              </w:tc>
              <w:tc>
                <w:tcPr>
                  <w:tcW w:w="862" w:type="pct"/>
                  <w:tcBorders>
                    <w:tl2br w:val="nil"/>
                    <w:tr2bl w:val="nil"/>
                  </w:tcBorders>
                  <w:noWrap w:val="0"/>
                  <w:vAlign w:val="center"/>
                </w:tcPr>
                <w:p w14:paraId="062DB572">
                  <w:pPr>
                    <w:pStyle w:val="2"/>
                    <w:snapToGrid/>
                    <w:spacing w:before="0" w:after="0" w:line="240" w:lineRule="auto"/>
                    <w:ind w:right="0" w:rightChars="0"/>
                    <w:jc w:val="center"/>
                    <w:rPr>
                      <w:color w:val="000000"/>
                      <w:sz w:val="21"/>
                      <w:szCs w:val="21"/>
                    </w:rPr>
                  </w:pPr>
                  <w:r>
                    <w:rPr>
                      <w:rFonts w:hint="eastAsia" w:cs="Times New Roman"/>
                      <w:color w:val="000000"/>
                      <w:kern w:val="0"/>
                      <w:sz w:val="21"/>
                      <w:szCs w:val="21"/>
                      <w:lang w:val="en-US" w:eastAsia="zh-CN" w:bidi="ar-SA"/>
                    </w:rPr>
                    <w:t>农业、景观用水区</w:t>
                  </w:r>
                </w:p>
              </w:tc>
              <w:tc>
                <w:tcPr>
                  <w:tcW w:w="863" w:type="pct"/>
                  <w:tcBorders>
                    <w:tl2br w:val="nil"/>
                    <w:tr2bl w:val="nil"/>
                  </w:tcBorders>
                  <w:noWrap w:val="0"/>
                  <w:vAlign w:val="center"/>
                </w:tcPr>
                <w:p w14:paraId="154C13E1">
                  <w:pPr>
                    <w:pStyle w:val="2"/>
                    <w:snapToGrid/>
                    <w:spacing w:before="0" w:after="0" w:line="240" w:lineRule="auto"/>
                    <w:ind w:right="0" w:rightChars="0"/>
                    <w:jc w:val="center"/>
                    <w:rPr>
                      <w:color w:val="000000"/>
                      <w:sz w:val="21"/>
                      <w:szCs w:val="21"/>
                    </w:rPr>
                  </w:pPr>
                  <w:r>
                    <w:rPr>
                      <w:rFonts w:hint="eastAsia"/>
                      <w:color w:val="000000"/>
                      <w:sz w:val="21"/>
                      <w:szCs w:val="21"/>
                      <w:lang w:val="en-US" w:eastAsia="zh-CN"/>
                    </w:rPr>
                    <w:t>小</w:t>
                  </w:r>
                  <w:r>
                    <w:rPr>
                      <w:color w:val="000000"/>
                      <w:sz w:val="21"/>
                      <w:szCs w:val="21"/>
                    </w:rPr>
                    <w:t>河</w:t>
                  </w:r>
                </w:p>
              </w:tc>
              <w:tc>
                <w:tcPr>
                  <w:tcW w:w="540" w:type="pct"/>
                  <w:tcBorders>
                    <w:tl2br w:val="nil"/>
                    <w:tr2bl w:val="nil"/>
                  </w:tcBorders>
                  <w:noWrap w:val="0"/>
                  <w:vAlign w:val="center"/>
                </w:tcPr>
                <w:p w14:paraId="77DD4D86">
                  <w:pPr>
                    <w:pStyle w:val="2"/>
                    <w:snapToGrid/>
                    <w:spacing w:before="0" w:after="0" w:line="240" w:lineRule="auto"/>
                    <w:ind w:right="0" w:rightChars="0"/>
                    <w:jc w:val="center"/>
                    <w:rPr>
                      <w:rFonts w:hint="default"/>
                      <w:color w:val="000000"/>
                      <w:sz w:val="21"/>
                      <w:szCs w:val="21"/>
                      <w:lang w:val="en-US"/>
                    </w:rPr>
                  </w:pPr>
                  <w:r>
                    <w:rPr>
                      <w:rFonts w:hint="eastAsia"/>
                      <w:color w:val="000000"/>
                      <w:sz w:val="21"/>
                      <w:szCs w:val="21"/>
                      <w:lang w:val="en-US" w:eastAsia="zh-CN"/>
                    </w:rPr>
                    <w:t>NW</w:t>
                  </w:r>
                </w:p>
              </w:tc>
              <w:tc>
                <w:tcPr>
                  <w:tcW w:w="664" w:type="pct"/>
                  <w:tcBorders>
                    <w:tl2br w:val="nil"/>
                    <w:tr2bl w:val="nil"/>
                  </w:tcBorders>
                  <w:noWrap w:val="0"/>
                  <w:vAlign w:val="center"/>
                </w:tcPr>
                <w:p w14:paraId="37C30D72">
                  <w:pPr>
                    <w:keepNext w:val="0"/>
                    <w:keepLines w:val="0"/>
                    <w:widowControl/>
                    <w:suppressLineNumbers w:val="0"/>
                    <w:jc w:val="center"/>
                    <w:rPr>
                      <w:rFonts w:hint="default"/>
                      <w:color w:val="000000"/>
                      <w:sz w:val="21"/>
                      <w:szCs w:val="21"/>
                      <w:lang w:val="en-US"/>
                    </w:rPr>
                  </w:pPr>
                  <w:r>
                    <w:rPr>
                      <w:rFonts w:hint="eastAsia" w:cs="Times New Roman"/>
                      <w:color w:val="000000"/>
                      <w:kern w:val="0"/>
                      <w:sz w:val="21"/>
                      <w:szCs w:val="21"/>
                      <w:lang w:val="en-US" w:eastAsia="zh-CN" w:bidi="ar"/>
                    </w:rPr>
                    <w:t>1443</w:t>
                  </w:r>
                </w:p>
              </w:tc>
              <w:tc>
                <w:tcPr>
                  <w:tcW w:w="1400" w:type="pct"/>
                  <w:vMerge w:val="restart"/>
                  <w:tcBorders>
                    <w:tl2br w:val="nil"/>
                    <w:tr2bl w:val="nil"/>
                  </w:tcBorders>
                  <w:noWrap w:val="0"/>
                  <w:vAlign w:val="center"/>
                </w:tcPr>
                <w:p w14:paraId="6907EEA1">
                  <w:pPr>
                    <w:keepNext w:val="0"/>
                    <w:keepLines w:val="0"/>
                    <w:widowControl/>
                    <w:suppressLineNumbers w:val="0"/>
                    <w:jc w:val="center"/>
                  </w:pPr>
                  <w:r>
                    <w:rPr>
                      <w:rFonts w:hint="default" w:ascii="Times New Roman" w:hAnsi="Times New Roman" w:eastAsia="宋体" w:cs="Times New Roman"/>
                      <w:color w:val="000000"/>
                      <w:kern w:val="0"/>
                      <w:sz w:val="21"/>
                      <w:szCs w:val="21"/>
                      <w:lang w:val="en-US" w:eastAsia="zh-CN" w:bidi="ar"/>
                    </w:rPr>
                    <w:t>GB3838-2002</w:t>
                  </w:r>
                </w:p>
                <w:p w14:paraId="00D0A0C3">
                  <w:pPr>
                    <w:keepNext w:val="0"/>
                    <w:keepLines w:val="0"/>
                    <w:widowControl/>
                    <w:suppressLineNumbers w:val="0"/>
                    <w:jc w:val="center"/>
                    <w:rPr>
                      <w:color w:val="000000"/>
                      <w:sz w:val="21"/>
                      <w:szCs w:val="21"/>
                    </w:rPr>
                  </w:pPr>
                  <w:r>
                    <w:rPr>
                      <w:rFonts w:hint="default" w:ascii="Times New Roman" w:hAnsi="Times New Roman" w:eastAsia="宋体" w:cs="Times New Roman"/>
                      <w:color w:val="000000"/>
                      <w:kern w:val="0"/>
                      <w:sz w:val="21"/>
                      <w:szCs w:val="21"/>
                      <w:lang w:val="en-US" w:eastAsia="zh-CN" w:bidi="ar"/>
                    </w:rPr>
                    <w:t>Ⅲ</w:t>
                  </w:r>
                  <w:r>
                    <w:rPr>
                      <w:rFonts w:hint="eastAsia" w:ascii="宋体" w:hAnsi="宋体" w:eastAsia="宋体" w:cs="宋体"/>
                      <w:color w:val="000000"/>
                      <w:kern w:val="0"/>
                      <w:sz w:val="21"/>
                      <w:szCs w:val="21"/>
                      <w:lang w:val="en-US" w:eastAsia="zh-CN" w:bidi="ar"/>
                    </w:rPr>
                    <w:t>类标准</w:t>
                  </w:r>
                </w:p>
              </w:tc>
            </w:tr>
            <w:tr w14:paraId="1A6D1D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668" w:type="pct"/>
                  <w:tcBorders>
                    <w:tl2br w:val="nil"/>
                    <w:tr2bl w:val="nil"/>
                  </w:tcBorders>
                  <w:noWrap w:val="0"/>
                  <w:vAlign w:val="center"/>
                </w:tcPr>
                <w:p w14:paraId="038AB7B4">
                  <w:pPr>
                    <w:pStyle w:val="2"/>
                    <w:snapToGrid/>
                    <w:spacing w:before="0" w:after="0" w:line="240" w:lineRule="auto"/>
                    <w:ind w:right="0" w:rightChars="0"/>
                    <w:jc w:val="center"/>
                    <w:rPr>
                      <w:rFonts w:hint="default"/>
                      <w:color w:val="000000"/>
                      <w:sz w:val="21"/>
                      <w:szCs w:val="21"/>
                      <w:lang w:val="en-US" w:eastAsia="zh-CN"/>
                    </w:rPr>
                  </w:pPr>
                  <w:r>
                    <w:rPr>
                      <w:rFonts w:hint="eastAsia"/>
                      <w:color w:val="000000"/>
                      <w:sz w:val="21"/>
                      <w:szCs w:val="21"/>
                      <w:lang w:val="en-US" w:eastAsia="zh-CN"/>
                    </w:rPr>
                    <w:t>泸阳溪</w:t>
                  </w:r>
                </w:p>
              </w:tc>
              <w:tc>
                <w:tcPr>
                  <w:tcW w:w="862" w:type="pct"/>
                  <w:tcBorders>
                    <w:tl2br w:val="nil"/>
                    <w:tr2bl w:val="nil"/>
                  </w:tcBorders>
                  <w:noWrap w:val="0"/>
                  <w:vAlign w:val="center"/>
                </w:tcPr>
                <w:p w14:paraId="08B7D7FE">
                  <w:pPr>
                    <w:pStyle w:val="2"/>
                    <w:snapToGrid/>
                    <w:spacing w:before="0" w:after="0" w:line="240" w:lineRule="auto"/>
                    <w:ind w:right="0" w:rightChars="0"/>
                    <w:jc w:val="center"/>
                    <w:rPr>
                      <w:rFonts w:hint="eastAsia" w:cs="Times New Roman"/>
                      <w:color w:val="000000"/>
                      <w:kern w:val="0"/>
                      <w:sz w:val="21"/>
                      <w:szCs w:val="21"/>
                      <w:lang w:val="en-US" w:eastAsia="zh-CN" w:bidi="ar-SA"/>
                    </w:rPr>
                  </w:pPr>
                  <w:r>
                    <w:rPr>
                      <w:rFonts w:hint="eastAsia" w:cs="Times New Roman"/>
                      <w:color w:val="000000"/>
                      <w:kern w:val="0"/>
                      <w:sz w:val="21"/>
                      <w:szCs w:val="21"/>
                      <w:lang w:val="en-US" w:eastAsia="zh-CN" w:bidi="ar-SA"/>
                    </w:rPr>
                    <w:t>农业、景观用水区</w:t>
                  </w:r>
                </w:p>
              </w:tc>
              <w:tc>
                <w:tcPr>
                  <w:tcW w:w="863" w:type="pct"/>
                  <w:tcBorders>
                    <w:tl2br w:val="nil"/>
                    <w:tr2bl w:val="nil"/>
                  </w:tcBorders>
                  <w:noWrap w:val="0"/>
                  <w:vAlign w:val="center"/>
                </w:tcPr>
                <w:p w14:paraId="1E81736A">
                  <w:pPr>
                    <w:pStyle w:val="2"/>
                    <w:snapToGrid/>
                    <w:spacing w:before="0" w:after="0" w:line="240" w:lineRule="auto"/>
                    <w:ind w:right="0" w:rightChars="0"/>
                    <w:jc w:val="center"/>
                    <w:rPr>
                      <w:rFonts w:hint="eastAsia"/>
                      <w:color w:val="000000"/>
                      <w:sz w:val="21"/>
                      <w:szCs w:val="21"/>
                      <w:lang w:val="en-US" w:eastAsia="zh-CN"/>
                    </w:rPr>
                  </w:pPr>
                  <w:r>
                    <w:rPr>
                      <w:rFonts w:hint="eastAsia"/>
                      <w:color w:val="000000"/>
                      <w:sz w:val="21"/>
                      <w:szCs w:val="21"/>
                      <w:lang w:val="en-US" w:eastAsia="zh-CN"/>
                    </w:rPr>
                    <w:t>小</w:t>
                  </w:r>
                  <w:r>
                    <w:rPr>
                      <w:color w:val="000000"/>
                      <w:sz w:val="21"/>
                      <w:szCs w:val="21"/>
                    </w:rPr>
                    <w:t>河</w:t>
                  </w:r>
                </w:p>
              </w:tc>
              <w:tc>
                <w:tcPr>
                  <w:tcW w:w="540" w:type="pct"/>
                  <w:tcBorders>
                    <w:tl2br w:val="nil"/>
                    <w:tr2bl w:val="nil"/>
                  </w:tcBorders>
                  <w:noWrap w:val="0"/>
                  <w:vAlign w:val="center"/>
                </w:tcPr>
                <w:p w14:paraId="03D88184">
                  <w:pPr>
                    <w:pStyle w:val="2"/>
                    <w:snapToGrid/>
                    <w:spacing w:before="0" w:after="0" w:line="240" w:lineRule="auto"/>
                    <w:ind w:right="0" w:rightChars="0"/>
                    <w:jc w:val="center"/>
                    <w:rPr>
                      <w:rFonts w:hint="eastAsia"/>
                      <w:color w:val="000000"/>
                      <w:sz w:val="21"/>
                      <w:szCs w:val="21"/>
                      <w:lang w:val="en-US" w:eastAsia="zh-CN"/>
                    </w:rPr>
                  </w:pPr>
                  <w:r>
                    <w:rPr>
                      <w:rFonts w:hint="eastAsia"/>
                      <w:color w:val="000000"/>
                      <w:sz w:val="21"/>
                      <w:szCs w:val="21"/>
                      <w:lang w:val="en-US" w:eastAsia="zh-CN"/>
                    </w:rPr>
                    <w:t>SW</w:t>
                  </w:r>
                </w:p>
              </w:tc>
              <w:tc>
                <w:tcPr>
                  <w:tcW w:w="664" w:type="pct"/>
                  <w:tcBorders>
                    <w:tl2br w:val="nil"/>
                    <w:tr2bl w:val="nil"/>
                  </w:tcBorders>
                  <w:noWrap w:val="0"/>
                  <w:vAlign w:val="center"/>
                </w:tcPr>
                <w:p w14:paraId="239D4FD5">
                  <w:pPr>
                    <w:keepNext w:val="0"/>
                    <w:keepLines w:val="0"/>
                    <w:widowControl/>
                    <w:suppressLineNumbers w:val="0"/>
                    <w:jc w:val="center"/>
                    <w:rPr>
                      <w:rFonts w:hint="default" w:cs="Times New Roman"/>
                      <w:color w:val="000000"/>
                      <w:kern w:val="0"/>
                      <w:sz w:val="21"/>
                      <w:szCs w:val="21"/>
                      <w:lang w:val="en-US" w:eastAsia="zh-CN" w:bidi="ar"/>
                    </w:rPr>
                  </w:pPr>
                  <w:r>
                    <w:rPr>
                      <w:rFonts w:hint="eastAsia" w:cs="Times New Roman"/>
                      <w:color w:val="000000"/>
                      <w:kern w:val="0"/>
                      <w:sz w:val="21"/>
                      <w:szCs w:val="21"/>
                      <w:lang w:val="en-US" w:eastAsia="zh-CN" w:bidi="ar"/>
                    </w:rPr>
                    <w:t>5126</w:t>
                  </w:r>
                </w:p>
              </w:tc>
              <w:tc>
                <w:tcPr>
                  <w:tcW w:w="1400" w:type="pct"/>
                  <w:vMerge w:val="continue"/>
                  <w:tcBorders>
                    <w:tl2br w:val="nil"/>
                    <w:tr2bl w:val="nil"/>
                  </w:tcBorders>
                  <w:noWrap w:val="0"/>
                  <w:vAlign w:val="center"/>
                </w:tcPr>
                <w:p w14:paraId="2C53279D">
                  <w:pPr>
                    <w:keepNext w:val="0"/>
                    <w:keepLines w:val="0"/>
                    <w:widowControl/>
                    <w:suppressLineNumbers w:val="0"/>
                    <w:jc w:val="center"/>
                    <w:rPr>
                      <w:rFonts w:hint="default" w:ascii="Times New Roman" w:hAnsi="Times New Roman" w:eastAsia="宋体" w:cs="Times New Roman"/>
                      <w:color w:val="000000"/>
                      <w:kern w:val="0"/>
                      <w:sz w:val="21"/>
                      <w:szCs w:val="21"/>
                      <w:lang w:val="en-US" w:eastAsia="zh-CN" w:bidi="ar"/>
                    </w:rPr>
                  </w:pPr>
                </w:p>
              </w:tc>
            </w:tr>
          </w:tbl>
          <w:p w14:paraId="5F206A67">
            <w:pPr>
              <w:pStyle w:val="60"/>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default" w:ascii="Times New Roman" w:hAnsi="Times New Roman" w:eastAsia="宋体" w:cs="Times New Roman"/>
                <w:b/>
                <w:bCs w:val="0"/>
                <w:color w:val="auto"/>
                <w:lang w:val="en-US" w:eastAsia="zh-CN"/>
              </w:rPr>
            </w:pPr>
            <w:r>
              <w:rPr>
                <w:rFonts w:hint="eastAsia" w:ascii="Times New Roman" w:hAnsi="Times New Roman" w:cs="Times New Roman"/>
                <w:b/>
                <w:bCs w:val="0"/>
                <w:color w:val="auto"/>
                <w:lang w:val="en-US" w:eastAsia="zh-CN"/>
              </w:rPr>
              <w:t>4</w:t>
            </w:r>
            <w:r>
              <w:rPr>
                <w:rFonts w:hint="default" w:ascii="Times New Roman" w:hAnsi="Times New Roman" w:eastAsia="宋体" w:cs="Times New Roman"/>
                <w:b/>
                <w:bCs w:val="0"/>
                <w:color w:val="auto"/>
                <w:lang w:val="en-US" w:eastAsia="zh-CN"/>
              </w:rPr>
              <w:t>、地下水环境保护目标</w:t>
            </w:r>
          </w:p>
          <w:p w14:paraId="4B600C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color w:val="auto"/>
                <w:kern w:val="0"/>
                <w:sz w:val="24"/>
                <w:szCs w:val="24"/>
                <w:lang w:eastAsia="zh-CN"/>
              </w:rPr>
              <w:t>本</w:t>
            </w:r>
            <w:r>
              <w:rPr>
                <w:rFonts w:hint="eastAsia" w:ascii="Times New Roman" w:hAnsi="Times New Roman"/>
                <w:color w:val="auto"/>
                <w:kern w:val="0"/>
                <w:sz w:val="24"/>
                <w:szCs w:val="24"/>
              </w:rPr>
              <w:t>项目厂界外500米范围内无地下水集中式饮用水水源和热水、矿泉水、温泉等特殊地下水资源</w:t>
            </w:r>
            <w:r>
              <w:rPr>
                <w:rFonts w:hint="eastAsia" w:ascii="Times New Roman" w:hAnsi="Times New Roman" w:eastAsia="宋体" w:cs="Times New Roman"/>
                <w:color w:val="auto"/>
                <w:kern w:val="0"/>
                <w:sz w:val="24"/>
                <w:szCs w:val="24"/>
                <w:lang w:val="en-US" w:eastAsia="zh-CN" w:bidi="ar"/>
              </w:rPr>
              <w:t>。</w:t>
            </w:r>
          </w:p>
          <w:p w14:paraId="41DA17A7">
            <w:pPr>
              <w:pStyle w:val="60"/>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default" w:ascii="Times New Roman" w:hAnsi="Times New Roman" w:eastAsia="宋体" w:cs="Times New Roman"/>
                <w:b/>
                <w:bCs w:val="0"/>
                <w:color w:val="auto"/>
                <w:lang w:val="en-US" w:eastAsia="zh-CN"/>
              </w:rPr>
            </w:pPr>
            <w:r>
              <w:rPr>
                <w:rFonts w:hint="eastAsia" w:ascii="Times New Roman" w:hAnsi="Times New Roman" w:cs="Times New Roman"/>
                <w:b/>
                <w:bCs w:val="0"/>
                <w:color w:val="auto"/>
                <w:lang w:val="en-US" w:eastAsia="zh-CN"/>
              </w:rPr>
              <w:t>5</w:t>
            </w:r>
            <w:r>
              <w:rPr>
                <w:rFonts w:hint="eastAsia" w:ascii="Times New Roman" w:hAnsi="Times New Roman" w:eastAsia="宋体" w:cs="Times New Roman"/>
                <w:b/>
                <w:bCs w:val="0"/>
                <w:color w:val="auto"/>
                <w:lang w:val="en-US" w:eastAsia="zh-CN"/>
              </w:rPr>
              <w:t>、生态环境保护目标</w:t>
            </w:r>
          </w:p>
          <w:p w14:paraId="085E6096">
            <w:pPr>
              <w:pStyle w:val="40"/>
              <w:bidi w:val="0"/>
              <w:rPr>
                <w:color w:val="000000" w:themeColor="text1"/>
                <w:u w:val="none" w:color="auto"/>
                <w14:textFill>
                  <w14:solidFill>
                    <w14:schemeClr w14:val="tx1"/>
                  </w14:solidFill>
                </w14:textFill>
              </w:rPr>
            </w:pPr>
            <w:r>
              <w:rPr>
                <w:rFonts w:hint="eastAsia"/>
                <w:lang w:val="en-US" w:eastAsia="zh-CN"/>
              </w:rPr>
              <w:t>本项目场地范围内无生态环境保护目标，因此无需进行生态现状调查。</w:t>
            </w:r>
          </w:p>
        </w:tc>
      </w:tr>
      <w:tr w14:paraId="69F5B7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637" w:type="dxa"/>
            <w:tcMar>
              <w:left w:w="28" w:type="dxa"/>
              <w:right w:w="28" w:type="dxa"/>
            </w:tcMar>
            <w:vAlign w:val="center"/>
          </w:tcPr>
          <w:p w14:paraId="60F1C34D">
            <w:pPr>
              <w:adjustRightInd w:val="0"/>
              <w:snapToGrid w:val="0"/>
              <w:jc w:val="center"/>
              <w:rPr>
                <w:color w:val="000000" w:themeColor="text1"/>
                <w:kern w:val="0"/>
                <w:szCs w:val="21"/>
                <w:u w:val="none" w:color="auto"/>
                <w14:textFill>
                  <w14:solidFill>
                    <w14:schemeClr w14:val="tx1"/>
                  </w14:solidFill>
                </w14:textFill>
              </w:rPr>
            </w:pPr>
            <w:r>
              <w:rPr>
                <w:color w:val="000000" w:themeColor="text1"/>
                <w:kern w:val="0"/>
                <w:szCs w:val="21"/>
                <w:u w:val="none" w:color="auto"/>
                <w14:textFill>
                  <w14:solidFill>
                    <w14:schemeClr w14:val="tx1"/>
                  </w14:solidFill>
                </w14:textFill>
              </w:rPr>
              <w:t>污染物排放控制标准</w:t>
            </w:r>
          </w:p>
        </w:tc>
        <w:tc>
          <w:tcPr>
            <w:tcW w:w="8424" w:type="dxa"/>
            <w:vAlign w:val="center"/>
          </w:tcPr>
          <w:p w14:paraId="450D922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firstLine="482" w:firstLineChars="200"/>
              <w:textAlignment w:val="auto"/>
              <w:rPr>
                <w:rFonts w:hint="default" w:ascii="Times New Roman" w:hAnsi="Times New Roman" w:cs="Times New Roman"/>
                <w:b/>
                <w:color w:val="auto"/>
                <w:sz w:val="24"/>
              </w:rPr>
            </w:pPr>
            <w:r>
              <w:rPr>
                <w:rFonts w:hint="default" w:ascii="Times New Roman" w:hAnsi="Times New Roman" w:cs="Times New Roman"/>
                <w:b/>
                <w:color w:val="auto"/>
                <w:sz w:val="24"/>
              </w:rPr>
              <w:t>1、废气</w:t>
            </w:r>
          </w:p>
          <w:p w14:paraId="107FA165">
            <w:pPr>
              <w:spacing w:line="360" w:lineRule="auto"/>
              <w:ind w:firstLine="480" w:firstLineChars="200"/>
              <w:rPr>
                <w:rFonts w:hint="default" w:ascii="Times New Roman" w:hAnsi="Times New Roman" w:cs="Times New Roman"/>
                <w:sz w:val="24"/>
                <w:u w:val="single" w:color="auto"/>
              </w:rPr>
            </w:pPr>
            <w:r>
              <w:rPr>
                <w:rFonts w:hint="eastAsia"/>
                <w:sz w:val="24"/>
                <w:szCs w:val="24"/>
                <w:u w:val="single" w:color="auto"/>
                <w:lang w:val="en-US" w:eastAsia="zh-CN"/>
              </w:rPr>
              <w:t>本项目施工期施工扬尘执行</w:t>
            </w:r>
            <w:r>
              <w:rPr>
                <w:rFonts w:hint="eastAsia"/>
                <w:sz w:val="24"/>
                <w:u w:val="single" w:color="auto"/>
              </w:rPr>
              <w:t>《大气污染物综合排放标准》（GB16297-1996）表2</w:t>
            </w:r>
            <w:r>
              <w:rPr>
                <w:rFonts w:hint="eastAsia"/>
                <w:sz w:val="24"/>
                <w:u w:val="single" w:color="auto"/>
                <w:lang w:eastAsia="zh-CN"/>
              </w:rPr>
              <w:t>中</w:t>
            </w:r>
            <w:r>
              <w:rPr>
                <w:rFonts w:hint="eastAsia"/>
                <w:sz w:val="24"/>
                <w:u w:val="single" w:color="auto"/>
                <w:lang w:val="en-US" w:eastAsia="zh-CN"/>
              </w:rPr>
              <w:t>无组织</w:t>
            </w:r>
            <w:r>
              <w:rPr>
                <w:rFonts w:hint="eastAsia"/>
                <w:sz w:val="24"/>
                <w:u w:val="single" w:color="auto"/>
              </w:rPr>
              <w:t>排放标准限值</w:t>
            </w:r>
            <w:r>
              <w:rPr>
                <w:rFonts w:hint="eastAsia"/>
                <w:sz w:val="24"/>
                <w:u w:val="single" w:color="auto"/>
                <w:lang w:eastAsia="zh-CN"/>
              </w:rPr>
              <w:t>。</w:t>
            </w:r>
          </w:p>
          <w:p w14:paraId="713B2245">
            <w:pPr>
              <w:pStyle w:val="60"/>
              <w:keepNext w:val="0"/>
              <w:keepLines w:val="0"/>
              <w:pageBreakBefore w:val="0"/>
              <w:widowControl w:val="0"/>
              <w:kinsoku/>
              <w:wordWrap/>
              <w:overflowPunct/>
              <w:topLinePunct w:val="0"/>
              <w:autoSpaceDE/>
              <w:autoSpaceDN/>
              <w:bidi w:val="0"/>
              <w:adjustRightInd/>
              <w:snapToGrid/>
              <w:spacing w:line="360" w:lineRule="auto"/>
              <w:ind w:firstLine="422"/>
              <w:jc w:val="both"/>
              <w:textAlignment w:val="auto"/>
              <w:rPr>
                <w:rFonts w:hint="default" w:ascii="Times New Roman" w:hAnsi="Times New Roman" w:eastAsia="宋体" w:cs="Times New Roman"/>
                <w:sz w:val="24"/>
                <w:lang w:val="en-US" w:eastAsia="zh-CN"/>
              </w:rPr>
            </w:pPr>
            <w:r>
              <w:rPr>
                <w:rFonts w:hint="default" w:ascii="Times New Roman" w:hAnsi="Times New Roman" w:cs="Times New Roman"/>
                <w:sz w:val="24"/>
              </w:rPr>
              <w:t>项目</w:t>
            </w:r>
            <w:r>
              <w:rPr>
                <w:rFonts w:hint="eastAsia" w:ascii="Times New Roman" w:hAnsi="Times New Roman" w:cs="Times New Roman"/>
                <w:sz w:val="24"/>
                <w:lang w:val="en-US" w:eastAsia="zh-CN"/>
              </w:rPr>
              <w:t>运营期</w:t>
            </w:r>
            <w:r>
              <w:rPr>
                <w:rFonts w:hint="default" w:ascii="Times New Roman" w:hAnsi="Times New Roman" w:cs="Times New Roman"/>
                <w:sz w:val="24"/>
              </w:rPr>
              <w:t>(含浸、烘</w:t>
            </w:r>
            <w:r>
              <w:rPr>
                <w:rFonts w:hint="default" w:ascii="Times New Roman" w:hAnsi="Times New Roman" w:cs="Times New Roman"/>
                <w:sz w:val="24"/>
                <w:lang w:val="en-US" w:eastAsia="zh-CN"/>
              </w:rPr>
              <w:t>干</w:t>
            </w:r>
            <w:r>
              <w:rPr>
                <w:rFonts w:hint="default" w:ascii="Times New Roman" w:hAnsi="Times New Roman" w:cs="Times New Roman"/>
                <w:sz w:val="24"/>
              </w:rPr>
              <w:t>、</w:t>
            </w:r>
            <w:r>
              <w:rPr>
                <w:rFonts w:hint="default" w:ascii="Times New Roman" w:hAnsi="Times New Roman" w:cs="Times New Roman"/>
                <w:sz w:val="24"/>
                <w:lang w:val="en-US" w:eastAsia="zh-CN"/>
              </w:rPr>
              <w:t>焊锡</w:t>
            </w:r>
            <w:r>
              <w:rPr>
                <w:rFonts w:hint="default" w:ascii="Times New Roman" w:hAnsi="Times New Roman" w:cs="Times New Roman"/>
                <w:sz w:val="24"/>
              </w:rPr>
              <w:t>工序产生的有机废气)有组织排放的</w:t>
            </w:r>
            <w:r>
              <w:rPr>
                <w:rFonts w:hint="default" w:ascii="Times New Roman" w:hAnsi="Times New Roman" w:cs="Times New Roman"/>
                <w:sz w:val="24"/>
                <w:lang w:val="en-US" w:eastAsia="zh-CN"/>
              </w:rPr>
              <w:t>VOCs</w:t>
            </w:r>
            <w:r>
              <w:rPr>
                <w:rFonts w:hint="default" w:ascii="Times New Roman" w:hAnsi="Times New Roman" w:cs="Times New Roman"/>
                <w:sz w:val="24"/>
              </w:rPr>
              <w:t>(以非甲烷总烃计)</w:t>
            </w:r>
            <w:r>
              <w:rPr>
                <w:rFonts w:hint="default" w:ascii="Times New Roman" w:hAnsi="Times New Roman" w:cs="Times New Roman"/>
                <w:sz w:val="24"/>
                <w:lang w:eastAsia="zh-CN"/>
              </w:rPr>
              <w:t>、</w:t>
            </w:r>
            <w:r>
              <w:rPr>
                <w:rFonts w:hint="default" w:ascii="Times New Roman" w:hAnsi="Times New Roman" w:cs="Times New Roman"/>
                <w:sz w:val="24"/>
                <w:lang w:val="en-US" w:eastAsia="zh-CN"/>
              </w:rPr>
              <w:t>苯系物</w:t>
            </w:r>
            <w:r>
              <w:rPr>
                <w:rFonts w:hint="eastAsia" w:ascii="Times New Roman" w:hAnsi="Times New Roman" w:cs="Times New Roman"/>
                <w:sz w:val="24"/>
                <w:lang w:val="en-US" w:eastAsia="zh-CN"/>
              </w:rPr>
              <w:t>（二甲苯）</w:t>
            </w:r>
            <w:r>
              <w:rPr>
                <w:rFonts w:hint="default" w:ascii="Times New Roman" w:hAnsi="Times New Roman" w:cs="Times New Roman"/>
                <w:sz w:val="24"/>
              </w:rPr>
              <w:t>有组织排放</w:t>
            </w:r>
            <w:r>
              <w:rPr>
                <w:rFonts w:hint="default" w:ascii="Times New Roman" w:hAnsi="Times New Roman" w:cs="Times New Roman"/>
                <w:sz w:val="24"/>
                <w:szCs w:val="24"/>
                <w:u w:val="none"/>
                <w:lang w:val="en-US" w:eastAsia="zh-CN"/>
              </w:rPr>
              <w:t>执行</w:t>
            </w:r>
            <w:r>
              <w:rPr>
                <w:rFonts w:hint="default" w:ascii="Times New Roman" w:hAnsi="Times New Roman" w:cs="Times New Roman"/>
                <w:sz w:val="24"/>
                <w:szCs w:val="24"/>
                <w:u w:val="none"/>
              </w:rPr>
              <w:t>湖南省</w:t>
            </w:r>
            <w:r>
              <w:rPr>
                <w:rFonts w:hint="default" w:ascii="Times New Roman" w:hAnsi="Times New Roman" w:cs="Times New Roman"/>
                <w:sz w:val="24"/>
                <w:szCs w:val="24"/>
                <w:u w:val="none"/>
                <w:lang w:val="en-US" w:eastAsia="zh-CN"/>
              </w:rPr>
              <w:t>地方标准</w:t>
            </w:r>
            <w:r>
              <w:rPr>
                <w:rFonts w:hint="default" w:ascii="Times New Roman" w:hAnsi="Times New Roman" w:cs="Times New Roman"/>
                <w:sz w:val="24"/>
                <w:szCs w:val="24"/>
                <w:u w:val="none"/>
                <w:lang w:eastAsia="zh-CN"/>
              </w:rPr>
              <w:t>《工业企业挥发性有机物排放标准》（DB43/3550-2026）</w:t>
            </w:r>
            <w:r>
              <w:rPr>
                <w:rFonts w:hint="default" w:ascii="Times New Roman" w:hAnsi="Times New Roman" w:cs="Times New Roman"/>
                <w:sz w:val="24"/>
                <w:szCs w:val="24"/>
                <w:u w:val="none"/>
              </w:rPr>
              <w:t>表</w:t>
            </w:r>
            <w:r>
              <w:rPr>
                <w:rFonts w:hint="default" w:ascii="Times New Roman" w:hAnsi="Times New Roman" w:cs="Times New Roman"/>
                <w:sz w:val="24"/>
                <w:szCs w:val="24"/>
                <w:u w:val="none"/>
                <w:lang w:val="en-US" w:eastAsia="zh-CN"/>
              </w:rPr>
              <w:t>1</w:t>
            </w:r>
            <w:r>
              <w:rPr>
                <w:rFonts w:hint="default" w:ascii="Times New Roman" w:hAnsi="Times New Roman" w:cs="Times New Roman"/>
                <w:sz w:val="24"/>
                <w:szCs w:val="24"/>
                <w:u w:val="none"/>
              </w:rPr>
              <w:t>中</w:t>
            </w:r>
            <w:r>
              <w:rPr>
                <w:rFonts w:hint="eastAsia" w:ascii="Times New Roman" w:hAnsi="Times New Roman" w:cs="Times New Roman"/>
                <w:sz w:val="24"/>
                <w:szCs w:val="24"/>
                <w:u w:val="none"/>
                <w:lang w:val="en-US" w:eastAsia="zh-CN"/>
              </w:rPr>
              <w:t>计算机、通信和其他电子设备制造业</w:t>
            </w:r>
            <w:r>
              <w:rPr>
                <w:rFonts w:hint="default" w:ascii="Times New Roman" w:hAnsi="Times New Roman" w:cs="Times New Roman"/>
                <w:sz w:val="24"/>
                <w:szCs w:val="24"/>
                <w:u w:val="none"/>
                <w:lang w:val="en-US" w:eastAsia="zh-CN"/>
              </w:rPr>
              <w:t>排放</w:t>
            </w:r>
            <w:r>
              <w:rPr>
                <w:rFonts w:hint="default" w:ascii="Times New Roman" w:hAnsi="Times New Roman" w:cs="Times New Roman"/>
                <w:sz w:val="24"/>
                <w:szCs w:val="24"/>
                <w:u w:val="none"/>
              </w:rPr>
              <w:t>限值</w:t>
            </w:r>
            <w:r>
              <w:rPr>
                <w:rFonts w:hint="default" w:ascii="Times New Roman" w:hAnsi="Times New Roman" w:cs="Times New Roman"/>
                <w:sz w:val="24"/>
                <w:szCs w:val="24"/>
                <w:u w:val="none"/>
                <w:lang w:eastAsia="zh-CN"/>
              </w:rPr>
              <w:t>，</w:t>
            </w:r>
            <w:r>
              <w:rPr>
                <w:rFonts w:hint="default" w:ascii="Times New Roman" w:hAnsi="Times New Roman" w:cs="Times New Roman"/>
                <w:sz w:val="24"/>
                <w:szCs w:val="24"/>
                <w:u w:val="none"/>
                <w:lang w:val="en-US" w:eastAsia="zh-CN"/>
              </w:rPr>
              <w:t>厂区内VOCs无组织排放</w:t>
            </w:r>
            <w:r>
              <w:rPr>
                <w:rFonts w:hint="default" w:ascii="Times New Roman" w:hAnsi="Times New Roman" w:cs="Times New Roman"/>
                <w:sz w:val="24"/>
                <w:szCs w:val="24"/>
                <w:u w:val="none"/>
              </w:rPr>
              <w:t>浓度</w:t>
            </w:r>
            <w:r>
              <w:rPr>
                <w:rFonts w:hint="default" w:ascii="Times New Roman" w:hAnsi="Times New Roman" w:cs="Times New Roman"/>
                <w:sz w:val="24"/>
                <w:szCs w:val="24"/>
                <w:u w:val="none"/>
                <w:lang w:val="en-US" w:eastAsia="zh-CN"/>
              </w:rPr>
              <w:t>限值</w:t>
            </w:r>
            <w:r>
              <w:rPr>
                <w:rFonts w:hint="default" w:ascii="Times New Roman" w:hAnsi="Times New Roman" w:cs="Times New Roman"/>
                <w:sz w:val="24"/>
                <w:szCs w:val="24"/>
                <w:u w:val="none"/>
              </w:rPr>
              <w:t>执行湖南省</w:t>
            </w:r>
            <w:r>
              <w:rPr>
                <w:rFonts w:hint="default" w:ascii="Times New Roman" w:hAnsi="Times New Roman" w:cs="Times New Roman"/>
                <w:sz w:val="24"/>
                <w:szCs w:val="24"/>
                <w:u w:val="none"/>
                <w:lang w:eastAsia="zh-CN"/>
              </w:rPr>
              <w:t>《工业企业挥发性有机物排放标准》（DB43/3550-2026）</w:t>
            </w:r>
            <w:r>
              <w:rPr>
                <w:rFonts w:hint="default" w:ascii="Times New Roman" w:hAnsi="Times New Roman" w:cs="Times New Roman"/>
                <w:sz w:val="24"/>
                <w:szCs w:val="24"/>
                <w:u w:val="none"/>
              </w:rPr>
              <w:t>表</w:t>
            </w:r>
            <w:r>
              <w:rPr>
                <w:rFonts w:hint="default" w:ascii="Times New Roman" w:hAnsi="Times New Roman" w:cs="Times New Roman"/>
                <w:sz w:val="24"/>
                <w:szCs w:val="24"/>
                <w:u w:val="none"/>
                <w:lang w:val="en-US" w:eastAsia="zh-CN"/>
              </w:rPr>
              <w:t>2</w:t>
            </w:r>
            <w:r>
              <w:rPr>
                <w:rFonts w:hint="default" w:ascii="Times New Roman" w:hAnsi="Times New Roman" w:cs="Times New Roman"/>
                <w:sz w:val="24"/>
                <w:szCs w:val="24"/>
                <w:u w:val="none"/>
              </w:rPr>
              <w:t>厂区内VOCs无组织排放监控点浓度限值</w:t>
            </w:r>
            <w:r>
              <w:rPr>
                <w:rFonts w:hint="default" w:ascii="Times New Roman" w:hAnsi="Times New Roman" w:cs="Times New Roman"/>
                <w:sz w:val="24"/>
                <w:szCs w:val="24"/>
                <w:u w:val="none"/>
                <w:lang w:eastAsia="zh-CN"/>
              </w:rPr>
              <w:t>，</w:t>
            </w:r>
            <w:r>
              <w:rPr>
                <w:rFonts w:hint="eastAsia" w:ascii="Times New Roman" w:hAnsi="Times New Roman" w:cs="Times New Roman"/>
                <w:sz w:val="24"/>
                <w:szCs w:val="24"/>
                <w:u w:val="none"/>
                <w:lang w:val="en-US" w:eastAsia="zh-CN"/>
              </w:rPr>
              <w:t>有组织</w:t>
            </w:r>
            <w:r>
              <w:rPr>
                <w:rFonts w:hint="default" w:ascii="Times New Roman" w:hAnsi="Times New Roman" w:cs="Times New Roman"/>
                <w:sz w:val="24"/>
                <w:szCs w:val="24"/>
                <w:u w:val="none"/>
                <w:lang w:val="en-US" w:eastAsia="zh-CN"/>
              </w:rPr>
              <w:t>颗粒物排放执行</w:t>
            </w:r>
            <w:r>
              <w:rPr>
                <w:rFonts w:hint="default" w:ascii="Times New Roman" w:hAnsi="Times New Roman" w:cs="Times New Roman"/>
                <w:sz w:val="24"/>
                <w:szCs w:val="24"/>
                <w:u w:val="none"/>
              </w:rPr>
              <w:t>《大气污染物综合排放标准》(GB16297-1996)</w:t>
            </w:r>
            <w:r>
              <w:rPr>
                <w:rFonts w:hint="default" w:ascii="Times New Roman" w:hAnsi="Times New Roman" w:cs="Times New Roman"/>
                <w:sz w:val="24"/>
                <w:szCs w:val="24"/>
                <w:u w:val="none"/>
                <w:lang w:val="en-US" w:eastAsia="zh-CN"/>
              </w:rPr>
              <w:t>表2</w:t>
            </w:r>
            <w:r>
              <w:rPr>
                <w:rFonts w:hint="default" w:ascii="Times New Roman" w:hAnsi="Times New Roman" w:cs="Times New Roman"/>
                <w:sz w:val="24"/>
                <w:szCs w:val="24"/>
                <w:u w:val="none"/>
              </w:rPr>
              <w:t>中</w:t>
            </w:r>
            <w:r>
              <w:rPr>
                <w:rFonts w:hint="default" w:ascii="Times New Roman" w:hAnsi="Times New Roman" w:cs="Times New Roman"/>
                <w:sz w:val="24"/>
                <w:szCs w:val="24"/>
                <w:u w:val="none"/>
                <w:lang w:val="en-US" w:eastAsia="zh-CN"/>
              </w:rPr>
              <w:t>浓度限值。</w:t>
            </w:r>
            <w:r>
              <w:rPr>
                <w:rFonts w:hint="eastAsia" w:ascii="Times New Roman" w:hAnsi="Times New Roman" w:cs="Times New Roman"/>
                <w:sz w:val="24"/>
                <w:szCs w:val="24"/>
                <w:u w:val="none"/>
                <w:lang w:val="en-US" w:eastAsia="zh-CN"/>
              </w:rPr>
              <w:t>厂界无组织</w:t>
            </w:r>
            <w:r>
              <w:rPr>
                <w:rFonts w:hint="default" w:ascii="Times New Roman" w:hAnsi="Times New Roman" w:cs="Times New Roman"/>
                <w:sz w:val="24"/>
                <w:szCs w:val="24"/>
                <w:u w:val="none"/>
                <w:lang w:val="en-US" w:eastAsia="zh-CN"/>
              </w:rPr>
              <w:t>颗粒物</w:t>
            </w:r>
            <w:r>
              <w:rPr>
                <w:rFonts w:hint="eastAsia" w:ascii="Times New Roman" w:hAnsi="Times New Roman" w:cs="Times New Roman"/>
                <w:sz w:val="24"/>
                <w:szCs w:val="24"/>
                <w:u w:val="none"/>
                <w:lang w:val="en-US" w:eastAsia="zh-CN"/>
              </w:rPr>
              <w:t>、非甲烷总烃、苯系物（二甲苯）</w:t>
            </w:r>
            <w:r>
              <w:rPr>
                <w:rFonts w:hint="default" w:ascii="Times New Roman" w:hAnsi="Times New Roman" w:cs="Times New Roman"/>
                <w:sz w:val="24"/>
                <w:szCs w:val="24"/>
                <w:u w:val="none"/>
                <w:lang w:val="en-US" w:eastAsia="zh-CN"/>
              </w:rPr>
              <w:t>排放执行</w:t>
            </w:r>
            <w:r>
              <w:rPr>
                <w:rFonts w:hint="default" w:ascii="Times New Roman" w:hAnsi="Times New Roman" w:cs="Times New Roman"/>
                <w:sz w:val="24"/>
                <w:szCs w:val="24"/>
                <w:u w:val="none"/>
              </w:rPr>
              <w:t>《大气污染物综合排放标准》(GB16297-1996)</w:t>
            </w:r>
            <w:r>
              <w:rPr>
                <w:rFonts w:hint="default" w:ascii="Times New Roman" w:hAnsi="Times New Roman" w:cs="Times New Roman"/>
                <w:sz w:val="24"/>
                <w:szCs w:val="24"/>
                <w:u w:val="none"/>
                <w:lang w:val="en-US" w:eastAsia="zh-CN"/>
              </w:rPr>
              <w:t>表2</w:t>
            </w:r>
            <w:r>
              <w:rPr>
                <w:rFonts w:hint="default" w:ascii="Times New Roman" w:hAnsi="Times New Roman" w:cs="Times New Roman"/>
                <w:sz w:val="24"/>
                <w:szCs w:val="24"/>
                <w:u w:val="none"/>
              </w:rPr>
              <w:t>中</w:t>
            </w:r>
            <w:r>
              <w:rPr>
                <w:rFonts w:hint="eastAsia" w:ascii="Times New Roman" w:hAnsi="Times New Roman" w:cs="Times New Roman"/>
                <w:sz w:val="24"/>
                <w:szCs w:val="24"/>
                <w:u w:val="none"/>
                <w:lang w:val="en-US" w:eastAsia="zh-CN"/>
              </w:rPr>
              <w:t>无组织</w:t>
            </w:r>
            <w:r>
              <w:rPr>
                <w:rFonts w:hint="default" w:ascii="Times New Roman" w:hAnsi="Times New Roman" w:cs="Times New Roman"/>
                <w:sz w:val="24"/>
                <w:szCs w:val="24"/>
                <w:u w:val="none"/>
                <w:lang w:val="en-US" w:eastAsia="zh-CN"/>
              </w:rPr>
              <w:t>浓度限值。</w:t>
            </w:r>
          </w:p>
          <w:p w14:paraId="4C523E5C">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ascii="Times New Roman" w:hAnsi="Times New Roman" w:eastAsia="宋体" w:cs="Times New Roman"/>
                <w:b/>
                <w:bCs/>
                <w:color w:val="auto"/>
                <w:kern w:val="0"/>
                <w:sz w:val="21"/>
                <w:szCs w:val="21"/>
                <w:highlight w:val="none"/>
                <w:u w:val="none" w:color="auto"/>
                <w:lang w:val="en-US" w:eastAsia="zh-CN" w:bidi="ar-SA"/>
              </w:rPr>
            </w:pPr>
            <w:r>
              <w:rPr>
                <w:rFonts w:ascii="Times New Roman" w:hAnsi="Times New Roman" w:eastAsia="宋体" w:cs="Times New Roman"/>
                <w:b/>
                <w:bCs/>
                <w:color w:val="auto"/>
                <w:kern w:val="0"/>
                <w:sz w:val="21"/>
                <w:szCs w:val="21"/>
                <w:highlight w:val="none"/>
                <w:u w:val="none" w:color="auto"/>
                <w:lang w:val="en-US" w:eastAsia="zh-CN" w:bidi="ar-SA"/>
              </w:rPr>
              <w:t>表</w:t>
            </w:r>
            <w:r>
              <w:rPr>
                <w:rFonts w:hint="eastAsia" w:ascii="Times New Roman" w:hAnsi="Times New Roman" w:eastAsia="宋体" w:cs="Times New Roman"/>
                <w:b/>
                <w:bCs/>
                <w:color w:val="auto"/>
                <w:kern w:val="0"/>
                <w:sz w:val="21"/>
                <w:szCs w:val="21"/>
                <w:highlight w:val="none"/>
                <w:u w:val="none" w:color="auto"/>
                <w:lang w:val="en-US" w:eastAsia="zh-CN" w:bidi="ar-SA"/>
              </w:rPr>
              <w:t>3-</w:t>
            </w:r>
            <w:r>
              <w:rPr>
                <w:rFonts w:hint="eastAsia" w:cs="Times New Roman"/>
                <w:b/>
                <w:bCs/>
                <w:color w:val="auto"/>
                <w:kern w:val="0"/>
                <w:sz w:val="21"/>
                <w:szCs w:val="21"/>
                <w:highlight w:val="none"/>
                <w:u w:val="none" w:color="auto"/>
                <w:lang w:val="en-US" w:eastAsia="zh-CN" w:bidi="ar-SA"/>
              </w:rPr>
              <w:t>7</w:t>
            </w:r>
            <w:r>
              <w:rPr>
                <w:rFonts w:hint="eastAsia" w:ascii="Times New Roman" w:hAnsi="Times New Roman" w:eastAsia="宋体" w:cs="Times New Roman"/>
                <w:b/>
                <w:bCs/>
                <w:color w:val="auto"/>
                <w:kern w:val="0"/>
                <w:sz w:val="21"/>
                <w:szCs w:val="21"/>
                <w:highlight w:val="none"/>
                <w:u w:val="none" w:color="auto"/>
                <w:lang w:val="en-US" w:eastAsia="zh-CN" w:bidi="ar-SA"/>
              </w:rPr>
              <w:t>《工业企业挥发性有机物排放标准》（DB43/3550-2026）</w:t>
            </w:r>
          </w:p>
          <w:tbl>
            <w:tblPr>
              <w:tblStyle w:val="33"/>
              <w:tblW w:w="820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1355"/>
              <w:gridCol w:w="3348"/>
              <w:gridCol w:w="2233"/>
              <w:gridCol w:w="2"/>
              <w:gridCol w:w="26"/>
            </w:tblGrid>
            <w:tr w14:paraId="4CC159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2"/>
                <w:wAfter w:w="16" w:type="pct"/>
                <w:trHeight w:val="0" w:hRule="atLeast"/>
                <w:jc w:val="center"/>
              </w:trPr>
              <w:tc>
                <w:tcPr>
                  <w:tcW w:w="1581" w:type="pct"/>
                  <w:gridSpan w:val="2"/>
                  <w:tcBorders>
                    <w:tl2br w:val="nil"/>
                    <w:tr2bl w:val="nil"/>
                  </w:tcBorders>
                  <w:noWrap w:val="0"/>
                  <w:vAlign w:val="center"/>
                </w:tcPr>
                <w:p w14:paraId="09C4EF11">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bidi="ar"/>
                    </w:rPr>
                  </w:pPr>
                  <w:r>
                    <w:rPr>
                      <w:rFonts w:hint="default" w:ascii="Times New Roman" w:hAnsi="Times New Roman" w:eastAsia="宋体" w:cs="Times New Roman"/>
                      <w:color w:val="auto"/>
                      <w:sz w:val="21"/>
                      <w:szCs w:val="21"/>
                      <w:highlight w:val="none"/>
                      <w:u w:val="none" w:color="auto"/>
                      <w:lang w:bidi="ar"/>
                    </w:rPr>
                    <w:t>污染物</w:t>
                  </w:r>
                </w:p>
              </w:tc>
              <w:tc>
                <w:tcPr>
                  <w:tcW w:w="3401" w:type="pct"/>
                  <w:gridSpan w:val="2"/>
                  <w:tcBorders>
                    <w:tl2br w:val="nil"/>
                    <w:tr2bl w:val="nil"/>
                  </w:tcBorders>
                  <w:noWrap w:val="0"/>
                  <w:vAlign w:val="center"/>
                </w:tcPr>
                <w:p w14:paraId="7A0E2539">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bidi="ar"/>
                    </w:rPr>
                  </w:pPr>
                  <w:r>
                    <w:rPr>
                      <w:rFonts w:hint="default" w:ascii="Times New Roman" w:hAnsi="Times New Roman" w:eastAsia="宋体" w:cs="Times New Roman"/>
                      <w:color w:val="auto"/>
                      <w:sz w:val="21"/>
                      <w:szCs w:val="21"/>
                      <w:highlight w:val="none"/>
                      <w:u w:val="none" w:color="auto"/>
                      <w:lang w:bidi="ar"/>
                    </w:rPr>
                    <w:t>有组织排放监控浓度限值最高允许排放浓度(mg/</w:t>
                  </w:r>
                  <w:r>
                    <w:rPr>
                      <w:rFonts w:hint="default" w:ascii="Times New Roman" w:hAnsi="Times New Roman" w:eastAsia="宋体" w:cs="Times New Roman"/>
                      <w:color w:val="auto"/>
                      <w:sz w:val="21"/>
                      <w:szCs w:val="21"/>
                      <w:highlight w:val="none"/>
                      <w:u w:val="none" w:color="auto"/>
                      <w:lang w:eastAsia="zh-CN" w:bidi="ar"/>
                    </w:rPr>
                    <w:t>m³</w:t>
                  </w:r>
                  <w:r>
                    <w:rPr>
                      <w:rFonts w:hint="default" w:ascii="Times New Roman" w:hAnsi="Times New Roman" w:eastAsia="宋体" w:cs="Times New Roman"/>
                      <w:color w:val="auto"/>
                      <w:sz w:val="21"/>
                      <w:szCs w:val="21"/>
                      <w:highlight w:val="none"/>
                      <w:u w:val="none" w:color="auto"/>
                      <w:lang w:bidi="ar"/>
                    </w:rPr>
                    <w:t>)</w:t>
                  </w:r>
                </w:p>
              </w:tc>
            </w:tr>
            <w:tr w14:paraId="39BF4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2"/>
                <w:wAfter w:w="16" w:type="pct"/>
                <w:trHeight w:val="0" w:hRule="atLeast"/>
                <w:jc w:val="center"/>
              </w:trPr>
              <w:tc>
                <w:tcPr>
                  <w:tcW w:w="1581" w:type="pct"/>
                  <w:gridSpan w:val="2"/>
                  <w:tcBorders>
                    <w:tl2br w:val="nil"/>
                    <w:tr2bl w:val="nil"/>
                  </w:tcBorders>
                  <w:noWrap w:val="0"/>
                  <w:vAlign w:val="center"/>
                </w:tcPr>
                <w:p w14:paraId="37898114">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eastAsia" w:cs="Times New Roman"/>
                      <w:color w:val="auto"/>
                      <w:sz w:val="21"/>
                      <w:szCs w:val="21"/>
                      <w:highlight w:val="none"/>
                      <w:u w:val="none" w:color="auto"/>
                      <w:lang w:val="en-US" w:eastAsia="zh-CN" w:bidi="ar"/>
                    </w:rPr>
                    <w:t>NMHC</w:t>
                  </w:r>
                </w:p>
              </w:tc>
              <w:tc>
                <w:tcPr>
                  <w:tcW w:w="3401" w:type="pct"/>
                  <w:gridSpan w:val="2"/>
                  <w:tcBorders>
                    <w:tl2br w:val="nil"/>
                    <w:tr2bl w:val="nil"/>
                  </w:tcBorders>
                  <w:noWrap w:val="0"/>
                  <w:vAlign w:val="center"/>
                </w:tcPr>
                <w:p w14:paraId="42A2B2A8">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eastAsia" w:cs="Times New Roman"/>
                      <w:color w:val="auto"/>
                      <w:sz w:val="21"/>
                      <w:szCs w:val="21"/>
                      <w:highlight w:val="none"/>
                      <w:u w:val="none" w:color="auto"/>
                      <w:lang w:val="en-US" w:eastAsia="zh-CN" w:bidi="ar"/>
                    </w:rPr>
                    <w:t>50</w:t>
                  </w:r>
                </w:p>
              </w:tc>
            </w:tr>
            <w:tr w14:paraId="49B9DA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2"/>
                <w:wAfter w:w="16" w:type="pct"/>
                <w:trHeight w:val="0" w:hRule="atLeast"/>
                <w:jc w:val="center"/>
              </w:trPr>
              <w:tc>
                <w:tcPr>
                  <w:tcW w:w="1581" w:type="pct"/>
                  <w:gridSpan w:val="2"/>
                  <w:tcBorders>
                    <w:tl2br w:val="nil"/>
                    <w:tr2bl w:val="nil"/>
                  </w:tcBorders>
                  <w:noWrap w:val="0"/>
                  <w:vAlign w:val="center"/>
                </w:tcPr>
                <w:p w14:paraId="3DAA13B4">
                  <w:pPr>
                    <w:spacing w:line="240" w:lineRule="auto"/>
                    <w:ind w:firstLine="0" w:firstLineChars="0"/>
                    <w:jc w:val="center"/>
                    <w:rPr>
                      <w:rFonts w:hint="default" w:cs="Times New Roman"/>
                      <w:color w:val="auto"/>
                      <w:sz w:val="21"/>
                      <w:szCs w:val="21"/>
                      <w:highlight w:val="none"/>
                      <w:u w:val="none" w:color="auto"/>
                      <w:lang w:val="en-US" w:eastAsia="zh-CN" w:bidi="ar"/>
                    </w:rPr>
                  </w:pPr>
                  <w:r>
                    <w:rPr>
                      <w:rFonts w:hint="eastAsia" w:cs="Times New Roman"/>
                      <w:color w:val="auto"/>
                      <w:sz w:val="21"/>
                      <w:szCs w:val="21"/>
                      <w:highlight w:val="none"/>
                      <w:u w:val="none" w:color="auto"/>
                      <w:lang w:val="en-US" w:eastAsia="zh-CN" w:bidi="ar"/>
                    </w:rPr>
                    <w:t>苯系物</w:t>
                  </w:r>
                </w:p>
              </w:tc>
              <w:tc>
                <w:tcPr>
                  <w:tcW w:w="3401" w:type="pct"/>
                  <w:gridSpan w:val="2"/>
                  <w:tcBorders>
                    <w:tl2br w:val="nil"/>
                    <w:tr2bl w:val="nil"/>
                  </w:tcBorders>
                  <w:noWrap w:val="0"/>
                  <w:vAlign w:val="center"/>
                </w:tcPr>
                <w:p w14:paraId="340D2ED7">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eastAsia" w:cs="Times New Roman"/>
                      <w:color w:val="auto"/>
                      <w:sz w:val="21"/>
                      <w:szCs w:val="21"/>
                      <w:highlight w:val="none"/>
                      <w:u w:val="none" w:color="auto"/>
                      <w:lang w:val="en-US" w:eastAsia="zh-CN" w:bidi="ar"/>
                    </w:rPr>
                    <w:t>30</w:t>
                  </w:r>
                </w:p>
              </w:tc>
            </w:tr>
            <w:tr w14:paraId="734B4A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6" w:type="pct"/>
                <w:trHeight w:val="0" w:hRule="atLeast"/>
                <w:jc w:val="center"/>
              </w:trPr>
              <w:tc>
                <w:tcPr>
                  <w:tcW w:w="4983" w:type="pct"/>
                  <w:gridSpan w:val="5"/>
                  <w:tcBorders>
                    <w:tl2br w:val="nil"/>
                    <w:tr2bl w:val="nil"/>
                  </w:tcBorders>
                  <w:noWrap w:val="0"/>
                  <w:vAlign w:val="center"/>
                </w:tcPr>
                <w:p w14:paraId="642175FC">
                  <w:pPr>
                    <w:spacing w:line="240" w:lineRule="auto"/>
                    <w:ind w:firstLine="0" w:firstLineChars="0"/>
                    <w:jc w:val="center"/>
                    <w:rPr>
                      <w:rFonts w:hint="eastAsia" w:ascii="Times New Roman" w:hAnsi="Times New Roman" w:eastAsia="宋体" w:cs="Times New Roman"/>
                      <w:color w:val="auto"/>
                      <w:sz w:val="21"/>
                      <w:szCs w:val="21"/>
                      <w:highlight w:val="none"/>
                      <w:u w:val="none" w:color="auto"/>
                      <w:lang w:val="en-US" w:eastAsia="zh-CN" w:bidi="ar"/>
                    </w:rPr>
                  </w:pPr>
                  <w:r>
                    <w:rPr>
                      <w:rFonts w:hint="eastAsia" w:ascii="Times New Roman" w:hAnsi="Times New Roman" w:eastAsia="宋体" w:cs="Times New Roman"/>
                      <w:color w:val="auto"/>
                      <w:sz w:val="21"/>
                      <w:szCs w:val="21"/>
                      <w:highlight w:val="none"/>
                      <w:u w:val="none" w:color="auto"/>
                      <w:lang w:val="en-US" w:eastAsia="zh-CN" w:bidi="ar"/>
                    </w:rPr>
                    <w:t>无组织</w:t>
                  </w:r>
                </w:p>
              </w:tc>
            </w:tr>
            <w:tr w14:paraId="14DDB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5" w:type="pct"/>
                  <w:tcBorders>
                    <w:tl2br w:val="nil"/>
                    <w:tr2bl w:val="nil"/>
                  </w:tcBorders>
                  <w:noWrap w:val="0"/>
                  <w:vAlign w:val="center"/>
                </w:tcPr>
                <w:p w14:paraId="3A69652E">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bidi="ar"/>
                    </w:rPr>
                  </w:pPr>
                  <w:r>
                    <w:rPr>
                      <w:rFonts w:hint="default" w:ascii="Times New Roman" w:hAnsi="Times New Roman" w:eastAsia="宋体" w:cs="Times New Roman"/>
                      <w:color w:val="auto"/>
                      <w:sz w:val="21"/>
                      <w:szCs w:val="21"/>
                      <w:highlight w:val="none"/>
                      <w:u w:val="none" w:color="auto"/>
                      <w:lang w:bidi="ar"/>
                    </w:rPr>
                    <w:t>污染物</w:t>
                  </w:r>
                </w:p>
              </w:tc>
              <w:tc>
                <w:tcPr>
                  <w:tcW w:w="826" w:type="pct"/>
                  <w:tcBorders>
                    <w:tl2br w:val="nil"/>
                    <w:tr2bl w:val="nil"/>
                  </w:tcBorders>
                  <w:noWrap w:val="0"/>
                  <w:vAlign w:val="center"/>
                </w:tcPr>
                <w:p w14:paraId="5B291908">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default" w:ascii="Times New Roman" w:hAnsi="Times New Roman" w:eastAsia="宋体" w:cs="Times New Roman"/>
                      <w:color w:val="auto"/>
                      <w:sz w:val="21"/>
                      <w:szCs w:val="21"/>
                      <w:highlight w:val="none"/>
                      <w:u w:val="none" w:color="auto"/>
                      <w:lang w:val="en-US" w:eastAsia="zh-CN" w:bidi="ar"/>
                    </w:rPr>
                    <w:t>排放限值</w:t>
                  </w:r>
                </w:p>
              </w:tc>
              <w:tc>
                <w:tcPr>
                  <w:tcW w:w="2040" w:type="pct"/>
                  <w:tcBorders>
                    <w:tl2br w:val="nil"/>
                    <w:tr2bl w:val="nil"/>
                  </w:tcBorders>
                  <w:noWrap w:val="0"/>
                  <w:vAlign w:val="center"/>
                </w:tcPr>
                <w:p w14:paraId="17AA6B7A">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default" w:ascii="Times New Roman" w:hAnsi="Times New Roman" w:eastAsia="宋体" w:cs="Times New Roman"/>
                      <w:color w:val="auto"/>
                      <w:sz w:val="21"/>
                      <w:szCs w:val="21"/>
                      <w:highlight w:val="none"/>
                      <w:u w:val="none" w:color="auto"/>
                      <w:lang w:val="en-US" w:eastAsia="zh-CN" w:bidi="ar"/>
                    </w:rPr>
                    <w:t>限值含义</w:t>
                  </w:r>
                </w:p>
              </w:tc>
              <w:tc>
                <w:tcPr>
                  <w:tcW w:w="1378" w:type="pct"/>
                  <w:gridSpan w:val="3"/>
                  <w:tcBorders>
                    <w:tl2br w:val="nil"/>
                    <w:tr2bl w:val="nil"/>
                  </w:tcBorders>
                  <w:noWrap w:val="0"/>
                  <w:vAlign w:val="center"/>
                </w:tcPr>
                <w:p w14:paraId="3F02304A">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default" w:ascii="Times New Roman" w:hAnsi="Times New Roman" w:eastAsia="宋体" w:cs="Times New Roman"/>
                      <w:color w:val="auto"/>
                      <w:sz w:val="21"/>
                      <w:szCs w:val="21"/>
                      <w:highlight w:val="none"/>
                      <w:u w:val="none" w:color="auto"/>
                      <w:lang w:bidi="ar"/>
                    </w:rPr>
                    <w:t>无组织</w:t>
                  </w:r>
                  <w:r>
                    <w:rPr>
                      <w:rFonts w:hint="default" w:ascii="Times New Roman" w:hAnsi="Times New Roman" w:eastAsia="宋体" w:cs="Times New Roman"/>
                      <w:color w:val="auto"/>
                      <w:sz w:val="21"/>
                      <w:szCs w:val="21"/>
                      <w:highlight w:val="none"/>
                      <w:u w:val="none" w:color="auto"/>
                      <w:lang w:val="en-US" w:eastAsia="zh-CN" w:bidi="ar"/>
                    </w:rPr>
                    <w:t>监控位置</w:t>
                  </w:r>
                </w:p>
              </w:tc>
            </w:tr>
            <w:tr w14:paraId="6F420A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5" w:type="pct"/>
                  <w:vMerge w:val="restart"/>
                  <w:tcBorders>
                    <w:tl2br w:val="nil"/>
                    <w:tr2bl w:val="nil"/>
                  </w:tcBorders>
                  <w:noWrap w:val="0"/>
                  <w:vAlign w:val="center"/>
                </w:tcPr>
                <w:p w14:paraId="657A997B">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default" w:ascii="Times New Roman" w:hAnsi="Times New Roman" w:eastAsia="宋体" w:cs="Times New Roman"/>
                      <w:color w:val="auto"/>
                      <w:sz w:val="21"/>
                      <w:szCs w:val="21"/>
                      <w:highlight w:val="none"/>
                      <w:u w:val="none" w:color="auto"/>
                      <w:lang w:val="en-US" w:eastAsia="zh-CN" w:bidi="ar"/>
                    </w:rPr>
                    <w:t>NMHC</w:t>
                  </w:r>
                </w:p>
              </w:tc>
              <w:tc>
                <w:tcPr>
                  <w:tcW w:w="826" w:type="pct"/>
                  <w:tcBorders>
                    <w:tl2br w:val="nil"/>
                    <w:tr2bl w:val="nil"/>
                  </w:tcBorders>
                  <w:noWrap w:val="0"/>
                  <w:vAlign w:val="center"/>
                </w:tcPr>
                <w:p w14:paraId="6DB1B626">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default" w:ascii="Times New Roman" w:hAnsi="Times New Roman" w:eastAsia="宋体" w:cs="Times New Roman"/>
                      <w:color w:val="auto"/>
                      <w:sz w:val="21"/>
                      <w:szCs w:val="21"/>
                      <w:highlight w:val="none"/>
                      <w:u w:val="none" w:color="auto"/>
                      <w:lang w:val="en-US" w:eastAsia="zh-CN" w:bidi="ar"/>
                    </w:rPr>
                    <w:t>6</w:t>
                  </w:r>
                </w:p>
              </w:tc>
              <w:tc>
                <w:tcPr>
                  <w:tcW w:w="2040" w:type="pct"/>
                  <w:tcBorders>
                    <w:tl2br w:val="nil"/>
                    <w:tr2bl w:val="nil"/>
                  </w:tcBorders>
                  <w:noWrap w:val="0"/>
                  <w:vAlign w:val="center"/>
                </w:tcPr>
                <w:p w14:paraId="0AFA279D">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default" w:ascii="Times New Roman" w:hAnsi="Times New Roman" w:eastAsia="宋体" w:cs="Times New Roman"/>
                      <w:color w:val="auto"/>
                      <w:sz w:val="21"/>
                      <w:szCs w:val="21"/>
                      <w:highlight w:val="none"/>
                      <w:u w:val="none" w:color="auto"/>
                      <w:lang w:val="en-US" w:eastAsia="zh-CN" w:bidi="ar"/>
                    </w:rPr>
                    <w:t>监控点处1h平均浓度</w:t>
                  </w:r>
                </w:p>
              </w:tc>
              <w:tc>
                <w:tcPr>
                  <w:tcW w:w="1378" w:type="pct"/>
                  <w:gridSpan w:val="3"/>
                  <w:vMerge w:val="restart"/>
                  <w:tcBorders>
                    <w:tl2br w:val="nil"/>
                    <w:tr2bl w:val="nil"/>
                  </w:tcBorders>
                  <w:noWrap w:val="0"/>
                  <w:vAlign w:val="center"/>
                </w:tcPr>
                <w:p w14:paraId="0D791DB1">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eastAsia" w:cs="Times New Roman"/>
                      <w:color w:val="auto"/>
                      <w:sz w:val="21"/>
                      <w:szCs w:val="21"/>
                      <w:highlight w:val="none"/>
                      <w:u w:val="none" w:color="auto"/>
                      <w:lang w:val="en-US" w:eastAsia="zh-CN" w:bidi="ar"/>
                    </w:rPr>
                    <w:t>厂区内无组织排放</w:t>
                  </w:r>
                  <w:r>
                    <w:rPr>
                      <w:rFonts w:hint="default" w:ascii="Times New Roman" w:hAnsi="Times New Roman" w:eastAsia="宋体" w:cs="Times New Roman"/>
                      <w:color w:val="auto"/>
                      <w:sz w:val="21"/>
                      <w:szCs w:val="21"/>
                      <w:highlight w:val="none"/>
                      <w:u w:val="none" w:color="auto"/>
                      <w:lang w:val="en-US" w:eastAsia="zh-CN" w:bidi="ar"/>
                    </w:rPr>
                    <w:t>监控点</w:t>
                  </w:r>
                </w:p>
              </w:tc>
            </w:tr>
            <w:tr w14:paraId="1F1B9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5" w:type="pct"/>
                  <w:vMerge w:val="continue"/>
                  <w:tcBorders>
                    <w:tl2br w:val="nil"/>
                    <w:tr2bl w:val="nil"/>
                  </w:tcBorders>
                  <w:noWrap w:val="0"/>
                  <w:vAlign w:val="center"/>
                </w:tcPr>
                <w:p w14:paraId="45D1DB63">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bidi="ar"/>
                    </w:rPr>
                  </w:pPr>
                </w:p>
              </w:tc>
              <w:tc>
                <w:tcPr>
                  <w:tcW w:w="826" w:type="pct"/>
                  <w:tcBorders>
                    <w:tl2br w:val="nil"/>
                    <w:tr2bl w:val="nil"/>
                  </w:tcBorders>
                  <w:noWrap w:val="0"/>
                  <w:vAlign w:val="center"/>
                </w:tcPr>
                <w:p w14:paraId="24260F2B">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default" w:ascii="Times New Roman" w:hAnsi="Times New Roman" w:eastAsia="宋体" w:cs="Times New Roman"/>
                      <w:color w:val="auto"/>
                      <w:sz w:val="21"/>
                      <w:szCs w:val="21"/>
                      <w:highlight w:val="none"/>
                      <w:u w:val="none" w:color="auto"/>
                      <w:lang w:val="en-US" w:eastAsia="zh-CN" w:bidi="ar"/>
                    </w:rPr>
                    <w:t>20</w:t>
                  </w:r>
                </w:p>
              </w:tc>
              <w:tc>
                <w:tcPr>
                  <w:tcW w:w="2040" w:type="pct"/>
                  <w:tcBorders>
                    <w:tl2br w:val="nil"/>
                    <w:tr2bl w:val="nil"/>
                  </w:tcBorders>
                  <w:noWrap w:val="0"/>
                  <w:vAlign w:val="center"/>
                </w:tcPr>
                <w:p w14:paraId="508F5583">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bidi="ar"/>
                    </w:rPr>
                  </w:pPr>
                  <w:r>
                    <w:rPr>
                      <w:rFonts w:hint="default" w:ascii="Times New Roman" w:hAnsi="Times New Roman" w:eastAsia="宋体" w:cs="Times New Roman"/>
                      <w:color w:val="auto"/>
                      <w:sz w:val="21"/>
                      <w:szCs w:val="21"/>
                      <w:highlight w:val="none"/>
                      <w:u w:val="none" w:color="auto"/>
                      <w:lang w:val="en-US" w:eastAsia="zh-CN" w:bidi="ar"/>
                    </w:rPr>
                    <w:t>监控点任意一次浓度值</w:t>
                  </w:r>
                </w:p>
              </w:tc>
              <w:tc>
                <w:tcPr>
                  <w:tcW w:w="1378" w:type="pct"/>
                  <w:gridSpan w:val="3"/>
                  <w:vMerge w:val="continue"/>
                  <w:tcBorders>
                    <w:tl2br w:val="nil"/>
                    <w:tr2bl w:val="nil"/>
                  </w:tcBorders>
                  <w:noWrap w:val="0"/>
                  <w:vAlign w:val="center"/>
                </w:tcPr>
                <w:p w14:paraId="16D4A962">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bidi="ar"/>
                    </w:rPr>
                  </w:pPr>
                </w:p>
              </w:tc>
            </w:tr>
          </w:tbl>
          <w:p w14:paraId="1CA8468F">
            <w:pPr>
              <w:pStyle w:val="60"/>
              <w:spacing w:line="240" w:lineRule="auto"/>
              <w:ind w:firstLine="422"/>
              <w:jc w:val="center"/>
              <w:rPr>
                <w:rFonts w:ascii="Times New Roman" w:hAnsi="Times New Roman" w:cs="Times New Roman"/>
                <w:b/>
                <w:bCs w:val="0"/>
                <w:kern w:val="0"/>
                <w:sz w:val="21"/>
              </w:rPr>
            </w:pPr>
            <w:r>
              <w:rPr>
                <w:rFonts w:hint="eastAsia" w:ascii="Times New Roman" w:hAnsi="Times New Roman" w:cs="Times New Roman"/>
                <w:b/>
                <w:bCs w:val="0"/>
                <w:kern w:val="0"/>
                <w:sz w:val="21"/>
              </w:rPr>
              <w:t>表3-</w:t>
            </w:r>
            <w:r>
              <w:rPr>
                <w:rFonts w:hint="eastAsia" w:ascii="Times New Roman" w:hAnsi="Times New Roman" w:cs="Times New Roman"/>
                <w:b/>
                <w:bCs w:val="0"/>
                <w:kern w:val="0"/>
                <w:sz w:val="21"/>
                <w:lang w:val="en-US" w:eastAsia="zh-CN"/>
              </w:rPr>
              <w:t>8</w:t>
            </w:r>
            <w:r>
              <w:rPr>
                <w:rFonts w:hint="eastAsia" w:ascii="Times New Roman" w:hAnsi="Times New Roman" w:cs="Times New Roman"/>
                <w:b/>
                <w:bCs w:val="0"/>
                <w:kern w:val="0"/>
                <w:sz w:val="21"/>
              </w:rPr>
              <w:t xml:space="preserve"> </w:t>
            </w:r>
            <w:r>
              <w:rPr>
                <w:rFonts w:hint="eastAsia" w:ascii="Times New Roman" w:hAnsi="Times New Roman" w:cs="Times New Roman"/>
                <w:b/>
                <w:bCs w:val="0"/>
                <w:kern w:val="0"/>
                <w:sz w:val="21"/>
                <w:lang w:eastAsia="zh-CN"/>
              </w:rPr>
              <w:t>《</w:t>
            </w:r>
            <w:r>
              <w:rPr>
                <w:rFonts w:hint="eastAsia" w:ascii="Times New Roman" w:hAnsi="Times New Roman" w:cs="Times New Roman"/>
                <w:b/>
                <w:bCs w:val="0"/>
                <w:kern w:val="0"/>
                <w:sz w:val="21"/>
              </w:rPr>
              <w:t>大气污染物</w:t>
            </w:r>
            <w:r>
              <w:rPr>
                <w:rFonts w:hint="eastAsia" w:ascii="Times New Roman" w:hAnsi="Times New Roman" w:cs="Times New Roman"/>
                <w:b/>
                <w:bCs w:val="0"/>
                <w:kern w:val="0"/>
                <w:sz w:val="21"/>
                <w:lang w:val="en-US" w:eastAsia="zh-CN"/>
              </w:rPr>
              <w:t>综合</w:t>
            </w:r>
            <w:r>
              <w:rPr>
                <w:rFonts w:hint="eastAsia" w:ascii="Times New Roman" w:hAnsi="Times New Roman" w:cs="Times New Roman"/>
                <w:b/>
                <w:bCs w:val="0"/>
                <w:kern w:val="0"/>
                <w:sz w:val="21"/>
              </w:rPr>
              <w:t>排放标准</w:t>
            </w:r>
            <w:r>
              <w:rPr>
                <w:rFonts w:hint="eastAsia" w:ascii="Times New Roman" w:hAnsi="Times New Roman" w:cs="Times New Roman"/>
                <w:b/>
                <w:bCs w:val="0"/>
                <w:kern w:val="0"/>
                <w:sz w:val="21"/>
                <w:lang w:eastAsia="zh-CN"/>
              </w:rPr>
              <w:t>》（</w:t>
            </w:r>
            <w:r>
              <w:rPr>
                <w:rFonts w:hint="eastAsia" w:ascii="Times New Roman" w:hAnsi="Times New Roman" w:cs="Times New Roman"/>
                <w:b/>
                <w:bCs w:val="0"/>
                <w:kern w:val="0"/>
                <w:sz w:val="21"/>
                <w:lang w:val="en-US" w:eastAsia="zh-CN"/>
              </w:rPr>
              <w:t>GB16297-1996</w:t>
            </w:r>
            <w:r>
              <w:rPr>
                <w:rFonts w:hint="eastAsia" w:ascii="Times New Roman" w:hAnsi="Times New Roman" w:cs="Times New Roman"/>
                <w:b/>
                <w:bCs w:val="0"/>
                <w:kern w:val="0"/>
                <w:sz w:val="21"/>
                <w:lang w:eastAsia="zh-CN"/>
              </w:rPr>
              <w:t>）</w:t>
            </w:r>
          </w:p>
          <w:tbl>
            <w:tblPr>
              <w:tblStyle w:val="33"/>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62"/>
              <w:gridCol w:w="1363"/>
              <w:gridCol w:w="1363"/>
              <w:gridCol w:w="1373"/>
              <w:gridCol w:w="1363"/>
              <w:gridCol w:w="1376"/>
            </w:tblGrid>
            <w:tr w14:paraId="1659D0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831" w:type="pct"/>
                  <w:tcBorders>
                    <w:tl2br w:val="nil"/>
                    <w:tr2bl w:val="nil"/>
                  </w:tcBorders>
                  <w:noWrap w:val="0"/>
                  <w:vAlign w:val="center"/>
                </w:tcPr>
                <w:p w14:paraId="0B621777">
                  <w:pPr>
                    <w:jc w:val="center"/>
                    <w:rPr>
                      <w:rFonts w:hint="eastAsia"/>
                      <w:sz w:val="21"/>
                      <w:szCs w:val="21"/>
                    </w:rPr>
                  </w:pPr>
                  <w:r>
                    <w:rPr>
                      <w:rFonts w:hint="eastAsia"/>
                      <w:sz w:val="21"/>
                      <w:szCs w:val="21"/>
                    </w:rPr>
                    <w:t>污染物名称</w:t>
                  </w:r>
                </w:p>
              </w:tc>
              <w:tc>
                <w:tcPr>
                  <w:tcW w:w="2499" w:type="pct"/>
                  <w:gridSpan w:val="3"/>
                  <w:tcBorders>
                    <w:tl2br w:val="nil"/>
                    <w:tr2bl w:val="nil"/>
                  </w:tcBorders>
                  <w:noWrap w:val="0"/>
                  <w:vAlign w:val="center"/>
                </w:tcPr>
                <w:p w14:paraId="51B69D40">
                  <w:pPr>
                    <w:jc w:val="center"/>
                    <w:rPr>
                      <w:sz w:val="21"/>
                      <w:szCs w:val="21"/>
                    </w:rPr>
                  </w:pPr>
                  <w:r>
                    <w:rPr>
                      <w:rFonts w:hint="eastAsia"/>
                      <w:sz w:val="21"/>
                      <w:szCs w:val="21"/>
                    </w:rPr>
                    <w:t>有组织排放要求</w:t>
                  </w:r>
                </w:p>
              </w:tc>
              <w:tc>
                <w:tcPr>
                  <w:tcW w:w="1669" w:type="pct"/>
                  <w:gridSpan w:val="2"/>
                  <w:tcBorders>
                    <w:tl2br w:val="nil"/>
                    <w:tr2bl w:val="nil"/>
                  </w:tcBorders>
                  <w:noWrap w:val="0"/>
                  <w:vAlign w:val="center"/>
                </w:tcPr>
                <w:p w14:paraId="10A55785">
                  <w:pPr>
                    <w:jc w:val="center"/>
                    <w:rPr>
                      <w:sz w:val="21"/>
                      <w:szCs w:val="21"/>
                    </w:rPr>
                  </w:pPr>
                  <w:r>
                    <w:rPr>
                      <w:sz w:val="21"/>
                      <w:szCs w:val="21"/>
                    </w:rPr>
                    <w:t>无组织排放监控浓度限值</w:t>
                  </w:r>
                </w:p>
              </w:tc>
            </w:tr>
            <w:tr w14:paraId="6B2DA2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31" w:type="pct"/>
                  <w:vMerge w:val="restart"/>
                  <w:tcBorders>
                    <w:tl2br w:val="nil"/>
                    <w:tr2bl w:val="nil"/>
                  </w:tcBorders>
                  <w:noWrap w:val="0"/>
                  <w:vAlign w:val="center"/>
                </w:tcPr>
                <w:p w14:paraId="035C09AC">
                  <w:pPr>
                    <w:jc w:val="center"/>
                    <w:rPr>
                      <w:rFonts w:hint="eastAsia"/>
                      <w:sz w:val="21"/>
                      <w:szCs w:val="21"/>
                    </w:rPr>
                  </w:pPr>
                  <w:r>
                    <w:rPr>
                      <w:rFonts w:hint="eastAsia"/>
                      <w:sz w:val="21"/>
                      <w:szCs w:val="21"/>
                    </w:rPr>
                    <w:t>颗粒物</w:t>
                  </w:r>
                </w:p>
              </w:tc>
              <w:tc>
                <w:tcPr>
                  <w:tcW w:w="831" w:type="pct"/>
                  <w:tcBorders>
                    <w:tl2br w:val="nil"/>
                    <w:tr2bl w:val="nil"/>
                  </w:tcBorders>
                  <w:noWrap w:val="0"/>
                  <w:vAlign w:val="center"/>
                </w:tcPr>
                <w:p w14:paraId="0FEF6151">
                  <w:pPr>
                    <w:jc w:val="center"/>
                    <w:rPr>
                      <w:rFonts w:hint="eastAsia"/>
                      <w:sz w:val="21"/>
                      <w:szCs w:val="21"/>
                    </w:rPr>
                  </w:pPr>
                  <w:r>
                    <w:rPr>
                      <w:rFonts w:hint="eastAsia"/>
                      <w:sz w:val="21"/>
                      <w:szCs w:val="21"/>
                    </w:rPr>
                    <w:t>排气筒高度</w:t>
                  </w:r>
                </w:p>
              </w:tc>
              <w:tc>
                <w:tcPr>
                  <w:tcW w:w="831" w:type="pct"/>
                  <w:tcBorders>
                    <w:tl2br w:val="nil"/>
                    <w:tr2bl w:val="nil"/>
                  </w:tcBorders>
                  <w:noWrap w:val="0"/>
                  <w:vAlign w:val="center"/>
                </w:tcPr>
                <w:p w14:paraId="41981E74">
                  <w:pPr>
                    <w:jc w:val="center"/>
                    <w:rPr>
                      <w:sz w:val="21"/>
                      <w:szCs w:val="21"/>
                    </w:rPr>
                  </w:pPr>
                  <w:r>
                    <w:rPr>
                      <w:rFonts w:hint="eastAsia"/>
                      <w:sz w:val="21"/>
                      <w:szCs w:val="21"/>
                    </w:rPr>
                    <w:t>最高允许排放速率</w:t>
                  </w:r>
                </w:p>
              </w:tc>
              <w:tc>
                <w:tcPr>
                  <w:tcW w:w="837" w:type="pct"/>
                  <w:tcBorders>
                    <w:tl2br w:val="nil"/>
                    <w:tr2bl w:val="nil"/>
                  </w:tcBorders>
                  <w:noWrap w:val="0"/>
                  <w:vAlign w:val="center"/>
                </w:tcPr>
                <w:p w14:paraId="10315C44">
                  <w:pPr>
                    <w:jc w:val="center"/>
                    <w:rPr>
                      <w:sz w:val="21"/>
                      <w:szCs w:val="21"/>
                    </w:rPr>
                  </w:pPr>
                  <w:r>
                    <w:rPr>
                      <w:rFonts w:hint="eastAsia"/>
                      <w:sz w:val="21"/>
                      <w:szCs w:val="21"/>
                    </w:rPr>
                    <w:t>最高允许排放浓度</w:t>
                  </w:r>
                </w:p>
              </w:tc>
              <w:tc>
                <w:tcPr>
                  <w:tcW w:w="831" w:type="pct"/>
                  <w:tcBorders>
                    <w:tl2br w:val="nil"/>
                    <w:tr2bl w:val="nil"/>
                  </w:tcBorders>
                  <w:noWrap w:val="0"/>
                  <w:vAlign w:val="center"/>
                </w:tcPr>
                <w:p w14:paraId="7199AE0C">
                  <w:pPr>
                    <w:jc w:val="center"/>
                    <w:rPr>
                      <w:sz w:val="21"/>
                      <w:szCs w:val="21"/>
                    </w:rPr>
                  </w:pPr>
                  <w:r>
                    <w:rPr>
                      <w:sz w:val="21"/>
                      <w:szCs w:val="21"/>
                    </w:rPr>
                    <w:t>监控点</w:t>
                  </w:r>
                </w:p>
              </w:tc>
              <w:tc>
                <w:tcPr>
                  <w:tcW w:w="837" w:type="pct"/>
                  <w:tcBorders>
                    <w:tl2br w:val="nil"/>
                    <w:tr2bl w:val="nil"/>
                  </w:tcBorders>
                  <w:noWrap w:val="0"/>
                  <w:vAlign w:val="center"/>
                </w:tcPr>
                <w:p w14:paraId="7B214B03">
                  <w:pPr>
                    <w:jc w:val="center"/>
                    <w:rPr>
                      <w:rFonts w:hint="eastAsia"/>
                      <w:sz w:val="21"/>
                      <w:szCs w:val="21"/>
                    </w:rPr>
                  </w:pPr>
                  <w:r>
                    <w:rPr>
                      <w:rFonts w:hint="eastAsia"/>
                      <w:sz w:val="21"/>
                      <w:szCs w:val="21"/>
                    </w:rPr>
                    <w:t>浓度</w:t>
                  </w:r>
                </w:p>
              </w:tc>
            </w:tr>
            <w:tr w14:paraId="4913E7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4" w:hRule="atLeast"/>
              </w:trPr>
              <w:tc>
                <w:tcPr>
                  <w:tcW w:w="831" w:type="pct"/>
                  <w:vMerge w:val="continue"/>
                  <w:tcBorders>
                    <w:tl2br w:val="nil"/>
                    <w:tr2bl w:val="nil"/>
                  </w:tcBorders>
                  <w:noWrap w:val="0"/>
                  <w:vAlign w:val="center"/>
                </w:tcPr>
                <w:p w14:paraId="0F696A64">
                  <w:pPr>
                    <w:jc w:val="center"/>
                    <w:rPr>
                      <w:sz w:val="21"/>
                      <w:szCs w:val="21"/>
                    </w:rPr>
                  </w:pPr>
                </w:p>
              </w:tc>
              <w:tc>
                <w:tcPr>
                  <w:tcW w:w="831" w:type="pct"/>
                  <w:vMerge w:val="restart"/>
                  <w:tcBorders>
                    <w:tl2br w:val="nil"/>
                    <w:tr2bl w:val="nil"/>
                  </w:tcBorders>
                  <w:noWrap w:val="0"/>
                  <w:vAlign w:val="center"/>
                </w:tcPr>
                <w:p w14:paraId="6A9BF057">
                  <w:pPr>
                    <w:jc w:val="center"/>
                    <w:rPr>
                      <w:sz w:val="21"/>
                      <w:szCs w:val="21"/>
                    </w:rPr>
                  </w:pPr>
                  <w:r>
                    <w:rPr>
                      <w:rFonts w:hint="eastAsia"/>
                      <w:sz w:val="21"/>
                      <w:szCs w:val="21"/>
                      <w:lang w:val="en-US" w:eastAsia="zh-CN"/>
                    </w:rPr>
                    <w:t>23</w:t>
                  </w:r>
                  <w:r>
                    <w:rPr>
                      <w:rFonts w:hint="eastAsia"/>
                      <w:sz w:val="21"/>
                      <w:szCs w:val="21"/>
                    </w:rPr>
                    <w:t>m</w:t>
                  </w:r>
                </w:p>
              </w:tc>
              <w:tc>
                <w:tcPr>
                  <w:tcW w:w="831" w:type="pct"/>
                  <w:tcBorders>
                    <w:tl2br w:val="nil"/>
                    <w:tr2bl w:val="nil"/>
                  </w:tcBorders>
                  <w:noWrap w:val="0"/>
                  <w:vAlign w:val="center"/>
                </w:tcPr>
                <w:p w14:paraId="2371D19D">
                  <w:pPr>
                    <w:jc w:val="center"/>
                    <w:rPr>
                      <w:sz w:val="21"/>
                      <w:szCs w:val="21"/>
                    </w:rPr>
                  </w:pPr>
                  <w:r>
                    <w:rPr>
                      <w:rFonts w:hint="eastAsia"/>
                      <w:sz w:val="21"/>
                      <w:szCs w:val="21"/>
                      <w:lang w:val="en-US" w:eastAsia="zh-CN"/>
                    </w:rPr>
                    <w:t>11.03</w:t>
                  </w:r>
                  <w:r>
                    <w:rPr>
                      <w:rFonts w:hint="eastAsia"/>
                      <w:sz w:val="21"/>
                      <w:szCs w:val="21"/>
                    </w:rPr>
                    <w:t>kg/h</w:t>
                  </w:r>
                </w:p>
              </w:tc>
              <w:tc>
                <w:tcPr>
                  <w:tcW w:w="837" w:type="pct"/>
                  <w:tcBorders>
                    <w:tl2br w:val="nil"/>
                    <w:tr2bl w:val="nil"/>
                  </w:tcBorders>
                  <w:noWrap w:val="0"/>
                  <w:vAlign w:val="center"/>
                </w:tcPr>
                <w:p w14:paraId="781081D9">
                  <w:pPr>
                    <w:jc w:val="center"/>
                    <w:rPr>
                      <w:sz w:val="21"/>
                      <w:szCs w:val="21"/>
                    </w:rPr>
                  </w:pPr>
                  <w:r>
                    <w:rPr>
                      <w:rFonts w:hint="eastAsia"/>
                      <w:sz w:val="21"/>
                      <w:szCs w:val="21"/>
                    </w:rPr>
                    <w:t>120mg/m</w:t>
                  </w:r>
                  <w:r>
                    <w:rPr>
                      <w:rFonts w:hint="eastAsia"/>
                      <w:sz w:val="21"/>
                      <w:szCs w:val="21"/>
                      <w:vertAlign w:val="superscript"/>
                    </w:rPr>
                    <w:t>3</w:t>
                  </w:r>
                </w:p>
              </w:tc>
              <w:tc>
                <w:tcPr>
                  <w:tcW w:w="831" w:type="pct"/>
                  <w:vMerge w:val="restart"/>
                  <w:tcBorders>
                    <w:tl2br w:val="nil"/>
                    <w:tr2bl w:val="nil"/>
                  </w:tcBorders>
                  <w:noWrap w:val="0"/>
                  <w:vAlign w:val="center"/>
                </w:tcPr>
                <w:p w14:paraId="59A135A5">
                  <w:pPr>
                    <w:jc w:val="center"/>
                    <w:rPr>
                      <w:sz w:val="21"/>
                      <w:szCs w:val="21"/>
                    </w:rPr>
                  </w:pPr>
                  <w:r>
                    <w:rPr>
                      <w:rFonts w:hint="eastAsia" w:hAnsi="宋体"/>
                      <w:color w:val="000000"/>
                      <w:sz w:val="21"/>
                      <w:szCs w:val="21"/>
                    </w:rPr>
                    <w:t>周界外浓度最高点</w:t>
                  </w:r>
                </w:p>
              </w:tc>
              <w:tc>
                <w:tcPr>
                  <w:tcW w:w="837" w:type="pct"/>
                  <w:tcBorders>
                    <w:tl2br w:val="nil"/>
                    <w:tr2bl w:val="nil"/>
                  </w:tcBorders>
                  <w:noWrap w:val="0"/>
                  <w:vAlign w:val="center"/>
                </w:tcPr>
                <w:p w14:paraId="5CECD09F">
                  <w:pPr>
                    <w:jc w:val="center"/>
                    <w:rPr>
                      <w:sz w:val="21"/>
                      <w:szCs w:val="21"/>
                    </w:rPr>
                  </w:pPr>
                  <w:r>
                    <w:rPr>
                      <w:rFonts w:hint="eastAsia"/>
                      <w:sz w:val="21"/>
                      <w:szCs w:val="21"/>
                    </w:rPr>
                    <w:t>1.0mg/m</w:t>
                  </w:r>
                  <w:r>
                    <w:rPr>
                      <w:rFonts w:hint="eastAsia"/>
                      <w:sz w:val="21"/>
                      <w:szCs w:val="21"/>
                      <w:vertAlign w:val="superscript"/>
                    </w:rPr>
                    <w:t>3</w:t>
                  </w:r>
                </w:p>
              </w:tc>
            </w:tr>
            <w:tr w14:paraId="0537DF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4" w:hRule="atLeast"/>
              </w:trPr>
              <w:tc>
                <w:tcPr>
                  <w:tcW w:w="831" w:type="pct"/>
                  <w:tcBorders>
                    <w:tl2br w:val="nil"/>
                    <w:tr2bl w:val="nil"/>
                  </w:tcBorders>
                  <w:noWrap w:val="0"/>
                  <w:vAlign w:val="center"/>
                </w:tcPr>
                <w:p w14:paraId="5C47EF77">
                  <w:pPr>
                    <w:jc w:val="center"/>
                    <w:rPr>
                      <w:rFonts w:hint="default" w:eastAsia="宋体"/>
                      <w:sz w:val="21"/>
                      <w:szCs w:val="21"/>
                      <w:lang w:val="en-US" w:eastAsia="zh-CN"/>
                    </w:rPr>
                  </w:pPr>
                  <w:r>
                    <w:rPr>
                      <w:rFonts w:hint="eastAsia"/>
                      <w:sz w:val="21"/>
                      <w:szCs w:val="21"/>
                      <w:lang w:val="en-US" w:eastAsia="zh-CN"/>
                    </w:rPr>
                    <w:t>锡及其化合物</w:t>
                  </w:r>
                </w:p>
              </w:tc>
              <w:tc>
                <w:tcPr>
                  <w:tcW w:w="831" w:type="pct"/>
                  <w:vMerge w:val="continue"/>
                  <w:tcBorders>
                    <w:tl2br w:val="nil"/>
                    <w:tr2bl w:val="nil"/>
                  </w:tcBorders>
                  <w:noWrap w:val="0"/>
                  <w:vAlign w:val="center"/>
                </w:tcPr>
                <w:p w14:paraId="25DB77E1">
                  <w:pPr>
                    <w:jc w:val="center"/>
                    <w:rPr>
                      <w:rFonts w:hint="default"/>
                      <w:sz w:val="21"/>
                      <w:szCs w:val="21"/>
                      <w:lang w:val="en-US" w:eastAsia="zh-CN"/>
                    </w:rPr>
                  </w:pPr>
                </w:p>
              </w:tc>
              <w:tc>
                <w:tcPr>
                  <w:tcW w:w="831" w:type="pct"/>
                  <w:tcBorders>
                    <w:tl2br w:val="nil"/>
                    <w:tr2bl w:val="nil"/>
                  </w:tcBorders>
                  <w:noWrap w:val="0"/>
                  <w:vAlign w:val="center"/>
                </w:tcPr>
                <w:p w14:paraId="1D2AE49D">
                  <w:pPr>
                    <w:jc w:val="center"/>
                    <w:rPr>
                      <w:rFonts w:hint="default"/>
                      <w:sz w:val="21"/>
                      <w:szCs w:val="21"/>
                      <w:lang w:val="en-US" w:eastAsia="zh-CN"/>
                    </w:rPr>
                  </w:pPr>
                  <w:r>
                    <w:rPr>
                      <w:rFonts w:hint="eastAsia"/>
                      <w:sz w:val="21"/>
                      <w:szCs w:val="21"/>
                      <w:lang w:val="en-US" w:eastAsia="zh-CN"/>
                    </w:rPr>
                    <w:t>2.17</w:t>
                  </w:r>
                  <w:r>
                    <w:rPr>
                      <w:rFonts w:hint="eastAsia"/>
                      <w:sz w:val="21"/>
                      <w:szCs w:val="21"/>
                    </w:rPr>
                    <w:t>kg/h</w:t>
                  </w:r>
                </w:p>
              </w:tc>
              <w:tc>
                <w:tcPr>
                  <w:tcW w:w="837" w:type="pct"/>
                  <w:tcBorders>
                    <w:tl2br w:val="nil"/>
                    <w:tr2bl w:val="nil"/>
                  </w:tcBorders>
                  <w:noWrap w:val="0"/>
                  <w:vAlign w:val="center"/>
                </w:tcPr>
                <w:p w14:paraId="529FF601">
                  <w:pPr>
                    <w:jc w:val="center"/>
                    <w:rPr>
                      <w:rFonts w:hint="default" w:eastAsia="宋体"/>
                      <w:sz w:val="21"/>
                      <w:szCs w:val="21"/>
                      <w:lang w:val="en-US" w:eastAsia="zh-CN"/>
                    </w:rPr>
                  </w:pPr>
                  <w:r>
                    <w:rPr>
                      <w:rFonts w:hint="eastAsia"/>
                      <w:sz w:val="21"/>
                      <w:szCs w:val="21"/>
                      <w:lang w:val="en-US" w:eastAsia="zh-CN"/>
                    </w:rPr>
                    <w:t>8.5</w:t>
                  </w:r>
                  <w:r>
                    <w:rPr>
                      <w:rFonts w:hint="eastAsia"/>
                      <w:sz w:val="21"/>
                      <w:szCs w:val="21"/>
                    </w:rPr>
                    <w:t>mg/m</w:t>
                  </w:r>
                  <w:r>
                    <w:rPr>
                      <w:rFonts w:hint="eastAsia"/>
                      <w:sz w:val="21"/>
                      <w:szCs w:val="21"/>
                      <w:vertAlign w:val="superscript"/>
                    </w:rPr>
                    <w:t>3</w:t>
                  </w:r>
                </w:p>
              </w:tc>
              <w:tc>
                <w:tcPr>
                  <w:tcW w:w="831" w:type="pct"/>
                  <w:vMerge w:val="continue"/>
                  <w:tcBorders>
                    <w:tl2br w:val="nil"/>
                    <w:tr2bl w:val="nil"/>
                  </w:tcBorders>
                  <w:noWrap w:val="0"/>
                  <w:vAlign w:val="center"/>
                </w:tcPr>
                <w:p w14:paraId="54B39D10">
                  <w:pPr>
                    <w:jc w:val="center"/>
                    <w:rPr>
                      <w:rFonts w:hint="eastAsia" w:hAnsi="宋体"/>
                      <w:color w:val="000000"/>
                      <w:sz w:val="21"/>
                      <w:szCs w:val="21"/>
                    </w:rPr>
                  </w:pPr>
                </w:p>
              </w:tc>
              <w:tc>
                <w:tcPr>
                  <w:tcW w:w="837" w:type="pct"/>
                  <w:tcBorders>
                    <w:tl2br w:val="nil"/>
                    <w:tr2bl w:val="nil"/>
                  </w:tcBorders>
                  <w:noWrap w:val="0"/>
                  <w:vAlign w:val="center"/>
                </w:tcPr>
                <w:p w14:paraId="383B7E4F">
                  <w:pPr>
                    <w:jc w:val="center"/>
                    <w:rPr>
                      <w:rFonts w:hint="default" w:eastAsia="宋体"/>
                      <w:sz w:val="21"/>
                      <w:szCs w:val="21"/>
                      <w:lang w:val="en-US" w:eastAsia="zh-CN"/>
                    </w:rPr>
                  </w:pPr>
                  <w:r>
                    <w:rPr>
                      <w:rFonts w:hint="eastAsia"/>
                      <w:sz w:val="21"/>
                      <w:szCs w:val="21"/>
                      <w:lang w:val="en-US" w:eastAsia="zh-CN"/>
                    </w:rPr>
                    <w:t>0.24</w:t>
                  </w:r>
                  <w:r>
                    <w:rPr>
                      <w:rFonts w:hint="eastAsia"/>
                      <w:sz w:val="21"/>
                      <w:szCs w:val="21"/>
                    </w:rPr>
                    <w:t>mg/m</w:t>
                  </w:r>
                  <w:r>
                    <w:rPr>
                      <w:rFonts w:hint="eastAsia"/>
                      <w:sz w:val="21"/>
                      <w:szCs w:val="21"/>
                      <w:vertAlign w:val="superscript"/>
                    </w:rPr>
                    <w:t>3</w:t>
                  </w:r>
                </w:p>
              </w:tc>
            </w:tr>
            <w:tr w14:paraId="02307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831" w:type="pct"/>
                  <w:tcBorders>
                    <w:tl2br w:val="nil"/>
                    <w:tr2bl w:val="nil"/>
                  </w:tcBorders>
                  <w:noWrap w:val="0"/>
                  <w:vAlign w:val="center"/>
                </w:tcPr>
                <w:p w14:paraId="7FF230BF">
                  <w:pPr>
                    <w:jc w:val="center"/>
                    <w:rPr>
                      <w:rFonts w:hint="default"/>
                      <w:sz w:val="21"/>
                      <w:szCs w:val="21"/>
                      <w:lang w:val="en-US" w:eastAsia="zh-CN"/>
                    </w:rPr>
                  </w:pPr>
                  <w:r>
                    <w:rPr>
                      <w:rFonts w:hint="eastAsia"/>
                      <w:sz w:val="21"/>
                      <w:szCs w:val="21"/>
                      <w:lang w:val="en-US" w:eastAsia="zh-CN"/>
                    </w:rPr>
                    <w:t>非甲烷总烃</w:t>
                  </w:r>
                </w:p>
              </w:tc>
              <w:tc>
                <w:tcPr>
                  <w:tcW w:w="831" w:type="pct"/>
                  <w:tcBorders>
                    <w:tl2br w:val="nil"/>
                    <w:tr2bl w:val="nil"/>
                  </w:tcBorders>
                  <w:noWrap w:val="0"/>
                  <w:vAlign w:val="center"/>
                </w:tcPr>
                <w:p w14:paraId="3B8B9910">
                  <w:pPr>
                    <w:jc w:val="center"/>
                    <w:rPr>
                      <w:rFonts w:hint="default"/>
                      <w:sz w:val="21"/>
                      <w:szCs w:val="21"/>
                      <w:lang w:val="en-US" w:eastAsia="zh-CN"/>
                    </w:rPr>
                  </w:pPr>
                  <w:r>
                    <w:rPr>
                      <w:rFonts w:hint="eastAsia"/>
                      <w:sz w:val="21"/>
                      <w:szCs w:val="21"/>
                      <w:lang w:val="en-US" w:eastAsia="zh-CN"/>
                    </w:rPr>
                    <w:t>/</w:t>
                  </w:r>
                </w:p>
              </w:tc>
              <w:tc>
                <w:tcPr>
                  <w:tcW w:w="831" w:type="pct"/>
                  <w:tcBorders>
                    <w:tl2br w:val="nil"/>
                    <w:tr2bl w:val="nil"/>
                  </w:tcBorders>
                  <w:noWrap w:val="0"/>
                  <w:vAlign w:val="center"/>
                </w:tcPr>
                <w:p w14:paraId="1FA5B8B4">
                  <w:pPr>
                    <w:jc w:val="center"/>
                    <w:rPr>
                      <w:rFonts w:hint="eastAsia" w:eastAsia="宋体"/>
                      <w:sz w:val="21"/>
                      <w:szCs w:val="21"/>
                      <w:lang w:val="en-US" w:eastAsia="zh-CN"/>
                    </w:rPr>
                  </w:pPr>
                  <w:r>
                    <w:rPr>
                      <w:rFonts w:hint="eastAsia"/>
                      <w:sz w:val="21"/>
                      <w:szCs w:val="21"/>
                      <w:lang w:val="en-US" w:eastAsia="zh-CN"/>
                    </w:rPr>
                    <w:t>/</w:t>
                  </w:r>
                </w:p>
              </w:tc>
              <w:tc>
                <w:tcPr>
                  <w:tcW w:w="837" w:type="pct"/>
                  <w:tcBorders>
                    <w:tl2br w:val="nil"/>
                    <w:tr2bl w:val="nil"/>
                  </w:tcBorders>
                  <w:noWrap w:val="0"/>
                  <w:vAlign w:val="center"/>
                </w:tcPr>
                <w:p w14:paraId="69975CFB">
                  <w:pPr>
                    <w:jc w:val="center"/>
                    <w:rPr>
                      <w:rFonts w:hint="eastAsia" w:eastAsia="宋体"/>
                      <w:sz w:val="21"/>
                      <w:szCs w:val="21"/>
                      <w:lang w:val="en-US" w:eastAsia="zh-CN"/>
                    </w:rPr>
                  </w:pPr>
                  <w:r>
                    <w:rPr>
                      <w:rFonts w:hint="eastAsia"/>
                      <w:sz w:val="21"/>
                      <w:szCs w:val="21"/>
                      <w:lang w:val="en-US" w:eastAsia="zh-CN"/>
                    </w:rPr>
                    <w:t>/</w:t>
                  </w:r>
                </w:p>
              </w:tc>
              <w:tc>
                <w:tcPr>
                  <w:tcW w:w="831" w:type="pct"/>
                  <w:vMerge w:val="continue"/>
                  <w:tcBorders>
                    <w:tl2br w:val="nil"/>
                    <w:tr2bl w:val="nil"/>
                  </w:tcBorders>
                  <w:noWrap w:val="0"/>
                  <w:vAlign w:val="center"/>
                </w:tcPr>
                <w:p w14:paraId="7B74E462">
                  <w:pPr>
                    <w:jc w:val="center"/>
                    <w:rPr>
                      <w:rFonts w:hint="eastAsia" w:hAnsi="宋体"/>
                      <w:color w:val="000000"/>
                      <w:sz w:val="21"/>
                      <w:szCs w:val="21"/>
                    </w:rPr>
                  </w:pPr>
                </w:p>
              </w:tc>
              <w:tc>
                <w:tcPr>
                  <w:tcW w:w="837" w:type="pct"/>
                  <w:tcBorders>
                    <w:tl2br w:val="nil"/>
                    <w:tr2bl w:val="nil"/>
                  </w:tcBorders>
                  <w:noWrap w:val="0"/>
                  <w:vAlign w:val="center"/>
                </w:tcPr>
                <w:p w14:paraId="6E613192">
                  <w:pPr>
                    <w:jc w:val="center"/>
                    <w:rPr>
                      <w:rFonts w:hint="eastAsia"/>
                      <w:sz w:val="21"/>
                      <w:szCs w:val="21"/>
                    </w:rPr>
                  </w:pPr>
                  <w:r>
                    <w:rPr>
                      <w:rFonts w:hint="eastAsia"/>
                      <w:sz w:val="21"/>
                      <w:szCs w:val="21"/>
                      <w:lang w:val="en-US" w:eastAsia="zh-CN"/>
                    </w:rPr>
                    <w:t>4.0</w:t>
                  </w:r>
                  <w:r>
                    <w:rPr>
                      <w:rFonts w:hint="eastAsia"/>
                      <w:sz w:val="21"/>
                      <w:szCs w:val="21"/>
                    </w:rPr>
                    <w:t>mg/m</w:t>
                  </w:r>
                  <w:r>
                    <w:rPr>
                      <w:rFonts w:hint="eastAsia"/>
                      <w:sz w:val="21"/>
                      <w:szCs w:val="21"/>
                      <w:vertAlign w:val="superscript"/>
                    </w:rPr>
                    <w:t>3</w:t>
                  </w:r>
                </w:p>
              </w:tc>
            </w:tr>
            <w:tr w14:paraId="0AE5FD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831" w:type="pct"/>
                  <w:tcBorders>
                    <w:tl2br w:val="nil"/>
                    <w:tr2bl w:val="nil"/>
                  </w:tcBorders>
                  <w:noWrap w:val="0"/>
                  <w:vAlign w:val="center"/>
                </w:tcPr>
                <w:p w14:paraId="338E87A3">
                  <w:pPr>
                    <w:jc w:val="center"/>
                    <w:rPr>
                      <w:rFonts w:hint="default"/>
                      <w:sz w:val="21"/>
                      <w:szCs w:val="21"/>
                      <w:lang w:val="en-US" w:eastAsia="zh-CN"/>
                    </w:rPr>
                  </w:pPr>
                  <w:r>
                    <w:rPr>
                      <w:rFonts w:hint="eastAsia"/>
                      <w:sz w:val="21"/>
                      <w:szCs w:val="21"/>
                      <w:lang w:val="en-US" w:eastAsia="zh-CN"/>
                    </w:rPr>
                    <w:t>二甲苯</w:t>
                  </w:r>
                </w:p>
              </w:tc>
              <w:tc>
                <w:tcPr>
                  <w:tcW w:w="831" w:type="pct"/>
                  <w:tcBorders>
                    <w:tl2br w:val="nil"/>
                    <w:tr2bl w:val="nil"/>
                  </w:tcBorders>
                  <w:noWrap w:val="0"/>
                  <w:vAlign w:val="center"/>
                </w:tcPr>
                <w:p w14:paraId="66AE17D2">
                  <w:pPr>
                    <w:jc w:val="center"/>
                    <w:rPr>
                      <w:rFonts w:hint="default"/>
                      <w:sz w:val="21"/>
                      <w:szCs w:val="21"/>
                      <w:lang w:val="en-US" w:eastAsia="zh-CN"/>
                    </w:rPr>
                  </w:pPr>
                  <w:r>
                    <w:rPr>
                      <w:rFonts w:hint="eastAsia"/>
                      <w:sz w:val="21"/>
                      <w:szCs w:val="21"/>
                      <w:lang w:val="en-US" w:eastAsia="zh-CN"/>
                    </w:rPr>
                    <w:t>/</w:t>
                  </w:r>
                </w:p>
              </w:tc>
              <w:tc>
                <w:tcPr>
                  <w:tcW w:w="831" w:type="pct"/>
                  <w:tcBorders>
                    <w:tl2br w:val="nil"/>
                    <w:tr2bl w:val="nil"/>
                  </w:tcBorders>
                  <w:noWrap w:val="0"/>
                  <w:vAlign w:val="center"/>
                </w:tcPr>
                <w:p w14:paraId="2727936A">
                  <w:pPr>
                    <w:jc w:val="center"/>
                    <w:rPr>
                      <w:rFonts w:hint="default"/>
                      <w:sz w:val="21"/>
                      <w:szCs w:val="21"/>
                      <w:lang w:val="en-US" w:eastAsia="zh-CN"/>
                    </w:rPr>
                  </w:pPr>
                  <w:r>
                    <w:rPr>
                      <w:rFonts w:hint="eastAsia"/>
                      <w:sz w:val="21"/>
                      <w:szCs w:val="21"/>
                      <w:lang w:val="en-US" w:eastAsia="zh-CN"/>
                    </w:rPr>
                    <w:t>/</w:t>
                  </w:r>
                </w:p>
              </w:tc>
              <w:tc>
                <w:tcPr>
                  <w:tcW w:w="837" w:type="pct"/>
                  <w:tcBorders>
                    <w:tl2br w:val="nil"/>
                    <w:tr2bl w:val="nil"/>
                  </w:tcBorders>
                  <w:noWrap w:val="0"/>
                  <w:vAlign w:val="center"/>
                </w:tcPr>
                <w:p w14:paraId="68E2DE74">
                  <w:pPr>
                    <w:jc w:val="center"/>
                    <w:rPr>
                      <w:rFonts w:hint="default"/>
                      <w:sz w:val="21"/>
                      <w:szCs w:val="21"/>
                      <w:lang w:val="en-US" w:eastAsia="zh-CN"/>
                    </w:rPr>
                  </w:pPr>
                  <w:r>
                    <w:rPr>
                      <w:rFonts w:hint="eastAsia"/>
                      <w:sz w:val="21"/>
                      <w:szCs w:val="21"/>
                      <w:lang w:val="en-US" w:eastAsia="zh-CN"/>
                    </w:rPr>
                    <w:t>/</w:t>
                  </w:r>
                </w:p>
              </w:tc>
              <w:tc>
                <w:tcPr>
                  <w:tcW w:w="831" w:type="pct"/>
                  <w:tcBorders>
                    <w:tl2br w:val="nil"/>
                    <w:tr2bl w:val="nil"/>
                  </w:tcBorders>
                  <w:noWrap w:val="0"/>
                  <w:vAlign w:val="center"/>
                </w:tcPr>
                <w:p w14:paraId="4E632720">
                  <w:pPr>
                    <w:jc w:val="center"/>
                    <w:rPr>
                      <w:rFonts w:hint="eastAsia" w:hAnsi="宋体"/>
                      <w:color w:val="000000"/>
                      <w:sz w:val="21"/>
                      <w:szCs w:val="21"/>
                    </w:rPr>
                  </w:pPr>
                </w:p>
              </w:tc>
              <w:tc>
                <w:tcPr>
                  <w:tcW w:w="837" w:type="pct"/>
                  <w:tcBorders>
                    <w:tl2br w:val="nil"/>
                    <w:tr2bl w:val="nil"/>
                  </w:tcBorders>
                  <w:noWrap w:val="0"/>
                  <w:vAlign w:val="center"/>
                </w:tcPr>
                <w:p w14:paraId="7AA7531A">
                  <w:pPr>
                    <w:jc w:val="center"/>
                    <w:rPr>
                      <w:rFonts w:hint="eastAsia"/>
                      <w:sz w:val="21"/>
                      <w:szCs w:val="21"/>
                      <w:lang w:val="en-US" w:eastAsia="zh-CN"/>
                    </w:rPr>
                  </w:pPr>
                  <w:r>
                    <w:rPr>
                      <w:rFonts w:hint="eastAsia"/>
                      <w:sz w:val="21"/>
                      <w:szCs w:val="21"/>
                      <w:lang w:val="en-US" w:eastAsia="zh-CN"/>
                    </w:rPr>
                    <w:t>1.5</w:t>
                  </w:r>
                  <w:r>
                    <w:rPr>
                      <w:rFonts w:hint="eastAsia"/>
                      <w:sz w:val="21"/>
                      <w:szCs w:val="21"/>
                    </w:rPr>
                    <w:t>mg/m</w:t>
                  </w:r>
                  <w:r>
                    <w:rPr>
                      <w:rFonts w:hint="eastAsia"/>
                      <w:sz w:val="21"/>
                      <w:szCs w:val="21"/>
                      <w:vertAlign w:val="superscript"/>
                    </w:rPr>
                    <w:t>3</w:t>
                  </w:r>
                </w:p>
              </w:tc>
            </w:tr>
            <w:tr w14:paraId="6B2F9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tcBorders>
                    <w:tl2br w:val="nil"/>
                    <w:tr2bl w:val="nil"/>
                  </w:tcBorders>
                  <w:noWrap w:val="0"/>
                  <w:vAlign w:val="center"/>
                </w:tcPr>
                <w:p w14:paraId="4A9B88E3">
                  <w:pPr>
                    <w:rPr>
                      <w:rFonts w:hint="eastAsia" w:ascii="Times New Roman" w:hAnsi="Times New Roman" w:cs="Times New Roman"/>
                      <w:b w:val="0"/>
                      <w:bCs w:val="0"/>
                      <w:kern w:val="0"/>
                      <w:sz w:val="21"/>
                      <w:szCs w:val="21"/>
                      <w:lang w:eastAsia="zh-CN"/>
                    </w:rPr>
                  </w:pPr>
                  <w:r>
                    <w:rPr>
                      <w:rFonts w:hint="eastAsia"/>
                      <w:b w:val="0"/>
                      <w:bCs w:val="0"/>
                      <w:sz w:val="21"/>
                      <w:szCs w:val="21"/>
                      <w:lang w:val="en-US" w:eastAsia="zh-CN"/>
                    </w:rPr>
                    <w:t>注：1、因</w:t>
                  </w:r>
                  <w:r>
                    <w:rPr>
                      <w:rFonts w:hint="default" w:ascii="Times New Roman" w:hAnsi="Times New Roman" w:cs="Times New Roman"/>
                      <w:b w:val="0"/>
                      <w:bCs w:val="0"/>
                      <w:sz w:val="21"/>
                      <w:szCs w:val="21"/>
                      <w:u w:val="none"/>
                      <w:lang w:eastAsia="zh-CN"/>
                    </w:rPr>
                    <w:t>《工业企业挥发性有机物排放标准》（DB43/3550-2026）</w:t>
                  </w:r>
                  <w:r>
                    <w:rPr>
                      <w:rFonts w:hint="eastAsia" w:ascii="Times New Roman" w:hAnsi="Times New Roman" w:cs="Times New Roman"/>
                      <w:b w:val="0"/>
                      <w:bCs w:val="0"/>
                      <w:sz w:val="21"/>
                      <w:szCs w:val="21"/>
                      <w:u w:val="none"/>
                      <w:lang w:eastAsia="zh-CN"/>
                    </w:rPr>
                    <w:t>中</w:t>
                  </w:r>
                  <w:r>
                    <w:rPr>
                      <w:rFonts w:hint="eastAsia" w:ascii="Times New Roman" w:hAnsi="Times New Roman" w:cs="Times New Roman"/>
                      <w:b w:val="0"/>
                      <w:bCs w:val="0"/>
                      <w:sz w:val="21"/>
                      <w:szCs w:val="21"/>
                      <w:u w:val="none"/>
                      <w:lang w:val="en-US" w:eastAsia="zh-CN"/>
                    </w:rPr>
                    <w:t>无非甲烷总烃</w:t>
                  </w:r>
                  <w:r>
                    <w:rPr>
                      <w:rFonts w:hint="eastAsia" w:cs="Times New Roman"/>
                      <w:b w:val="0"/>
                      <w:bCs w:val="0"/>
                      <w:sz w:val="21"/>
                      <w:szCs w:val="21"/>
                      <w:u w:val="none"/>
                      <w:lang w:val="en-US" w:eastAsia="zh-CN"/>
                    </w:rPr>
                    <w:t>、二甲苯</w:t>
                  </w:r>
                  <w:r>
                    <w:rPr>
                      <w:rFonts w:hint="eastAsia" w:ascii="Times New Roman" w:hAnsi="Times New Roman" w:cs="Times New Roman"/>
                      <w:b w:val="0"/>
                      <w:bCs w:val="0"/>
                      <w:sz w:val="21"/>
                      <w:szCs w:val="21"/>
                      <w:u w:val="none"/>
                      <w:lang w:val="en-US" w:eastAsia="zh-CN"/>
                    </w:rPr>
                    <w:t>厂界无组织排放限值，故厂界无组织排放非甲烷总烃执行</w:t>
                  </w:r>
                  <w:r>
                    <w:rPr>
                      <w:rFonts w:hint="eastAsia" w:ascii="Times New Roman" w:hAnsi="Times New Roman" w:cs="Times New Roman"/>
                      <w:b w:val="0"/>
                      <w:bCs w:val="0"/>
                      <w:kern w:val="0"/>
                      <w:sz w:val="21"/>
                      <w:szCs w:val="21"/>
                      <w:lang w:eastAsia="zh-CN"/>
                    </w:rPr>
                    <w:t>《</w:t>
                  </w:r>
                  <w:r>
                    <w:rPr>
                      <w:rFonts w:hint="eastAsia" w:ascii="Times New Roman" w:hAnsi="Times New Roman" w:cs="Times New Roman"/>
                      <w:b w:val="0"/>
                      <w:bCs w:val="0"/>
                      <w:kern w:val="0"/>
                      <w:sz w:val="21"/>
                      <w:szCs w:val="21"/>
                    </w:rPr>
                    <w:t>大气污染物</w:t>
                  </w:r>
                  <w:r>
                    <w:rPr>
                      <w:rFonts w:hint="eastAsia" w:ascii="Times New Roman" w:hAnsi="Times New Roman" w:cs="Times New Roman"/>
                      <w:b w:val="0"/>
                      <w:bCs w:val="0"/>
                      <w:kern w:val="0"/>
                      <w:sz w:val="21"/>
                      <w:szCs w:val="21"/>
                      <w:lang w:val="en-US" w:eastAsia="zh-CN"/>
                    </w:rPr>
                    <w:t>综合</w:t>
                  </w:r>
                  <w:r>
                    <w:rPr>
                      <w:rFonts w:hint="eastAsia" w:ascii="Times New Roman" w:hAnsi="Times New Roman" w:cs="Times New Roman"/>
                      <w:b w:val="0"/>
                      <w:bCs w:val="0"/>
                      <w:kern w:val="0"/>
                      <w:sz w:val="21"/>
                      <w:szCs w:val="21"/>
                    </w:rPr>
                    <w:t>排放标准</w:t>
                  </w:r>
                  <w:r>
                    <w:rPr>
                      <w:rFonts w:hint="eastAsia" w:ascii="Times New Roman" w:hAnsi="Times New Roman" w:cs="Times New Roman"/>
                      <w:b w:val="0"/>
                      <w:bCs w:val="0"/>
                      <w:kern w:val="0"/>
                      <w:sz w:val="21"/>
                      <w:szCs w:val="21"/>
                      <w:lang w:eastAsia="zh-CN"/>
                    </w:rPr>
                    <w:t>》（</w:t>
                  </w:r>
                  <w:r>
                    <w:rPr>
                      <w:rFonts w:hint="eastAsia" w:ascii="Times New Roman" w:hAnsi="Times New Roman" w:cs="Times New Roman"/>
                      <w:b w:val="0"/>
                      <w:bCs w:val="0"/>
                      <w:kern w:val="0"/>
                      <w:sz w:val="21"/>
                      <w:szCs w:val="21"/>
                      <w:lang w:val="en-US" w:eastAsia="zh-CN"/>
                    </w:rPr>
                    <w:t>GB16297-1996</w:t>
                  </w:r>
                  <w:r>
                    <w:rPr>
                      <w:rFonts w:hint="eastAsia" w:ascii="Times New Roman" w:hAnsi="Times New Roman" w:cs="Times New Roman"/>
                      <w:b w:val="0"/>
                      <w:bCs w:val="0"/>
                      <w:kern w:val="0"/>
                      <w:sz w:val="21"/>
                      <w:szCs w:val="21"/>
                      <w:lang w:eastAsia="zh-CN"/>
                    </w:rPr>
                    <w:t>）</w:t>
                  </w:r>
                  <w:r>
                    <w:rPr>
                      <w:rFonts w:hint="eastAsia" w:cs="Times New Roman"/>
                      <w:b w:val="0"/>
                      <w:bCs w:val="0"/>
                      <w:kern w:val="0"/>
                      <w:sz w:val="21"/>
                      <w:szCs w:val="21"/>
                      <w:lang w:eastAsia="zh-CN"/>
                    </w:rPr>
                    <w:t>。</w:t>
                  </w:r>
                </w:p>
                <w:p w14:paraId="7FD98069">
                  <w:pPr>
                    <w:pStyle w:val="2"/>
                    <w:rPr>
                      <w:rFonts w:hint="default"/>
                      <w:lang w:val="en-US" w:eastAsia="zh-CN"/>
                    </w:rPr>
                  </w:pPr>
                  <w:r>
                    <w:rPr>
                      <w:rFonts w:hint="eastAsia" w:cs="Times New Roman"/>
                      <w:b w:val="0"/>
                      <w:bCs w:val="0"/>
                      <w:kern w:val="0"/>
                      <w:sz w:val="21"/>
                      <w:szCs w:val="21"/>
                      <w:lang w:val="en-US" w:eastAsia="zh-CN"/>
                    </w:rPr>
                    <w:t>2、本项目排气筒高度为23m，采用内插法核算最高允许排放速率。</w:t>
                  </w:r>
                </w:p>
              </w:tc>
            </w:tr>
          </w:tbl>
          <w:p w14:paraId="0FB8296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firstLine="482" w:firstLineChars="200"/>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2、噪声</w:t>
            </w:r>
          </w:p>
          <w:p w14:paraId="5B09AD6B">
            <w:pPr>
              <w:keepNext w:val="0"/>
              <w:keepLines w:val="0"/>
              <w:suppressLineNumbers w:val="0"/>
              <w:spacing w:beforeAutospacing="0" w:afterAutospacing="0" w:line="360" w:lineRule="auto"/>
              <w:ind w:firstLine="480" w:firstLineChars="200"/>
              <w:rPr>
                <w:rFonts w:hint="default" w:ascii="Times New Roman" w:hAnsi="Times New Roman" w:cs="Times New Roman"/>
                <w:b/>
                <w:bCs w:val="0"/>
                <w:color w:val="auto"/>
                <w:sz w:val="21"/>
                <w:szCs w:val="21"/>
              </w:rPr>
            </w:pPr>
            <w:r>
              <w:rPr>
                <w:rFonts w:ascii="宋体" w:hAnsi="宋体" w:cs="宋体"/>
                <w:color w:val="auto"/>
                <w:sz w:val="24"/>
                <w:szCs w:val="24"/>
                <w:u w:val="single"/>
              </w:rPr>
              <w:t>项目施工期</w:t>
            </w:r>
            <w:r>
              <w:rPr>
                <w:rFonts w:hint="eastAsia" w:ascii="宋体" w:hAnsi="宋体" w:cs="宋体"/>
                <w:color w:val="auto"/>
                <w:sz w:val="24"/>
                <w:szCs w:val="24"/>
                <w:u w:val="single"/>
              </w:rPr>
              <w:t>噪声</w:t>
            </w:r>
            <w:r>
              <w:rPr>
                <w:rFonts w:ascii="宋体" w:hAnsi="宋体" w:cs="宋体"/>
                <w:color w:val="auto"/>
                <w:sz w:val="24"/>
                <w:szCs w:val="24"/>
                <w:u w:val="single"/>
              </w:rPr>
              <w:t>执行《建筑施工噪声排放标准》</w:t>
            </w:r>
            <w:r>
              <w:rPr>
                <w:color w:val="auto"/>
                <w:sz w:val="24"/>
                <w:szCs w:val="24"/>
                <w:u w:val="single"/>
              </w:rPr>
              <w:t>（GB12523-20</w:t>
            </w:r>
            <w:r>
              <w:rPr>
                <w:rFonts w:hint="eastAsia"/>
                <w:color w:val="auto"/>
                <w:sz w:val="24"/>
                <w:szCs w:val="24"/>
                <w:u w:val="single"/>
                <w:lang w:val="en-US" w:eastAsia="zh-CN"/>
              </w:rPr>
              <w:t>25</w:t>
            </w:r>
            <w:r>
              <w:rPr>
                <w:color w:val="auto"/>
                <w:sz w:val="24"/>
                <w:szCs w:val="24"/>
                <w:u w:val="single"/>
              </w:rPr>
              <w:t>）</w:t>
            </w:r>
            <w:r>
              <w:rPr>
                <w:rFonts w:hint="eastAsia"/>
                <w:color w:val="auto"/>
                <w:sz w:val="24"/>
                <w:szCs w:val="24"/>
                <w:u w:val="single"/>
                <w:lang w:eastAsia="zh-CN"/>
              </w:rPr>
              <w:t>，</w:t>
            </w:r>
            <w:r>
              <w:rPr>
                <w:rFonts w:hint="default" w:ascii="Times New Roman" w:hAnsi="Times New Roman" w:cs="Times New Roman"/>
                <w:color w:val="auto"/>
                <w:sz w:val="24"/>
              </w:rPr>
              <w:t>营运期</w:t>
            </w:r>
            <w:r>
              <w:rPr>
                <w:rFonts w:hint="eastAsia" w:cs="Times New Roman"/>
                <w:color w:val="auto"/>
                <w:sz w:val="24"/>
                <w:lang w:val="en-US" w:eastAsia="zh-CN"/>
              </w:rPr>
              <w:t>厂界</w:t>
            </w:r>
            <w:r>
              <w:rPr>
                <w:rFonts w:hint="default" w:ascii="Times New Roman" w:hAnsi="Times New Roman" w:cs="Times New Roman"/>
                <w:color w:val="auto"/>
                <w:sz w:val="24"/>
              </w:rPr>
              <w:t>噪声排放执行《工业企业厂界环境噪声排放标准》（GB12348-2008）</w:t>
            </w:r>
            <w:r>
              <w:rPr>
                <w:rFonts w:hint="eastAsia" w:cs="Times New Roman"/>
                <w:color w:val="auto"/>
                <w:sz w:val="24"/>
                <w:lang w:val="en-US" w:eastAsia="zh-CN"/>
              </w:rPr>
              <w:t>3</w:t>
            </w:r>
            <w:r>
              <w:rPr>
                <w:rFonts w:hint="default" w:ascii="Times New Roman" w:hAnsi="Times New Roman" w:cs="Times New Roman"/>
                <w:color w:val="auto"/>
                <w:sz w:val="24"/>
              </w:rPr>
              <w:t>类</w:t>
            </w:r>
            <w:r>
              <w:rPr>
                <w:rFonts w:hint="eastAsia" w:cs="Times New Roman"/>
                <w:color w:val="auto"/>
                <w:sz w:val="24"/>
                <w:lang w:val="en-US" w:eastAsia="zh-CN"/>
              </w:rPr>
              <w:t>标准</w:t>
            </w:r>
            <w:r>
              <w:rPr>
                <w:rFonts w:hint="default" w:ascii="Times New Roman" w:hAnsi="Times New Roman" w:cs="Times New Roman"/>
                <w:color w:val="auto"/>
                <w:sz w:val="24"/>
              </w:rPr>
              <w:t>。</w:t>
            </w:r>
          </w:p>
          <w:p w14:paraId="0AEA2A30">
            <w:pPr>
              <w:keepNext w:val="0"/>
              <w:keepLines w:val="0"/>
              <w:pageBreakBefore w:val="0"/>
              <w:widowControl w:val="0"/>
              <w:suppressLineNumbers w:val="0"/>
              <w:kinsoku/>
              <w:wordWrap/>
              <w:overflowPunct/>
              <w:topLinePunct w:val="0"/>
              <w:autoSpaceDE/>
              <w:autoSpaceDN/>
              <w:bidi w:val="0"/>
              <w:adjustRightInd/>
              <w:snapToGrid/>
              <w:spacing w:beforeAutospacing="0" w:afterAutospacing="0"/>
              <w:ind w:firstLine="0" w:firstLineChars="0"/>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表</w:t>
            </w:r>
            <w:r>
              <w:rPr>
                <w:rFonts w:hint="default" w:ascii="Times New Roman" w:hAnsi="Times New Roman" w:cs="Times New Roman"/>
                <w:b/>
                <w:bCs w:val="0"/>
                <w:color w:val="auto"/>
                <w:sz w:val="21"/>
                <w:szCs w:val="21"/>
                <w:lang w:val="en-US" w:eastAsia="zh-CN"/>
              </w:rPr>
              <w:t>3</w:t>
            </w:r>
            <w:r>
              <w:rPr>
                <w:rFonts w:hint="default" w:ascii="Times New Roman" w:hAnsi="Times New Roman" w:cs="Times New Roman"/>
                <w:b/>
                <w:bCs w:val="0"/>
                <w:color w:val="auto"/>
                <w:sz w:val="21"/>
                <w:szCs w:val="21"/>
              </w:rPr>
              <w:t>-</w:t>
            </w:r>
            <w:r>
              <w:rPr>
                <w:rFonts w:hint="eastAsia" w:cs="Times New Roman"/>
                <w:b/>
                <w:bCs w:val="0"/>
                <w:color w:val="auto"/>
                <w:sz w:val="21"/>
                <w:szCs w:val="21"/>
                <w:lang w:val="en-US" w:eastAsia="zh-CN"/>
              </w:rPr>
              <w:t>9</w:t>
            </w:r>
            <w:r>
              <w:rPr>
                <w:rFonts w:hint="default" w:ascii="Times New Roman" w:hAnsi="Times New Roman" w:cs="Times New Roman"/>
                <w:b/>
                <w:bCs w:val="0"/>
                <w:color w:val="auto"/>
                <w:sz w:val="21"/>
                <w:szCs w:val="21"/>
              </w:rPr>
              <w:t>噪声排放标准  单位：dB（A）</w:t>
            </w:r>
          </w:p>
          <w:tbl>
            <w:tblPr>
              <w:tblStyle w:val="33"/>
              <w:tblW w:w="4998" w:type="pct"/>
              <w:jc w:val="center"/>
              <w:tblBorders>
                <w:top w:val="single" w:color="auto" w:sz="12" w:space="0"/>
                <w:left w:val="single" w:color="auto" w:sz="12" w:space="0"/>
                <w:bottom w:val="single" w:color="000000" w:sz="12" w:space="0"/>
                <w:right w:val="single" w:color="auto" w:sz="12" w:space="0"/>
                <w:insideH w:val="single" w:color="000000" w:sz="4" w:space="0"/>
                <w:insideV w:val="single" w:color="auto" w:sz="6" w:space="0"/>
              </w:tblBorders>
              <w:tblLayout w:type="autofit"/>
              <w:tblCellMar>
                <w:top w:w="0" w:type="dxa"/>
                <w:left w:w="108" w:type="dxa"/>
                <w:bottom w:w="0" w:type="dxa"/>
                <w:right w:w="108" w:type="dxa"/>
              </w:tblCellMar>
            </w:tblPr>
            <w:tblGrid>
              <w:gridCol w:w="2320"/>
              <w:gridCol w:w="3644"/>
              <w:gridCol w:w="1132"/>
              <w:gridCol w:w="1104"/>
            </w:tblGrid>
            <w:tr w14:paraId="7A6E1997">
              <w:tblPrEx>
                <w:tblBorders>
                  <w:top w:val="single" w:color="auto" w:sz="12" w:space="0"/>
                  <w:left w:val="single" w:color="auto" w:sz="12" w:space="0"/>
                  <w:bottom w:val="single" w:color="000000" w:sz="12" w:space="0"/>
                  <w:right w:val="single" w:color="auto" w:sz="12" w:space="0"/>
                  <w:insideH w:val="single" w:color="000000" w:sz="4" w:space="0"/>
                  <w:insideV w:val="single" w:color="auto" w:sz="6" w:space="0"/>
                </w:tblBorders>
                <w:tblCellMar>
                  <w:top w:w="0" w:type="dxa"/>
                  <w:left w:w="108" w:type="dxa"/>
                  <w:bottom w:w="0" w:type="dxa"/>
                  <w:right w:w="108" w:type="dxa"/>
                </w:tblCellMar>
              </w:tblPrEx>
              <w:trPr>
                <w:trHeight w:val="133" w:hRule="atLeast"/>
                <w:jc w:val="center"/>
              </w:trPr>
              <w:tc>
                <w:tcPr>
                  <w:tcW w:w="1415" w:type="pct"/>
                  <w:tcBorders>
                    <w:tl2br w:val="nil"/>
                    <w:tr2bl w:val="nil"/>
                  </w:tcBorders>
                  <w:noWrap w:val="0"/>
                  <w:vAlign w:val="center"/>
                </w:tcPr>
                <w:p w14:paraId="79DA0291">
                  <w:pPr>
                    <w:jc w:val="center"/>
                    <w:rPr>
                      <w:color w:val="auto"/>
                      <w:kern w:val="0"/>
                      <w:sz w:val="21"/>
                      <w:szCs w:val="21"/>
                    </w:rPr>
                  </w:pPr>
                  <w:r>
                    <w:rPr>
                      <w:rFonts w:hint="eastAsia"/>
                      <w:color w:val="auto"/>
                      <w:sz w:val="21"/>
                      <w:szCs w:val="21"/>
                    </w:rPr>
                    <w:t>污染项目</w:t>
                  </w:r>
                </w:p>
              </w:tc>
              <w:tc>
                <w:tcPr>
                  <w:tcW w:w="2222" w:type="pct"/>
                  <w:tcBorders>
                    <w:tl2br w:val="nil"/>
                    <w:tr2bl w:val="nil"/>
                  </w:tcBorders>
                  <w:noWrap w:val="0"/>
                  <w:vAlign w:val="center"/>
                </w:tcPr>
                <w:p w14:paraId="097D0ABA">
                  <w:pPr>
                    <w:jc w:val="center"/>
                    <w:rPr>
                      <w:color w:val="auto"/>
                      <w:kern w:val="0"/>
                      <w:sz w:val="21"/>
                      <w:szCs w:val="21"/>
                    </w:rPr>
                  </w:pPr>
                  <w:r>
                    <w:rPr>
                      <w:color w:val="auto"/>
                      <w:sz w:val="21"/>
                      <w:szCs w:val="21"/>
                    </w:rPr>
                    <w:t>标准名称</w:t>
                  </w:r>
                </w:p>
              </w:tc>
              <w:tc>
                <w:tcPr>
                  <w:tcW w:w="690" w:type="pct"/>
                  <w:tcBorders>
                    <w:tl2br w:val="nil"/>
                    <w:tr2bl w:val="nil"/>
                  </w:tcBorders>
                  <w:noWrap w:val="0"/>
                  <w:vAlign w:val="center"/>
                </w:tcPr>
                <w:p w14:paraId="54C684A1">
                  <w:pPr>
                    <w:jc w:val="center"/>
                    <w:rPr>
                      <w:color w:val="auto"/>
                      <w:sz w:val="21"/>
                      <w:szCs w:val="21"/>
                    </w:rPr>
                  </w:pPr>
                  <w:r>
                    <w:rPr>
                      <w:color w:val="auto"/>
                      <w:sz w:val="21"/>
                      <w:szCs w:val="21"/>
                    </w:rPr>
                    <w:t>类别</w:t>
                  </w:r>
                </w:p>
              </w:tc>
              <w:tc>
                <w:tcPr>
                  <w:tcW w:w="671" w:type="pct"/>
                  <w:tcBorders>
                    <w:tl2br w:val="nil"/>
                    <w:tr2bl w:val="nil"/>
                  </w:tcBorders>
                  <w:noWrap w:val="0"/>
                  <w:vAlign w:val="center"/>
                </w:tcPr>
                <w:p w14:paraId="50A484CE">
                  <w:pPr>
                    <w:jc w:val="center"/>
                    <w:rPr>
                      <w:color w:val="auto"/>
                      <w:sz w:val="21"/>
                      <w:szCs w:val="21"/>
                    </w:rPr>
                  </w:pPr>
                  <w:r>
                    <w:rPr>
                      <w:color w:val="auto"/>
                      <w:sz w:val="21"/>
                      <w:szCs w:val="21"/>
                    </w:rPr>
                    <w:t>昼间</w:t>
                  </w:r>
                </w:p>
              </w:tc>
            </w:tr>
            <w:tr w14:paraId="766522B7">
              <w:tblPrEx>
                <w:tblBorders>
                  <w:top w:val="single" w:color="auto" w:sz="12" w:space="0"/>
                  <w:left w:val="single" w:color="auto" w:sz="12" w:space="0"/>
                  <w:bottom w:val="single" w:color="000000" w:sz="12" w:space="0"/>
                  <w:right w:val="single" w:color="auto" w:sz="12" w:space="0"/>
                  <w:insideH w:val="single" w:color="000000" w:sz="4" w:space="0"/>
                  <w:insideV w:val="single" w:color="auto" w:sz="6" w:space="0"/>
                </w:tblBorders>
                <w:tblCellMar>
                  <w:top w:w="0" w:type="dxa"/>
                  <w:left w:w="108" w:type="dxa"/>
                  <w:bottom w:w="0" w:type="dxa"/>
                  <w:right w:w="108" w:type="dxa"/>
                </w:tblCellMar>
              </w:tblPrEx>
              <w:trPr>
                <w:trHeight w:val="244" w:hRule="atLeast"/>
                <w:jc w:val="center"/>
              </w:trPr>
              <w:tc>
                <w:tcPr>
                  <w:tcW w:w="1415" w:type="pct"/>
                  <w:tcBorders>
                    <w:tl2br w:val="nil"/>
                    <w:tr2bl w:val="nil"/>
                  </w:tcBorders>
                  <w:noWrap w:val="0"/>
                  <w:vAlign w:val="center"/>
                </w:tcPr>
                <w:p w14:paraId="34ACE882">
                  <w:pPr>
                    <w:jc w:val="center"/>
                    <w:rPr>
                      <w:color w:val="auto"/>
                      <w:kern w:val="0"/>
                      <w:sz w:val="21"/>
                      <w:szCs w:val="21"/>
                      <w:u w:val="single"/>
                    </w:rPr>
                  </w:pPr>
                  <w:r>
                    <w:rPr>
                      <w:rFonts w:hint="eastAsia"/>
                      <w:color w:val="auto"/>
                      <w:kern w:val="0"/>
                      <w:sz w:val="21"/>
                      <w:szCs w:val="21"/>
                      <w:u w:val="single"/>
                    </w:rPr>
                    <w:t>施工期噪声</w:t>
                  </w:r>
                </w:p>
              </w:tc>
              <w:tc>
                <w:tcPr>
                  <w:tcW w:w="2222" w:type="pct"/>
                  <w:tcBorders>
                    <w:tl2br w:val="nil"/>
                    <w:tr2bl w:val="nil"/>
                  </w:tcBorders>
                  <w:noWrap w:val="0"/>
                  <w:vAlign w:val="center"/>
                </w:tcPr>
                <w:p w14:paraId="2DADB1A9">
                  <w:pPr>
                    <w:jc w:val="center"/>
                    <w:rPr>
                      <w:color w:val="auto"/>
                      <w:sz w:val="21"/>
                      <w:szCs w:val="21"/>
                      <w:u w:val="single"/>
                    </w:rPr>
                  </w:pPr>
                  <w:r>
                    <w:rPr>
                      <w:rFonts w:hint="eastAsia"/>
                      <w:color w:val="auto"/>
                      <w:kern w:val="0"/>
                      <w:sz w:val="21"/>
                      <w:szCs w:val="21"/>
                      <w:u w:val="single"/>
                    </w:rPr>
                    <w:t>《建筑施工噪声排放标准》（GB12523-20</w:t>
                  </w:r>
                  <w:r>
                    <w:rPr>
                      <w:rFonts w:hint="eastAsia"/>
                      <w:color w:val="auto"/>
                      <w:kern w:val="0"/>
                      <w:sz w:val="21"/>
                      <w:szCs w:val="21"/>
                      <w:u w:val="single"/>
                      <w:lang w:val="en-US" w:eastAsia="zh-CN"/>
                    </w:rPr>
                    <w:t>25</w:t>
                  </w:r>
                  <w:r>
                    <w:rPr>
                      <w:rFonts w:hint="eastAsia"/>
                      <w:color w:val="auto"/>
                      <w:kern w:val="0"/>
                      <w:sz w:val="21"/>
                      <w:szCs w:val="21"/>
                      <w:u w:val="single"/>
                    </w:rPr>
                    <w:t>）</w:t>
                  </w:r>
                </w:p>
              </w:tc>
              <w:tc>
                <w:tcPr>
                  <w:tcW w:w="690" w:type="pct"/>
                  <w:tcBorders>
                    <w:tl2br w:val="nil"/>
                    <w:tr2bl w:val="nil"/>
                  </w:tcBorders>
                  <w:noWrap w:val="0"/>
                  <w:vAlign w:val="center"/>
                </w:tcPr>
                <w:p w14:paraId="5B40EB19">
                  <w:pPr>
                    <w:jc w:val="center"/>
                    <w:rPr>
                      <w:color w:val="auto"/>
                      <w:sz w:val="21"/>
                      <w:szCs w:val="21"/>
                      <w:u w:val="single"/>
                    </w:rPr>
                  </w:pPr>
                  <w:r>
                    <w:rPr>
                      <w:rFonts w:hint="eastAsia"/>
                      <w:color w:val="auto"/>
                      <w:sz w:val="21"/>
                      <w:szCs w:val="21"/>
                      <w:u w:val="single"/>
                    </w:rPr>
                    <w:t>/</w:t>
                  </w:r>
                </w:p>
              </w:tc>
              <w:tc>
                <w:tcPr>
                  <w:tcW w:w="671" w:type="pct"/>
                  <w:tcBorders>
                    <w:tl2br w:val="nil"/>
                    <w:tr2bl w:val="nil"/>
                  </w:tcBorders>
                  <w:noWrap w:val="0"/>
                  <w:vAlign w:val="center"/>
                </w:tcPr>
                <w:p w14:paraId="63F0AF7E">
                  <w:pPr>
                    <w:jc w:val="center"/>
                    <w:rPr>
                      <w:color w:val="auto"/>
                      <w:sz w:val="21"/>
                      <w:szCs w:val="21"/>
                      <w:u w:val="single"/>
                    </w:rPr>
                  </w:pPr>
                  <w:r>
                    <w:rPr>
                      <w:rFonts w:hint="eastAsia"/>
                      <w:color w:val="auto"/>
                      <w:sz w:val="21"/>
                      <w:szCs w:val="21"/>
                      <w:u w:val="single"/>
                    </w:rPr>
                    <w:t>70</w:t>
                  </w:r>
                </w:p>
              </w:tc>
            </w:tr>
            <w:tr w14:paraId="2E209A3B">
              <w:tblPrEx>
                <w:tblBorders>
                  <w:top w:val="single" w:color="auto" w:sz="12" w:space="0"/>
                  <w:left w:val="single" w:color="auto" w:sz="12" w:space="0"/>
                  <w:bottom w:val="single" w:color="000000" w:sz="12" w:space="0"/>
                  <w:right w:val="single" w:color="auto" w:sz="12" w:space="0"/>
                  <w:insideH w:val="single" w:color="000000" w:sz="4" w:space="0"/>
                  <w:insideV w:val="single" w:color="auto" w:sz="6" w:space="0"/>
                </w:tblBorders>
                <w:tblCellMar>
                  <w:top w:w="0" w:type="dxa"/>
                  <w:left w:w="108" w:type="dxa"/>
                  <w:bottom w:w="0" w:type="dxa"/>
                  <w:right w:w="108" w:type="dxa"/>
                </w:tblCellMar>
              </w:tblPrEx>
              <w:trPr>
                <w:trHeight w:val="377" w:hRule="atLeast"/>
                <w:jc w:val="center"/>
              </w:trPr>
              <w:tc>
                <w:tcPr>
                  <w:tcW w:w="1415" w:type="pct"/>
                  <w:tcBorders>
                    <w:tl2br w:val="nil"/>
                    <w:tr2bl w:val="nil"/>
                  </w:tcBorders>
                  <w:noWrap w:val="0"/>
                  <w:vAlign w:val="center"/>
                </w:tcPr>
                <w:p w14:paraId="72FE1BD2">
                  <w:pPr>
                    <w:jc w:val="center"/>
                    <w:rPr>
                      <w:rFonts w:hint="eastAsia"/>
                      <w:color w:val="auto"/>
                      <w:sz w:val="21"/>
                      <w:szCs w:val="21"/>
                    </w:rPr>
                  </w:pPr>
                  <w:r>
                    <w:rPr>
                      <w:rFonts w:hint="eastAsia"/>
                      <w:color w:val="auto"/>
                      <w:sz w:val="21"/>
                      <w:szCs w:val="21"/>
                    </w:rPr>
                    <w:t>运营期噪声</w:t>
                  </w:r>
                </w:p>
              </w:tc>
              <w:tc>
                <w:tcPr>
                  <w:tcW w:w="2222" w:type="pct"/>
                  <w:tcBorders>
                    <w:tl2br w:val="nil"/>
                    <w:tr2bl w:val="nil"/>
                  </w:tcBorders>
                  <w:noWrap w:val="0"/>
                  <w:vAlign w:val="center"/>
                </w:tcPr>
                <w:p w14:paraId="2A7B7446">
                  <w:pPr>
                    <w:jc w:val="center"/>
                    <w:rPr>
                      <w:color w:val="auto"/>
                      <w:sz w:val="21"/>
                      <w:szCs w:val="21"/>
                    </w:rPr>
                  </w:pPr>
                  <w:r>
                    <w:rPr>
                      <w:color w:val="auto"/>
                      <w:kern w:val="0"/>
                      <w:sz w:val="21"/>
                      <w:szCs w:val="21"/>
                      <w:lang w:bidi="ar"/>
                    </w:rPr>
                    <w:t>《工业企业厂界环境噪声排放标准》</w:t>
                  </w:r>
                  <w:r>
                    <w:rPr>
                      <w:rFonts w:hint="eastAsia"/>
                      <w:color w:val="auto"/>
                      <w:kern w:val="0"/>
                      <w:sz w:val="21"/>
                      <w:szCs w:val="21"/>
                      <w:lang w:bidi="ar"/>
                    </w:rPr>
                    <w:t>（</w:t>
                  </w:r>
                  <w:r>
                    <w:rPr>
                      <w:color w:val="auto"/>
                      <w:kern w:val="0"/>
                      <w:sz w:val="21"/>
                      <w:szCs w:val="21"/>
                      <w:lang w:bidi="ar"/>
                    </w:rPr>
                    <w:t>GB12348-2008</w:t>
                  </w:r>
                  <w:r>
                    <w:rPr>
                      <w:rFonts w:hint="eastAsia"/>
                      <w:color w:val="auto"/>
                      <w:kern w:val="0"/>
                      <w:sz w:val="21"/>
                      <w:szCs w:val="21"/>
                      <w:lang w:bidi="ar"/>
                    </w:rPr>
                    <w:t>）</w:t>
                  </w:r>
                </w:p>
              </w:tc>
              <w:tc>
                <w:tcPr>
                  <w:tcW w:w="690" w:type="pct"/>
                  <w:tcBorders>
                    <w:tl2br w:val="nil"/>
                    <w:tr2bl w:val="nil"/>
                  </w:tcBorders>
                  <w:noWrap w:val="0"/>
                  <w:vAlign w:val="center"/>
                </w:tcPr>
                <w:p w14:paraId="34BB91F8">
                  <w:pPr>
                    <w:jc w:val="center"/>
                    <w:rPr>
                      <w:color w:val="auto"/>
                      <w:sz w:val="21"/>
                      <w:szCs w:val="21"/>
                    </w:rPr>
                  </w:pPr>
                  <w:r>
                    <w:rPr>
                      <w:rFonts w:hint="eastAsia"/>
                      <w:color w:val="auto"/>
                      <w:sz w:val="21"/>
                      <w:szCs w:val="21"/>
                    </w:rPr>
                    <w:t>3</w:t>
                  </w:r>
                  <w:r>
                    <w:rPr>
                      <w:color w:val="auto"/>
                      <w:sz w:val="21"/>
                      <w:szCs w:val="21"/>
                    </w:rPr>
                    <w:t>类</w:t>
                  </w:r>
                </w:p>
              </w:tc>
              <w:tc>
                <w:tcPr>
                  <w:tcW w:w="671" w:type="pct"/>
                  <w:tcBorders>
                    <w:tl2br w:val="nil"/>
                    <w:tr2bl w:val="nil"/>
                  </w:tcBorders>
                  <w:noWrap w:val="0"/>
                  <w:vAlign w:val="center"/>
                </w:tcPr>
                <w:p w14:paraId="755498EF">
                  <w:pPr>
                    <w:jc w:val="center"/>
                    <w:rPr>
                      <w:color w:val="auto"/>
                      <w:sz w:val="21"/>
                      <w:szCs w:val="21"/>
                    </w:rPr>
                  </w:pPr>
                  <w:r>
                    <w:rPr>
                      <w:rFonts w:hint="eastAsia"/>
                      <w:color w:val="auto"/>
                      <w:sz w:val="21"/>
                      <w:szCs w:val="21"/>
                    </w:rPr>
                    <w:t>65</w:t>
                  </w:r>
                </w:p>
              </w:tc>
            </w:tr>
            <w:tr w14:paraId="567912D4">
              <w:tblPrEx>
                <w:tblBorders>
                  <w:top w:val="single" w:color="auto" w:sz="12" w:space="0"/>
                  <w:left w:val="single" w:color="auto" w:sz="12" w:space="0"/>
                  <w:bottom w:val="single" w:color="000000" w:sz="12" w:space="0"/>
                  <w:right w:val="single" w:color="auto" w:sz="12" w:space="0"/>
                  <w:insideH w:val="single" w:color="000000" w:sz="4" w:space="0"/>
                  <w:insideV w:val="single" w:color="auto" w:sz="6" w:space="0"/>
                </w:tblBorders>
                <w:tblCellMar>
                  <w:top w:w="0" w:type="dxa"/>
                  <w:left w:w="108" w:type="dxa"/>
                  <w:bottom w:w="0" w:type="dxa"/>
                  <w:right w:w="108" w:type="dxa"/>
                </w:tblCellMar>
              </w:tblPrEx>
              <w:trPr>
                <w:trHeight w:val="377" w:hRule="atLeast"/>
                <w:jc w:val="center"/>
              </w:trPr>
              <w:tc>
                <w:tcPr>
                  <w:tcW w:w="5000" w:type="pct"/>
                  <w:gridSpan w:val="4"/>
                  <w:tcBorders>
                    <w:tl2br w:val="nil"/>
                    <w:tr2bl w:val="nil"/>
                  </w:tcBorders>
                  <w:noWrap w:val="0"/>
                  <w:vAlign w:val="center"/>
                </w:tcPr>
                <w:p w14:paraId="550DFB24">
                  <w:pPr>
                    <w:jc w:val="left"/>
                    <w:rPr>
                      <w:rFonts w:hint="default" w:eastAsia="宋体"/>
                      <w:color w:val="auto"/>
                      <w:sz w:val="21"/>
                      <w:szCs w:val="21"/>
                      <w:lang w:val="en-US" w:eastAsia="zh-CN"/>
                    </w:rPr>
                  </w:pPr>
                  <w:r>
                    <w:rPr>
                      <w:rFonts w:hint="eastAsia"/>
                      <w:color w:val="auto"/>
                      <w:sz w:val="21"/>
                      <w:szCs w:val="21"/>
                      <w:lang w:val="en-US" w:eastAsia="zh-CN"/>
                    </w:rPr>
                    <w:t>注：本项目夜间不生产</w:t>
                  </w:r>
                </w:p>
              </w:tc>
            </w:tr>
          </w:tbl>
          <w:p w14:paraId="2CE0140C">
            <w:pPr>
              <w:keepNext w:val="0"/>
              <w:keepLines w:val="0"/>
              <w:numPr>
                <w:ilvl w:val="0"/>
                <w:numId w:val="0"/>
              </w:numPr>
              <w:suppressLineNumbers w:val="0"/>
              <w:spacing w:beforeAutospacing="0" w:afterAutospacing="0" w:line="360" w:lineRule="auto"/>
              <w:ind w:firstLine="482" w:firstLineChars="200"/>
              <w:rPr>
                <w:rFonts w:hint="default" w:ascii="Times New Roman" w:hAnsi="Times New Roman" w:cs="Times New Roman"/>
                <w:b/>
                <w:color w:val="auto"/>
                <w:sz w:val="24"/>
              </w:rPr>
            </w:pPr>
            <w:r>
              <w:rPr>
                <w:rFonts w:hint="eastAsia" w:cs="Times New Roman"/>
                <w:b/>
                <w:color w:val="auto"/>
                <w:sz w:val="24"/>
                <w:lang w:val="en-US" w:eastAsia="zh-CN"/>
              </w:rPr>
              <w:t>3、</w:t>
            </w:r>
            <w:r>
              <w:rPr>
                <w:rFonts w:hint="default" w:ascii="Times New Roman" w:hAnsi="Times New Roman" w:cs="Times New Roman"/>
                <w:b/>
                <w:color w:val="auto"/>
                <w:sz w:val="24"/>
              </w:rPr>
              <w:t>废水</w:t>
            </w:r>
          </w:p>
          <w:p w14:paraId="1B3BD28E">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color w:val="auto"/>
                <w:sz w:val="24"/>
                <w:szCs w:val="24"/>
                <w:u w:val="none" w:color="auto"/>
                <w:lang w:val="en-US" w:eastAsia="zh-CN"/>
              </w:rPr>
            </w:pPr>
            <w:r>
              <w:rPr>
                <w:rFonts w:hint="eastAsia"/>
                <w:color w:val="auto"/>
                <w:sz w:val="24"/>
                <w:szCs w:val="24"/>
                <w:u w:val="none" w:color="auto"/>
                <w:lang w:val="en-US" w:eastAsia="zh-CN"/>
              </w:rPr>
              <w:t>项目生活污水经化粪池处理达到《电子工业水污染物排放标准》(GB39731-2020)中表1中间接排放标准及中方产业开发区(泸阳镇)污水处理厂进水水质要求后，排入中方产业开发区(泸阳镇)污水处理厂处理达《城镇污水处理厂污染物排放标准》(GB18918-2002)一级A标准后，经太平溪支流排入太平溪。</w:t>
            </w:r>
          </w:p>
          <w:p w14:paraId="75594AE0">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ind w:firstLine="0" w:firstLineChars="0"/>
              <w:jc w:val="center"/>
              <w:textAlignment w:val="auto"/>
              <w:rPr>
                <w:rFonts w:hint="eastAsia"/>
                <w:b/>
                <w:bCs/>
                <w:color w:val="auto"/>
                <w:sz w:val="21"/>
                <w:szCs w:val="21"/>
                <w:u w:val="none" w:color="auto"/>
                <w:lang w:val="en-US" w:eastAsia="zh-CN"/>
              </w:rPr>
            </w:pPr>
            <w:r>
              <w:rPr>
                <w:rFonts w:hint="eastAsia"/>
                <w:b/>
                <w:bCs/>
                <w:color w:val="auto"/>
                <w:sz w:val="21"/>
                <w:szCs w:val="21"/>
                <w:u w:val="none" w:color="auto"/>
                <w:lang w:val="en-US" w:eastAsia="zh-CN"/>
              </w:rPr>
              <w:t>表3-10污水排放标准 单位:mg/L(pH:无量纲)</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93"/>
              <w:gridCol w:w="1189"/>
              <w:gridCol w:w="1118"/>
              <w:gridCol w:w="1367"/>
              <w:gridCol w:w="1364"/>
              <w:gridCol w:w="1369"/>
            </w:tblGrid>
            <w:tr w14:paraId="2C4BB3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93" w:type="pct"/>
                  <w:tcBorders>
                    <w:tl2br w:val="nil"/>
                    <w:tr2bl w:val="nil"/>
                  </w:tcBorders>
                  <w:vAlign w:val="center"/>
                </w:tcPr>
                <w:p w14:paraId="28FE069C">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项目</w:t>
                  </w:r>
                </w:p>
              </w:tc>
              <w:tc>
                <w:tcPr>
                  <w:tcW w:w="725" w:type="pct"/>
                  <w:tcBorders>
                    <w:tl2br w:val="nil"/>
                    <w:tr2bl w:val="nil"/>
                  </w:tcBorders>
                  <w:vAlign w:val="center"/>
                </w:tcPr>
                <w:p w14:paraId="4A82592A">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pH值</w:t>
                  </w:r>
                </w:p>
              </w:tc>
              <w:tc>
                <w:tcPr>
                  <w:tcW w:w="681" w:type="pct"/>
                  <w:tcBorders>
                    <w:tl2br w:val="nil"/>
                    <w:tr2bl w:val="nil"/>
                  </w:tcBorders>
                  <w:vAlign w:val="center"/>
                </w:tcPr>
                <w:p w14:paraId="43A12797">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COD</w:t>
                  </w:r>
                </w:p>
              </w:tc>
              <w:tc>
                <w:tcPr>
                  <w:tcW w:w="833" w:type="pct"/>
                  <w:tcBorders>
                    <w:tl2br w:val="nil"/>
                    <w:tr2bl w:val="nil"/>
                  </w:tcBorders>
                  <w:vAlign w:val="center"/>
                </w:tcPr>
                <w:p w14:paraId="492ABFCD">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BOD</w:t>
                  </w:r>
                  <w:r>
                    <w:rPr>
                      <w:rFonts w:hint="eastAsia"/>
                      <w:b w:val="0"/>
                      <w:bCs w:val="0"/>
                      <w:color w:val="auto"/>
                      <w:sz w:val="21"/>
                      <w:szCs w:val="21"/>
                      <w:u w:val="none" w:color="auto"/>
                      <w:vertAlign w:val="subscript"/>
                      <w:lang w:val="en-US" w:eastAsia="zh-CN"/>
                    </w:rPr>
                    <w:t>5</w:t>
                  </w:r>
                </w:p>
              </w:tc>
              <w:tc>
                <w:tcPr>
                  <w:tcW w:w="831" w:type="pct"/>
                  <w:tcBorders>
                    <w:tl2br w:val="nil"/>
                    <w:tr2bl w:val="nil"/>
                  </w:tcBorders>
                  <w:vAlign w:val="center"/>
                </w:tcPr>
                <w:p w14:paraId="6E5DF48C">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SS</w:t>
                  </w:r>
                </w:p>
              </w:tc>
              <w:tc>
                <w:tcPr>
                  <w:tcW w:w="834" w:type="pct"/>
                  <w:tcBorders>
                    <w:tl2br w:val="nil"/>
                    <w:tr2bl w:val="nil"/>
                  </w:tcBorders>
                  <w:vAlign w:val="center"/>
                </w:tcPr>
                <w:p w14:paraId="4081ED18">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NH</w:t>
                  </w:r>
                  <w:r>
                    <w:rPr>
                      <w:rFonts w:hint="eastAsia"/>
                      <w:b w:val="0"/>
                      <w:bCs w:val="0"/>
                      <w:color w:val="auto"/>
                      <w:sz w:val="21"/>
                      <w:szCs w:val="21"/>
                      <w:u w:val="none" w:color="auto"/>
                      <w:vertAlign w:val="subscript"/>
                      <w:lang w:val="en-US" w:eastAsia="zh-CN"/>
                    </w:rPr>
                    <w:t>3</w:t>
                  </w:r>
                  <w:r>
                    <w:rPr>
                      <w:rFonts w:hint="eastAsia"/>
                      <w:b w:val="0"/>
                      <w:bCs w:val="0"/>
                      <w:color w:val="auto"/>
                      <w:sz w:val="21"/>
                      <w:szCs w:val="21"/>
                      <w:u w:val="none" w:color="auto"/>
                      <w:vertAlign w:val="baseline"/>
                      <w:lang w:val="en-US" w:eastAsia="zh-CN"/>
                    </w:rPr>
                    <w:t>-N</w:t>
                  </w:r>
                </w:p>
              </w:tc>
            </w:tr>
            <w:tr w14:paraId="6DEFDD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93" w:type="pct"/>
                  <w:tcBorders>
                    <w:tl2br w:val="nil"/>
                    <w:tr2bl w:val="nil"/>
                  </w:tcBorders>
                  <w:vAlign w:val="center"/>
                </w:tcPr>
                <w:p w14:paraId="401F9764">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single" w:color="auto"/>
                      <w:vertAlign w:val="baseline"/>
                      <w:lang w:val="en-US" w:eastAsia="zh-CN"/>
                    </w:rPr>
                  </w:pPr>
                  <w:r>
                    <w:rPr>
                      <w:rFonts w:hint="eastAsia"/>
                      <w:b w:val="0"/>
                      <w:bCs w:val="0"/>
                      <w:color w:val="auto"/>
                      <w:sz w:val="21"/>
                      <w:szCs w:val="21"/>
                      <w:u w:val="single" w:color="auto"/>
                      <w:vertAlign w:val="baseline"/>
                      <w:lang w:val="en-US" w:eastAsia="zh-CN"/>
                    </w:rPr>
                    <w:t>GB39731-2020表1中间接排放标准</w:t>
                  </w:r>
                </w:p>
              </w:tc>
              <w:tc>
                <w:tcPr>
                  <w:tcW w:w="725" w:type="pct"/>
                  <w:tcBorders>
                    <w:tl2br w:val="nil"/>
                    <w:tr2bl w:val="nil"/>
                  </w:tcBorders>
                  <w:vAlign w:val="center"/>
                </w:tcPr>
                <w:p w14:paraId="018B192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single" w:color="auto"/>
                      <w:vertAlign w:val="baseline"/>
                      <w:lang w:val="en-US" w:eastAsia="zh-CN"/>
                    </w:rPr>
                  </w:pPr>
                  <w:r>
                    <w:rPr>
                      <w:rFonts w:hint="eastAsia"/>
                      <w:b w:val="0"/>
                      <w:bCs w:val="0"/>
                      <w:color w:val="auto"/>
                      <w:sz w:val="21"/>
                      <w:szCs w:val="21"/>
                      <w:u w:val="single" w:color="auto"/>
                      <w:vertAlign w:val="baseline"/>
                      <w:lang w:val="en-US" w:eastAsia="zh-CN"/>
                    </w:rPr>
                    <w:t>6~9</w:t>
                  </w:r>
                </w:p>
              </w:tc>
              <w:tc>
                <w:tcPr>
                  <w:tcW w:w="681" w:type="pct"/>
                  <w:tcBorders>
                    <w:tl2br w:val="nil"/>
                    <w:tr2bl w:val="nil"/>
                  </w:tcBorders>
                  <w:vAlign w:val="center"/>
                </w:tcPr>
                <w:p w14:paraId="47340904">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single" w:color="auto"/>
                      <w:vertAlign w:val="baseline"/>
                      <w:lang w:val="en-US" w:eastAsia="zh-CN"/>
                    </w:rPr>
                  </w:pPr>
                  <w:r>
                    <w:rPr>
                      <w:rFonts w:hint="eastAsia"/>
                      <w:b w:val="0"/>
                      <w:bCs w:val="0"/>
                      <w:color w:val="auto"/>
                      <w:sz w:val="21"/>
                      <w:szCs w:val="21"/>
                      <w:u w:val="single" w:color="auto"/>
                      <w:vertAlign w:val="baseline"/>
                      <w:lang w:val="en-US" w:eastAsia="zh-CN"/>
                    </w:rPr>
                    <w:t>500</w:t>
                  </w:r>
                </w:p>
              </w:tc>
              <w:tc>
                <w:tcPr>
                  <w:tcW w:w="833" w:type="pct"/>
                  <w:tcBorders>
                    <w:tl2br w:val="nil"/>
                    <w:tr2bl w:val="nil"/>
                  </w:tcBorders>
                  <w:vAlign w:val="center"/>
                </w:tcPr>
                <w:p w14:paraId="74454E88">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single" w:color="auto"/>
                      <w:vertAlign w:val="baseline"/>
                      <w:lang w:val="en-US" w:eastAsia="zh-CN"/>
                    </w:rPr>
                  </w:pPr>
                  <w:r>
                    <w:rPr>
                      <w:rFonts w:hint="eastAsia"/>
                      <w:b w:val="0"/>
                      <w:bCs w:val="0"/>
                      <w:color w:val="auto"/>
                      <w:sz w:val="21"/>
                      <w:szCs w:val="21"/>
                      <w:u w:val="single" w:color="auto"/>
                      <w:vertAlign w:val="baseline"/>
                      <w:lang w:val="en-US" w:eastAsia="zh-CN"/>
                    </w:rPr>
                    <w:t>/</w:t>
                  </w:r>
                </w:p>
              </w:tc>
              <w:tc>
                <w:tcPr>
                  <w:tcW w:w="831" w:type="pct"/>
                  <w:tcBorders>
                    <w:tl2br w:val="nil"/>
                    <w:tr2bl w:val="nil"/>
                  </w:tcBorders>
                  <w:vAlign w:val="center"/>
                </w:tcPr>
                <w:p w14:paraId="63933127">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single" w:color="auto"/>
                      <w:vertAlign w:val="baseline"/>
                      <w:lang w:val="en-US" w:eastAsia="zh-CN"/>
                    </w:rPr>
                  </w:pPr>
                  <w:r>
                    <w:rPr>
                      <w:rFonts w:hint="eastAsia"/>
                      <w:b w:val="0"/>
                      <w:bCs w:val="0"/>
                      <w:color w:val="auto"/>
                      <w:sz w:val="21"/>
                      <w:szCs w:val="21"/>
                      <w:u w:val="single" w:color="auto"/>
                      <w:vertAlign w:val="baseline"/>
                      <w:lang w:val="en-US" w:eastAsia="zh-CN"/>
                    </w:rPr>
                    <w:t>400</w:t>
                  </w:r>
                </w:p>
              </w:tc>
              <w:tc>
                <w:tcPr>
                  <w:tcW w:w="834" w:type="pct"/>
                  <w:tcBorders>
                    <w:tl2br w:val="nil"/>
                    <w:tr2bl w:val="nil"/>
                  </w:tcBorders>
                  <w:vAlign w:val="center"/>
                </w:tcPr>
                <w:p w14:paraId="5B2E7359">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single" w:color="auto"/>
                      <w:vertAlign w:val="baseline"/>
                      <w:lang w:val="en-US" w:eastAsia="zh-CN"/>
                    </w:rPr>
                  </w:pPr>
                  <w:r>
                    <w:rPr>
                      <w:rFonts w:hint="eastAsia"/>
                      <w:b w:val="0"/>
                      <w:bCs w:val="0"/>
                      <w:color w:val="auto"/>
                      <w:sz w:val="21"/>
                      <w:szCs w:val="21"/>
                      <w:u w:val="single" w:color="auto"/>
                      <w:vertAlign w:val="baseline"/>
                      <w:lang w:val="en-US" w:eastAsia="zh-CN"/>
                    </w:rPr>
                    <w:t>45</w:t>
                  </w:r>
                </w:p>
              </w:tc>
            </w:tr>
            <w:tr w14:paraId="64B062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 w:hRule="atLeast"/>
              </w:trPr>
              <w:tc>
                <w:tcPr>
                  <w:tcW w:w="1093" w:type="pct"/>
                  <w:tcBorders>
                    <w:tl2br w:val="nil"/>
                    <w:tr2bl w:val="nil"/>
                  </w:tcBorders>
                  <w:vAlign w:val="center"/>
                </w:tcPr>
                <w:p w14:paraId="1BAA9653">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eastAsia"/>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中方县工业集中区(泸阳镇)污水处理厂进水水质</w:t>
                  </w:r>
                </w:p>
              </w:tc>
              <w:tc>
                <w:tcPr>
                  <w:tcW w:w="725" w:type="pct"/>
                  <w:tcBorders>
                    <w:tl2br w:val="nil"/>
                    <w:tr2bl w:val="nil"/>
                  </w:tcBorders>
                  <w:vAlign w:val="center"/>
                </w:tcPr>
                <w:p w14:paraId="3A5F31AF">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eastAsia"/>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6~9</w:t>
                  </w:r>
                </w:p>
              </w:tc>
              <w:tc>
                <w:tcPr>
                  <w:tcW w:w="681" w:type="pct"/>
                  <w:tcBorders>
                    <w:tl2br w:val="nil"/>
                    <w:tr2bl w:val="nil"/>
                  </w:tcBorders>
                  <w:vAlign w:val="center"/>
                </w:tcPr>
                <w:p w14:paraId="54A6DA17">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400</w:t>
                  </w:r>
                </w:p>
              </w:tc>
              <w:tc>
                <w:tcPr>
                  <w:tcW w:w="833" w:type="pct"/>
                  <w:tcBorders>
                    <w:tl2br w:val="nil"/>
                    <w:tr2bl w:val="nil"/>
                  </w:tcBorders>
                  <w:vAlign w:val="center"/>
                </w:tcPr>
                <w:p w14:paraId="6D3F439C">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180</w:t>
                  </w:r>
                </w:p>
              </w:tc>
              <w:tc>
                <w:tcPr>
                  <w:tcW w:w="831" w:type="pct"/>
                  <w:tcBorders>
                    <w:tl2br w:val="nil"/>
                    <w:tr2bl w:val="nil"/>
                  </w:tcBorders>
                  <w:vAlign w:val="center"/>
                </w:tcPr>
                <w:p w14:paraId="70202403">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220</w:t>
                  </w:r>
                </w:p>
              </w:tc>
              <w:tc>
                <w:tcPr>
                  <w:tcW w:w="834" w:type="pct"/>
                  <w:tcBorders>
                    <w:tl2br w:val="nil"/>
                    <w:tr2bl w:val="nil"/>
                  </w:tcBorders>
                  <w:vAlign w:val="center"/>
                </w:tcPr>
                <w:p w14:paraId="79F7E9A4">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20</w:t>
                  </w:r>
                </w:p>
              </w:tc>
            </w:tr>
            <w:tr w14:paraId="13912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93" w:type="pct"/>
                  <w:tcBorders>
                    <w:tl2br w:val="nil"/>
                    <w:tr2bl w:val="nil"/>
                  </w:tcBorders>
                  <w:vAlign w:val="center"/>
                </w:tcPr>
                <w:p w14:paraId="03034D6D">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eastAsia"/>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GB18918一级A标准</w:t>
                  </w:r>
                </w:p>
              </w:tc>
              <w:tc>
                <w:tcPr>
                  <w:tcW w:w="725" w:type="pct"/>
                  <w:tcBorders>
                    <w:tl2br w:val="nil"/>
                    <w:tr2bl w:val="nil"/>
                  </w:tcBorders>
                  <w:vAlign w:val="center"/>
                </w:tcPr>
                <w:p w14:paraId="58A011CD">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eastAsia"/>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6~9</w:t>
                  </w:r>
                </w:p>
              </w:tc>
              <w:tc>
                <w:tcPr>
                  <w:tcW w:w="681" w:type="pct"/>
                  <w:tcBorders>
                    <w:tl2br w:val="nil"/>
                    <w:tr2bl w:val="nil"/>
                  </w:tcBorders>
                  <w:vAlign w:val="center"/>
                </w:tcPr>
                <w:p w14:paraId="6ECFCF59">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50</w:t>
                  </w:r>
                </w:p>
              </w:tc>
              <w:tc>
                <w:tcPr>
                  <w:tcW w:w="833" w:type="pct"/>
                  <w:tcBorders>
                    <w:tl2br w:val="nil"/>
                    <w:tr2bl w:val="nil"/>
                  </w:tcBorders>
                  <w:vAlign w:val="center"/>
                </w:tcPr>
                <w:p w14:paraId="4A5354EF">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10</w:t>
                  </w:r>
                </w:p>
              </w:tc>
              <w:tc>
                <w:tcPr>
                  <w:tcW w:w="831" w:type="pct"/>
                  <w:tcBorders>
                    <w:tl2br w:val="nil"/>
                    <w:tr2bl w:val="nil"/>
                  </w:tcBorders>
                  <w:vAlign w:val="center"/>
                </w:tcPr>
                <w:p w14:paraId="5C637444">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10</w:t>
                  </w:r>
                </w:p>
              </w:tc>
              <w:tc>
                <w:tcPr>
                  <w:tcW w:w="834" w:type="pct"/>
                  <w:tcBorders>
                    <w:tl2br w:val="nil"/>
                    <w:tr2bl w:val="nil"/>
                  </w:tcBorders>
                  <w:vAlign w:val="center"/>
                </w:tcPr>
                <w:p w14:paraId="407EB91A">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40" w:lineRule="auto"/>
                    <w:jc w:val="center"/>
                    <w:textAlignment w:val="auto"/>
                    <w:rPr>
                      <w:rFonts w:hint="default"/>
                      <w:b w:val="0"/>
                      <w:bCs w:val="0"/>
                      <w:color w:val="auto"/>
                      <w:sz w:val="21"/>
                      <w:szCs w:val="21"/>
                      <w:u w:val="none" w:color="auto"/>
                      <w:vertAlign w:val="baseline"/>
                      <w:lang w:val="en-US" w:eastAsia="zh-CN"/>
                    </w:rPr>
                  </w:pPr>
                  <w:r>
                    <w:rPr>
                      <w:rFonts w:hint="eastAsia"/>
                      <w:b w:val="0"/>
                      <w:bCs w:val="0"/>
                      <w:color w:val="auto"/>
                      <w:sz w:val="21"/>
                      <w:szCs w:val="21"/>
                      <w:u w:val="none" w:color="auto"/>
                      <w:vertAlign w:val="baseline"/>
                      <w:lang w:val="en-US" w:eastAsia="zh-CN"/>
                    </w:rPr>
                    <w:t>5</w:t>
                  </w:r>
                </w:p>
              </w:tc>
            </w:tr>
          </w:tbl>
          <w:p w14:paraId="584EFA8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default" w:ascii="Times New Roman" w:hAnsi="Times New Roman" w:cs="Times New Roman"/>
                <w:b/>
                <w:color w:val="auto"/>
                <w:sz w:val="24"/>
              </w:rPr>
            </w:pPr>
            <w:r>
              <w:rPr>
                <w:rFonts w:hint="default" w:ascii="Times New Roman" w:hAnsi="Times New Roman" w:cs="Times New Roman"/>
                <w:b/>
                <w:color w:val="auto"/>
                <w:sz w:val="24"/>
              </w:rPr>
              <w:t>4、固体废物</w:t>
            </w:r>
          </w:p>
          <w:p w14:paraId="0A78D9B0">
            <w:pPr>
              <w:pStyle w:val="40"/>
              <w:bidi w:val="0"/>
              <w:rPr>
                <w:color w:val="000000" w:themeColor="text1"/>
                <w:kern w:val="0"/>
                <w:szCs w:val="21"/>
                <w:u w:val="none" w:color="auto"/>
                <w14:textFill>
                  <w14:solidFill>
                    <w14:schemeClr w14:val="tx1"/>
                  </w14:solidFill>
                </w14:textFill>
              </w:rPr>
            </w:pPr>
            <w:r>
              <w:rPr>
                <w:rFonts w:hint="default" w:ascii="Times New Roman" w:hAnsi="Times New Roman" w:cs="Times New Roman"/>
                <w:color w:val="auto"/>
                <w:sz w:val="24"/>
              </w:rPr>
              <w:t>一般工业固体废物执行</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一般工业固体废物贮存和填埋污染控制标准》（GB18599-2020）</w:t>
            </w:r>
            <w:r>
              <w:rPr>
                <w:rFonts w:hint="default" w:ascii="Times New Roman" w:hAnsi="Times New Roman" w:cs="Times New Roman"/>
                <w:color w:val="auto"/>
                <w:sz w:val="24"/>
                <w:lang w:eastAsia="zh-CN"/>
              </w:rPr>
              <w:t>；危险废物执行《危险废物贮存污染控制标准》（GB18597-2023）</w:t>
            </w:r>
            <w:r>
              <w:rPr>
                <w:rFonts w:hint="default" w:ascii="Times New Roman" w:hAnsi="Times New Roman" w:cs="Times New Roman"/>
                <w:color w:val="auto"/>
                <w:spacing w:val="6"/>
                <w:sz w:val="24"/>
              </w:rPr>
              <w:t>。</w:t>
            </w:r>
          </w:p>
        </w:tc>
      </w:tr>
      <w:tr w14:paraId="45912B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34" w:hRule="atLeast"/>
          <w:jc w:val="center"/>
        </w:trPr>
        <w:tc>
          <w:tcPr>
            <w:tcW w:w="637" w:type="dxa"/>
            <w:vAlign w:val="center"/>
          </w:tcPr>
          <w:p w14:paraId="62D39430">
            <w:pPr>
              <w:adjustRightInd w:val="0"/>
              <w:snapToGrid w:val="0"/>
              <w:jc w:val="center"/>
              <w:rPr>
                <w:color w:val="000000" w:themeColor="text1"/>
                <w:kern w:val="0"/>
                <w:szCs w:val="21"/>
                <w:u w:val="none" w:color="auto"/>
                <w14:textFill>
                  <w14:solidFill>
                    <w14:schemeClr w14:val="tx1"/>
                  </w14:solidFill>
                </w14:textFill>
              </w:rPr>
            </w:pPr>
            <w:r>
              <w:rPr>
                <w:color w:val="000000" w:themeColor="text1"/>
                <w:kern w:val="0"/>
                <w:szCs w:val="21"/>
                <w:u w:val="none" w:color="auto"/>
                <w14:textFill>
                  <w14:solidFill>
                    <w14:schemeClr w14:val="tx1"/>
                  </w14:solidFill>
                </w14:textFill>
              </w:rPr>
              <w:t>总量</w:t>
            </w:r>
          </w:p>
          <w:p w14:paraId="32960DFC">
            <w:pPr>
              <w:adjustRightInd w:val="0"/>
              <w:snapToGrid w:val="0"/>
              <w:jc w:val="center"/>
              <w:rPr>
                <w:color w:val="000000" w:themeColor="text1"/>
                <w:kern w:val="0"/>
                <w:szCs w:val="21"/>
                <w:u w:val="none" w:color="auto"/>
                <w14:textFill>
                  <w14:solidFill>
                    <w14:schemeClr w14:val="tx1"/>
                  </w14:solidFill>
                </w14:textFill>
              </w:rPr>
            </w:pPr>
            <w:r>
              <w:rPr>
                <w:color w:val="000000" w:themeColor="text1"/>
                <w:kern w:val="0"/>
                <w:szCs w:val="21"/>
                <w:u w:val="none" w:color="auto"/>
                <w14:textFill>
                  <w14:solidFill>
                    <w14:schemeClr w14:val="tx1"/>
                  </w14:solidFill>
                </w14:textFill>
              </w:rPr>
              <w:t>控制</w:t>
            </w:r>
          </w:p>
          <w:p w14:paraId="6EBCDD5C">
            <w:pPr>
              <w:adjustRightInd w:val="0"/>
              <w:snapToGrid w:val="0"/>
              <w:jc w:val="center"/>
              <w:rPr>
                <w:color w:val="000000" w:themeColor="text1"/>
                <w:kern w:val="0"/>
                <w:szCs w:val="21"/>
                <w:u w:val="none" w:color="auto"/>
                <w14:textFill>
                  <w14:solidFill>
                    <w14:schemeClr w14:val="tx1"/>
                  </w14:solidFill>
                </w14:textFill>
              </w:rPr>
            </w:pPr>
            <w:r>
              <w:rPr>
                <w:color w:val="000000" w:themeColor="text1"/>
                <w:kern w:val="0"/>
                <w:szCs w:val="21"/>
                <w:u w:val="none" w:color="auto"/>
                <w14:textFill>
                  <w14:solidFill>
                    <w14:schemeClr w14:val="tx1"/>
                  </w14:solidFill>
                </w14:textFill>
              </w:rPr>
              <w:t>指标</w:t>
            </w:r>
          </w:p>
        </w:tc>
        <w:tc>
          <w:tcPr>
            <w:tcW w:w="8424" w:type="dxa"/>
            <w:vAlign w:val="center"/>
          </w:tcPr>
          <w:p w14:paraId="0F60BF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按照国家和湖南省生态环境厅的要求，根据湖南省人民政府办公厅关于</w:t>
            </w:r>
          </w:p>
          <w:p w14:paraId="751C0E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印发《湖南省“十四五”生态环境保护规划》的通知，湖南省对气态污染物(NOx、VOCs)、水污染物(COD、NH3-N)实行排放总量控制计划管理。</w:t>
            </w:r>
          </w:p>
          <w:p w14:paraId="1A49BA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1、水污染物总量控制指标</w:t>
            </w:r>
          </w:p>
          <w:p w14:paraId="347DF9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highlight w:val="none"/>
                <w:lang w:val="en-US" w:bidi="ar"/>
              </w:rPr>
            </w:pPr>
            <w:r>
              <w:rPr>
                <w:rFonts w:hint="eastAsia" w:cs="Times New Roman"/>
                <w:color w:val="auto"/>
                <w:sz w:val="24"/>
                <w:szCs w:val="24"/>
                <w:highlight w:val="none"/>
                <w:lang w:val="en-US" w:eastAsia="zh-CN"/>
              </w:rPr>
              <w:t>本项目生活污水经化粪池处理达到《污水综合排放标准》(GB8978-1996)中表4之三级标准限值后，排入中方产业开发区(泸阳镇)污水处理厂处理达《城镇污水处理厂污染物排放标准》(GB18918-2002)一级A标准(COD≤50mgL，NH</w:t>
            </w:r>
            <w:r>
              <w:rPr>
                <w:rFonts w:hint="eastAsia" w:cs="Times New Roman"/>
                <w:color w:val="auto"/>
                <w:sz w:val="24"/>
                <w:szCs w:val="24"/>
                <w:highlight w:val="none"/>
                <w:vertAlign w:val="subscript"/>
                <w:lang w:val="en-US" w:eastAsia="zh-CN"/>
              </w:rPr>
              <w:t>3</w:t>
            </w:r>
            <w:r>
              <w:rPr>
                <w:rFonts w:hint="eastAsia" w:cs="Times New Roman"/>
                <w:color w:val="auto"/>
                <w:sz w:val="24"/>
                <w:szCs w:val="24"/>
                <w:highlight w:val="none"/>
                <w:lang w:val="en-US" w:eastAsia="zh-CN"/>
              </w:rPr>
              <w:t>-N≤5mg/L)后，经太平溪支流排入太平溪。本项目生活污水中的COD、NH</w:t>
            </w:r>
            <w:r>
              <w:rPr>
                <w:rFonts w:hint="eastAsia" w:cs="Times New Roman"/>
                <w:color w:val="auto"/>
                <w:sz w:val="24"/>
                <w:szCs w:val="24"/>
                <w:highlight w:val="none"/>
                <w:vertAlign w:val="subscript"/>
                <w:lang w:val="en-US" w:eastAsia="zh-CN"/>
              </w:rPr>
              <w:t>3</w:t>
            </w:r>
            <w:r>
              <w:rPr>
                <w:rFonts w:hint="eastAsia" w:cs="Times New Roman"/>
                <w:color w:val="auto"/>
                <w:sz w:val="24"/>
                <w:szCs w:val="24"/>
                <w:highlight w:val="none"/>
                <w:lang w:val="en-US" w:eastAsia="zh-CN"/>
              </w:rPr>
              <w:t>-N已纳入污水处理厂总量指标，无需单独申请。</w:t>
            </w:r>
          </w:p>
          <w:p w14:paraId="689EFA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2、大气污染物总量控制指标</w:t>
            </w:r>
          </w:p>
          <w:p w14:paraId="2B6D7197">
            <w:pPr>
              <w:pStyle w:val="40"/>
              <w:bidi w:val="0"/>
              <w:rPr>
                <w:rFonts w:hint="default" w:ascii="Times New Roman" w:hAnsi="Times New Roman" w:eastAsia="宋体" w:cs="Times New Roman"/>
                <w:b w:val="0"/>
                <w:bCs w:val="0"/>
                <w:color w:val="FF0000"/>
                <w:sz w:val="24"/>
                <w:szCs w:val="24"/>
                <w:highlight w:val="none"/>
              </w:rPr>
            </w:pPr>
            <w:r>
              <w:rPr>
                <w:rFonts w:hint="default" w:ascii="Times New Roman" w:hAnsi="Times New Roman" w:eastAsia="宋体" w:cs="Times New Roman"/>
                <w:b w:val="0"/>
                <w:bCs w:val="0"/>
                <w:color w:val="auto"/>
                <w:sz w:val="24"/>
                <w:szCs w:val="24"/>
                <w:highlight w:val="none"/>
                <w:u w:val="single"/>
              </w:rPr>
              <w:t>根据本项目的特点，项目排放的总量指标因子为气型污染物VOCs。本项目气型污染物总量控制指标为:VOCs:</w:t>
            </w:r>
            <w:r>
              <w:rPr>
                <w:rFonts w:hint="eastAsia" w:cs="Times New Roman"/>
                <w:b w:val="0"/>
                <w:bCs w:val="0"/>
                <w:color w:val="auto"/>
                <w:sz w:val="24"/>
                <w:szCs w:val="24"/>
                <w:highlight w:val="none"/>
                <w:u w:val="single"/>
                <w:lang w:val="en-US" w:eastAsia="zh-CN"/>
              </w:rPr>
              <w:t>0.856</w:t>
            </w:r>
            <w:r>
              <w:rPr>
                <w:rFonts w:hint="default" w:ascii="Times New Roman" w:hAnsi="Times New Roman" w:eastAsia="宋体" w:cs="Times New Roman"/>
                <w:b w:val="0"/>
                <w:bCs w:val="0"/>
                <w:color w:val="auto"/>
                <w:sz w:val="24"/>
                <w:szCs w:val="24"/>
                <w:highlight w:val="none"/>
                <w:u w:val="single"/>
              </w:rPr>
              <w:t>t/a</w:t>
            </w:r>
            <w:r>
              <w:rPr>
                <w:rFonts w:hint="eastAsia" w:cs="Times New Roman"/>
                <w:b w:val="0"/>
                <w:bCs w:val="0"/>
                <w:color w:val="auto"/>
                <w:sz w:val="24"/>
                <w:szCs w:val="24"/>
                <w:highlight w:val="none"/>
                <w:u w:val="single"/>
                <w:lang w:eastAsia="zh-CN"/>
              </w:rPr>
              <w:t>（</w:t>
            </w:r>
            <w:r>
              <w:rPr>
                <w:rFonts w:hint="eastAsia" w:cs="Times New Roman"/>
                <w:b w:val="0"/>
                <w:bCs w:val="0"/>
                <w:color w:val="auto"/>
                <w:sz w:val="24"/>
                <w:szCs w:val="24"/>
                <w:highlight w:val="none"/>
                <w:u w:val="single"/>
                <w:lang w:val="en-US" w:eastAsia="zh-CN"/>
              </w:rPr>
              <w:t>其中非甲烷总烃0.7295t/a，苯系物0.1265t/a</w:t>
            </w:r>
            <w:r>
              <w:rPr>
                <w:rFonts w:hint="eastAsia" w:cs="Times New Roman"/>
                <w:b w:val="0"/>
                <w:bCs w:val="0"/>
                <w:color w:val="auto"/>
                <w:sz w:val="24"/>
                <w:szCs w:val="24"/>
                <w:highlight w:val="none"/>
                <w:u w:val="single"/>
                <w:lang w:eastAsia="zh-CN"/>
              </w:rPr>
              <w:t>）</w:t>
            </w:r>
            <w:r>
              <w:rPr>
                <w:rFonts w:hint="default" w:ascii="Times New Roman" w:hAnsi="Times New Roman" w:eastAsia="宋体" w:cs="Times New Roman"/>
                <w:b w:val="0"/>
                <w:bCs w:val="0"/>
                <w:color w:val="auto"/>
                <w:sz w:val="24"/>
                <w:szCs w:val="24"/>
                <w:highlight w:val="none"/>
                <w:u w:val="single"/>
              </w:rPr>
              <w:t>。</w:t>
            </w:r>
          </w:p>
        </w:tc>
      </w:tr>
    </w:tbl>
    <w:p w14:paraId="17CCEABE">
      <w:pPr>
        <w:pStyle w:val="3"/>
        <w:jc w:val="center"/>
        <w:rPr>
          <w:rFonts w:ascii="Times New Roman" w:hAnsi="Times New Roman" w:eastAsia="黑体"/>
          <w:snapToGrid w:val="0"/>
          <w:color w:val="000000" w:themeColor="text1"/>
          <w:sz w:val="30"/>
          <w:szCs w:val="30"/>
          <w:u w:val="none" w:color="auto"/>
          <w14:textFill>
            <w14:solidFill>
              <w14:schemeClr w14:val="tx1"/>
            </w14:solidFill>
          </w14:textFill>
        </w:rPr>
      </w:pPr>
      <w:r>
        <w:rPr>
          <w:rFonts w:ascii="Times New Roman" w:hAnsi="Times New Roman" w:eastAsia="黑体"/>
          <w:snapToGrid w:val="0"/>
          <w:color w:val="000000" w:themeColor="text1"/>
          <w:sz w:val="36"/>
          <w:szCs w:val="36"/>
          <w:u w:val="none" w:color="auto"/>
          <w14:textFill>
            <w14:solidFill>
              <w14:schemeClr w14:val="tx1"/>
            </w14:solidFill>
          </w14:textFill>
        </w:rPr>
        <w:br w:type="page"/>
      </w:r>
      <w:bookmarkStart w:id="18" w:name="_Toc23475"/>
      <w:r>
        <w:rPr>
          <w:rStyle w:val="38"/>
          <w:rFonts w:ascii="Times New Roman" w:hAnsi="Times New Roman" w:eastAsia="宋体"/>
          <w:b/>
          <w:bCs/>
          <w:color w:val="000000" w:themeColor="text1"/>
          <w:u w:val="none" w:color="auto"/>
          <w14:textFill>
            <w14:solidFill>
              <w14:schemeClr w14:val="tx1"/>
            </w14:solidFill>
          </w14:textFill>
        </w:rPr>
        <w:t>四、主要环境影响和保护措施</w:t>
      </w:r>
      <w:bookmarkEnd w:id="18"/>
    </w:p>
    <w:tbl>
      <w:tblPr>
        <w:tblStyle w:val="33"/>
        <w:tblW w:w="940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9"/>
        <w:gridCol w:w="8728"/>
      </w:tblGrid>
      <w:tr w14:paraId="5228A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9" w:type="dxa"/>
            <w:tcMar>
              <w:left w:w="28" w:type="dxa"/>
              <w:right w:w="28" w:type="dxa"/>
            </w:tcMar>
            <w:vAlign w:val="center"/>
          </w:tcPr>
          <w:p w14:paraId="1148DC48">
            <w:pPr>
              <w:adjustRightInd w:val="0"/>
              <w:snapToGrid w:val="0"/>
              <w:spacing w:before="0" w:beforeAutospacing="0" w:after="0" w:afterAutospacing="0"/>
              <w:jc w:val="center"/>
              <w:rPr>
                <w:rFonts w:ascii="Times New Roman" w:hAnsi="Times New Roman"/>
                <w:bCs/>
                <w:color w:val="000000" w:themeColor="text1"/>
                <w:kern w:val="2"/>
                <w:sz w:val="21"/>
                <w:szCs w:val="21"/>
                <w:u w:val="none" w:color="auto"/>
                <w14:textFill>
                  <w14:solidFill>
                    <w14:schemeClr w14:val="tx1"/>
                  </w14:solidFill>
                </w14:textFill>
              </w:rPr>
            </w:pPr>
            <w:r>
              <w:rPr>
                <w:rFonts w:ascii="Times New Roman" w:hAnsi="Times New Roman"/>
                <w:color w:val="000000" w:themeColor="text1"/>
                <w:kern w:val="2"/>
                <w:szCs w:val="24"/>
                <w:u w:val="none" w:color="auto"/>
                <w14:textFill>
                  <w14:solidFill>
                    <w14:schemeClr w14:val="tx1"/>
                  </w14:solidFill>
                </w14:textFill>
              </w:rPr>
              <w:t>施工期环境保护措施</w:t>
            </w:r>
          </w:p>
        </w:tc>
        <w:tc>
          <w:tcPr>
            <w:tcW w:w="8728" w:type="dxa"/>
            <w:vAlign w:val="center"/>
          </w:tcPr>
          <w:p w14:paraId="5319E55F">
            <w:pPr>
              <w:pStyle w:val="40"/>
              <w:bidi w:val="0"/>
              <w:rPr>
                <w:rFonts w:hint="eastAsia"/>
              </w:rPr>
            </w:pPr>
            <w:r>
              <w:rPr>
                <w:rFonts w:hint="eastAsia"/>
              </w:rPr>
              <w:t>本项目租用厂房建设，安装阶段约10个工人，工期约30天，不在工地食宿及休息，施工人员在施工现场产生</w:t>
            </w:r>
            <w:r>
              <w:rPr>
                <w:rFonts w:hint="eastAsia"/>
                <w:lang w:val="en-US" w:eastAsia="zh-CN"/>
              </w:rPr>
              <w:t>少量</w:t>
            </w:r>
            <w:r>
              <w:rPr>
                <w:rFonts w:hint="eastAsia"/>
              </w:rPr>
              <w:t>生活污水</w:t>
            </w:r>
            <w:r>
              <w:rPr>
                <w:rFonts w:hint="eastAsia"/>
                <w:lang w:eastAsia="zh-CN"/>
              </w:rPr>
              <w:t>、</w:t>
            </w:r>
            <w:r>
              <w:rPr>
                <w:rFonts w:hint="eastAsia"/>
                <w:lang w:val="en-US" w:eastAsia="zh-CN"/>
              </w:rPr>
              <w:t>少量建筑垃圾</w:t>
            </w:r>
            <w:r>
              <w:rPr>
                <w:rFonts w:hint="eastAsia"/>
              </w:rPr>
              <w:t>。施工期环境影响主要为装修及安装设备时产生的施工噪声及装修废气。</w:t>
            </w:r>
          </w:p>
          <w:p w14:paraId="1DFF9FD0">
            <w:pPr>
              <w:pStyle w:val="40"/>
              <w:bidi w:val="0"/>
              <w:rPr>
                <w:rFonts w:hint="eastAsia"/>
              </w:rPr>
            </w:pPr>
            <w:r>
              <w:rPr>
                <w:rFonts w:hint="eastAsia"/>
              </w:rPr>
              <w:t>1、装修期间噪声影响及防治措施分析</w:t>
            </w:r>
          </w:p>
          <w:p w14:paraId="3C2115E7">
            <w:pPr>
              <w:pStyle w:val="40"/>
              <w:bidi w:val="0"/>
              <w:rPr>
                <w:rFonts w:hint="eastAsia"/>
              </w:rPr>
            </w:pPr>
            <w:r>
              <w:rPr>
                <w:rFonts w:hint="eastAsia"/>
              </w:rPr>
              <w:t>本项目装修设备噪声大多数在65~85dB(A)。如不采取适当措施，将对周围声环境质量造成一定影响。项目施工应严格执行遵守相关法律法规，使施工场界噪声达到</w:t>
            </w:r>
            <w:r>
              <w:rPr>
                <w:rFonts w:hint="eastAsia"/>
                <w:u w:val="single"/>
              </w:rPr>
              <w:t>《建筑施工噪声排放标准》(GB12523-20</w:t>
            </w:r>
            <w:r>
              <w:rPr>
                <w:rFonts w:hint="eastAsia"/>
                <w:u w:val="single"/>
                <w:lang w:val="en-US" w:eastAsia="zh-CN"/>
              </w:rPr>
              <w:t>25</w:t>
            </w:r>
            <w:r>
              <w:rPr>
                <w:rFonts w:hint="eastAsia"/>
                <w:u w:val="single"/>
              </w:rPr>
              <w:t>)的要求</w:t>
            </w:r>
            <w:r>
              <w:rPr>
                <w:rFonts w:hint="eastAsia"/>
              </w:rPr>
              <w:t>。建议采纳如下污染防范措施:</w:t>
            </w:r>
          </w:p>
          <w:p w14:paraId="2B9182F2">
            <w:pPr>
              <w:pStyle w:val="40"/>
              <w:bidi w:val="0"/>
              <w:rPr>
                <w:rFonts w:hint="eastAsia"/>
              </w:rPr>
            </w:pPr>
            <w:r>
              <w:rPr>
                <w:rFonts w:hint="eastAsia"/>
                <w:lang w:val="en-US" w:eastAsia="zh-CN"/>
              </w:rPr>
              <w:t>①</w:t>
            </w:r>
            <w:r>
              <w:rPr>
                <w:rFonts w:hint="eastAsia"/>
              </w:rPr>
              <w:t>以焊接替代铆接。</w:t>
            </w:r>
          </w:p>
          <w:p w14:paraId="59941AE8">
            <w:pPr>
              <w:pStyle w:val="40"/>
              <w:bidi w:val="0"/>
              <w:rPr>
                <w:rFonts w:hint="eastAsia"/>
              </w:rPr>
            </w:pPr>
            <w:r>
              <w:rPr>
                <w:rFonts w:hint="eastAsia"/>
                <w:lang w:val="en-US" w:eastAsia="zh-CN"/>
              </w:rPr>
              <w:t>②</w:t>
            </w:r>
            <w:r>
              <w:rPr>
                <w:rFonts w:hint="eastAsia"/>
              </w:rPr>
              <w:t>以液压工具替代气压冲击工具。</w:t>
            </w:r>
          </w:p>
          <w:p w14:paraId="31FF0E18">
            <w:pPr>
              <w:pStyle w:val="40"/>
              <w:bidi w:val="0"/>
              <w:rPr>
                <w:rFonts w:hint="eastAsia"/>
              </w:rPr>
            </w:pPr>
            <w:r>
              <w:rPr>
                <w:rFonts w:hint="eastAsia"/>
                <w:lang w:val="en-US" w:eastAsia="zh-CN"/>
              </w:rPr>
              <w:t>③</w:t>
            </w:r>
            <w:r>
              <w:rPr>
                <w:rFonts w:hint="eastAsia"/>
              </w:rPr>
              <w:t>不得在施工现场混制混凝土。</w:t>
            </w:r>
          </w:p>
          <w:p w14:paraId="1AF1FC82">
            <w:pPr>
              <w:pStyle w:val="40"/>
              <w:bidi w:val="0"/>
              <w:rPr>
                <w:rFonts w:hint="eastAsia"/>
              </w:rPr>
            </w:pPr>
            <w:r>
              <w:rPr>
                <w:rFonts w:hint="eastAsia"/>
              </w:rPr>
              <w:t>经以上措施处理后，本项目施工期产生的噪声对周边声环境影响可大大降低。</w:t>
            </w:r>
          </w:p>
          <w:p w14:paraId="2B829711">
            <w:pPr>
              <w:pStyle w:val="40"/>
              <w:bidi w:val="0"/>
              <w:rPr>
                <w:rFonts w:hint="eastAsia"/>
              </w:rPr>
            </w:pPr>
            <w:r>
              <w:rPr>
                <w:rFonts w:hint="eastAsia"/>
              </w:rPr>
              <w:t>2、装修期间废气影响及防治措施分析</w:t>
            </w:r>
          </w:p>
          <w:p w14:paraId="185F3F20">
            <w:pPr>
              <w:pStyle w:val="40"/>
              <w:bidi w:val="0"/>
              <w:rPr>
                <w:rFonts w:hint="eastAsia" w:eastAsia="宋体"/>
                <w:lang w:val="en-US" w:eastAsia="zh-CN"/>
              </w:rPr>
            </w:pPr>
            <w:r>
              <w:rPr>
                <w:rFonts w:hint="eastAsia"/>
              </w:rPr>
              <w:t>装修期间存在使用黏合剂散发有机废气、装修过程产生的扬尘等。装修期间产生的上述污染因素，虽然较施工建设期影响较小，但若处置不当，不采取有效的防治措施，会对施工人员身体健康产生不利的影响，甚至因为各种有机废气不能有效的散发出去，导致了室内污染。因此建设单位须采取有效的防治措施，将上述影响减至最低。具体如</w:t>
            </w:r>
            <w:r>
              <w:rPr>
                <w:rFonts w:hint="eastAsia"/>
                <w:lang w:val="en-US" w:eastAsia="zh-CN"/>
              </w:rPr>
              <w:t>下：</w:t>
            </w:r>
          </w:p>
          <w:p w14:paraId="27781F79">
            <w:pPr>
              <w:pStyle w:val="40"/>
              <w:bidi w:val="0"/>
              <w:rPr>
                <w:rFonts w:hint="eastAsia"/>
              </w:rPr>
            </w:pPr>
            <w:r>
              <w:rPr>
                <w:rFonts w:hint="eastAsia"/>
                <w:lang w:val="en-US" w:eastAsia="zh-CN"/>
              </w:rPr>
              <w:t>①</w:t>
            </w:r>
            <w:r>
              <w:rPr>
                <w:rFonts w:hint="eastAsia"/>
              </w:rPr>
              <w:t>要从根本上减少装修污染，首先从选材上，要选用国家正规机构鉴定的绿色环保产品，不可使用劣质材料，从根本上预防装修过程室内污染。</w:t>
            </w:r>
          </w:p>
          <w:p w14:paraId="73BC32A3">
            <w:pPr>
              <w:pStyle w:val="40"/>
              <w:bidi w:val="0"/>
              <w:rPr>
                <w:rFonts w:hint="eastAsia"/>
              </w:rPr>
            </w:pPr>
            <w:r>
              <w:rPr>
                <w:rFonts w:hint="eastAsia"/>
                <w:lang w:val="en-US" w:eastAsia="zh-CN"/>
              </w:rPr>
              <w:t>②</w:t>
            </w:r>
            <w:r>
              <w:rPr>
                <w:rFonts w:hint="eastAsia"/>
              </w:rPr>
              <w:t>在设计上贯彻环保设计理念，合理搭配装饰材料，选用释放量在国家规定的释放量之内的环保装饰材料。</w:t>
            </w:r>
          </w:p>
          <w:p w14:paraId="42459650">
            <w:pPr>
              <w:pStyle w:val="40"/>
              <w:bidi w:val="0"/>
              <w:rPr>
                <w:rFonts w:hint="eastAsia"/>
                <w:lang w:val="en-US" w:eastAsia="zh-CN"/>
              </w:rPr>
            </w:pPr>
            <w:r>
              <w:rPr>
                <w:rFonts w:hint="eastAsia"/>
                <w:lang w:val="en-US" w:eastAsia="zh-CN"/>
              </w:rPr>
              <w:t>③</w:t>
            </w:r>
            <w:r>
              <w:rPr>
                <w:rFonts w:hint="eastAsia"/>
              </w:rPr>
              <w:t>装修过程中要加强室内的通风，通风换气是减少室内空气污染的一种非常有效的方法，室内空气不流通，室内污染物不能很好的扩散，势必会造成更为严重的污</w:t>
            </w:r>
            <w:r>
              <w:rPr>
                <w:rFonts w:hint="eastAsia"/>
                <w:lang w:val="en-US" w:eastAsia="zh-CN"/>
              </w:rPr>
              <w:t>染</w:t>
            </w:r>
          </w:p>
          <w:p w14:paraId="40BA099B">
            <w:pPr>
              <w:pStyle w:val="40"/>
              <w:bidi w:val="0"/>
              <w:rPr>
                <w:rFonts w:hint="eastAsia"/>
              </w:rPr>
            </w:pPr>
            <w:r>
              <w:rPr>
                <w:rFonts w:hint="eastAsia"/>
                <w:lang w:val="en-US" w:eastAsia="zh-CN"/>
              </w:rPr>
              <w:t>④</w:t>
            </w:r>
            <w:r>
              <w:rPr>
                <w:rFonts w:hint="eastAsia"/>
              </w:rPr>
              <w:t>加强施工队伍的管理，提升施工人员自身素质，做到施工有序、文明施工，将施工期间的环境污染降至最低。</w:t>
            </w:r>
          </w:p>
          <w:p w14:paraId="30CC198F">
            <w:pPr>
              <w:pStyle w:val="40"/>
              <w:bidi w:val="0"/>
              <w:rPr>
                <w:rFonts w:hint="eastAsia"/>
              </w:rPr>
            </w:pPr>
            <w:r>
              <w:rPr>
                <w:rFonts w:hint="eastAsia"/>
                <w:lang w:val="en-US" w:eastAsia="zh-CN"/>
              </w:rPr>
              <w:t>3</w:t>
            </w:r>
            <w:r>
              <w:rPr>
                <w:rFonts w:hint="eastAsia"/>
              </w:rPr>
              <w:t>、装修期间</w:t>
            </w:r>
            <w:r>
              <w:rPr>
                <w:rFonts w:hint="eastAsia"/>
                <w:lang w:val="en-US" w:eastAsia="zh-CN"/>
              </w:rPr>
              <w:t>废水</w:t>
            </w:r>
            <w:r>
              <w:rPr>
                <w:rFonts w:hint="eastAsia"/>
              </w:rPr>
              <w:t>影响及防治措施分析</w:t>
            </w:r>
          </w:p>
          <w:p w14:paraId="2D00F113">
            <w:pPr>
              <w:pStyle w:val="40"/>
              <w:bidi w:val="0"/>
              <w:rPr>
                <w:rFonts w:hint="eastAsia"/>
                <w:lang w:val="en-US" w:eastAsia="zh-CN"/>
              </w:rPr>
            </w:pPr>
            <w:r>
              <w:rPr>
                <w:rFonts w:hint="eastAsia"/>
                <w:lang w:val="en-US" w:eastAsia="zh-CN"/>
              </w:rPr>
              <w:t>本项目施工人员约10人，不在工地食宿及休息，但白天作业期间仍会产生如厕、洗手等生活污水。按非食宿型工地生活用水定额25L/人</w:t>
            </w:r>
            <w:r>
              <w:rPr>
                <w:rFonts w:hint="default" w:ascii="Times New Roman" w:hAnsi="Times New Roman" w:cs="Times New Roman"/>
                <w:lang w:val="en-US" w:eastAsia="zh-CN"/>
              </w:rPr>
              <w:t>·</w:t>
            </w:r>
            <w:r>
              <w:rPr>
                <w:rFonts w:hint="eastAsia"/>
                <w:lang w:val="en-US" w:eastAsia="zh-CN"/>
              </w:rPr>
              <w:t>d、排污系数0.85核算，生活污水产生量约为0.21m³/d，施工期（30天）总产生量约6.4m</w:t>
            </w:r>
            <w:r>
              <w:rPr>
                <w:rFonts w:hint="default" w:ascii="Times New Roman" w:hAnsi="Times New Roman" w:cs="Times New Roman"/>
                <w:lang w:val="en-US" w:eastAsia="zh-CN"/>
              </w:rPr>
              <w:t>³</w:t>
            </w:r>
            <w:r>
              <w:rPr>
                <w:rFonts w:hint="eastAsia"/>
                <w:lang w:val="en-US" w:eastAsia="zh-CN"/>
              </w:rPr>
              <w:t>。主要污染物为COD、BOD</w:t>
            </w:r>
            <w:r>
              <w:rPr>
                <w:rFonts w:hint="default" w:ascii="Times New Roman" w:hAnsi="Times New Roman" w:cs="Times New Roman"/>
                <w:lang w:val="en-US" w:eastAsia="zh-CN"/>
              </w:rPr>
              <w:t>₅</w:t>
            </w:r>
            <w:r>
              <w:rPr>
                <w:rFonts w:hint="eastAsia"/>
                <w:lang w:val="en-US" w:eastAsia="zh-CN"/>
              </w:rPr>
              <w:t>、SS、氨氮、动植物油等，典型水质浓度分别为COD 350mg/L、BOD</w:t>
            </w:r>
            <w:r>
              <w:rPr>
                <w:rFonts w:hint="default" w:ascii="Times New Roman" w:hAnsi="Times New Roman" w:cs="Times New Roman"/>
                <w:lang w:val="en-US" w:eastAsia="zh-CN"/>
              </w:rPr>
              <w:t>₅</w:t>
            </w:r>
            <w:r>
              <w:rPr>
                <w:rFonts w:hint="eastAsia"/>
                <w:lang w:val="en-US" w:eastAsia="zh-CN"/>
              </w:rPr>
              <w:t>200mg/L、SS200mg/L、氨氮30mg/L、动植物油50mg/L。</w:t>
            </w:r>
          </w:p>
          <w:p w14:paraId="39FC1DC2">
            <w:pPr>
              <w:pStyle w:val="40"/>
              <w:bidi w:val="0"/>
              <w:rPr>
                <w:rFonts w:hint="eastAsia"/>
                <w:lang w:val="en-US" w:eastAsia="zh-CN"/>
              </w:rPr>
            </w:pPr>
            <w:r>
              <w:rPr>
                <w:rFonts w:hint="eastAsia"/>
                <w:lang w:val="en-US" w:eastAsia="zh-CN"/>
              </w:rPr>
              <w:t>防治措施：</w:t>
            </w:r>
          </w:p>
          <w:p w14:paraId="00E02550">
            <w:pPr>
              <w:pStyle w:val="40"/>
              <w:bidi w:val="0"/>
              <w:rPr>
                <w:rFonts w:hint="eastAsia"/>
                <w:lang w:val="en-US" w:eastAsia="zh-CN"/>
              </w:rPr>
            </w:pPr>
            <w:r>
              <w:rPr>
                <w:rFonts w:hint="eastAsia"/>
                <w:lang w:val="en-US" w:eastAsia="zh-CN"/>
              </w:rPr>
              <w:t>施工人员生活污水依托园区现有化粪池预处理后，经园区污水管网排入中方工业集中区（泸阳镇）污水处理厂处理。</w:t>
            </w:r>
          </w:p>
          <w:p w14:paraId="71FF16A9">
            <w:pPr>
              <w:pStyle w:val="40"/>
              <w:bidi w:val="0"/>
              <w:rPr>
                <w:rFonts w:hint="default"/>
                <w:lang w:val="en-US" w:eastAsia="zh-CN"/>
              </w:rPr>
            </w:pPr>
            <w:r>
              <w:rPr>
                <w:rFonts w:hint="eastAsia"/>
                <w:lang w:val="en-US" w:eastAsia="zh-CN"/>
              </w:rPr>
              <w:t>施工期生活污水量很小，经上述措施处理后对周边水环境影响较小，且随着施工结束而终止。</w:t>
            </w:r>
          </w:p>
          <w:p w14:paraId="312F4FF2">
            <w:pPr>
              <w:pStyle w:val="40"/>
              <w:bidi w:val="0"/>
              <w:rPr>
                <w:rFonts w:hint="eastAsia"/>
              </w:rPr>
            </w:pPr>
            <w:r>
              <w:rPr>
                <w:rFonts w:hint="eastAsia"/>
                <w:lang w:val="en-US" w:eastAsia="zh-CN"/>
              </w:rPr>
              <w:t>4、</w:t>
            </w:r>
            <w:r>
              <w:rPr>
                <w:rFonts w:hint="eastAsia"/>
              </w:rPr>
              <w:t>装修期间</w:t>
            </w:r>
            <w:r>
              <w:rPr>
                <w:rFonts w:hint="eastAsia"/>
                <w:lang w:val="en-US" w:eastAsia="zh-CN"/>
              </w:rPr>
              <w:t>固废</w:t>
            </w:r>
            <w:r>
              <w:rPr>
                <w:rFonts w:hint="eastAsia"/>
              </w:rPr>
              <w:t>影响及防治措施分析</w:t>
            </w:r>
          </w:p>
          <w:p w14:paraId="6E25634B">
            <w:pPr>
              <w:pStyle w:val="40"/>
              <w:bidi w:val="0"/>
              <w:rPr>
                <w:rFonts w:hint="eastAsia" w:eastAsia="宋体"/>
                <w:lang w:val="en-US" w:eastAsia="zh-CN"/>
              </w:rPr>
            </w:pPr>
            <w:r>
              <w:rPr>
                <w:rFonts w:hint="eastAsia" w:eastAsia="宋体"/>
                <w:lang w:val="en-US" w:eastAsia="zh-CN"/>
              </w:rPr>
              <w:t>本项目租用</w:t>
            </w:r>
            <w:r>
              <w:rPr>
                <w:rFonts w:hint="eastAsia"/>
                <w:lang w:val="en-US" w:eastAsia="zh-CN"/>
              </w:rPr>
              <w:t>现有</w:t>
            </w:r>
            <w:r>
              <w:rPr>
                <w:rFonts w:hint="eastAsia" w:eastAsia="宋体"/>
                <w:lang w:val="en-US" w:eastAsia="zh-CN"/>
              </w:rPr>
              <w:t>厂房</w:t>
            </w:r>
            <w:r>
              <w:rPr>
                <w:rFonts w:hint="eastAsia"/>
                <w:lang w:val="en-US" w:eastAsia="zh-CN"/>
              </w:rPr>
              <w:t>进行生产建设</w:t>
            </w:r>
            <w:r>
              <w:rPr>
                <w:rFonts w:hint="eastAsia" w:eastAsia="宋体"/>
                <w:lang w:val="en-US" w:eastAsia="zh-CN"/>
              </w:rPr>
              <w:t>，施工期建筑垃圾主要来源于设备拆包安装产生的包装废弃物（木箱、纸箱、塑料膜、泡沫缓冲材料）、设备安装及管线敷设产生的施工废料（废钢材边角料、废焊条头、废螺栓、废管材）以及室内装修产生的装修废弃物（废板材、废瓷砖、废涂料桶、废胶黏剂桶、废腻子粉袋等）。</w:t>
            </w:r>
          </w:p>
          <w:p w14:paraId="413E3E1A">
            <w:pPr>
              <w:pStyle w:val="40"/>
              <w:bidi w:val="0"/>
              <w:rPr>
                <w:rFonts w:hint="eastAsia" w:eastAsia="宋体"/>
                <w:lang w:val="en-US" w:eastAsia="zh-CN"/>
              </w:rPr>
            </w:pPr>
            <w:r>
              <w:rPr>
                <w:rFonts w:hint="eastAsia" w:eastAsia="宋体"/>
                <w:lang w:val="en-US" w:eastAsia="zh-CN"/>
              </w:rPr>
              <w:t>参照同类设备安装项目，本项目建筑垃圾产生量约0.8~1.2吨，其中可回收利用部分（废金属、废纸、废塑料）约占60%，不可回收一般建筑垃圾约占30%，危险废物（废涂料桶、废胶黏剂桶等沾染物）约占10%。</w:t>
            </w:r>
          </w:p>
          <w:p w14:paraId="0437B1EE">
            <w:pPr>
              <w:pStyle w:val="40"/>
              <w:bidi w:val="0"/>
              <w:rPr>
                <w:rFonts w:hint="eastAsia" w:eastAsia="宋体"/>
                <w:lang w:val="en-US" w:eastAsia="zh-CN"/>
              </w:rPr>
            </w:pPr>
            <w:r>
              <w:rPr>
                <w:rFonts w:hint="eastAsia" w:eastAsia="宋体"/>
                <w:lang w:val="en-US" w:eastAsia="zh-CN"/>
              </w:rPr>
              <w:t>防治措施：</w:t>
            </w:r>
          </w:p>
          <w:p w14:paraId="403F2ADA">
            <w:pPr>
              <w:pStyle w:val="40"/>
              <w:bidi w:val="0"/>
              <w:rPr>
                <w:rFonts w:hint="eastAsia" w:eastAsia="宋体"/>
                <w:lang w:val="en-US" w:eastAsia="zh-CN"/>
              </w:rPr>
            </w:pPr>
            <w:r>
              <w:rPr>
                <w:rFonts w:hint="eastAsia" w:eastAsia="宋体"/>
                <w:lang w:val="en-US" w:eastAsia="zh-CN"/>
              </w:rPr>
              <w:t>①施工现场设置分类垃圾堆放点，可回收物、一般建筑垃圾、危险废物分别堆放，严禁混合填埋；</w:t>
            </w:r>
          </w:p>
          <w:p w14:paraId="3C98C042">
            <w:pPr>
              <w:pStyle w:val="40"/>
              <w:bidi w:val="0"/>
              <w:rPr>
                <w:rFonts w:hint="eastAsia" w:eastAsia="宋体"/>
                <w:lang w:val="en-US" w:eastAsia="zh-CN"/>
              </w:rPr>
            </w:pPr>
            <w:r>
              <w:rPr>
                <w:rFonts w:hint="eastAsia" w:eastAsia="宋体"/>
                <w:lang w:val="en-US" w:eastAsia="zh-CN"/>
              </w:rPr>
              <w:t>②废钢材边角料、废纸箱、废塑料等可回收物外售物资回收单位综合利用；</w:t>
            </w:r>
          </w:p>
          <w:p w14:paraId="1B91C8BB">
            <w:pPr>
              <w:pStyle w:val="40"/>
              <w:bidi w:val="0"/>
              <w:rPr>
                <w:rFonts w:hint="eastAsia" w:eastAsia="宋体"/>
                <w:lang w:val="en-US" w:eastAsia="zh-CN"/>
              </w:rPr>
            </w:pPr>
            <w:r>
              <w:rPr>
                <w:rFonts w:hint="eastAsia" w:eastAsia="宋体"/>
                <w:lang w:val="en-US" w:eastAsia="zh-CN"/>
              </w:rPr>
              <w:t>③一般建筑垃圾及时清运至当地住建部门指定的建筑垃圾消纳场处置，运输过程加盖篷布，防止沿途撒漏；</w:t>
            </w:r>
          </w:p>
          <w:p w14:paraId="6918F7BE">
            <w:pPr>
              <w:pStyle w:val="40"/>
              <w:bidi w:val="0"/>
              <w:rPr>
                <w:rFonts w:hint="eastAsia" w:eastAsia="宋体"/>
                <w:lang w:val="en-US" w:eastAsia="zh-CN"/>
              </w:rPr>
            </w:pPr>
            <w:r>
              <w:rPr>
                <w:rFonts w:hint="eastAsia" w:eastAsia="宋体"/>
                <w:lang w:val="en-US" w:eastAsia="zh-CN"/>
              </w:rPr>
              <w:t>④废涂料桶、废胶黏剂桶、废油漆桶等属于危险废物（HW49），使用专用容器收集，暂存于危废暂存间，委托有相应资质的单位处置；</w:t>
            </w:r>
          </w:p>
          <w:p w14:paraId="5C8AECB6">
            <w:pPr>
              <w:pStyle w:val="40"/>
              <w:bidi w:val="0"/>
              <w:rPr>
                <w:rFonts w:hint="eastAsia" w:eastAsia="宋体"/>
                <w:lang w:val="en-US" w:eastAsia="zh-CN"/>
              </w:rPr>
            </w:pPr>
            <w:r>
              <w:rPr>
                <w:rFonts w:hint="eastAsia" w:eastAsia="宋体"/>
                <w:lang w:val="en-US" w:eastAsia="zh-CN"/>
              </w:rPr>
              <w:t>⑤建筑垃圾堆放点采取洒水抑尘、覆盖防尘网等措施，避免二次扬尘；</w:t>
            </w:r>
          </w:p>
          <w:p w14:paraId="18E922E8">
            <w:pPr>
              <w:pStyle w:val="40"/>
              <w:bidi w:val="0"/>
              <w:rPr>
                <w:rFonts w:hint="eastAsia" w:eastAsia="宋体"/>
                <w:lang w:val="en-US" w:eastAsia="zh-CN"/>
              </w:rPr>
            </w:pPr>
            <w:r>
              <w:rPr>
                <w:rFonts w:hint="eastAsia" w:eastAsia="宋体"/>
                <w:lang w:val="en-US" w:eastAsia="zh-CN"/>
              </w:rPr>
              <w:t>⑥施工期建筑垃圾做到日产日清，不得在施工现场长期堆放。</w:t>
            </w:r>
          </w:p>
          <w:p w14:paraId="1B42651C">
            <w:pPr>
              <w:pStyle w:val="40"/>
              <w:bidi w:val="0"/>
              <w:rPr>
                <w:rFonts w:hint="eastAsia" w:eastAsia="宋体"/>
                <w:lang w:val="en-US" w:eastAsia="zh-CN"/>
              </w:rPr>
            </w:pPr>
            <w:r>
              <w:rPr>
                <w:rFonts w:hint="eastAsia" w:eastAsia="宋体"/>
                <w:lang w:val="en-US" w:eastAsia="zh-CN"/>
              </w:rPr>
              <w:t>施工期建筑垃圾产生量小，经分类收集、分别处置后对周边环境影响较小，随施工结束而消除。</w:t>
            </w:r>
          </w:p>
          <w:p w14:paraId="07DC9651">
            <w:pPr>
              <w:pStyle w:val="40"/>
              <w:bidi w:val="0"/>
              <w:rPr>
                <w:bCs/>
                <w:color w:val="000000" w:themeColor="text1"/>
                <w:spacing w:val="-10"/>
                <w:szCs w:val="21"/>
                <w:u w:val="none" w:color="auto"/>
                <w14:textFill>
                  <w14:solidFill>
                    <w14:schemeClr w14:val="tx1"/>
                  </w14:solidFill>
                </w14:textFill>
              </w:rPr>
            </w:pPr>
            <w:r>
              <w:rPr>
                <w:rFonts w:hint="eastAsia"/>
              </w:rPr>
              <w:t>总之，在建设项目建设期间，对周围环境会产生一定的影响，应该尽可能通过加强管理、文明施工的手段来减少项目施工建设对周围环境的影响。</w:t>
            </w:r>
          </w:p>
        </w:tc>
      </w:tr>
      <w:tr w14:paraId="098EE8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2" w:hRule="atLeast"/>
          <w:jc w:val="center"/>
        </w:trPr>
        <w:tc>
          <w:tcPr>
            <w:tcW w:w="679" w:type="dxa"/>
            <w:tcMar>
              <w:left w:w="28" w:type="dxa"/>
              <w:right w:w="28" w:type="dxa"/>
            </w:tcMar>
            <w:vAlign w:val="center"/>
          </w:tcPr>
          <w:p w14:paraId="65F2D5F3">
            <w:pPr>
              <w:adjustRightInd w:val="0"/>
              <w:snapToGrid w:val="0"/>
              <w:jc w:val="center"/>
              <w:rPr>
                <w:bCs/>
                <w:color w:val="000000" w:themeColor="text1"/>
                <w:szCs w:val="21"/>
                <w:u w:val="none" w:color="auto"/>
                <w14:textFill>
                  <w14:solidFill>
                    <w14:schemeClr w14:val="tx1"/>
                  </w14:solidFill>
                </w14:textFill>
              </w:rPr>
            </w:pPr>
            <w:r>
              <w:rPr>
                <w:bCs/>
                <w:color w:val="000000" w:themeColor="text1"/>
                <w:szCs w:val="21"/>
                <w:u w:val="none" w:color="auto"/>
                <w14:textFill>
                  <w14:solidFill>
                    <w14:schemeClr w14:val="tx1"/>
                  </w14:solidFill>
                </w14:textFill>
              </w:rPr>
              <w:t>营运期环境影响和保护措施</w:t>
            </w:r>
          </w:p>
        </w:tc>
        <w:tc>
          <w:tcPr>
            <w:tcW w:w="8728" w:type="dxa"/>
            <w:vAlign w:val="center"/>
          </w:tcPr>
          <w:p w14:paraId="15EBD72E">
            <w:pPr>
              <w:pStyle w:val="40"/>
              <w:bidi w:val="0"/>
              <w:ind w:left="0" w:leftChars="0" w:firstLine="482" w:firstLineChars="200"/>
              <w:rPr>
                <w:b/>
                <w:bCs/>
                <w:u w:val="none" w:color="auto"/>
              </w:rPr>
            </w:pPr>
            <w:r>
              <w:rPr>
                <w:rFonts w:hint="eastAsia"/>
                <w:b/>
                <w:bCs/>
                <w:u w:val="none" w:color="auto"/>
              </w:rPr>
              <w:t>一、</w:t>
            </w:r>
            <w:r>
              <w:rPr>
                <w:b/>
                <w:bCs/>
                <w:u w:val="none" w:color="auto"/>
              </w:rPr>
              <w:t>大气</w:t>
            </w:r>
            <w:r>
              <w:rPr>
                <w:rFonts w:hint="eastAsia"/>
                <w:b/>
                <w:bCs/>
                <w:u w:val="none" w:color="auto"/>
              </w:rPr>
              <w:t>环境影响分析和保护措施</w:t>
            </w:r>
          </w:p>
          <w:p w14:paraId="0EAB7B46">
            <w:pPr>
              <w:pStyle w:val="40"/>
              <w:bidi w:val="0"/>
              <w:rPr>
                <w:u w:val="none" w:color="auto"/>
              </w:rPr>
            </w:pPr>
            <w:r>
              <w:rPr>
                <w:u w:val="none" w:color="auto"/>
              </w:rPr>
              <w:t>本项目营运期产生的废气主要</w:t>
            </w:r>
            <w:r>
              <w:rPr>
                <w:rFonts w:hint="eastAsia"/>
                <w:u w:val="none" w:color="auto"/>
              </w:rPr>
              <w:t>为</w:t>
            </w:r>
            <w:r>
              <w:rPr>
                <w:rFonts w:hint="eastAsia"/>
                <w:u w:val="none" w:color="auto"/>
                <w:lang w:val="en-US" w:eastAsia="zh-CN"/>
              </w:rPr>
              <w:t>焊锡废气</w:t>
            </w:r>
            <w:r>
              <w:rPr>
                <w:rFonts w:hint="eastAsia"/>
                <w:u w:val="none" w:color="auto"/>
              </w:rPr>
              <w:t>、</w:t>
            </w:r>
            <w:r>
              <w:rPr>
                <w:rFonts w:hint="eastAsia"/>
                <w:u w:val="none" w:color="auto"/>
                <w:lang w:val="en-US" w:eastAsia="zh-CN"/>
              </w:rPr>
              <w:t>以及焊锡、点胶、调漆、浸漆、烘干等工序产生的有机废气</w:t>
            </w:r>
            <w:r>
              <w:rPr>
                <w:rFonts w:hint="eastAsia"/>
                <w:u w:val="none" w:color="auto"/>
              </w:rPr>
              <w:t>。</w:t>
            </w:r>
          </w:p>
          <w:p w14:paraId="629BF889">
            <w:pPr>
              <w:adjustRightInd w:val="0"/>
              <w:spacing w:line="360" w:lineRule="auto"/>
              <w:ind w:firstLine="482" w:firstLineChars="200"/>
              <w:rPr>
                <w:b/>
                <w:bCs/>
                <w:snapToGrid w:val="0"/>
                <w:color w:val="000000" w:themeColor="text1"/>
                <w:kern w:val="0"/>
                <w:u w:val="none" w:color="auto"/>
                <w14:textFill>
                  <w14:solidFill>
                    <w14:schemeClr w14:val="tx1"/>
                  </w14:solidFill>
                </w14:textFill>
              </w:rPr>
            </w:pPr>
            <w:r>
              <w:rPr>
                <w:rFonts w:hint="eastAsia"/>
                <w:b/>
                <w:bCs/>
                <w:snapToGrid w:val="0"/>
                <w:color w:val="000000" w:themeColor="text1"/>
                <w:kern w:val="0"/>
                <w:u w:val="none" w:color="auto"/>
                <w14:textFill>
                  <w14:solidFill>
                    <w14:schemeClr w14:val="tx1"/>
                  </w14:solidFill>
                </w14:textFill>
              </w:rPr>
              <w:t>1、大气污染物源强</w:t>
            </w:r>
          </w:p>
          <w:p w14:paraId="339847FB">
            <w:pPr>
              <w:pStyle w:val="40"/>
              <w:bidi w:val="0"/>
              <w:rPr>
                <w:rFonts w:hint="default"/>
                <w:b w:val="0"/>
                <w:bCs w:val="0"/>
                <w:u w:val="single" w:color="auto"/>
                <w:lang w:val="en-US" w:eastAsia="zh-CN"/>
              </w:rPr>
            </w:pPr>
            <w:r>
              <w:rPr>
                <w:rFonts w:hint="eastAsia"/>
                <w:b w:val="0"/>
                <w:bCs w:val="0"/>
                <w:u w:val="single" w:color="auto"/>
                <w:lang w:val="en-US" w:eastAsia="zh-CN"/>
              </w:rPr>
              <w:t>（1）焊锡废气</w:t>
            </w:r>
          </w:p>
          <w:p w14:paraId="1FFCA2A0">
            <w:pPr>
              <w:pStyle w:val="40"/>
              <w:bidi w:val="0"/>
              <w:rPr>
                <w:rFonts w:hint="default"/>
                <w:b w:val="0"/>
                <w:bCs w:val="0"/>
                <w:u w:val="single" w:color="auto"/>
                <w:lang w:val="en-US" w:eastAsia="zh-CN"/>
              </w:rPr>
            </w:pPr>
            <w:r>
              <w:rPr>
                <w:rFonts w:hint="eastAsia"/>
                <w:b w:val="0"/>
                <w:bCs w:val="0"/>
                <w:u w:val="single" w:color="auto"/>
                <w:lang w:val="en-US" w:eastAsia="zh-CN"/>
              </w:rPr>
              <w:t>①颗粒物、锡及其化合物</w:t>
            </w:r>
          </w:p>
          <w:p w14:paraId="0656352D">
            <w:pPr>
              <w:pStyle w:val="40"/>
              <w:bidi w:val="0"/>
              <w:rPr>
                <w:rFonts w:hint="eastAsia"/>
                <w:color w:val="auto"/>
                <w:u w:val="single" w:color="auto"/>
                <w:lang w:val="en-US" w:eastAsia="zh-CN"/>
              </w:rPr>
            </w:pPr>
            <w:r>
              <w:rPr>
                <w:rFonts w:hint="eastAsia"/>
                <w:color w:val="auto"/>
                <w:u w:val="single" w:color="auto"/>
                <w:lang w:val="en-US" w:eastAsia="zh-CN"/>
              </w:rPr>
              <w:t>本项目采用无铅熔锡炉进行自动焊接焊锡，首先将电子变压器引线脚浸入助焊剂，再浸入熔化后的锡内，冷却后即可完成锡焊，属于浸焊，根据《排放源统计调查产排污核算方法和系数手册》中“38-40电子电气行业系数手册”，浸焊使用手册中波峰焊工艺核算，因此，颗粒物产生系数为0.4134克/千克-焊料，本项目无铅锡条年使用量为0.8t，则锡焊过程中，颗粒物（含锡及其化合物）产生量为0.00033t/a，其主要成分为锡极其化合物，根据企业提供资料无铅锡条锡含量约为90%，因此锡及其化合物产生量约为0.000297t/a。</w:t>
            </w:r>
          </w:p>
          <w:p w14:paraId="143194EB">
            <w:pPr>
              <w:pStyle w:val="40"/>
              <w:bidi w:val="0"/>
              <w:rPr>
                <w:rFonts w:hint="default"/>
                <w:color w:val="auto"/>
                <w:u w:val="single" w:color="auto"/>
                <w:lang w:val="en-US" w:eastAsia="zh-CN"/>
              </w:rPr>
            </w:pPr>
            <w:r>
              <w:rPr>
                <w:rFonts w:hint="eastAsia"/>
                <w:color w:val="auto"/>
                <w:u w:val="single" w:color="auto"/>
                <w:lang w:val="en-US" w:eastAsia="zh-CN"/>
              </w:rPr>
              <w:t>综上所述，本项目颗粒物产生量为0.000033t/a，锡及其化合物0.000297t/a。</w:t>
            </w:r>
          </w:p>
          <w:p w14:paraId="308D849B">
            <w:pPr>
              <w:pStyle w:val="40"/>
              <w:bidi w:val="0"/>
              <w:rPr>
                <w:rFonts w:hint="default" w:ascii="Times New Roman" w:hAnsi="Times New Roman" w:cs="Times New Roman"/>
                <w:b w:val="0"/>
                <w:bCs w:val="0"/>
                <w:u w:val="single" w:color="auto"/>
                <w:lang w:val="en-US" w:eastAsia="zh-CN"/>
              </w:rPr>
            </w:pPr>
            <w:r>
              <w:rPr>
                <w:rFonts w:hint="eastAsia"/>
                <w:color w:val="auto"/>
                <w:u w:val="single" w:color="auto"/>
                <w:lang w:val="en-US" w:eastAsia="zh-CN"/>
              </w:rPr>
              <w:t>本项目每天累计焊接时间约为9h，</w:t>
            </w:r>
            <w:r>
              <w:rPr>
                <w:rFonts w:hint="default" w:ascii="Times New Roman" w:hAnsi="Times New Roman" w:eastAsia="宋体" w:cs="Times New Roman"/>
                <w:b w:val="0"/>
                <w:bCs/>
                <w:kern w:val="0"/>
                <w:u w:val="single" w:color="auto"/>
                <w:lang w:val="en-US" w:eastAsia="zh-CN"/>
              </w:rPr>
              <w:t>项目产生的</w:t>
            </w:r>
            <w:r>
              <w:rPr>
                <w:rFonts w:hint="eastAsia" w:cs="Times New Roman"/>
                <w:b w:val="0"/>
                <w:bCs/>
                <w:kern w:val="0"/>
                <w:u w:val="single" w:color="auto"/>
                <w:lang w:val="en-US" w:eastAsia="zh-CN"/>
              </w:rPr>
              <w:t>焊锡废气</w:t>
            </w:r>
            <w:r>
              <w:rPr>
                <w:rFonts w:hint="default" w:ascii="Times New Roman" w:hAnsi="Times New Roman" w:eastAsia="宋体" w:cs="Times New Roman"/>
                <w:b w:val="0"/>
                <w:bCs/>
                <w:kern w:val="0"/>
                <w:u w:val="single" w:color="auto"/>
                <w:lang w:val="en-US" w:eastAsia="zh-CN"/>
              </w:rPr>
              <w:t>通过包围型集气罩(含软帘)收集后，进入</w:t>
            </w:r>
            <w:r>
              <w:rPr>
                <w:rFonts w:hint="eastAsia" w:cs="Times New Roman"/>
                <w:b w:val="0"/>
                <w:bCs/>
                <w:kern w:val="0"/>
                <w:u w:val="single" w:color="auto"/>
                <w:lang w:val="en-US" w:eastAsia="zh-CN"/>
              </w:rPr>
              <w:t>干式过滤器+</w:t>
            </w:r>
            <w:r>
              <w:rPr>
                <w:rFonts w:hint="default" w:ascii="Times New Roman" w:hAnsi="Times New Roman" w:eastAsia="宋体" w:cs="Times New Roman"/>
                <w:b w:val="0"/>
                <w:bCs/>
                <w:kern w:val="0"/>
                <w:u w:val="single" w:color="auto"/>
                <w:lang w:val="en-US" w:eastAsia="zh-CN"/>
              </w:rPr>
              <w:t>二级活性炭处置装置(与有机废气共用一套)，</w:t>
            </w:r>
            <w:r>
              <w:rPr>
                <w:rFonts w:hint="eastAsia" w:cs="Times New Roman"/>
                <w:b w:val="0"/>
                <w:bCs/>
                <w:kern w:val="0"/>
                <w:u w:val="single" w:color="auto"/>
                <w:lang w:val="en-US" w:eastAsia="zh-CN"/>
              </w:rPr>
              <w:t>通过23m排气筒DA001</w:t>
            </w:r>
            <w:r>
              <w:rPr>
                <w:rFonts w:hint="default" w:ascii="Times New Roman" w:hAnsi="Times New Roman" w:eastAsia="宋体" w:cs="Times New Roman"/>
                <w:b w:val="0"/>
                <w:bCs/>
                <w:kern w:val="0"/>
                <w:u w:val="single" w:color="auto"/>
                <w:lang w:val="en-US" w:eastAsia="zh-CN"/>
              </w:rPr>
              <w:t>排放。项目焊</w:t>
            </w:r>
            <w:r>
              <w:rPr>
                <w:rFonts w:hint="eastAsia" w:cs="Times New Roman"/>
                <w:b w:val="0"/>
                <w:bCs/>
                <w:kern w:val="0"/>
                <w:u w:val="single" w:color="auto"/>
                <w:lang w:val="en-US" w:eastAsia="zh-CN"/>
              </w:rPr>
              <w:t>锡</w:t>
            </w:r>
            <w:r>
              <w:rPr>
                <w:rFonts w:hint="default" w:ascii="Times New Roman" w:hAnsi="Times New Roman" w:eastAsia="宋体" w:cs="Times New Roman"/>
                <w:b w:val="0"/>
                <w:bCs/>
                <w:kern w:val="0"/>
                <w:u w:val="single" w:color="auto"/>
                <w:lang w:val="en-US" w:eastAsia="zh-CN"/>
              </w:rPr>
              <w:t>工序1天以</w:t>
            </w:r>
            <w:r>
              <w:rPr>
                <w:rFonts w:hint="eastAsia" w:cs="Times New Roman"/>
                <w:b w:val="0"/>
                <w:bCs/>
                <w:kern w:val="0"/>
                <w:u w:val="single" w:color="auto"/>
                <w:lang w:val="en-US" w:eastAsia="zh-CN"/>
              </w:rPr>
              <w:t>9</w:t>
            </w:r>
            <w:r>
              <w:rPr>
                <w:rFonts w:hint="default" w:ascii="Times New Roman" w:hAnsi="Times New Roman" w:eastAsia="宋体" w:cs="Times New Roman"/>
                <w:b w:val="0"/>
                <w:bCs/>
                <w:kern w:val="0"/>
                <w:u w:val="single" w:color="auto"/>
                <w:lang w:val="en-US" w:eastAsia="zh-CN"/>
              </w:rPr>
              <w:t>小时计，一年以300天计，</w:t>
            </w:r>
            <w:r>
              <w:rPr>
                <w:rFonts w:hint="eastAsia" w:cs="Times New Roman"/>
                <w:b w:val="0"/>
                <w:bCs w:val="0"/>
                <w:u w:val="single" w:color="auto"/>
                <w:lang w:val="en-US" w:eastAsia="zh-CN"/>
              </w:rPr>
              <w:t>本项目集气罩收集效率为50%，风机风量11000m</w:t>
            </w:r>
            <w:r>
              <w:rPr>
                <w:rFonts w:hint="eastAsia" w:cs="Times New Roman"/>
                <w:b w:val="0"/>
                <w:bCs w:val="0"/>
                <w:u w:val="single" w:color="auto"/>
                <w:vertAlign w:val="superscript"/>
                <w:lang w:val="en-US" w:eastAsia="zh-CN"/>
              </w:rPr>
              <w:t>3</w:t>
            </w:r>
            <w:r>
              <w:rPr>
                <w:rFonts w:hint="eastAsia" w:cs="Times New Roman"/>
                <w:b w:val="0"/>
                <w:bCs w:val="0"/>
                <w:u w:val="single" w:color="auto"/>
                <w:lang w:val="en-US" w:eastAsia="zh-CN"/>
              </w:rPr>
              <w:t>/h，本项目干式过滤器处理效率约为80%，本项目不考虑</w:t>
            </w:r>
            <w:r>
              <w:rPr>
                <w:rFonts w:hint="eastAsia" w:cs="Times New Roman"/>
                <w:b w:val="0"/>
                <w:bCs/>
                <w:kern w:val="0"/>
                <w:u w:val="single" w:color="auto"/>
                <w:lang w:val="en-US" w:eastAsia="zh-CN"/>
              </w:rPr>
              <w:t>活性炭吸附装置对于颗粒物、锡及其化合物的处理能力，</w:t>
            </w:r>
            <w:r>
              <w:rPr>
                <w:rFonts w:hint="eastAsia" w:cs="Times New Roman"/>
                <w:b w:val="0"/>
                <w:bCs w:val="0"/>
                <w:u w:val="single" w:color="auto"/>
                <w:lang w:val="en-US" w:eastAsia="zh-CN"/>
              </w:rPr>
              <w:t>则项目有组织</w:t>
            </w:r>
            <w:r>
              <w:rPr>
                <w:rFonts w:hint="eastAsia" w:cs="Times New Roman"/>
                <w:b w:val="0"/>
                <w:bCs/>
                <w:kern w:val="0"/>
                <w:u w:val="single" w:color="auto"/>
                <w:lang w:val="en-US" w:eastAsia="zh-CN"/>
              </w:rPr>
              <w:t>颗粒物</w:t>
            </w:r>
            <w:r>
              <w:rPr>
                <w:rFonts w:hint="eastAsia" w:cs="Times New Roman"/>
                <w:b w:val="0"/>
                <w:bCs w:val="0"/>
                <w:u w:val="single" w:color="auto"/>
                <w:lang w:val="en-US" w:eastAsia="zh-CN"/>
              </w:rPr>
              <w:t>有组织产生量为0.0000165t/a，产生</w:t>
            </w:r>
            <w:r>
              <w:rPr>
                <w:rFonts w:hint="default" w:ascii="Times New Roman" w:hAnsi="Times New Roman" w:cs="Times New Roman"/>
                <w:b w:val="0"/>
                <w:bCs w:val="0"/>
                <w:u w:val="single" w:color="auto"/>
                <w:lang w:val="en-US" w:eastAsia="zh-CN"/>
              </w:rPr>
              <w:t>速率为</w:t>
            </w:r>
            <w:r>
              <w:rPr>
                <w:rFonts w:hint="eastAsia" w:cs="Times New Roman"/>
                <w:b w:val="0"/>
                <w:bCs w:val="0"/>
                <w:u w:val="single" w:color="auto"/>
                <w:lang w:val="en-US" w:eastAsia="zh-CN"/>
              </w:rPr>
              <w:t>0.000006</w:t>
            </w:r>
            <w:r>
              <w:rPr>
                <w:rFonts w:hint="default" w:ascii="Times New Roman" w:hAnsi="Times New Roman" w:cs="Times New Roman"/>
                <w:b w:val="0"/>
                <w:bCs w:val="0"/>
                <w:u w:val="single" w:color="auto"/>
                <w:lang w:val="en-US" w:eastAsia="zh-CN"/>
              </w:rPr>
              <w:t>kg/h，</w:t>
            </w:r>
            <w:r>
              <w:rPr>
                <w:rFonts w:hint="eastAsia" w:cs="Times New Roman"/>
                <w:b w:val="0"/>
                <w:bCs w:val="0"/>
                <w:u w:val="single" w:color="auto"/>
                <w:lang w:val="en-US" w:eastAsia="zh-CN"/>
              </w:rPr>
              <w:t>产生</w:t>
            </w:r>
            <w:r>
              <w:rPr>
                <w:rFonts w:hint="default" w:ascii="Times New Roman" w:hAnsi="Times New Roman" w:cs="Times New Roman"/>
                <w:b w:val="0"/>
                <w:bCs w:val="0"/>
                <w:u w:val="single" w:color="auto"/>
                <w:lang w:val="en-US" w:eastAsia="zh-CN"/>
              </w:rPr>
              <w:t>浓度为</w:t>
            </w:r>
            <w:r>
              <w:rPr>
                <w:rFonts w:hint="eastAsia" w:cs="Times New Roman"/>
                <w:b w:val="0"/>
                <w:bCs w:val="0"/>
                <w:u w:val="single" w:color="auto"/>
                <w:lang w:val="en-US" w:eastAsia="zh-CN"/>
              </w:rPr>
              <w:t>0.0006</w:t>
            </w:r>
            <w:r>
              <w:rPr>
                <w:rFonts w:hint="default" w:ascii="Times New Roman" w:hAnsi="Times New Roman" w:cs="Times New Roman"/>
                <w:b w:val="0"/>
                <w:bCs w:val="0"/>
                <w:u w:val="single" w:color="auto"/>
                <w:lang w:val="en-US" w:eastAsia="zh-CN"/>
              </w:rPr>
              <w:t>mg/m</w:t>
            </w:r>
            <w:r>
              <w:rPr>
                <w:rFonts w:hint="default" w:ascii="Times New Roman" w:hAnsi="Times New Roman" w:cs="Times New Roman"/>
                <w:b w:val="0"/>
                <w:bCs w:val="0"/>
                <w:u w:val="single" w:color="auto"/>
                <w:vertAlign w:val="superscript"/>
                <w:lang w:val="en-US" w:eastAsia="zh-CN"/>
              </w:rPr>
              <w:t>3</w:t>
            </w:r>
            <w:r>
              <w:rPr>
                <w:rFonts w:hint="default" w:ascii="Times New Roman" w:hAnsi="Times New Roman" w:cs="Times New Roman"/>
                <w:b w:val="0"/>
                <w:bCs w:val="0"/>
                <w:u w:val="single" w:color="auto"/>
                <w:lang w:val="en-US" w:eastAsia="zh-CN"/>
              </w:rPr>
              <w:t>，</w:t>
            </w:r>
            <w:r>
              <w:rPr>
                <w:rFonts w:hint="eastAsia" w:cs="Times New Roman"/>
                <w:b w:val="0"/>
                <w:bCs/>
                <w:kern w:val="0"/>
                <w:u w:val="single" w:color="auto"/>
                <w:lang w:val="en-US" w:eastAsia="zh-CN"/>
              </w:rPr>
              <w:t>锡及其化合物</w:t>
            </w:r>
            <w:r>
              <w:rPr>
                <w:rFonts w:hint="eastAsia" w:cs="Times New Roman"/>
                <w:b w:val="0"/>
                <w:bCs w:val="0"/>
                <w:u w:val="single" w:color="auto"/>
                <w:lang w:val="en-US" w:eastAsia="zh-CN"/>
              </w:rPr>
              <w:t>有组织产生量为0.0001485t/a，产生</w:t>
            </w:r>
            <w:r>
              <w:rPr>
                <w:rFonts w:hint="default" w:ascii="Times New Roman" w:hAnsi="Times New Roman" w:cs="Times New Roman"/>
                <w:b w:val="0"/>
                <w:bCs w:val="0"/>
                <w:u w:val="single" w:color="auto"/>
                <w:lang w:val="en-US" w:eastAsia="zh-CN"/>
              </w:rPr>
              <w:t>速率为</w:t>
            </w:r>
            <w:r>
              <w:rPr>
                <w:rFonts w:hint="eastAsia" w:cs="Times New Roman"/>
                <w:b w:val="0"/>
                <w:bCs w:val="0"/>
                <w:u w:val="single" w:color="auto"/>
                <w:lang w:val="en-US" w:eastAsia="zh-CN"/>
              </w:rPr>
              <w:t>0.00006</w:t>
            </w:r>
            <w:r>
              <w:rPr>
                <w:rFonts w:hint="default" w:ascii="Times New Roman" w:hAnsi="Times New Roman" w:cs="Times New Roman"/>
                <w:b w:val="0"/>
                <w:bCs w:val="0"/>
                <w:u w:val="single" w:color="auto"/>
                <w:lang w:val="en-US" w:eastAsia="zh-CN"/>
              </w:rPr>
              <w:t>kg/h，</w:t>
            </w:r>
            <w:r>
              <w:rPr>
                <w:rFonts w:hint="eastAsia" w:cs="Times New Roman"/>
                <w:b w:val="0"/>
                <w:bCs w:val="0"/>
                <w:u w:val="single" w:color="auto"/>
                <w:lang w:val="en-US" w:eastAsia="zh-CN"/>
              </w:rPr>
              <w:t>产生</w:t>
            </w:r>
            <w:r>
              <w:rPr>
                <w:rFonts w:hint="default" w:ascii="Times New Roman" w:hAnsi="Times New Roman" w:cs="Times New Roman"/>
                <w:b w:val="0"/>
                <w:bCs w:val="0"/>
                <w:u w:val="single" w:color="auto"/>
                <w:lang w:val="en-US" w:eastAsia="zh-CN"/>
              </w:rPr>
              <w:t>浓度为</w:t>
            </w:r>
            <w:r>
              <w:rPr>
                <w:rFonts w:hint="eastAsia" w:cs="Times New Roman"/>
                <w:b w:val="0"/>
                <w:bCs w:val="0"/>
                <w:u w:val="single" w:color="auto"/>
                <w:lang w:val="en-US" w:eastAsia="zh-CN"/>
              </w:rPr>
              <w:t>0.005</w:t>
            </w:r>
            <w:r>
              <w:rPr>
                <w:rFonts w:hint="default" w:ascii="Times New Roman" w:hAnsi="Times New Roman" w:cs="Times New Roman"/>
                <w:b w:val="0"/>
                <w:bCs w:val="0"/>
                <w:u w:val="single" w:color="auto"/>
                <w:lang w:val="en-US" w:eastAsia="zh-CN"/>
              </w:rPr>
              <w:t>mg/m</w:t>
            </w:r>
            <w:r>
              <w:rPr>
                <w:rFonts w:hint="default" w:ascii="Times New Roman" w:hAnsi="Times New Roman" w:cs="Times New Roman"/>
                <w:b w:val="0"/>
                <w:bCs w:val="0"/>
                <w:u w:val="single" w:color="auto"/>
                <w:vertAlign w:val="superscript"/>
                <w:lang w:val="en-US" w:eastAsia="zh-CN"/>
              </w:rPr>
              <w:t>3</w:t>
            </w:r>
            <w:r>
              <w:rPr>
                <w:rFonts w:hint="default" w:ascii="Times New Roman" w:hAnsi="Times New Roman" w:cs="Times New Roman"/>
                <w:b w:val="0"/>
                <w:bCs w:val="0"/>
                <w:u w:val="single" w:color="auto"/>
                <w:lang w:val="en-US" w:eastAsia="zh-CN"/>
              </w:rPr>
              <w:t>，经处理后</w:t>
            </w:r>
            <w:r>
              <w:rPr>
                <w:rFonts w:hint="eastAsia" w:cs="Times New Roman"/>
                <w:b w:val="0"/>
                <w:bCs w:val="0"/>
                <w:u w:val="single" w:color="auto"/>
                <w:lang w:val="en-US" w:eastAsia="zh-CN"/>
              </w:rPr>
              <w:t>颗粒物</w:t>
            </w:r>
            <w:r>
              <w:rPr>
                <w:rFonts w:hint="default" w:ascii="Times New Roman" w:hAnsi="Times New Roman" w:cs="Times New Roman"/>
                <w:b w:val="0"/>
                <w:bCs w:val="0"/>
                <w:u w:val="single" w:color="auto"/>
                <w:lang w:val="en-US" w:eastAsia="zh-CN"/>
              </w:rPr>
              <w:t>排放量为</w:t>
            </w:r>
            <w:r>
              <w:rPr>
                <w:rFonts w:hint="eastAsia" w:cs="Times New Roman"/>
                <w:b w:val="0"/>
                <w:bCs w:val="0"/>
                <w:u w:val="single" w:color="auto"/>
                <w:lang w:val="en-US" w:eastAsia="zh-CN"/>
              </w:rPr>
              <w:t>0.0000033</w:t>
            </w:r>
            <w:r>
              <w:rPr>
                <w:rFonts w:hint="default" w:ascii="Times New Roman" w:hAnsi="Times New Roman" w:cs="Times New Roman"/>
                <w:b w:val="0"/>
                <w:bCs w:val="0"/>
                <w:u w:val="single" w:color="auto"/>
                <w:lang w:val="en-US" w:eastAsia="zh-CN"/>
              </w:rPr>
              <w:t>t/a，排放速率为</w:t>
            </w:r>
            <w:r>
              <w:rPr>
                <w:rFonts w:hint="eastAsia" w:cs="Times New Roman"/>
                <w:b w:val="0"/>
                <w:bCs w:val="0"/>
                <w:u w:val="single" w:color="auto"/>
                <w:lang w:val="en-US" w:eastAsia="zh-CN"/>
              </w:rPr>
              <w:t>0.000001</w:t>
            </w:r>
            <w:r>
              <w:rPr>
                <w:rFonts w:hint="default" w:ascii="Times New Roman" w:hAnsi="Times New Roman" w:cs="Times New Roman"/>
                <w:b w:val="0"/>
                <w:bCs w:val="0"/>
                <w:u w:val="single" w:color="auto"/>
                <w:lang w:val="en-US" w:eastAsia="zh-CN"/>
              </w:rPr>
              <w:t>kg/h，排放浓度为</w:t>
            </w:r>
            <w:r>
              <w:rPr>
                <w:rFonts w:hint="eastAsia" w:cs="Times New Roman"/>
                <w:b w:val="0"/>
                <w:bCs w:val="0"/>
                <w:u w:val="single" w:color="auto"/>
                <w:lang w:val="en-US" w:eastAsia="zh-CN"/>
              </w:rPr>
              <w:t>0.0001</w:t>
            </w:r>
            <w:r>
              <w:rPr>
                <w:rFonts w:hint="default" w:ascii="Times New Roman" w:hAnsi="Times New Roman" w:cs="Times New Roman"/>
                <w:b w:val="0"/>
                <w:bCs w:val="0"/>
                <w:u w:val="single" w:color="auto"/>
                <w:lang w:val="en-US" w:eastAsia="zh-CN"/>
              </w:rPr>
              <w:t>mg/m</w:t>
            </w:r>
            <w:r>
              <w:rPr>
                <w:rFonts w:hint="eastAsia" w:cs="Times New Roman"/>
                <w:b w:val="0"/>
                <w:bCs w:val="0"/>
                <w:u w:val="single" w:color="auto"/>
                <w:vertAlign w:val="superscript"/>
                <w:lang w:val="en-US" w:eastAsia="zh-CN"/>
              </w:rPr>
              <w:t>3</w:t>
            </w:r>
            <w:r>
              <w:rPr>
                <w:rFonts w:hint="default" w:ascii="Times New Roman" w:hAnsi="Times New Roman" w:cs="Times New Roman"/>
                <w:b w:val="0"/>
                <w:bCs w:val="0"/>
                <w:u w:val="single" w:color="auto"/>
                <w:lang w:val="en-US" w:eastAsia="zh-CN"/>
              </w:rPr>
              <w:t>。</w:t>
            </w:r>
            <w:r>
              <w:rPr>
                <w:rFonts w:hint="eastAsia" w:cs="Times New Roman"/>
                <w:b w:val="0"/>
                <w:bCs w:val="0"/>
                <w:u w:val="single" w:color="auto"/>
                <w:lang w:val="en-US" w:eastAsia="zh-CN"/>
              </w:rPr>
              <w:t>锡及其化合物</w:t>
            </w:r>
            <w:r>
              <w:rPr>
                <w:rFonts w:hint="default" w:ascii="Times New Roman" w:hAnsi="Times New Roman" w:cs="Times New Roman"/>
                <w:b w:val="0"/>
                <w:bCs w:val="0"/>
                <w:u w:val="single" w:color="auto"/>
                <w:lang w:val="en-US" w:eastAsia="zh-CN"/>
              </w:rPr>
              <w:t>排放量为</w:t>
            </w:r>
            <w:r>
              <w:rPr>
                <w:rFonts w:hint="eastAsia" w:ascii="Times New Roman" w:hAnsi="Times New Roman" w:cs="Times New Roman"/>
                <w:b w:val="0"/>
                <w:bCs w:val="0"/>
                <w:u w:val="single" w:color="auto"/>
                <w:lang w:val="en-US" w:eastAsia="zh-CN"/>
              </w:rPr>
              <w:t>0.</w:t>
            </w:r>
            <w:r>
              <w:rPr>
                <w:rFonts w:hint="eastAsia" w:cs="Times New Roman"/>
                <w:b w:val="0"/>
                <w:bCs w:val="0"/>
                <w:u w:val="single" w:color="auto"/>
                <w:lang w:val="en-US" w:eastAsia="zh-CN"/>
              </w:rPr>
              <w:t>0000297</w:t>
            </w:r>
            <w:r>
              <w:rPr>
                <w:rFonts w:hint="default" w:ascii="Times New Roman" w:hAnsi="Times New Roman" w:cs="Times New Roman"/>
                <w:b w:val="0"/>
                <w:bCs w:val="0"/>
                <w:u w:val="single" w:color="auto"/>
                <w:lang w:val="en-US" w:eastAsia="zh-CN"/>
              </w:rPr>
              <w:t>t/a，排放速率为</w:t>
            </w:r>
            <w:r>
              <w:rPr>
                <w:rFonts w:hint="eastAsia" w:cs="Times New Roman"/>
                <w:b w:val="0"/>
                <w:bCs w:val="0"/>
                <w:u w:val="single" w:color="auto"/>
                <w:lang w:val="en-US" w:eastAsia="zh-CN"/>
              </w:rPr>
              <w:t>0.000011</w:t>
            </w:r>
            <w:r>
              <w:rPr>
                <w:rFonts w:hint="default" w:ascii="Times New Roman" w:hAnsi="Times New Roman" w:cs="Times New Roman"/>
                <w:b w:val="0"/>
                <w:bCs w:val="0"/>
                <w:u w:val="single" w:color="auto"/>
                <w:lang w:val="en-US" w:eastAsia="zh-CN"/>
              </w:rPr>
              <w:t>kg/h，排放浓度为</w:t>
            </w:r>
            <w:r>
              <w:rPr>
                <w:rFonts w:hint="eastAsia" w:cs="Times New Roman"/>
                <w:b w:val="0"/>
                <w:bCs w:val="0"/>
                <w:u w:val="single" w:color="auto"/>
                <w:lang w:val="en-US" w:eastAsia="zh-CN"/>
              </w:rPr>
              <w:t>0.001</w:t>
            </w:r>
            <w:r>
              <w:rPr>
                <w:rFonts w:hint="default" w:ascii="Times New Roman" w:hAnsi="Times New Roman" w:cs="Times New Roman"/>
                <w:b w:val="0"/>
                <w:bCs w:val="0"/>
                <w:u w:val="single" w:color="auto"/>
                <w:lang w:val="en-US" w:eastAsia="zh-CN"/>
              </w:rPr>
              <w:t>mg/m</w:t>
            </w:r>
            <w:r>
              <w:rPr>
                <w:rFonts w:hint="eastAsia" w:cs="Times New Roman"/>
                <w:b w:val="0"/>
                <w:bCs w:val="0"/>
                <w:u w:val="single" w:color="auto"/>
                <w:vertAlign w:val="superscript"/>
                <w:lang w:val="en-US" w:eastAsia="zh-CN"/>
              </w:rPr>
              <w:t>3</w:t>
            </w:r>
            <w:r>
              <w:rPr>
                <w:rFonts w:hint="default" w:ascii="Times New Roman" w:hAnsi="Times New Roman" w:cs="Times New Roman"/>
                <w:b w:val="0"/>
                <w:bCs w:val="0"/>
                <w:u w:val="single" w:color="auto"/>
                <w:lang w:val="en-US" w:eastAsia="zh-CN"/>
              </w:rPr>
              <w:t>。</w:t>
            </w:r>
          </w:p>
          <w:p w14:paraId="6536E58E">
            <w:pPr>
              <w:pStyle w:val="40"/>
              <w:bidi w:val="0"/>
              <w:rPr>
                <w:rFonts w:hint="default" w:ascii="Times New Roman" w:hAnsi="Times New Roman" w:cs="Times New Roman"/>
                <w:b w:val="0"/>
                <w:bCs w:val="0"/>
                <w:u w:val="single" w:color="auto"/>
                <w:lang w:val="en-US" w:eastAsia="zh-CN"/>
              </w:rPr>
            </w:pPr>
            <w:r>
              <w:rPr>
                <w:rFonts w:hint="default" w:ascii="Times New Roman" w:hAnsi="Times New Roman" w:cs="Times New Roman"/>
                <w:b w:val="0"/>
                <w:bCs w:val="0"/>
                <w:u w:val="single" w:color="auto"/>
                <w:lang w:val="en-US" w:eastAsia="zh-CN"/>
              </w:rPr>
              <w:t>项目</w:t>
            </w:r>
            <w:r>
              <w:rPr>
                <w:rFonts w:hint="eastAsia" w:cs="Times New Roman"/>
                <w:b w:val="0"/>
                <w:bCs/>
                <w:kern w:val="0"/>
                <w:u w:val="single" w:color="auto"/>
                <w:lang w:val="en-US" w:eastAsia="zh-CN"/>
              </w:rPr>
              <w:t>颗粒物</w:t>
            </w:r>
            <w:r>
              <w:rPr>
                <w:rFonts w:hint="default" w:ascii="Times New Roman" w:hAnsi="Times New Roman" w:cs="Times New Roman"/>
                <w:b w:val="0"/>
                <w:bCs w:val="0"/>
                <w:u w:val="single" w:color="auto"/>
                <w:lang w:val="en-US" w:eastAsia="zh-CN"/>
              </w:rPr>
              <w:t>无组织排放量为</w:t>
            </w:r>
            <w:r>
              <w:rPr>
                <w:rFonts w:hint="eastAsia" w:cs="Times New Roman"/>
                <w:b w:val="0"/>
                <w:bCs w:val="0"/>
                <w:u w:val="single" w:color="auto"/>
                <w:lang w:val="en-US" w:eastAsia="zh-CN"/>
              </w:rPr>
              <w:t>0.0000165</w:t>
            </w:r>
            <w:r>
              <w:rPr>
                <w:rFonts w:hint="default" w:ascii="Times New Roman" w:hAnsi="Times New Roman" w:cs="Times New Roman"/>
                <w:b w:val="0"/>
                <w:bCs w:val="0"/>
                <w:u w:val="single" w:color="auto"/>
                <w:lang w:val="en-US" w:eastAsia="zh-CN"/>
              </w:rPr>
              <w:t>t/a，排放速率为</w:t>
            </w:r>
            <w:r>
              <w:rPr>
                <w:rFonts w:hint="eastAsia" w:cs="Times New Roman"/>
                <w:b w:val="0"/>
                <w:bCs w:val="0"/>
                <w:u w:val="single" w:color="auto"/>
                <w:lang w:val="en-US" w:eastAsia="zh-CN"/>
              </w:rPr>
              <w:t>0.000006</w:t>
            </w:r>
            <w:r>
              <w:rPr>
                <w:rFonts w:hint="default" w:ascii="Times New Roman" w:hAnsi="Times New Roman" w:cs="Times New Roman"/>
                <w:b w:val="0"/>
                <w:bCs w:val="0"/>
                <w:u w:val="single" w:color="auto"/>
                <w:lang w:val="en-US" w:eastAsia="zh-CN"/>
              </w:rPr>
              <w:t>kg/h</w:t>
            </w:r>
            <w:r>
              <w:rPr>
                <w:rFonts w:hint="eastAsia" w:ascii="Times New Roman" w:hAnsi="Times New Roman" w:cs="Times New Roman"/>
                <w:b w:val="0"/>
                <w:bCs w:val="0"/>
                <w:u w:val="single" w:color="auto"/>
                <w:lang w:val="en-US" w:eastAsia="zh-CN"/>
              </w:rPr>
              <w:t>、</w:t>
            </w:r>
            <w:r>
              <w:rPr>
                <w:rFonts w:hint="eastAsia" w:cs="Times New Roman"/>
                <w:b w:val="0"/>
                <w:bCs/>
                <w:kern w:val="0"/>
                <w:u w:val="single" w:color="auto"/>
                <w:lang w:val="en-US" w:eastAsia="zh-CN"/>
              </w:rPr>
              <w:t>锡及其化合物</w:t>
            </w:r>
            <w:r>
              <w:rPr>
                <w:rFonts w:hint="default" w:ascii="Times New Roman" w:hAnsi="Times New Roman" w:cs="Times New Roman"/>
                <w:b w:val="0"/>
                <w:bCs w:val="0"/>
                <w:u w:val="single" w:color="auto"/>
                <w:lang w:val="en-US" w:eastAsia="zh-CN"/>
              </w:rPr>
              <w:t>无组织排放量为</w:t>
            </w:r>
            <w:r>
              <w:rPr>
                <w:rFonts w:hint="eastAsia" w:cs="Times New Roman"/>
                <w:b w:val="0"/>
                <w:bCs w:val="0"/>
                <w:u w:val="single" w:color="auto"/>
                <w:lang w:val="en-US" w:eastAsia="zh-CN"/>
              </w:rPr>
              <w:t>0.0001485</w:t>
            </w:r>
            <w:r>
              <w:rPr>
                <w:rFonts w:hint="default" w:ascii="Times New Roman" w:hAnsi="Times New Roman" w:cs="Times New Roman"/>
                <w:b w:val="0"/>
                <w:bCs w:val="0"/>
                <w:u w:val="single" w:color="auto"/>
                <w:lang w:val="en-US" w:eastAsia="zh-CN"/>
              </w:rPr>
              <w:t>t/a，排放速率为</w:t>
            </w:r>
            <w:r>
              <w:rPr>
                <w:rFonts w:hint="eastAsia" w:cs="Times New Roman"/>
                <w:b w:val="0"/>
                <w:bCs w:val="0"/>
                <w:u w:val="single" w:color="auto"/>
                <w:lang w:val="en-US" w:eastAsia="zh-CN"/>
              </w:rPr>
              <w:t>0.00006</w:t>
            </w:r>
            <w:r>
              <w:rPr>
                <w:rFonts w:hint="default" w:ascii="Times New Roman" w:hAnsi="Times New Roman" w:cs="Times New Roman"/>
                <w:b w:val="0"/>
                <w:bCs w:val="0"/>
                <w:u w:val="single" w:color="auto"/>
                <w:lang w:val="en-US" w:eastAsia="zh-CN"/>
              </w:rPr>
              <w:t>kg/h。</w:t>
            </w:r>
          </w:p>
          <w:p w14:paraId="6F4EEB11">
            <w:pPr>
              <w:pStyle w:val="40"/>
              <w:bidi w:val="0"/>
              <w:rPr>
                <w:rFonts w:hint="eastAsia"/>
                <w:b w:val="0"/>
                <w:bCs w:val="0"/>
                <w:u w:val="single" w:color="auto"/>
                <w:lang w:val="en-US" w:eastAsia="zh-CN"/>
              </w:rPr>
            </w:pPr>
            <w:r>
              <w:rPr>
                <w:rFonts w:hint="eastAsia"/>
                <w:b w:val="0"/>
                <w:bCs w:val="0"/>
                <w:u w:val="single" w:color="auto"/>
                <w:lang w:val="en-US" w:eastAsia="zh-CN"/>
              </w:rPr>
              <w:t>②焊锡有机废气</w:t>
            </w:r>
          </w:p>
          <w:p w14:paraId="3E171204">
            <w:pPr>
              <w:pStyle w:val="40"/>
              <w:bidi w:val="0"/>
              <w:rPr>
                <w:rFonts w:hint="default"/>
                <w:b w:val="0"/>
                <w:bCs w:val="0"/>
                <w:u w:val="single" w:color="auto"/>
                <w:lang w:val="en-US" w:eastAsia="zh-CN"/>
              </w:rPr>
            </w:pPr>
            <w:r>
              <w:rPr>
                <w:rFonts w:hint="eastAsia"/>
                <w:b w:val="0"/>
                <w:bCs w:val="0"/>
                <w:u w:val="single" w:color="auto"/>
                <w:lang w:val="en-US" w:eastAsia="zh-CN"/>
              </w:rPr>
              <w:t>焊锡有机废气主要为焊锡过程中助焊剂的挥发，</w:t>
            </w:r>
            <w:r>
              <w:rPr>
                <w:rFonts w:hint="eastAsia" w:ascii="Times New Roman" w:hAnsi="Times New Roman" w:eastAsia="宋体" w:cs="Times New Roman"/>
                <w:b w:val="0"/>
                <w:bCs/>
                <w:kern w:val="0"/>
                <w:u w:val="single" w:color="auto"/>
                <w:lang w:eastAsia="zh-CN"/>
              </w:rPr>
              <w:t>主要成分</w:t>
            </w:r>
            <w:r>
              <w:rPr>
                <w:rFonts w:hint="eastAsia" w:ascii="Times New Roman" w:hAnsi="Times New Roman" w:eastAsia="宋体" w:cs="Times New Roman"/>
                <w:b w:val="0"/>
                <w:bCs/>
                <w:kern w:val="0"/>
                <w:u w:val="single" w:color="auto"/>
                <w:lang w:val="en-US" w:eastAsia="zh-CN"/>
              </w:rPr>
              <w:t>为</w:t>
            </w:r>
            <w:r>
              <w:rPr>
                <w:rFonts w:hint="eastAsia" w:cs="Times New Roman"/>
                <w:b w:val="0"/>
                <w:bCs/>
                <w:kern w:val="0"/>
                <w:u w:val="single" w:color="auto"/>
                <w:lang w:val="en-US" w:eastAsia="zh-CN"/>
              </w:rPr>
              <w:t>甲醇、</w:t>
            </w:r>
            <w:r>
              <w:rPr>
                <w:rFonts w:hint="eastAsia" w:ascii="Times New Roman" w:hAnsi="Times New Roman" w:eastAsia="宋体" w:cs="Times New Roman"/>
                <w:b w:val="0"/>
                <w:bCs/>
                <w:kern w:val="0"/>
                <w:u w:val="single" w:color="auto"/>
                <w:lang w:val="en-US" w:eastAsia="zh-CN"/>
              </w:rPr>
              <w:t>异丙醇，本项目</w:t>
            </w:r>
            <w:r>
              <w:rPr>
                <w:rFonts w:hint="eastAsia" w:ascii="Times New Roman" w:hAnsi="Times New Roman" w:eastAsia="宋体" w:cs="Times New Roman"/>
                <w:b w:val="0"/>
                <w:bCs/>
                <w:kern w:val="0"/>
                <w:u w:val="single" w:color="auto"/>
                <w:lang w:eastAsia="zh-CN"/>
              </w:rPr>
              <w:t>以</w:t>
            </w:r>
            <w:r>
              <w:rPr>
                <w:rFonts w:hint="eastAsia" w:ascii="Times New Roman" w:hAnsi="Times New Roman" w:eastAsia="宋体" w:cs="Times New Roman"/>
                <w:b w:val="0"/>
                <w:bCs/>
                <w:kern w:val="0"/>
                <w:u w:val="single" w:color="auto"/>
                <w:lang w:val="en-US" w:eastAsia="zh-CN"/>
              </w:rPr>
              <w:t>VOCs（以非甲烷总烃计），本次评价按全部挥发计算，则VOCs（以非甲烷总烃计）的产生量为0.05t/a，</w:t>
            </w:r>
          </w:p>
          <w:p w14:paraId="7662D043">
            <w:pPr>
              <w:pStyle w:val="40"/>
              <w:bidi w:val="0"/>
              <w:rPr>
                <w:rFonts w:hint="default" w:cs="Times New Roman"/>
                <w:b w:val="0"/>
                <w:bCs/>
                <w:kern w:val="0"/>
                <w:u w:val="single" w:color="auto"/>
                <w:vertAlign w:val="baseline"/>
                <w:lang w:val="en-US" w:eastAsia="zh-CN"/>
              </w:rPr>
            </w:pPr>
            <w:r>
              <w:rPr>
                <w:rFonts w:hint="eastAsia"/>
                <w:color w:val="auto"/>
                <w:u w:val="single" w:color="auto"/>
                <w:lang w:val="en-US" w:eastAsia="zh-CN"/>
              </w:rPr>
              <w:t>本项目每天累计焊接时间约为9h，</w:t>
            </w:r>
            <w:r>
              <w:rPr>
                <w:rFonts w:hint="default" w:ascii="Times New Roman" w:hAnsi="Times New Roman" w:eastAsia="宋体" w:cs="Times New Roman"/>
                <w:b w:val="0"/>
                <w:bCs/>
                <w:kern w:val="0"/>
                <w:u w:val="single" w:color="auto"/>
                <w:lang w:val="en-US" w:eastAsia="zh-CN"/>
              </w:rPr>
              <w:t>项目产生的</w:t>
            </w:r>
            <w:r>
              <w:rPr>
                <w:rFonts w:hint="eastAsia" w:cs="Times New Roman"/>
                <w:b w:val="0"/>
                <w:bCs/>
                <w:kern w:val="0"/>
                <w:u w:val="single" w:color="auto"/>
                <w:lang w:val="en-US" w:eastAsia="zh-CN"/>
              </w:rPr>
              <w:t>焊锡废气</w:t>
            </w:r>
            <w:r>
              <w:rPr>
                <w:rFonts w:hint="default" w:ascii="Times New Roman" w:hAnsi="Times New Roman" w:eastAsia="宋体" w:cs="Times New Roman"/>
                <w:b w:val="0"/>
                <w:bCs/>
                <w:kern w:val="0"/>
                <w:u w:val="single" w:color="auto"/>
                <w:lang w:val="en-US" w:eastAsia="zh-CN"/>
              </w:rPr>
              <w:t>通过包围型集气罩(含软帘)收集后，进入二级活性炭处置装置(与</w:t>
            </w:r>
            <w:r>
              <w:rPr>
                <w:rFonts w:hint="eastAsia" w:ascii="Times New Roman" w:hAnsi="Times New Roman" w:eastAsia="宋体" w:cs="Times New Roman"/>
                <w:b w:val="0"/>
                <w:bCs/>
                <w:kern w:val="0"/>
                <w:u w:val="single" w:color="auto"/>
                <w:lang w:val="en-US" w:eastAsia="zh-CN"/>
              </w:rPr>
              <w:t>含浸、烘干</w:t>
            </w:r>
            <w:r>
              <w:rPr>
                <w:rFonts w:hint="default" w:ascii="Times New Roman" w:hAnsi="Times New Roman" w:eastAsia="宋体" w:cs="Times New Roman"/>
                <w:b w:val="0"/>
                <w:bCs/>
                <w:kern w:val="0"/>
                <w:u w:val="single" w:color="auto"/>
                <w:lang w:val="en-US" w:eastAsia="zh-CN"/>
              </w:rPr>
              <w:t>有机废气共用一套)，</w:t>
            </w:r>
            <w:r>
              <w:rPr>
                <w:rFonts w:hint="eastAsia" w:cs="Times New Roman"/>
                <w:b w:val="0"/>
                <w:bCs/>
                <w:kern w:val="0"/>
                <w:u w:val="single" w:color="auto"/>
                <w:lang w:val="en-US" w:eastAsia="zh-CN"/>
              </w:rPr>
              <w:t>通过23m排气筒DA001</w:t>
            </w:r>
            <w:r>
              <w:rPr>
                <w:rFonts w:hint="default" w:ascii="Times New Roman" w:hAnsi="Times New Roman" w:eastAsia="宋体" w:cs="Times New Roman"/>
                <w:b w:val="0"/>
                <w:bCs/>
                <w:kern w:val="0"/>
                <w:u w:val="single" w:color="auto"/>
                <w:lang w:val="en-US" w:eastAsia="zh-CN"/>
              </w:rPr>
              <w:t>排放。项目焊</w:t>
            </w:r>
            <w:r>
              <w:rPr>
                <w:rFonts w:hint="eastAsia" w:cs="Times New Roman"/>
                <w:b w:val="0"/>
                <w:bCs/>
                <w:kern w:val="0"/>
                <w:u w:val="single" w:color="auto"/>
                <w:lang w:val="en-US" w:eastAsia="zh-CN"/>
              </w:rPr>
              <w:t>锡</w:t>
            </w:r>
            <w:r>
              <w:rPr>
                <w:rFonts w:hint="default" w:ascii="Times New Roman" w:hAnsi="Times New Roman" w:eastAsia="宋体" w:cs="Times New Roman"/>
                <w:b w:val="0"/>
                <w:bCs/>
                <w:kern w:val="0"/>
                <w:u w:val="single" w:color="auto"/>
                <w:lang w:val="en-US" w:eastAsia="zh-CN"/>
              </w:rPr>
              <w:t>工序1天以</w:t>
            </w:r>
            <w:r>
              <w:rPr>
                <w:rFonts w:hint="eastAsia" w:cs="Times New Roman"/>
                <w:b w:val="0"/>
                <w:bCs/>
                <w:kern w:val="0"/>
                <w:u w:val="single" w:color="auto"/>
                <w:lang w:val="en-US" w:eastAsia="zh-CN"/>
              </w:rPr>
              <w:t>9</w:t>
            </w:r>
            <w:r>
              <w:rPr>
                <w:rFonts w:hint="default" w:ascii="Times New Roman" w:hAnsi="Times New Roman" w:eastAsia="宋体" w:cs="Times New Roman"/>
                <w:b w:val="0"/>
                <w:bCs/>
                <w:kern w:val="0"/>
                <w:u w:val="single" w:color="auto"/>
                <w:lang w:val="en-US" w:eastAsia="zh-CN"/>
              </w:rPr>
              <w:t>小时计，一年以300天计，</w:t>
            </w:r>
            <w:r>
              <w:rPr>
                <w:rFonts w:hint="eastAsia" w:cs="Times New Roman"/>
                <w:b w:val="0"/>
                <w:bCs w:val="0"/>
                <w:u w:val="single" w:color="auto"/>
                <w:lang w:val="en-US" w:eastAsia="zh-CN"/>
              </w:rPr>
              <w:t>本项目集气罩收集效率为50%，二级</w:t>
            </w:r>
            <w:r>
              <w:rPr>
                <w:rFonts w:hint="eastAsia" w:cs="Times New Roman"/>
                <w:b w:val="0"/>
                <w:bCs/>
                <w:kern w:val="0"/>
                <w:u w:val="single" w:color="auto"/>
                <w:lang w:val="en-US" w:eastAsia="zh-CN"/>
              </w:rPr>
              <w:t>活性炭吸附装置处理效率为50%，风机风量为11000m</w:t>
            </w:r>
            <w:r>
              <w:rPr>
                <w:rFonts w:hint="eastAsia" w:cs="Times New Roman"/>
                <w:b w:val="0"/>
                <w:bCs/>
                <w:kern w:val="0"/>
                <w:u w:val="single" w:color="auto"/>
                <w:vertAlign w:val="superscript"/>
                <w:lang w:val="en-US" w:eastAsia="zh-CN"/>
              </w:rPr>
              <w:t>3</w:t>
            </w:r>
            <w:r>
              <w:rPr>
                <w:rFonts w:hint="eastAsia" w:cs="Times New Roman"/>
                <w:b w:val="0"/>
                <w:bCs/>
                <w:kern w:val="0"/>
                <w:u w:val="single" w:color="auto"/>
                <w:lang w:val="en-US" w:eastAsia="zh-CN"/>
              </w:rPr>
              <w:t>/h，则焊锡有机废气有组织产生量为0.025t/a，</w:t>
            </w:r>
            <w:r>
              <w:rPr>
                <w:rFonts w:hint="default" w:ascii="Times New Roman" w:hAnsi="Times New Roman" w:cs="Times New Roman"/>
                <w:b w:val="0"/>
                <w:bCs w:val="0"/>
                <w:u w:val="single" w:color="auto"/>
                <w:lang w:val="en-US" w:eastAsia="zh-CN"/>
              </w:rPr>
              <w:t>产生速率为</w:t>
            </w:r>
            <w:r>
              <w:rPr>
                <w:rFonts w:hint="eastAsia" w:ascii="Times New Roman" w:hAnsi="Times New Roman" w:cs="Times New Roman"/>
                <w:b w:val="0"/>
                <w:bCs w:val="0"/>
                <w:u w:val="single" w:color="auto"/>
                <w:lang w:val="en-US" w:eastAsia="zh-CN"/>
              </w:rPr>
              <w:t>0.009</w:t>
            </w:r>
            <w:r>
              <w:rPr>
                <w:rFonts w:hint="default" w:ascii="Times New Roman" w:hAnsi="Times New Roman" w:cs="Times New Roman"/>
                <w:b w:val="0"/>
                <w:bCs w:val="0"/>
                <w:u w:val="single" w:color="auto"/>
                <w:lang w:val="en-US" w:eastAsia="zh-CN"/>
              </w:rPr>
              <w:t>kg/h,</w:t>
            </w:r>
            <w:r>
              <w:rPr>
                <w:rFonts w:hint="eastAsia" w:cs="Times New Roman"/>
                <w:b w:val="0"/>
                <w:bCs/>
                <w:kern w:val="0"/>
                <w:u w:val="single" w:color="auto"/>
                <w:lang w:val="en-US" w:eastAsia="zh-CN"/>
              </w:rPr>
              <w:t>产生浓度为0.84</w:t>
            </w:r>
            <w:r>
              <w:rPr>
                <w:rFonts w:hint="eastAsia" w:cs="Times New Roman"/>
                <w:b w:val="0"/>
                <w:bCs w:val="0"/>
                <w:u w:val="single" w:color="auto"/>
                <w:lang w:val="en-US" w:eastAsia="zh-CN"/>
              </w:rPr>
              <w:t>mg/m</w:t>
            </w:r>
            <w:r>
              <w:rPr>
                <w:rFonts w:hint="eastAsia" w:cs="Times New Roman"/>
                <w:b w:val="0"/>
                <w:bCs w:val="0"/>
                <w:u w:val="single" w:color="auto"/>
                <w:vertAlign w:val="superscript"/>
                <w:lang w:val="en-US" w:eastAsia="zh-CN"/>
              </w:rPr>
              <w:t>3</w:t>
            </w:r>
            <w:r>
              <w:rPr>
                <w:rFonts w:hint="default" w:ascii="Times New Roman" w:hAnsi="Times New Roman" w:cs="Times New Roman"/>
                <w:b w:val="0"/>
                <w:bCs w:val="0"/>
                <w:u w:val="single" w:color="auto"/>
                <w:lang w:val="en-US" w:eastAsia="zh-CN"/>
              </w:rPr>
              <w:t>，经处理后排放量为</w:t>
            </w:r>
            <w:r>
              <w:rPr>
                <w:rFonts w:hint="eastAsia" w:ascii="Times New Roman" w:hAnsi="Times New Roman" w:cs="Times New Roman"/>
                <w:b w:val="0"/>
                <w:bCs w:val="0"/>
                <w:u w:val="single" w:color="auto"/>
                <w:lang w:val="en-US" w:eastAsia="zh-CN"/>
              </w:rPr>
              <w:t>0.0125</w:t>
            </w:r>
            <w:r>
              <w:rPr>
                <w:rFonts w:hint="default" w:ascii="Times New Roman" w:hAnsi="Times New Roman" w:cs="Times New Roman"/>
                <w:b w:val="0"/>
                <w:bCs w:val="0"/>
                <w:u w:val="single" w:color="auto"/>
                <w:lang w:val="en-US" w:eastAsia="zh-CN"/>
              </w:rPr>
              <w:t>t/a，排放速率为</w:t>
            </w:r>
            <w:r>
              <w:rPr>
                <w:rFonts w:hint="eastAsia" w:ascii="Times New Roman" w:hAnsi="Times New Roman" w:cs="Times New Roman"/>
                <w:b w:val="0"/>
                <w:bCs w:val="0"/>
                <w:u w:val="single" w:color="auto"/>
                <w:lang w:val="en-US" w:eastAsia="zh-CN"/>
              </w:rPr>
              <w:t>0.005</w:t>
            </w:r>
            <w:r>
              <w:rPr>
                <w:rFonts w:hint="default" w:ascii="Times New Roman" w:hAnsi="Times New Roman" w:cs="Times New Roman"/>
                <w:b w:val="0"/>
                <w:bCs w:val="0"/>
                <w:u w:val="single" w:color="auto"/>
                <w:lang w:val="en-US" w:eastAsia="zh-CN"/>
              </w:rPr>
              <w:t>kg/h，排放浓度为</w:t>
            </w:r>
            <w:r>
              <w:rPr>
                <w:rFonts w:hint="eastAsia" w:ascii="Times New Roman" w:hAnsi="Times New Roman" w:cs="Times New Roman"/>
                <w:b w:val="0"/>
                <w:bCs w:val="0"/>
                <w:u w:val="single" w:color="auto"/>
                <w:lang w:val="en-US" w:eastAsia="zh-CN"/>
              </w:rPr>
              <w:t>0.42</w:t>
            </w:r>
            <w:r>
              <w:rPr>
                <w:rFonts w:hint="default" w:ascii="Times New Roman" w:hAnsi="Times New Roman" w:cs="Times New Roman"/>
                <w:b w:val="0"/>
                <w:bCs w:val="0"/>
                <w:u w:val="single" w:color="auto"/>
                <w:lang w:val="en-US" w:eastAsia="zh-CN"/>
              </w:rPr>
              <w:t>mg/m</w:t>
            </w:r>
            <w:r>
              <w:rPr>
                <w:rFonts w:hint="eastAsia" w:cs="Times New Roman"/>
                <w:b w:val="0"/>
                <w:bCs w:val="0"/>
                <w:u w:val="single" w:color="auto"/>
                <w:vertAlign w:val="superscript"/>
                <w:lang w:val="en-US" w:eastAsia="zh-CN"/>
              </w:rPr>
              <w:t>3</w:t>
            </w:r>
            <w:r>
              <w:rPr>
                <w:rFonts w:hint="default" w:ascii="Times New Roman" w:hAnsi="Times New Roman" w:cs="Times New Roman"/>
                <w:b w:val="0"/>
                <w:bCs w:val="0"/>
                <w:u w:val="single" w:color="auto"/>
                <w:lang w:val="en-US" w:eastAsia="zh-CN"/>
              </w:rPr>
              <w:t>。无组织排放量为</w:t>
            </w:r>
            <w:r>
              <w:rPr>
                <w:rFonts w:hint="eastAsia" w:ascii="Times New Roman" w:hAnsi="Times New Roman" w:cs="Times New Roman"/>
                <w:b w:val="0"/>
                <w:bCs w:val="0"/>
                <w:u w:val="single" w:color="auto"/>
                <w:lang w:val="en-US" w:eastAsia="zh-CN"/>
              </w:rPr>
              <w:t>0.025</w:t>
            </w:r>
            <w:r>
              <w:rPr>
                <w:rFonts w:hint="default" w:ascii="Times New Roman" w:hAnsi="Times New Roman" w:cs="Times New Roman"/>
                <w:b w:val="0"/>
                <w:bCs w:val="0"/>
                <w:u w:val="single" w:color="auto"/>
                <w:lang w:val="en-US" w:eastAsia="zh-CN"/>
              </w:rPr>
              <w:t>t/a，排放速率为</w:t>
            </w:r>
            <w:r>
              <w:rPr>
                <w:rFonts w:hint="eastAsia" w:ascii="Times New Roman" w:hAnsi="Times New Roman" w:cs="Times New Roman"/>
                <w:b w:val="0"/>
                <w:bCs w:val="0"/>
                <w:u w:val="single" w:color="auto"/>
                <w:lang w:val="en-US" w:eastAsia="zh-CN"/>
              </w:rPr>
              <w:t>0.009</w:t>
            </w:r>
            <w:r>
              <w:rPr>
                <w:rFonts w:hint="default" w:ascii="Times New Roman" w:hAnsi="Times New Roman" w:cs="Times New Roman"/>
                <w:b w:val="0"/>
                <w:bCs w:val="0"/>
                <w:u w:val="single" w:color="auto"/>
                <w:lang w:val="en-US" w:eastAsia="zh-CN"/>
              </w:rPr>
              <w:t>kg/h。</w:t>
            </w:r>
          </w:p>
          <w:p w14:paraId="50DC1B1F">
            <w:pPr>
              <w:pStyle w:val="40"/>
              <w:bidi w:val="0"/>
              <w:rPr>
                <w:rFonts w:hint="default"/>
                <w:b w:val="0"/>
                <w:bCs w:val="0"/>
                <w:u w:val="single" w:color="auto"/>
                <w:lang w:val="en-US" w:eastAsia="zh-CN"/>
              </w:rPr>
            </w:pPr>
            <w:r>
              <w:rPr>
                <w:rFonts w:hint="eastAsia"/>
                <w:b w:val="0"/>
                <w:bCs w:val="0"/>
                <w:u w:val="single" w:color="auto"/>
                <w:lang w:val="en-US" w:eastAsia="zh-CN"/>
              </w:rPr>
              <w:t>（2）调漆、浸漆、烘干有机废气</w:t>
            </w:r>
          </w:p>
          <w:p w14:paraId="0E7E0682">
            <w:pPr>
              <w:pStyle w:val="60"/>
              <w:ind w:firstLine="482"/>
              <w:jc w:val="both"/>
              <w:rPr>
                <w:rFonts w:hint="eastAsia" w:ascii="宋体" w:hAnsi="宋体" w:eastAsia="宋体" w:cs="宋体"/>
                <w:b w:val="0"/>
                <w:bCs/>
                <w:kern w:val="0"/>
                <w:u w:val="single" w:color="auto"/>
                <w:lang w:val="en-US" w:eastAsia="zh-CN"/>
              </w:rPr>
            </w:pPr>
            <w:r>
              <w:rPr>
                <w:rFonts w:hint="eastAsia" w:ascii="Times New Roman" w:hAnsi="Times New Roman" w:eastAsia="宋体" w:cs="Times New Roman"/>
                <w:b w:val="0"/>
                <w:bCs/>
                <w:kern w:val="0"/>
                <w:u w:val="single" w:color="auto"/>
                <w:lang w:eastAsia="zh-CN"/>
              </w:rPr>
              <w:t>本项目</w:t>
            </w:r>
            <w:r>
              <w:rPr>
                <w:rFonts w:hint="eastAsia" w:ascii="Times New Roman" w:hAnsi="Times New Roman" w:cs="Times New Roman"/>
                <w:b w:val="0"/>
                <w:bCs/>
                <w:kern w:val="0"/>
                <w:u w:val="single" w:color="auto"/>
                <w:lang w:val="en-US" w:eastAsia="zh-CN"/>
              </w:rPr>
              <w:t>含浸、烘干</w:t>
            </w:r>
            <w:r>
              <w:rPr>
                <w:rFonts w:hint="eastAsia" w:ascii="Times New Roman" w:hAnsi="Times New Roman" w:eastAsia="宋体" w:cs="Times New Roman"/>
                <w:b w:val="0"/>
                <w:bCs/>
                <w:kern w:val="0"/>
                <w:u w:val="single" w:color="auto"/>
                <w:lang w:eastAsia="zh-CN"/>
              </w:rPr>
              <w:t>有机废气主要来自</w:t>
            </w:r>
            <w:r>
              <w:rPr>
                <w:rFonts w:hint="eastAsia" w:ascii="Times New Roman" w:hAnsi="Times New Roman" w:cs="Times New Roman"/>
                <w:b w:val="0"/>
                <w:bCs/>
                <w:kern w:val="0"/>
                <w:u w:val="single" w:color="auto"/>
                <w:lang w:val="en-US" w:eastAsia="zh-CN"/>
              </w:rPr>
              <w:t>绝缘漆</w:t>
            </w:r>
            <w:r>
              <w:rPr>
                <w:rFonts w:hint="eastAsia" w:ascii="Times New Roman" w:hAnsi="Times New Roman" w:eastAsia="宋体" w:cs="Times New Roman"/>
                <w:b w:val="0"/>
                <w:bCs/>
                <w:kern w:val="0"/>
                <w:u w:val="single" w:color="auto"/>
                <w:lang w:eastAsia="zh-CN"/>
              </w:rPr>
              <w:t>、稀释剂中挥发</w:t>
            </w:r>
            <w:r>
              <w:rPr>
                <w:rFonts w:hint="eastAsia" w:ascii="Times New Roman" w:hAnsi="Times New Roman" w:cs="Times New Roman"/>
                <w:b w:val="0"/>
                <w:bCs/>
                <w:kern w:val="0"/>
                <w:u w:val="single" w:color="auto"/>
                <w:lang w:val="en-US" w:eastAsia="zh-CN"/>
              </w:rPr>
              <w:t>份</w:t>
            </w:r>
            <w:r>
              <w:rPr>
                <w:rFonts w:hint="eastAsia" w:ascii="Times New Roman" w:hAnsi="Times New Roman" w:eastAsia="宋体" w:cs="Times New Roman"/>
                <w:b w:val="0"/>
                <w:bCs/>
                <w:kern w:val="0"/>
                <w:u w:val="single" w:color="auto"/>
                <w:lang w:eastAsia="zh-CN"/>
              </w:rPr>
              <w:t>，本项目不含甲苯、苯等，本次评价按有</w:t>
            </w:r>
            <w:r>
              <w:rPr>
                <w:rFonts w:hint="eastAsia" w:ascii="Times New Roman" w:hAnsi="Times New Roman" w:cs="Times New Roman"/>
                <w:b w:val="0"/>
                <w:bCs/>
                <w:kern w:val="0"/>
                <w:u w:val="single" w:color="auto"/>
                <w:lang w:val="en-US" w:eastAsia="zh-CN"/>
              </w:rPr>
              <w:t>挥发份</w:t>
            </w:r>
            <w:r>
              <w:rPr>
                <w:rFonts w:hint="eastAsia" w:ascii="Times New Roman" w:hAnsi="Times New Roman" w:eastAsia="宋体" w:cs="Times New Roman"/>
                <w:b w:val="0"/>
                <w:bCs/>
                <w:kern w:val="0"/>
                <w:u w:val="single" w:color="auto"/>
                <w:lang w:eastAsia="zh-CN"/>
              </w:rPr>
              <w:t>全部挥发计算，其主要成分以</w:t>
            </w:r>
            <w:r>
              <w:rPr>
                <w:rFonts w:hint="eastAsia" w:ascii="Times New Roman" w:hAnsi="Times New Roman" w:eastAsia="宋体" w:cs="Times New Roman"/>
                <w:b w:val="0"/>
                <w:bCs/>
                <w:kern w:val="0"/>
                <w:u w:val="single" w:color="auto"/>
                <w:lang w:val="en-US" w:eastAsia="zh-CN"/>
              </w:rPr>
              <w:t>VOCs（以非甲烷总烃计）和</w:t>
            </w:r>
            <w:r>
              <w:rPr>
                <w:rFonts w:hint="eastAsia" w:ascii="Times New Roman" w:hAnsi="Times New Roman" w:cs="Times New Roman"/>
                <w:b w:val="0"/>
                <w:bCs/>
                <w:kern w:val="0"/>
                <w:u w:val="single" w:color="auto"/>
                <w:lang w:val="en-US" w:eastAsia="zh-CN"/>
              </w:rPr>
              <w:t>苯系物</w:t>
            </w:r>
            <w:r>
              <w:rPr>
                <w:rFonts w:hint="eastAsia" w:ascii="Times New Roman" w:hAnsi="Times New Roman" w:eastAsia="宋体" w:cs="Times New Roman"/>
                <w:b w:val="0"/>
                <w:bCs/>
                <w:kern w:val="0"/>
                <w:u w:val="single" w:color="auto"/>
                <w:lang w:val="en-US" w:eastAsia="zh-CN"/>
              </w:rPr>
              <w:t>（</w:t>
            </w:r>
            <w:r>
              <w:rPr>
                <w:rFonts w:hint="eastAsia" w:ascii="Times New Roman" w:hAnsi="Times New Roman" w:cs="Times New Roman"/>
                <w:b w:val="0"/>
                <w:bCs/>
                <w:kern w:val="0"/>
                <w:u w:val="single" w:color="auto"/>
                <w:lang w:val="en-US" w:eastAsia="zh-CN"/>
              </w:rPr>
              <w:t>二甲苯</w:t>
            </w:r>
            <w:r>
              <w:rPr>
                <w:rFonts w:hint="eastAsia" w:ascii="Times New Roman" w:hAnsi="Times New Roman" w:eastAsia="宋体" w:cs="Times New Roman"/>
                <w:b w:val="0"/>
                <w:bCs/>
                <w:kern w:val="0"/>
                <w:u w:val="single" w:color="auto"/>
                <w:lang w:val="en-US" w:eastAsia="zh-CN"/>
              </w:rPr>
              <w:t>）进行分析</w:t>
            </w:r>
            <w:r>
              <w:rPr>
                <w:rFonts w:hint="eastAsia" w:ascii="Times New Roman" w:hAnsi="Times New Roman" w:eastAsia="宋体" w:cs="Times New Roman"/>
                <w:b w:val="0"/>
                <w:bCs/>
                <w:kern w:val="0"/>
                <w:u w:val="single" w:color="auto"/>
                <w:lang w:eastAsia="zh-CN"/>
              </w:rPr>
              <w:t>。</w:t>
            </w:r>
          </w:p>
          <w:p w14:paraId="12241148">
            <w:pPr>
              <w:pStyle w:val="60"/>
              <w:ind w:firstLine="482"/>
              <w:jc w:val="both"/>
              <w:rPr>
                <w:rFonts w:hint="eastAsia" w:ascii="宋体" w:hAnsi="宋体" w:eastAsia="宋体" w:cs="宋体"/>
                <w:b w:val="0"/>
                <w:bCs/>
                <w:kern w:val="0"/>
                <w:u w:val="single" w:color="auto"/>
                <w:lang w:val="en-US" w:eastAsia="zh-CN"/>
              </w:rPr>
            </w:pPr>
            <w:r>
              <w:rPr>
                <w:rFonts w:hint="eastAsia" w:ascii="宋体" w:hAnsi="宋体" w:eastAsia="宋体" w:cs="宋体"/>
                <w:b w:val="0"/>
                <w:bCs/>
                <w:kern w:val="0"/>
                <w:u w:val="single" w:color="auto"/>
                <w:lang w:val="en-US" w:eastAsia="zh-CN"/>
              </w:rPr>
              <w:t>①</w:t>
            </w:r>
            <w:r>
              <w:rPr>
                <w:rFonts w:hint="eastAsia" w:ascii="Times New Roman" w:hAnsi="Times New Roman" w:eastAsia="宋体" w:cs="Times New Roman"/>
                <w:b w:val="0"/>
                <w:bCs/>
                <w:kern w:val="0"/>
                <w:u w:val="single" w:color="auto"/>
                <w:lang w:val="en-US" w:eastAsia="zh-CN"/>
              </w:rPr>
              <w:t>VOCs（以非甲烷总烃计）</w:t>
            </w:r>
          </w:p>
          <w:p w14:paraId="2E688E1D">
            <w:pPr>
              <w:pStyle w:val="60"/>
              <w:ind w:firstLine="482"/>
              <w:jc w:val="both"/>
              <w:rPr>
                <w:rFonts w:hint="eastAsia" w:ascii="Times New Roman" w:hAnsi="Times New Roman" w:eastAsia="宋体" w:cs="Times New Roman"/>
                <w:b w:val="0"/>
                <w:bCs/>
                <w:kern w:val="0"/>
                <w:u w:val="single" w:color="auto"/>
                <w:lang w:val="en-US" w:eastAsia="zh-CN"/>
              </w:rPr>
            </w:pPr>
            <w:r>
              <w:rPr>
                <w:rFonts w:hint="default" w:ascii="Times New Roman" w:hAnsi="Times New Roman" w:cs="Times New Roman"/>
                <w:b w:val="0"/>
                <w:bCs/>
                <w:kern w:val="0"/>
                <w:u w:val="single" w:color="auto"/>
                <w:lang w:eastAsia="zh-CN"/>
              </w:rPr>
              <w:t>根据工程分析中表</w:t>
            </w:r>
            <w:r>
              <w:rPr>
                <w:rFonts w:hint="default" w:ascii="Times New Roman" w:hAnsi="Times New Roman" w:cs="Times New Roman"/>
                <w:b w:val="0"/>
                <w:bCs/>
                <w:kern w:val="0"/>
                <w:u w:val="single" w:color="auto"/>
                <w:lang w:val="en-US" w:eastAsia="zh-CN"/>
              </w:rPr>
              <w:t>2-7</w:t>
            </w:r>
            <w:r>
              <w:rPr>
                <w:rFonts w:hint="eastAsia" w:ascii="Times New Roman" w:hAnsi="Times New Roman" w:cs="Times New Roman"/>
                <w:b w:val="0"/>
                <w:bCs/>
                <w:kern w:val="0"/>
                <w:u w:val="single" w:color="auto"/>
                <w:lang w:val="en-US" w:eastAsia="zh-CN"/>
              </w:rPr>
              <w:t>可知</w:t>
            </w:r>
            <w:r>
              <w:rPr>
                <w:rFonts w:hint="eastAsia" w:ascii="Times New Roman" w:cs="Times New Roman"/>
                <w:b w:val="0"/>
                <w:bCs/>
                <w:kern w:val="0"/>
                <w:u w:val="single" w:color="auto"/>
                <w:lang w:val="en-US" w:eastAsia="zh-CN"/>
              </w:rPr>
              <w:t>，项目物料挥发份中</w:t>
            </w:r>
            <w:r>
              <w:rPr>
                <w:rFonts w:hint="eastAsia" w:ascii="Times New Roman" w:hAnsi="Times New Roman" w:eastAsia="宋体" w:cs="Times New Roman"/>
                <w:b w:val="0"/>
                <w:bCs/>
                <w:kern w:val="0"/>
                <w:u w:val="single" w:color="auto"/>
                <w:lang w:val="en-US" w:eastAsia="zh-CN"/>
              </w:rPr>
              <w:t>VOCs（以非甲烷总烃计）</w:t>
            </w:r>
            <w:r>
              <w:rPr>
                <w:rFonts w:hint="eastAsia" w:ascii="Times New Roman" w:cs="Times New Roman"/>
                <w:b w:val="0"/>
                <w:bCs/>
                <w:kern w:val="0"/>
                <w:u w:val="single" w:color="auto"/>
                <w:lang w:val="en-US" w:eastAsia="zh-CN"/>
              </w:rPr>
              <w:t>为1.25t/a，</w:t>
            </w:r>
            <w:r>
              <w:rPr>
                <w:rFonts w:hint="eastAsia" w:ascii="Times New Roman" w:hAnsi="Times New Roman" w:eastAsia="宋体" w:cs="Times New Roman"/>
                <w:b w:val="0"/>
                <w:bCs/>
                <w:kern w:val="0"/>
                <w:u w:val="single" w:color="auto"/>
                <w:lang w:eastAsia="zh-CN"/>
              </w:rPr>
              <w:t>本次评价按全部挥发计算，则</w:t>
            </w:r>
            <w:r>
              <w:rPr>
                <w:rFonts w:hint="eastAsia" w:ascii="Times New Roman" w:hAnsi="Times New Roman" w:eastAsia="宋体" w:cs="Times New Roman"/>
                <w:b w:val="0"/>
                <w:bCs/>
                <w:kern w:val="0"/>
                <w:u w:val="single" w:color="auto"/>
                <w:lang w:val="en-US" w:eastAsia="zh-CN"/>
              </w:rPr>
              <w:t>VOCs（以非甲烷总烃计）的产生量为</w:t>
            </w:r>
            <w:r>
              <w:rPr>
                <w:rFonts w:hint="eastAsia" w:ascii="Times New Roman" w:cs="Times New Roman"/>
                <w:b w:val="0"/>
                <w:bCs/>
                <w:kern w:val="0"/>
                <w:u w:val="single" w:color="auto"/>
                <w:lang w:val="en-US" w:eastAsia="zh-CN"/>
              </w:rPr>
              <w:t>1.25t</w:t>
            </w:r>
            <w:r>
              <w:rPr>
                <w:rFonts w:hint="eastAsia" w:ascii="Times New Roman" w:hAnsi="Times New Roman" w:eastAsia="宋体" w:cs="Times New Roman"/>
                <w:b w:val="0"/>
                <w:bCs/>
                <w:kern w:val="0"/>
                <w:u w:val="single" w:color="auto"/>
                <w:lang w:val="en-US" w:eastAsia="zh-CN"/>
              </w:rPr>
              <w:t>/a。</w:t>
            </w:r>
          </w:p>
          <w:p w14:paraId="5BA14EC2">
            <w:pPr>
              <w:pStyle w:val="60"/>
              <w:ind w:firstLine="482"/>
              <w:jc w:val="both"/>
              <w:rPr>
                <w:rFonts w:hint="eastAsia" w:ascii="Times New Roman" w:eastAsia="宋体" w:cs="Times New Roman"/>
                <w:b w:val="0"/>
                <w:bCs/>
                <w:kern w:val="0"/>
                <w:u w:val="single" w:color="auto"/>
                <w:lang w:eastAsia="zh-CN"/>
              </w:rPr>
            </w:pPr>
            <w:r>
              <w:rPr>
                <w:rFonts w:hint="eastAsia" w:ascii="宋体" w:hAnsi="宋体" w:eastAsia="宋体" w:cs="宋体"/>
                <w:b w:val="0"/>
                <w:bCs/>
                <w:kern w:val="0"/>
                <w:u w:val="single" w:color="auto"/>
              </w:rPr>
              <w:t>②</w:t>
            </w:r>
            <w:r>
              <w:rPr>
                <w:rFonts w:hint="eastAsia" w:ascii="Times New Roman" w:cs="Times New Roman"/>
                <w:b w:val="0"/>
                <w:bCs/>
                <w:kern w:val="0"/>
                <w:u w:val="single" w:color="auto"/>
                <w:lang w:val="en-US" w:eastAsia="zh-CN"/>
              </w:rPr>
              <w:t>苯系物</w:t>
            </w:r>
            <w:r>
              <w:rPr>
                <w:rFonts w:hint="eastAsia" w:ascii="Times New Roman" w:cs="Times New Roman"/>
                <w:b w:val="0"/>
                <w:bCs/>
                <w:kern w:val="0"/>
                <w:u w:val="single" w:color="auto"/>
                <w:lang w:eastAsia="zh-CN"/>
              </w:rPr>
              <w:t>（</w:t>
            </w:r>
            <w:r>
              <w:rPr>
                <w:rFonts w:hint="eastAsia" w:ascii="Times New Roman" w:cs="Times New Roman"/>
                <w:b w:val="0"/>
                <w:bCs/>
                <w:kern w:val="0"/>
                <w:u w:val="single" w:color="auto"/>
                <w:lang w:val="en-US" w:eastAsia="zh-CN"/>
              </w:rPr>
              <w:t>二甲苯</w:t>
            </w:r>
            <w:r>
              <w:rPr>
                <w:rFonts w:hint="eastAsia" w:ascii="Times New Roman" w:cs="Times New Roman"/>
                <w:b w:val="0"/>
                <w:bCs/>
                <w:kern w:val="0"/>
                <w:u w:val="single" w:color="auto"/>
                <w:lang w:eastAsia="zh-CN"/>
              </w:rPr>
              <w:t>）</w:t>
            </w:r>
          </w:p>
          <w:p w14:paraId="73D57737">
            <w:pPr>
              <w:pStyle w:val="40"/>
              <w:bidi w:val="0"/>
              <w:rPr>
                <w:rFonts w:hint="eastAsia" w:cs="Times New Roman"/>
                <w:b w:val="0"/>
                <w:bCs/>
                <w:kern w:val="0"/>
                <w:u w:val="single" w:color="auto"/>
                <w:lang w:val="en-US" w:eastAsia="zh-CN"/>
              </w:rPr>
            </w:pPr>
            <w:r>
              <w:rPr>
                <w:rFonts w:hint="default" w:ascii="Times New Roman" w:hAnsi="Times New Roman" w:cs="Times New Roman"/>
                <w:b w:val="0"/>
                <w:bCs/>
                <w:kern w:val="0"/>
                <w:u w:val="single" w:color="auto"/>
                <w:lang w:eastAsia="zh-CN"/>
              </w:rPr>
              <w:t>根据工程分析中表</w:t>
            </w:r>
            <w:r>
              <w:rPr>
                <w:rFonts w:hint="default" w:ascii="Times New Roman" w:hAnsi="Times New Roman" w:cs="Times New Roman"/>
                <w:b w:val="0"/>
                <w:bCs/>
                <w:kern w:val="0"/>
                <w:u w:val="single" w:color="auto"/>
                <w:lang w:val="en-US" w:eastAsia="zh-CN"/>
              </w:rPr>
              <w:t>2-7</w:t>
            </w:r>
            <w:r>
              <w:rPr>
                <w:rFonts w:hint="eastAsia" w:ascii="Times New Roman" w:hAnsi="Times New Roman" w:cs="Times New Roman"/>
                <w:b w:val="0"/>
                <w:bCs/>
                <w:kern w:val="0"/>
                <w:u w:val="single" w:color="auto"/>
                <w:lang w:val="en-US" w:eastAsia="zh-CN"/>
              </w:rPr>
              <w:t>可知，项目物料挥发份中二甲苯的含量为</w:t>
            </w:r>
            <w:r>
              <w:rPr>
                <w:rFonts w:hint="eastAsia" w:ascii="Times New Roman" w:cs="Times New Roman"/>
                <w:b w:val="0"/>
                <w:bCs/>
                <w:kern w:val="0"/>
                <w:u w:val="single" w:color="auto"/>
                <w:lang w:val="en-US" w:eastAsia="zh-CN"/>
              </w:rPr>
              <w:t>0.</w:t>
            </w:r>
            <w:r>
              <w:rPr>
                <w:rFonts w:hint="eastAsia" w:cs="Times New Roman"/>
                <w:b w:val="0"/>
                <w:bCs/>
                <w:kern w:val="0"/>
                <w:u w:val="single" w:color="auto"/>
                <w:lang w:val="en-US" w:eastAsia="zh-CN"/>
              </w:rPr>
              <w:t>23</w:t>
            </w:r>
            <w:r>
              <w:rPr>
                <w:rFonts w:hint="eastAsia" w:ascii="Times New Roman" w:hAnsi="Times New Roman" w:cs="Times New Roman"/>
                <w:b w:val="0"/>
                <w:bCs/>
                <w:kern w:val="0"/>
                <w:u w:val="single" w:color="auto"/>
                <w:lang w:val="en-US" w:eastAsia="zh-CN"/>
              </w:rPr>
              <w:t>t/a，</w:t>
            </w:r>
            <w:r>
              <w:rPr>
                <w:rFonts w:hint="eastAsia" w:ascii="Times New Roman" w:hAnsi="Times New Roman" w:eastAsia="宋体" w:cs="Times New Roman"/>
                <w:b w:val="0"/>
                <w:bCs/>
                <w:kern w:val="0"/>
                <w:u w:val="single" w:color="auto"/>
                <w:lang w:eastAsia="zh-CN"/>
              </w:rPr>
              <w:t>本次评价按有机溶剂全部挥发计算，则</w:t>
            </w:r>
            <w:r>
              <w:rPr>
                <w:rFonts w:hint="eastAsia" w:ascii="Times New Roman" w:hAnsi="Times New Roman" w:cs="Times New Roman"/>
                <w:b w:val="0"/>
                <w:bCs/>
                <w:kern w:val="0"/>
                <w:u w:val="single" w:color="auto"/>
                <w:lang w:val="en-US" w:eastAsia="zh-CN"/>
              </w:rPr>
              <w:t>苯系物（</w:t>
            </w:r>
            <w:r>
              <w:rPr>
                <w:rFonts w:hint="eastAsia" w:ascii="Times New Roman" w:hAnsi="Times New Roman" w:eastAsia="宋体" w:cs="Times New Roman"/>
                <w:b w:val="0"/>
                <w:bCs/>
                <w:kern w:val="0"/>
                <w:u w:val="single" w:color="auto"/>
                <w:lang w:eastAsia="zh-CN"/>
              </w:rPr>
              <w:t>二甲苯</w:t>
            </w:r>
            <w:r>
              <w:rPr>
                <w:rFonts w:hint="eastAsia" w:ascii="Times New Roman" w:hAnsi="Times New Roman" w:cs="Times New Roman"/>
                <w:b w:val="0"/>
                <w:bCs/>
                <w:kern w:val="0"/>
                <w:u w:val="single" w:color="auto"/>
                <w:lang w:val="en-US" w:eastAsia="zh-CN"/>
              </w:rPr>
              <w:t>）</w:t>
            </w:r>
            <w:r>
              <w:rPr>
                <w:rFonts w:hint="eastAsia" w:ascii="Times New Roman" w:hAnsi="Times New Roman" w:eastAsia="宋体" w:cs="Times New Roman"/>
                <w:b w:val="0"/>
                <w:bCs/>
                <w:kern w:val="0"/>
                <w:u w:val="single" w:color="auto"/>
                <w:lang w:val="en-US" w:eastAsia="zh-CN"/>
              </w:rPr>
              <w:t>的产生量为</w:t>
            </w:r>
            <w:r>
              <w:rPr>
                <w:rFonts w:hint="eastAsia" w:ascii="Times New Roman" w:cs="Times New Roman"/>
                <w:b w:val="0"/>
                <w:bCs/>
                <w:kern w:val="0"/>
                <w:u w:val="single" w:color="auto"/>
                <w:lang w:val="en-US" w:eastAsia="zh-CN"/>
              </w:rPr>
              <w:t>0.</w:t>
            </w:r>
            <w:r>
              <w:rPr>
                <w:rFonts w:hint="eastAsia" w:cs="Times New Roman"/>
                <w:b w:val="0"/>
                <w:bCs/>
                <w:kern w:val="0"/>
                <w:u w:val="single" w:color="auto"/>
                <w:lang w:val="en-US" w:eastAsia="zh-CN"/>
              </w:rPr>
              <w:t>23</w:t>
            </w:r>
            <w:r>
              <w:rPr>
                <w:rFonts w:hint="eastAsia" w:ascii="Times New Roman" w:hAnsi="Times New Roman" w:eastAsia="宋体" w:cs="Times New Roman"/>
                <w:b w:val="0"/>
                <w:bCs/>
                <w:kern w:val="0"/>
                <w:u w:val="single" w:color="auto"/>
                <w:lang w:val="en-US" w:eastAsia="zh-CN"/>
              </w:rPr>
              <w:t>t/a</w:t>
            </w:r>
            <w:r>
              <w:rPr>
                <w:rFonts w:hint="eastAsia" w:cs="Times New Roman"/>
                <w:b w:val="0"/>
                <w:bCs/>
                <w:kern w:val="0"/>
                <w:u w:val="single" w:color="auto"/>
                <w:lang w:val="en-US" w:eastAsia="zh-CN"/>
              </w:rPr>
              <w:t>。</w:t>
            </w:r>
          </w:p>
          <w:p w14:paraId="017114CA">
            <w:pPr>
              <w:pStyle w:val="40"/>
              <w:bidi w:val="0"/>
              <w:rPr>
                <w:rFonts w:hint="default" w:ascii="Times New Roman" w:hAnsi="Times New Roman" w:cs="Times New Roman"/>
                <w:b w:val="0"/>
                <w:bCs w:val="0"/>
                <w:u w:val="single" w:color="auto"/>
                <w:lang w:val="en-US" w:eastAsia="zh-CN"/>
              </w:rPr>
            </w:pPr>
            <w:r>
              <w:rPr>
                <w:rFonts w:hint="default" w:ascii="Times New Roman" w:hAnsi="Times New Roman" w:cs="Times New Roman"/>
                <w:b w:val="0"/>
                <w:bCs w:val="0"/>
                <w:u w:val="single" w:color="auto"/>
                <w:lang w:val="en-US" w:eastAsia="zh-CN"/>
              </w:rPr>
              <w:t>项目含浸、烘干等工序1天以9小时计,一年以300天计。项目VOCs（以非甲烷总烃计）产生量为</w:t>
            </w:r>
            <w:r>
              <w:rPr>
                <w:rFonts w:hint="eastAsia" w:ascii="Times New Roman" w:hAnsi="Times New Roman" w:cs="Times New Roman"/>
                <w:b w:val="0"/>
                <w:bCs w:val="0"/>
                <w:u w:val="single" w:color="auto"/>
                <w:lang w:val="en-US" w:eastAsia="zh-CN"/>
              </w:rPr>
              <w:t>1.2</w:t>
            </w:r>
            <w:r>
              <w:rPr>
                <w:rFonts w:hint="default" w:ascii="Times New Roman" w:hAnsi="Times New Roman" w:cs="Times New Roman"/>
                <w:b w:val="0"/>
                <w:bCs w:val="0"/>
                <w:u w:val="single" w:color="auto"/>
                <w:lang w:val="en-US" w:eastAsia="zh-CN"/>
              </w:rPr>
              <w:t>5t/a,</w:t>
            </w:r>
            <w:r>
              <w:rPr>
                <w:rFonts w:hint="eastAsia" w:cs="Times New Roman"/>
                <w:b w:val="0"/>
                <w:bCs w:val="0"/>
                <w:u w:val="single" w:color="auto"/>
                <w:lang w:val="en-US" w:eastAsia="zh-CN"/>
              </w:rPr>
              <w:t>本项目调漆、浸漆及烘干作业区域设置独立密闭含浸房形成整体密闭空间，房间出入口配备密封软帘减少废气外溢，配套排风系统持续抽风使房内保持微负压状态，同时在设备工位上方增设局部集气罩强化高浓度废气就近捕集，汇入一套二级活性炭吸附装置处理，收集效率取90%，处理效率取50%，风机风量为11000m</w:t>
            </w:r>
            <w:r>
              <w:rPr>
                <w:rFonts w:hint="eastAsia" w:cs="Times New Roman"/>
                <w:b w:val="0"/>
                <w:bCs w:val="0"/>
                <w:u w:val="single" w:color="auto"/>
                <w:vertAlign w:val="superscript"/>
                <w:lang w:val="en-US" w:eastAsia="zh-CN"/>
              </w:rPr>
              <w:t>3</w:t>
            </w:r>
            <w:r>
              <w:rPr>
                <w:rFonts w:hint="eastAsia" w:cs="Times New Roman"/>
                <w:b w:val="0"/>
                <w:bCs w:val="0"/>
                <w:u w:val="single" w:color="auto"/>
                <w:lang w:val="en-US" w:eastAsia="zh-CN"/>
              </w:rPr>
              <w:t>/h，则项目有组织</w:t>
            </w:r>
            <w:r>
              <w:rPr>
                <w:rFonts w:hint="default" w:ascii="Times New Roman" w:hAnsi="Times New Roman" w:cs="Times New Roman"/>
                <w:b w:val="0"/>
                <w:bCs w:val="0"/>
                <w:u w:val="single" w:color="auto"/>
                <w:lang w:val="en-US" w:eastAsia="zh-CN"/>
              </w:rPr>
              <w:t>VOCs（以非甲烷总烃计）</w:t>
            </w:r>
            <w:r>
              <w:rPr>
                <w:rFonts w:hint="eastAsia" w:cs="Times New Roman"/>
                <w:b w:val="0"/>
                <w:bCs w:val="0"/>
                <w:u w:val="single" w:color="auto"/>
                <w:lang w:val="en-US" w:eastAsia="zh-CN"/>
              </w:rPr>
              <w:t>产生量为1.125t/a，</w:t>
            </w:r>
            <w:r>
              <w:rPr>
                <w:rFonts w:hint="default" w:ascii="Times New Roman" w:hAnsi="Times New Roman" w:cs="Times New Roman"/>
                <w:b w:val="0"/>
                <w:bCs w:val="0"/>
                <w:u w:val="single" w:color="auto"/>
                <w:lang w:val="en-US" w:eastAsia="zh-CN"/>
              </w:rPr>
              <w:t>产生速率为</w:t>
            </w:r>
            <w:r>
              <w:rPr>
                <w:rFonts w:hint="eastAsia" w:ascii="Times New Roman" w:hAnsi="Times New Roman" w:cs="Times New Roman"/>
                <w:b w:val="0"/>
                <w:bCs w:val="0"/>
                <w:u w:val="single" w:color="auto"/>
                <w:lang w:val="en-US" w:eastAsia="zh-CN"/>
              </w:rPr>
              <w:t>0.417</w:t>
            </w:r>
            <w:r>
              <w:rPr>
                <w:rFonts w:hint="default" w:ascii="Times New Roman" w:hAnsi="Times New Roman" w:cs="Times New Roman"/>
                <w:b w:val="0"/>
                <w:bCs w:val="0"/>
                <w:u w:val="single" w:color="auto"/>
                <w:lang w:val="en-US" w:eastAsia="zh-CN"/>
              </w:rPr>
              <w:t>kg/h,产生浓度为</w:t>
            </w:r>
            <w:r>
              <w:rPr>
                <w:rFonts w:hint="eastAsia" w:cs="Times New Roman"/>
                <w:b w:val="0"/>
                <w:bCs w:val="0"/>
                <w:u w:val="single" w:color="auto"/>
                <w:lang w:val="en-US" w:eastAsia="zh-CN"/>
              </w:rPr>
              <w:t>37.88</w:t>
            </w:r>
            <w:r>
              <w:rPr>
                <w:rFonts w:hint="default" w:ascii="Times New Roman" w:hAnsi="Times New Roman" w:cs="Times New Roman"/>
                <w:b w:val="0"/>
                <w:bCs w:val="0"/>
                <w:u w:val="single" w:color="auto"/>
                <w:lang w:val="en-US" w:eastAsia="zh-CN"/>
              </w:rPr>
              <w:t>mg/m</w:t>
            </w:r>
            <w:r>
              <w:rPr>
                <w:rFonts w:hint="default" w:ascii="Times New Roman" w:hAnsi="Times New Roman" w:cs="Times New Roman"/>
                <w:b w:val="0"/>
                <w:bCs w:val="0"/>
                <w:u w:val="single" w:color="auto"/>
                <w:vertAlign w:val="superscript"/>
                <w:lang w:val="en-US" w:eastAsia="zh-CN"/>
              </w:rPr>
              <w:t>3</w:t>
            </w:r>
            <w:r>
              <w:rPr>
                <w:rFonts w:hint="default" w:ascii="Times New Roman" w:hAnsi="Times New Roman" w:cs="Times New Roman"/>
                <w:b w:val="0"/>
                <w:bCs w:val="0"/>
                <w:u w:val="single" w:color="auto"/>
                <w:lang w:val="en-US" w:eastAsia="zh-CN"/>
              </w:rPr>
              <w:t>，经处理后排放量为</w:t>
            </w:r>
            <w:r>
              <w:rPr>
                <w:rFonts w:hint="eastAsia" w:ascii="Times New Roman" w:hAnsi="Times New Roman" w:cs="Times New Roman"/>
                <w:b w:val="0"/>
                <w:bCs w:val="0"/>
                <w:u w:val="single" w:color="auto"/>
                <w:lang w:val="en-US" w:eastAsia="zh-CN"/>
              </w:rPr>
              <w:t>0.5625</w:t>
            </w:r>
            <w:r>
              <w:rPr>
                <w:rFonts w:hint="default" w:ascii="Times New Roman" w:hAnsi="Times New Roman" w:cs="Times New Roman"/>
                <w:b w:val="0"/>
                <w:bCs w:val="0"/>
                <w:u w:val="single" w:color="auto"/>
                <w:lang w:val="en-US" w:eastAsia="zh-CN"/>
              </w:rPr>
              <w:t>t/a，排放速率为</w:t>
            </w:r>
            <w:r>
              <w:rPr>
                <w:rFonts w:hint="eastAsia" w:ascii="Times New Roman" w:hAnsi="Times New Roman" w:cs="Times New Roman"/>
                <w:b w:val="0"/>
                <w:bCs w:val="0"/>
                <w:u w:val="single" w:color="auto"/>
                <w:lang w:val="en-US" w:eastAsia="zh-CN"/>
              </w:rPr>
              <w:t>0.208</w:t>
            </w:r>
            <w:r>
              <w:rPr>
                <w:rFonts w:hint="default" w:ascii="Times New Roman" w:hAnsi="Times New Roman" w:cs="Times New Roman"/>
                <w:b w:val="0"/>
                <w:bCs w:val="0"/>
                <w:u w:val="single" w:color="auto"/>
                <w:lang w:val="en-US" w:eastAsia="zh-CN"/>
              </w:rPr>
              <w:t>kg/h，排放浓度为</w:t>
            </w:r>
            <w:r>
              <w:rPr>
                <w:rFonts w:hint="eastAsia" w:ascii="Times New Roman" w:hAnsi="Times New Roman" w:cs="Times New Roman"/>
                <w:b w:val="0"/>
                <w:bCs w:val="0"/>
                <w:u w:val="single" w:color="auto"/>
                <w:lang w:val="en-US" w:eastAsia="zh-CN"/>
              </w:rPr>
              <w:t>18.94</w:t>
            </w:r>
            <w:r>
              <w:rPr>
                <w:rFonts w:hint="default" w:ascii="Times New Roman" w:hAnsi="Times New Roman" w:cs="Times New Roman"/>
                <w:b w:val="0"/>
                <w:bCs w:val="0"/>
                <w:u w:val="single" w:color="auto"/>
                <w:lang w:val="en-US" w:eastAsia="zh-CN"/>
              </w:rPr>
              <w:t>mg/m</w:t>
            </w:r>
            <w:r>
              <w:rPr>
                <w:rFonts w:hint="eastAsia" w:cs="Times New Roman"/>
                <w:b w:val="0"/>
                <w:bCs w:val="0"/>
                <w:u w:val="single" w:color="auto"/>
                <w:vertAlign w:val="superscript"/>
                <w:lang w:val="en-US" w:eastAsia="zh-CN"/>
              </w:rPr>
              <w:t>3</w:t>
            </w:r>
            <w:r>
              <w:rPr>
                <w:rFonts w:hint="default" w:ascii="Times New Roman" w:hAnsi="Times New Roman" w:cs="Times New Roman"/>
                <w:b w:val="0"/>
                <w:bCs w:val="0"/>
                <w:u w:val="single" w:color="auto"/>
                <w:lang w:val="en-US" w:eastAsia="zh-CN"/>
              </w:rPr>
              <w:t>。项目VOCs（以非甲烷总烃计）无组织排放量为</w:t>
            </w:r>
            <w:r>
              <w:rPr>
                <w:rFonts w:hint="eastAsia" w:ascii="Times New Roman" w:hAnsi="Times New Roman" w:cs="Times New Roman"/>
                <w:b w:val="0"/>
                <w:bCs w:val="0"/>
                <w:u w:val="single" w:color="auto"/>
                <w:lang w:val="en-US" w:eastAsia="zh-CN"/>
              </w:rPr>
              <w:t>0.125</w:t>
            </w:r>
            <w:r>
              <w:rPr>
                <w:rFonts w:hint="default" w:ascii="Times New Roman" w:hAnsi="Times New Roman" w:cs="Times New Roman"/>
                <w:b w:val="0"/>
                <w:bCs w:val="0"/>
                <w:u w:val="single" w:color="auto"/>
                <w:lang w:val="en-US" w:eastAsia="zh-CN"/>
              </w:rPr>
              <w:t>t/a，排放速率为</w:t>
            </w:r>
            <w:r>
              <w:rPr>
                <w:rFonts w:hint="eastAsia" w:ascii="Times New Roman" w:hAnsi="Times New Roman" w:cs="Times New Roman"/>
                <w:b w:val="0"/>
                <w:bCs w:val="0"/>
                <w:u w:val="single" w:color="auto"/>
                <w:lang w:val="en-US" w:eastAsia="zh-CN"/>
              </w:rPr>
              <w:t>0.046</w:t>
            </w:r>
            <w:r>
              <w:rPr>
                <w:rFonts w:hint="default" w:ascii="Times New Roman" w:hAnsi="Times New Roman" w:cs="Times New Roman"/>
                <w:b w:val="0"/>
                <w:bCs w:val="0"/>
                <w:u w:val="single" w:color="auto"/>
                <w:lang w:val="en-US" w:eastAsia="zh-CN"/>
              </w:rPr>
              <w:t>kg/h。</w:t>
            </w:r>
          </w:p>
          <w:p w14:paraId="4FAF8341">
            <w:pPr>
              <w:pStyle w:val="40"/>
              <w:bidi w:val="0"/>
              <w:rPr>
                <w:rFonts w:hint="default" w:ascii="Times New Roman" w:hAnsi="Times New Roman" w:cs="Times New Roman"/>
                <w:b w:val="0"/>
                <w:bCs w:val="0"/>
                <w:u w:val="single" w:color="auto"/>
                <w:lang w:val="en-US" w:eastAsia="zh-CN"/>
              </w:rPr>
            </w:pPr>
            <w:r>
              <w:rPr>
                <w:rFonts w:hint="default" w:ascii="Times New Roman" w:hAnsi="Times New Roman" w:cs="Times New Roman"/>
                <w:b w:val="0"/>
                <w:bCs w:val="0"/>
                <w:u w:val="single" w:color="auto"/>
                <w:lang w:val="en-US" w:eastAsia="zh-CN"/>
              </w:rPr>
              <w:t>项目苯系物（二甲苯）产生量为0.</w:t>
            </w:r>
            <w:r>
              <w:rPr>
                <w:rFonts w:hint="eastAsia" w:ascii="Times New Roman" w:hAnsi="Times New Roman" w:cs="Times New Roman"/>
                <w:b w:val="0"/>
                <w:bCs w:val="0"/>
                <w:u w:val="single" w:color="auto"/>
                <w:lang w:val="en-US" w:eastAsia="zh-CN"/>
              </w:rPr>
              <w:t>23</w:t>
            </w:r>
            <w:r>
              <w:rPr>
                <w:rFonts w:hint="default" w:ascii="Times New Roman" w:hAnsi="Times New Roman" w:cs="Times New Roman"/>
                <w:b w:val="0"/>
                <w:bCs w:val="0"/>
                <w:u w:val="single" w:color="auto"/>
                <w:lang w:val="en-US" w:eastAsia="zh-CN"/>
              </w:rPr>
              <w:t>t/a</w:t>
            </w:r>
            <w:r>
              <w:rPr>
                <w:rFonts w:hint="eastAsia" w:cs="Times New Roman"/>
                <w:b w:val="0"/>
                <w:bCs w:val="0"/>
                <w:u w:val="single" w:color="auto"/>
                <w:lang w:val="en-US" w:eastAsia="zh-CN"/>
              </w:rPr>
              <w:t>，则项目有组织苯系物</w:t>
            </w:r>
            <w:r>
              <w:rPr>
                <w:rFonts w:hint="default" w:ascii="Times New Roman" w:hAnsi="Times New Roman" w:cs="Times New Roman"/>
                <w:b w:val="0"/>
                <w:bCs w:val="0"/>
                <w:u w:val="single" w:color="auto"/>
                <w:lang w:val="en-US" w:eastAsia="zh-CN"/>
              </w:rPr>
              <w:t>（</w:t>
            </w:r>
            <w:r>
              <w:rPr>
                <w:rFonts w:hint="eastAsia" w:cs="Times New Roman"/>
                <w:b w:val="0"/>
                <w:bCs w:val="0"/>
                <w:u w:val="single" w:color="auto"/>
                <w:lang w:val="en-US" w:eastAsia="zh-CN"/>
              </w:rPr>
              <w:t>二甲苯</w:t>
            </w:r>
            <w:r>
              <w:rPr>
                <w:rFonts w:hint="default" w:ascii="Times New Roman" w:hAnsi="Times New Roman" w:cs="Times New Roman"/>
                <w:b w:val="0"/>
                <w:bCs w:val="0"/>
                <w:u w:val="single" w:color="auto"/>
                <w:lang w:val="en-US" w:eastAsia="zh-CN"/>
              </w:rPr>
              <w:t>）</w:t>
            </w:r>
            <w:r>
              <w:rPr>
                <w:rFonts w:hint="eastAsia" w:cs="Times New Roman"/>
                <w:b w:val="0"/>
                <w:bCs w:val="0"/>
                <w:u w:val="single" w:color="auto"/>
                <w:lang w:val="en-US" w:eastAsia="zh-CN"/>
              </w:rPr>
              <w:t>产生量为0.207t/a，</w:t>
            </w:r>
            <w:r>
              <w:rPr>
                <w:rFonts w:hint="default" w:ascii="Times New Roman" w:hAnsi="Times New Roman" w:cs="Times New Roman"/>
                <w:b w:val="0"/>
                <w:bCs w:val="0"/>
                <w:u w:val="single" w:color="auto"/>
                <w:lang w:val="en-US" w:eastAsia="zh-CN"/>
              </w:rPr>
              <w:t>产生速率为</w:t>
            </w:r>
            <w:r>
              <w:rPr>
                <w:rFonts w:hint="eastAsia" w:cs="Times New Roman"/>
                <w:b w:val="0"/>
                <w:bCs w:val="0"/>
                <w:u w:val="single" w:color="auto"/>
                <w:lang w:val="en-US" w:eastAsia="zh-CN"/>
              </w:rPr>
              <w:t>0.077</w:t>
            </w:r>
            <w:r>
              <w:rPr>
                <w:rFonts w:hint="default" w:ascii="Times New Roman" w:hAnsi="Times New Roman" w:cs="Times New Roman"/>
                <w:b w:val="0"/>
                <w:bCs w:val="0"/>
                <w:u w:val="single" w:color="auto"/>
                <w:lang w:val="en-US" w:eastAsia="zh-CN"/>
              </w:rPr>
              <w:t>kg/h，产生浓度为</w:t>
            </w:r>
            <w:r>
              <w:rPr>
                <w:rFonts w:hint="eastAsia" w:cs="Times New Roman"/>
                <w:b w:val="0"/>
                <w:bCs w:val="0"/>
                <w:u w:val="single" w:color="auto"/>
                <w:lang w:val="en-US" w:eastAsia="zh-CN"/>
              </w:rPr>
              <w:t>3.83</w:t>
            </w:r>
            <w:r>
              <w:rPr>
                <w:rFonts w:hint="default" w:ascii="Times New Roman" w:hAnsi="Times New Roman" w:cs="Times New Roman"/>
                <w:b w:val="0"/>
                <w:bCs w:val="0"/>
                <w:u w:val="single" w:color="auto"/>
                <w:lang w:val="en-US" w:eastAsia="zh-CN"/>
              </w:rPr>
              <w:t>mg/m</w:t>
            </w:r>
            <w:r>
              <w:rPr>
                <w:rFonts w:hint="default" w:ascii="Times New Roman" w:hAnsi="Times New Roman" w:cs="Times New Roman"/>
                <w:b w:val="0"/>
                <w:bCs w:val="0"/>
                <w:u w:val="single" w:color="auto"/>
                <w:vertAlign w:val="superscript"/>
                <w:lang w:val="en-US" w:eastAsia="zh-CN"/>
              </w:rPr>
              <w:t>3</w:t>
            </w:r>
            <w:r>
              <w:rPr>
                <w:rFonts w:hint="default" w:ascii="Times New Roman" w:hAnsi="Times New Roman" w:cs="Times New Roman"/>
                <w:b w:val="0"/>
                <w:bCs w:val="0"/>
                <w:u w:val="single" w:color="auto"/>
                <w:lang w:val="en-US" w:eastAsia="zh-CN"/>
              </w:rPr>
              <w:t>，经处理后排放量为</w:t>
            </w:r>
            <w:r>
              <w:rPr>
                <w:rFonts w:hint="eastAsia" w:ascii="Times New Roman" w:hAnsi="Times New Roman" w:cs="Times New Roman"/>
                <w:b w:val="0"/>
                <w:bCs w:val="0"/>
                <w:u w:val="single" w:color="auto"/>
                <w:lang w:val="en-US" w:eastAsia="zh-CN"/>
              </w:rPr>
              <w:t>0.1035</w:t>
            </w:r>
            <w:r>
              <w:rPr>
                <w:rFonts w:hint="default" w:ascii="Times New Roman" w:hAnsi="Times New Roman" w:cs="Times New Roman"/>
                <w:b w:val="0"/>
                <w:bCs w:val="0"/>
                <w:u w:val="single" w:color="auto"/>
                <w:lang w:val="en-US" w:eastAsia="zh-CN"/>
              </w:rPr>
              <w:t>t/a,排放速率为</w:t>
            </w:r>
            <w:r>
              <w:rPr>
                <w:rFonts w:hint="eastAsia" w:ascii="Times New Roman" w:hAnsi="Times New Roman" w:cs="Times New Roman"/>
                <w:b w:val="0"/>
                <w:bCs w:val="0"/>
                <w:u w:val="single" w:color="auto"/>
                <w:lang w:val="en-US" w:eastAsia="zh-CN"/>
              </w:rPr>
              <w:t>0.038</w:t>
            </w:r>
            <w:r>
              <w:rPr>
                <w:rFonts w:hint="default" w:ascii="Times New Roman" w:hAnsi="Times New Roman" w:cs="Times New Roman"/>
                <w:b w:val="0"/>
                <w:bCs w:val="0"/>
                <w:u w:val="single" w:color="auto"/>
                <w:lang w:val="en-US" w:eastAsia="zh-CN"/>
              </w:rPr>
              <w:t>kg/h，排放浓度为</w:t>
            </w:r>
            <w:r>
              <w:rPr>
                <w:rFonts w:hint="eastAsia" w:ascii="Times New Roman" w:hAnsi="Times New Roman" w:cs="Times New Roman"/>
                <w:b w:val="0"/>
                <w:bCs w:val="0"/>
                <w:u w:val="single" w:color="auto"/>
                <w:lang w:val="en-US" w:eastAsia="zh-CN"/>
              </w:rPr>
              <w:t>1.92</w:t>
            </w:r>
            <w:r>
              <w:rPr>
                <w:rFonts w:hint="default" w:ascii="Times New Roman" w:hAnsi="Times New Roman" w:cs="Times New Roman"/>
                <w:b w:val="0"/>
                <w:bCs w:val="0"/>
                <w:u w:val="single" w:color="auto"/>
                <w:lang w:val="en-US" w:eastAsia="zh-CN"/>
              </w:rPr>
              <w:t>mg/m</w:t>
            </w:r>
            <w:r>
              <w:rPr>
                <w:rFonts w:hint="default" w:ascii="Times New Roman" w:hAnsi="Times New Roman" w:cs="Times New Roman"/>
                <w:b w:val="0"/>
                <w:bCs w:val="0"/>
                <w:u w:val="single" w:color="auto"/>
                <w:vertAlign w:val="superscript"/>
                <w:lang w:val="en-US" w:eastAsia="zh-CN"/>
              </w:rPr>
              <w:t>3</w:t>
            </w:r>
            <w:r>
              <w:rPr>
                <w:rFonts w:hint="default" w:ascii="Times New Roman" w:hAnsi="Times New Roman" w:cs="Times New Roman"/>
                <w:b w:val="0"/>
                <w:bCs w:val="0"/>
                <w:u w:val="single" w:color="auto"/>
                <w:lang w:val="en-US" w:eastAsia="zh-CN"/>
              </w:rPr>
              <w:t>。项目</w:t>
            </w:r>
            <w:r>
              <w:rPr>
                <w:rFonts w:hint="eastAsia" w:cs="Times New Roman"/>
                <w:b w:val="0"/>
                <w:bCs w:val="0"/>
                <w:u w:val="single" w:color="auto"/>
                <w:lang w:val="en-US" w:eastAsia="zh-CN"/>
              </w:rPr>
              <w:t>苯系物（</w:t>
            </w:r>
            <w:r>
              <w:rPr>
                <w:rFonts w:hint="default" w:ascii="Times New Roman" w:hAnsi="Times New Roman" w:cs="Times New Roman"/>
                <w:b w:val="0"/>
                <w:bCs w:val="0"/>
                <w:u w:val="single" w:color="auto"/>
                <w:lang w:val="en-US" w:eastAsia="zh-CN"/>
              </w:rPr>
              <w:t>二甲苯</w:t>
            </w:r>
            <w:r>
              <w:rPr>
                <w:rFonts w:hint="eastAsia" w:cs="Times New Roman"/>
                <w:b w:val="0"/>
                <w:bCs w:val="0"/>
                <w:u w:val="single" w:color="auto"/>
                <w:lang w:val="en-US" w:eastAsia="zh-CN"/>
              </w:rPr>
              <w:t>）</w:t>
            </w:r>
            <w:r>
              <w:rPr>
                <w:rFonts w:hint="default" w:ascii="Times New Roman" w:hAnsi="Times New Roman" w:cs="Times New Roman"/>
                <w:b w:val="0"/>
                <w:bCs w:val="0"/>
                <w:u w:val="single" w:color="auto"/>
                <w:lang w:val="en-US" w:eastAsia="zh-CN"/>
              </w:rPr>
              <w:t>无组织排放量为</w:t>
            </w:r>
            <w:r>
              <w:rPr>
                <w:rFonts w:hint="eastAsia" w:ascii="Times New Roman" w:hAnsi="Times New Roman" w:cs="Times New Roman"/>
                <w:b w:val="0"/>
                <w:bCs w:val="0"/>
                <w:u w:val="single" w:color="auto"/>
                <w:lang w:val="en-US" w:eastAsia="zh-CN"/>
              </w:rPr>
              <w:t>0.023</w:t>
            </w:r>
            <w:r>
              <w:rPr>
                <w:rFonts w:hint="default" w:ascii="Times New Roman" w:hAnsi="Times New Roman" w:cs="Times New Roman"/>
                <w:b w:val="0"/>
                <w:bCs w:val="0"/>
                <w:u w:val="single" w:color="auto"/>
                <w:lang w:val="en-US" w:eastAsia="zh-CN"/>
              </w:rPr>
              <w:t>t/a，排放速率为</w:t>
            </w:r>
            <w:r>
              <w:rPr>
                <w:rFonts w:hint="eastAsia" w:ascii="Times New Roman" w:hAnsi="Times New Roman" w:cs="Times New Roman"/>
                <w:b w:val="0"/>
                <w:bCs w:val="0"/>
                <w:u w:val="single" w:color="auto"/>
                <w:lang w:val="en-US" w:eastAsia="zh-CN"/>
              </w:rPr>
              <w:t>0.009</w:t>
            </w:r>
            <w:r>
              <w:rPr>
                <w:rFonts w:hint="default" w:ascii="Times New Roman" w:hAnsi="Times New Roman" w:cs="Times New Roman"/>
                <w:b w:val="0"/>
                <w:bCs w:val="0"/>
                <w:u w:val="single" w:color="auto"/>
                <w:lang w:val="en-US" w:eastAsia="zh-CN"/>
              </w:rPr>
              <w:t>kg/h。</w:t>
            </w:r>
          </w:p>
          <w:p w14:paraId="42E9967F">
            <w:pPr>
              <w:pStyle w:val="40"/>
              <w:bidi w:val="0"/>
              <w:rPr>
                <w:rFonts w:hint="default" w:ascii="Times New Roman" w:hAnsi="Times New Roman" w:cs="Times New Roman"/>
                <w:b w:val="0"/>
                <w:bCs w:val="0"/>
                <w:u w:val="none" w:color="auto"/>
                <w:lang w:val="en-US" w:eastAsia="zh-CN"/>
              </w:rPr>
            </w:pPr>
            <w:r>
              <w:rPr>
                <w:rFonts w:hint="eastAsia" w:ascii="Times New Roman" w:hAnsi="Times New Roman" w:cs="Times New Roman"/>
                <w:b w:val="0"/>
                <w:bCs w:val="0"/>
                <w:u w:val="none" w:color="auto"/>
                <w:lang w:val="en-US" w:eastAsia="zh-CN"/>
              </w:rPr>
              <w:t>（3）点胶有机废气</w:t>
            </w:r>
          </w:p>
          <w:p w14:paraId="7CC7D701">
            <w:pPr>
              <w:pStyle w:val="60"/>
              <w:ind w:firstLine="482"/>
              <w:jc w:val="both"/>
              <w:rPr>
                <w:rFonts w:hint="eastAsia" w:ascii="宋体" w:hAnsi="宋体" w:eastAsia="宋体" w:cs="宋体"/>
                <w:b w:val="0"/>
                <w:bCs/>
                <w:kern w:val="0"/>
                <w:u w:val="single" w:color="auto"/>
                <w:lang w:val="en-US" w:eastAsia="zh-CN"/>
              </w:rPr>
            </w:pPr>
            <w:r>
              <w:rPr>
                <w:rFonts w:hint="eastAsia" w:ascii="Times New Roman" w:hAnsi="Times New Roman" w:eastAsia="宋体" w:cs="Times New Roman"/>
                <w:b w:val="0"/>
                <w:bCs/>
                <w:kern w:val="0"/>
                <w:u w:val="single" w:color="auto"/>
                <w:lang w:eastAsia="zh-CN"/>
              </w:rPr>
              <w:t>本项目</w:t>
            </w:r>
            <w:r>
              <w:rPr>
                <w:rFonts w:hint="eastAsia" w:ascii="Times New Roman" w:hAnsi="Times New Roman" w:cs="Times New Roman"/>
                <w:b w:val="0"/>
                <w:bCs/>
                <w:kern w:val="0"/>
                <w:u w:val="single" w:color="auto"/>
                <w:lang w:val="en-US" w:eastAsia="zh-CN"/>
              </w:rPr>
              <w:t>点胶</w:t>
            </w:r>
            <w:r>
              <w:rPr>
                <w:rFonts w:hint="eastAsia" w:ascii="Times New Roman" w:hAnsi="Times New Roman" w:eastAsia="宋体" w:cs="Times New Roman"/>
                <w:b w:val="0"/>
                <w:bCs/>
                <w:kern w:val="0"/>
                <w:u w:val="single" w:color="auto"/>
                <w:lang w:eastAsia="zh-CN"/>
              </w:rPr>
              <w:t>有机废气主要来自</w:t>
            </w:r>
            <w:r>
              <w:rPr>
                <w:rFonts w:hint="eastAsia" w:ascii="Times New Roman" w:hAnsi="Times New Roman" w:cs="Times New Roman"/>
                <w:b w:val="0"/>
                <w:bCs/>
                <w:kern w:val="0"/>
                <w:u w:val="single" w:color="auto"/>
                <w:lang w:val="en-US" w:eastAsia="zh-CN"/>
              </w:rPr>
              <w:t>环氧树脂胶A</w:t>
            </w:r>
            <w:r>
              <w:rPr>
                <w:rFonts w:hint="eastAsia" w:ascii="Times New Roman" w:hAnsi="Times New Roman" w:eastAsia="宋体" w:cs="Times New Roman"/>
                <w:b w:val="0"/>
                <w:bCs/>
                <w:kern w:val="0"/>
                <w:u w:val="single" w:color="auto"/>
                <w:lang w:eastAsia="zh-CN"/>
              </w:rPr>
              <w:t>中挥发</w:t>
            </w:r>
            <w:r>
              <w:rPr>
                <w:rFonts w:hint="eastAsia" w:ascii="Times New Roman" w:hAnsi="Times New Roman" w:cs="Times New Roman"/>
                <w:b w:val="0"/>
                <w:bCs/>
                <w:kern w:val="0"/>
                <w:u w:val="single" w:color="auto"/>
                <w:lang w:val="en-US" w:eastAsia="zh-CN"/>
              </w:rPr>
              <w:t>份</w:t>
            </w:r>
            <w:r>
              <w:rPr>
                <w:rFonts w:hint="eastAsia" w:ascii="Times New Roman" w:hAnsi="Times New Roman" w:eastAsia="宋体" w:cs="Times New Roman"/>
                <w:b w:val="0"/>
                <w:bCs/>
                <w:kern w:val="0"/>
                <w:u w:val="single" w:color="auto"/>
                <w:lang w:eastAsia="zh-CN"/>
              </w:rPr>
              <w:t>，本次评价按有</w:t>
            </w:r>
            <w:r>
              <w:rPr>
                <w:rFonts w:hint="eastAsia" w:ascii="Times New Roman" w:hAnsi="Times New Roman" w:cs="Times New Roman"/>
                <w:b w:val="0"/>
                <w:bCs/>
                <w:kern w:val="0"/>
                <w:u w:val="single" w:color="auto"/>
                <w:lang w:val="en-US" w:eastAsia="zh-CN"/>
              </w:rPr>
              <w:t>挥发份</w:t>
            </w:r>
            <w:r>
              <w:rPr>
                <w:rFonts w:hint="eastAsia" w:ascii="Times New Roman" w:hAnsi="Times New Roman" w:eastAsia="宋体" w:cs="Times New Roman"/>
                <w:b w:val="0"/>
                <w:bCs/>
                <w:kern w:val="0"/>
                <w:u w:val="single" w:color="auto"/>
                <w:lang w:eastAsia="zh-CN"/>
              </w:rPr>
              <w:t>全部挥发计算，其主要成分以</w:t>
            </w:r>
            <w:r>
              <w:rPr>
                <w:rFonts w:hint="eastAsia" w:ascii="Times New Roman" w:hAnsi="Times New Roman" w:eastAsia="宋体" w:cs="Times New Roman"/>
                <w:b w:val="0"/>
                <w:bCs/>
                <w:kern w:val="0"/>
                <w:u w:val="single" w:color="auto"/>
                <w:lang w:val="en-US" w:eastAsia="zh-CN"/>
              </w:rPr>
              <w:t>VOCs（以非甲烷总烃计）进行分析</w:t>
            </w:r>
            <w:r>
              <w:rPr>
                <w:rFonts w:hint="eastAsia" w:ascii="Times New Roman" w:hAnsi="Times New Roman" w:eastAsia="宋体" w:cs="Times New Roman"/>
                <w:b w:val="0"/>
                <w:bCs/>
                <w:kern w:val="0"/>
                <w:u w:val="single" w:color="auto"/>
                <w:lang w:eastAsia="zh-CN"/>
              </w:rPr>
              <w:t>。</w:t>
            </w:r>
          </w:p>
          <w:p w14:paraId="02B274E3">
            <w:pPr>
              <w:pStyle w:val="40"/>
              <w:bidi w:val="0"/>
              <w:rPr>
                <w:rFonts w:hint="eastAsia" w:cs="Times New Roman"/>
                <w:b w:val="0"/>
                <w:bCs/>
                <w:kern w:val="0"/>
                <w:u w:val="single" w:color="auto"/>
                <w:lang w:val="en-US" w:eastAsia="zh-CN"/>
              </w:rPr>
            </w:pPr>
            <w:r>
              <w:rPr>
                <w:rFonts w:hint="default" w:ascii="Times New Roman" w:hAnsi="Times New Roman" w:cs="Times New Roman"/>
                <w:b w:val="0"/>
                <w:bCs/>
                <w:kern w:val="0"/>
                <w:u w:val="single" w:color="auto"/>
                <w:lang w:eastAsia="zh-CN"/>
              </w:rPr>
              <w:t>根据工程分析中表</w:t>
            </w:r>
            <w:r>
              <w:rPr>
                <w:rFonts w:hint="default" w:ascii="Times New Roman" w:hAnsi="Times New Roman" w:cs="Times New Roman"/>
                <w:b w:val="0"/>
                <w:bCs/>
                <w:kern w:val="0"/>
                <w:u w:val="single" w:color="auto"/>
                <w:lang w:val="en-US" w:eastAsia="zh-CN"/>
              </w:rPr>
              <w:t>2-7</w:t>
            </w:r>
            <w:r>
              <w:rPr>
                <w:rFonts w:hint="eastAsia" w:ascii="Times New Roman" w:hAnsi="Times New Roman" w:cs="Times New Roman"/>
                <w:b w:val="0"/>
                <w:bCs/>
                <w:kern w:val="0"/>
                <w:u w:val="single" w:color="auto"/>
                <w:lang w:val="en-US" w:eastAsia="zh-CN"/>
              </w:rPr>
              <w:t>可知，项目物料挥发份中</w:t>
            </w:r>
            <w:r>
              <w:rPr>
                <w:rFonts w:hint="eastAsia" w:ascii="Times New Roman" w:hAnsi="Times New Roman" w:eastAsia="宋体" w:cs="Times New Roman"/>
                <w:b w:val="0"/>
                <w:bCs/>
                <w:kern w:val="0"/>
                <w:u w:val="single" w:color="auto"/>
                <w:lang w:val="en-US" w:eastAsia="zh-CN"/>
              </w:rPr>
              <w:t>VOCs（以非甲烷总烃计）</w:t>
            </w:r>
            <w:r>
              <w:rPr>
                <w:rFonts w:hint="eastAsia" w:ascii="Times New Roman" w:hAnsi="Times New Roman" w:cs="Times New Roman"/>
                <w:b w:val="0"/>
                <w:bCs/>
                <w:kern w:val="0"/>
                <w:u w:val="single" w:color="auto"/>
                <w:lang w:val="en-US" w:eastAsia="zh-CN"/>
              </w:rPr>
              <w:t>的含量为</w:t>
            </w:r>
            <w:r>
              <w:rPr>
                <w:rFonts w:hint="eastAsia" w:ascii="Times New Roman" w:cs="Times New Roman"/>
                <w:b w:val="0"/>
                <w:bCs/>
                <w:kern w:val="0"/>
                <w:u w:val="single" w:color="auto"/>
                <w:lang w:val="en-US" w:eastAsia="zh-CN"/>
              </w:rPr>
              <w:t>0.0</w:t>
            </w:r>
            <w:r>
              <w:rPr>
                <w:rFonts w:hint="eastAsia" w:cs="Times New Roman"/>
                <w:b w:val="0"/>
                <w:bCs/>
                <w:kern w:val="0"/>
                <w:u w:val="single" w:color="auto"/>
                <w:lang w:val="en-US" w:eastAsia="zh-CN"/>
              </w:rPr>
              <w:t>0</w:t>
            </w:r>
            <w:r>
              <w:rPr>
                <w:rFonts w:hint="eastAsia" w:ascii="Times New Roman" w:cs="Times New Roman"/>
                <w:b w:val="0"/>
                <w:bCs/>
                <w:kern w:val="0"/>
                <w:u w:val="single" w:color="auto"/>
                <w:lang w:val="en-US" w:eastAsia="zh-CN"/>
              </w:rPr>
              <w:t>45</w:t>
            </w:r>
            <w:r>
              <w:rPr>
                <w:rFonts w:hint="eastAsia" w:ascii="Times New Roman" w:hAnsi="Times New Roman" w:cs="Times New Roman"/>
                <w:b w:val="0"/>
                <w:bCs/>
                <w:kern w:val="0"/>
                <w:u w:val="single" w:color="auto"/>
                <w:lang w:val="en-US" w:eastAsia="zh-CN"/>
              </w:rPr>
              <w:t>t/a，</w:t>
            </w:r>
            <w:r>
              <w:rPr>
                <w:rFonts w:hint="eastAsia" w:ascii="Times New Roman" w:hAnsi="Times New Roman" w:eastAsia="宋体" w:cs="Times New Roman"/>
                <w:b w:val="0"/>
                <w:bCs/>
                <w:kern w:val="0"/>
                <w:u w:val="single" w:color="auto"/>
                <w:lang w:eastAsia="zh-CN"/>
              </w:rPr>
              <w:t>则</w:t>
            </w:r>
            <w:r>
              <w:rPr>
                <w:rFonts w:hint="eastAsia" w:ascii="Times New Roman" w:hAnsi="Times New Roman" w:eastAsia="宋体" w:cs="Times New Roman"/>
                <w:b w:val="0"/>
                <w:bCs/>
                <w:kern w:val="0"/>
                <w:u w:val="single" w:color="auto"/>
                <w:lang w:val="en-US" w:eastAsia="zh-CN"/>
              </w:rPr>
              <w:t>VOCs（以非甲烷总烃计）的产生量为</w:t>
            </w:r>
            <w:r>
              <w:rPr>
                <w:rFonts w:hint="eastAsia" w:ascii="Times New Roman" w:cs="Times New Roman"/>
                <w:b w:val="0"/>
                <w:bCs/>
                <w:kern w:val="0"/>
                <w:u w:val="single" w:color="auto"/>
                <w:lang w:val="en-US" w:eastAsia="zh-CN"/>
              </w:rPr>
              <w:t>0.0</w:t>
            </w:r>
            <w:r>
              <w:rPr>
                <w:rFonts w:hint="eastAsia" w:cs="Times New Roman"/>
                <w:b w:val="0"/>
                <w:bCs/>
                <w:kern w:val="0"/>
                <w:u w:val="single" w:color="auto"/>
                <w:lang w:val="en-US" w:eastAsia="zh-CN"/>
              </w:rPr>
              <w:t>0</w:t>
            </w:r>
            <w:r>
              <w:rPr>
                <w:rFonts w:hint="eastAsia" w:ascii="Times New Roman" w:cs="Times New Roman"/>
                <w:b w:val="0"/>
                <w:bCs/>
                <w:kern w:val="0"/>
                <w:u w:val="single" w:color="auto"/>
                <w:lang w:val="en-US" w:eastAsia="zh-CN"/>
              </w:rPr>
              <w:t>45</w:t>
            </w:r>
            <w:r>
              <w:rPr>
                <w:rFonts w:hint="eastAsia" w:ascii="Times New Roman" w:hAnsi="Times New Roman" w:eastAsia="宋体" w:cs="Times New Roman"/>
                <w:b w:val="0"/>
                <w:bCs/>
                <w:kern w:val="0"/>
                <w:u w:val="single" w:color="auto"/>
                <w:lang w:val="en-US" w:eastAsia="zh-CN"/>
              </w:rPr>
              <w:t>t/a</w:t>
            </w:r>
            <w:r>
              <w:rPr>
                <w:rFonts w:hint="eastAsia" w:cs="Times New Roman"/>
                <w:b w:val="0"/>
                <w:bCs/>
                <w:kern w:val="0"/>
                <w:u w:val="single" w:color="auto"/>
                <w:lang w:val="en-US" w:eastAsia="zh-CN"/>
              </w:rPr>
              <w:t>。</w:t>
            </w:r>
          </w:p>
          <w:p w14:paraId="7D38B103">
            <w:pPr>
              <w:pStyle w:val="40"/>
              <w:bidi w:val="0"/>
              <w:rPr>
                <w:rFonts w:hint="default" w:cs="Times New Roman"/>
                <w:b w:val="0"/>
                <w:bCs/>
                <w:kern w:val="0"/>
                <w:u w:val="single"/>
                <w:lang w:val="en-US" w:eastAsia="zh-CN"/>
              </w:rPr>
            </w:pPr>
            <w:r>
              <w:rPr>
                <w:rFonts w:hint="eastAsia" w:cs="Times New Roman"/>
                <w:b w:val="0"/>
                <w:bCs/>
                <w:kern w:val="0"/>
                <w:u w:val="single"/>
                <w:lang w:val="en-US" w:eastAsia="zh-CN"/>
              </w:rPr>
              <w:t>本项目点胶工序沿流水线布设，作业工位分散、工件连续传送，不具备设置密闭隔间、固定集气罩等集中收集设施的条件，环氧树脂胶调配、点胶过程挥发产生的少量VOCs废气无法进行有效集中收集，全部以无组织形式在车间内排放，通过车间整体机械通风及自然通风扩散稀释。排放量为0.0045t/a，排放速率0.017kg/h。</w:t>
            </w:r>
          </w:p>
          <w:p w14:paraId="0E80DD04">
            <w:pPr>
              <w:pStyle w:val="40"/>
              <w:bidi w:val="0"/>
              <w:rPr>
                <w:rFonts w:hint="eastAsia" w:cs="Times New Roman"/>
                <w:b/>
                <w:bCs w:val="0"/>
                <w:kern w:val="0"/>
                <w:lang w:val="en-US" w:eastAsia="zh-CN"/>
              </w:rPr>
            </w:pPr>
            <w:r>
              <w:rPr>
                <w:rFonts w:hint="eastAsia" w:cs="Times New Roman"/>
                <w:b/>
                <w:bCs w:val="0"/>
                <w:kern w:val="0"/>
                <w:lang w:val="en-US" w:eastAsia="zh-CN"/>
              </w:rPr>
              <w:t>风机风量核算：</w:t>
            </w:r>
          </w:p>
          <w:p w14:paraId="44E138A6">
            <w:pPr>
              <w:pStyle w:val="40"/>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rPr>
                <w:rFonts w:hint="eastAsia" w:cs="Times New Roman"/>
                <w:b w:val="0"/>
                <w:bCs/>
                <w:kern w:val="0"/>
                <w:lang w:val="en-US" w:eastAsia="zh-CN"/>
              </w:rPr>
            </w:pPr>
            <w:r>
              <w:rPr>
                <w:rFonts w:hint="default" w:cs="Times New Roman"/>
                <w:b w:val="0"/>
                <w:bCs/>
                <w:kern w:val="0"/>
                <w:lang w:val="en-US" w:eastAsia="zh-CN"/>
              </w:rPr>
              <w:t>根项目拟在</w:t>
            </w:r>
            <w:r>
              <w:rPr>
                <w:rFonts w:hint="eastAsia" w:cs="Times New Roman"/>
                <w:b w:val="0"/>
                <w:bCs/>
                <w:kern w:val="0"/>
                <w:lang w:val="en-US" w:eastAsia="zh-CN"/>
              </w:rPr>
              <w:t>无铅熔锡炉</w:t>
            </w:r>
            <w:r>
              <w:rPr>
                <w:rFonts w:hint="default" w:cs="Times New Roman"/>
                <w:b w:val="0"/>
                <w:bCs/>
                <w:kern w:val="0"/>
                <w:lang w:val="en-US" w:eastAsia="zh-CN"/>
              </w:rPr>
              <w:t>、</w:t>
            </w:r>
            <w:r>
              <w:rPr>
                <w:rFonts w:hint="eastAsia" w:cs="Times New Roman"/>
                <w:b w:val="0"/>
                <w:bCs/>
                <w:kern w:val="0"/>
                <w:lang w:val="en-US" w:eastAsia="zh-CN"/>
              </w:rPr>
              <w:t>真空</w:t>
            </w:r>
            <w:r>
              <w:rPr>
                <w:rFonts w:hint="default" w:cs="Times New Roman"/>
                <w:b w:val="0"/>
                <w:bCs/>
                <w:kern w:val="0"/>
                <w:lang w:val="en-US" w:eastAsia="zh-CN"/>
              </w:rPr>
              <w:t>含浸机、自动隧道炉、设置集气罩对焊锡</w:t>
            </w:r>
            <w:r>
              <w:rPr>
                <w:rFonts w:hint="eastAsia" w:cs="Times New Roman"/>
                <w:b w:val="0"/>
                <w:bCs/>
                <w:kern w:val="0"/>
                <w:lang w:val="en-US" w:eastAsia="zh-CN"/>
              </w:rPr>
              <w:t>废气</w:t>
            </w:r>
            <w:r>
              <w:rPr>
                <w:rFonts w:hint="default" w:cs="Times New Roman"/>
                <w:b w:val="0"/>
                <w:bCs/>
                <w:kern w:val="0"/>
                <w:lang w:val="en-US" w:eastAsia="zh-CN"/>
              </w:rPr>
              <w:t>及有机废气进行收集(其中</w:t>
            </w:r>
            <w:r>
              <w:rPr>
                <w:rFonts w:hint="eastAsia" w:cs="Times New Roman"/>
                <w:b w:val="0"/>
                <w:bCs/>
                <w:kern w:val="0"/>
                <w:lang w:val="en-US" w:eastAsia="zh-CN"/>
              </w:rPr>
              <w:t>无铅熔锡炉</w:t>
            </w:r>
            <w:r>
              <w:rPr>
                <w:rFonts w:hint="default" w:cs="Times New Roman"/>
                <w:b w:val="0"/>
                <w:bCs/>
                <w:kern w:val="0"/>
                <w:lang w:val="en-US" w:eastAsia="zh-CN"/>
              </w:rPr>
              <w:t>、含浸机每台设备对应设置1个进气罩，隧道</w:t>
            </w:r>
            <w:r>
              <w:rPr>
                <w:rFonts w:hint="eastAsia" w:cs="Times New Roman"/>
                <w:b w:val="0"/>
                <w:bCs/>
                <w:kern w:val="0"/>
                <w:lang w:val="en-US" w:eastAsia="zh-CN"/>
              </w:rPr>
              <w:t>式烘箱</w:t>
            </w:r>
            <w:r>
              <w:rPr>
                <w:rFonts w:hint="default" w:cs="Times New Roman"/>
                <w:b w:val="0"/>
                <w:bCs/>
                <w:kern w:val="0"/>
                <w:lang w:val="en-US" w:eastAsia="zh-CN"/>
              </w:rPr>
              <w:t>进出口各设置1个集气罩)，其中</w:t>
            </w:r>
            <w:r>
              <w:rPr>
                <w:rFonts w:hint="eastAsia" w:cs="Times New Roman"/>
                <w:b w:val="0"/>
                <w:bCs/>
                <w:kern w:val="0"/>
                <w:lang w:val="en-US" w:eastAsia="zh-CN"/>
              </w:rPr>
              <w:t>无铅熔锡炉</w:t>
            </w:r>
            <w:r>
              <w:rPr>
                <w:rFonts w:hint="default" w:cs="Times New Roman"/>
                <w:b w:val="0"/>
                <w:bCs/>
                <w:kern w:val="0"/>
                <w:lang w:val="en-US" w:eastAsia="zh-CN"/>
              </w:rPr>
              <w:t>工位处于非密闭状态，</w:t>
            </w:r>
            <w:r>
              <w:rPr>
                <w:rFonts w:hint="eastAsia" w:cs="Times New Roman"/>
                <w:b w:val="0"/>
                <w:bCs/>
                <w:kern w:val="0"/>
                <w:lang w:val="en-US" w:eastAsia="zh-CN"/>
              </w:rPr>
              <w:t>真空</w:t>
            </w:r>
            <w:r>
              <w:rPr>
                <w:rFonts w:hint="default" w:cs="Times New Roman"/>
                <w:b w:val="0"/>
                <w:bCs/>
                <w:kern w:val="0"/>
                <w:lang w:val="en-US" w:eastAsia="zh-CN"/>
              </w:rPr>
              <w:t>含浸机和隧道</w:t>
            </w:r>
            <w:r>
              <w:rPr>
                <w:rFonts w:hint="eastAsia" w:cs="Times New Roman"/>
                <w:b w:val="0"/>
                <w:bCs/>
                <w:kern w:val="0"/>
                <w:lang w:val="en-US" w:eastAsia="zh-CN"/>
              </w:rPr>
              <w:t>式烘箱</w:t>
            </w:r>
            <w:r>
              <w:rPr>
                <w:rFonts w:hint="default" w:cs="Times New Roman"/>
                <w:b w:val="0"/>
                <w:bCs/>
                <w:kern w:val="0"/>
                <w:lang w:val="en-US" w:eastAsia="zh-CN"/>
              </w:rPr>
              <w:t>为密闭空间作业，且处于负压操作状态。参考《三废处理工程技术手册废气卷》中有关计算中的有关公式，结合本项目设备规模，需收集有机废气的设备，其废气收集系统的控制风速0.5m/s</w:t>
            </w:r>
            <w:r>
              <w:rPr>
                <w:rFonts w:hint="eastAsia" w:cs="Times New Roman"/>
                <w:b w:val="0"/>
                <w:bCs/>
                <w:kern w:val="0"/>
                <w:lang w:val="en-US" w:eastAsia="zh-CN"/>
              </w:rPr>
              <w:t>以上。为保证收集效果，按照以下经验公式计算得出各设备所需风量Q</w:t>
            </w:r>
          </w:p>
          <w:p w14:paraId="17062593">
            <w:pPr>
              <w:pStyle w:val="40"/>
              <w:keepNext w:val="0"/>
              <w:keepLines w:val="0"/>
              <w:pageBreakBefore w:val="0"/>
              <w:widowControl w:val="0"/>
              <w:kinsoku/>
              <w:wordWrap/>
              <w:overflowPunct/>
              <w:topLinePunct w:val="0"/>
              <w:autoSpaceDE/>
              <w:autoSpaceDN/>
              <w:bidi w:val="0"/>
              <w:adjustRightInd w:val="0"/>
              <w:snapToGrid w:val="0"/>
              <w:ind w:firstLine="480" w:firstLineChars="200"/>
              <w:jc w:val="center"/>
              <w:textAlignment w:val="auto"/>
              <w:rPr>
                <w:rFonts w:hint="eastAsia" w:eastAsia="宋体"/>
                <w:b w:val="0"/>
                <w:bCs w:val="0"/>
                <w:u w:val="none" w:color="auto"/>
                <w:lang w:eastAsia="zh-CN"/>
              </w:rPr>
            </w:pPr>
            <w:r>
              <w:rPr>
                <w:rFonts w:hint="eastAsia"/>
                <w:b w:val="0"/>
                <w:bCs w:val="0"/>
                <w:u w:val="none" w:color="auto"/>
              </w:rPr>
              <w:t>Q=3600</w:t>
            </w:r>
            <w:r>
              <w:rPr>
                <w:rFonts w:hint="eastAsia"/>
                <w:b w:val="0"/>
                <w:bCs w:val="0"/>
                <w:u w:val="none" w:color="auto"/>
                <w:lang w:val="en-US" w:eastAsia="zh-CN"/>
              </w:rPr>
              <w:t>*</w:t>
            </w:r>
            <w:r>
              <w:rPr>
                <w:rFonts w:hint="eastAsia"/>
                <w:b w:val="0"/>
                <w:bCs w:val="0"/>
                <w:u w:val="none" w:color="auto"/>
              </w:rPr>
              <w:t>K</w:t>
            </w:r>
            <w:r>
              <w:rPr>
                <w:rFonts w:hint="eastAsia"/>
                <w:b w:val="0"/>
                <w:bCs w:val="0"/>
                <w:u w:val="none" w:color="auto"/>
                <w:lang w:val="en-US" w:eastAsia="zh-CN"/>
              </w:rPr>
              <w:t>*V*F</w:t>
            </w:r>
          </w:p>
          <w:p w14:paraId="3F0065C4">
            <w:pPr>
              <w:pStyle w:val="40"/>
              <w:bidi w:val="0"/>
              <w:rPr>
                <w:rFonts w:hint="eastAsia"/>
                <w:b w:val="0"/>
                <w:bCs w:val="0"/>
                <w:u w:val="none" w:color="auto"/>
                <w:lang w:val="en-US" w:eastAsia="zh-CN"/>
              </w:rPr>
            </w:pPr>
            <w:r>
              <w:rPr>
                <w:rFonts w:hint="eastAsia"/>
                <w:b w:val="0"/>
                <w:bCs w:val="0"/>
                <w:u w:val="none" w:color="auto"/>
                <w:lang w:val="en-US" w:eastAsia="zh-CN"/>
              </w:rPr>
              <w:t>式中：</w:t>
            </w:r>
          </w:p>
          <w:p w14:paraId="49F0833B">
            <w:pPr>
              <w:pStyle w:val="40"/>
              <w:bidi w:val="0"/>
              <w:rPr>
                <w:rFonts w:hint="eastAsia"/>
                <w:b w:val="0"/>
                <w:bCs w:val="0"/>
                <w:u w:val="none" w:color="auto"/>
                <w:lang w:val="en-US" w:eastAsia="zh-CN"/>
              </w:rPr>
            </w:pPr>
            <w:r>
              <w:rPr>
                <w:rFonts w:hint="eastAsia"/>
                <w:b w:val="0"/>
                <w:bCs w:val="0"/>
                <w:u w:val="none" w:color="auto"/>
                <w:lang w:val="en-US" w:eastAsia="zh-CN"/>
              </w:rPr>
              <w:t>Q一设计风量，m</w:t>
            </w:r>
            <w:r>
              <w:rPr>
                <w:rFonts w:hint="eastAsia"/>
                <w:b w:val="0"/>
                <w:bCs w:val="0"/>
                <w:u w:val="none" w:color="auto"/>
                <w:vertAlign w:val="superscript"/>
                <w:lang w:val="en-US" w:eastAsia="zh-CN"/>
              </w:rPr>
              <w:t>3</w:t>
            </w:r>
            <w:r>
              <w:rPr>
                <w:rFonts w:hint="eastAsia"/>
                <w:b w:val="0"/>
                <w:bCs w:val="0"/>
                <w:u w:val="none" w:color="auto"/>
                <w:lang w:val="en-US" w:eastAsia="zh-CN"/>
              </w:rPr>
              <w:t>/h；</w:t>
            </w:r>
          </w:p>
          <w:p w14:paraId="2BDB44D1">
            <w:pPr>
              <w:pStyle w:val="40"/>
              <w:bidi w:val="0"/>
              <w:rPr>
                <w:rFonts w:hint="eastAsia"/>
                <w:b w:val="0"/>
                <w:bCs w:val="0"/>
                <w:u w:val="none" w:color="auto"/>
                <w:lang w:val="en-US" w:eastAsia="zh-CN"/>
              </w:rPr>
            </w:pPr>
            <w:r>
              <w:rPr>
                <w:rFonts w:hint="eastAsia"/>
                <w:b w:val="0"/>
                <w:bCs w:val="0"/>
                <w:u w:val="none" w:color="auto"/>
                <w:lang w:val="en-US" w:eastAsia="zh-CN"/>
              </w:rPr>
              <w:t>K一考虑沿高度分布不均匀的安全系数，1.05；</w:t>
            </w:r>
          </w:p>
          <w:p w14:paraId="23F628DF">
            <w:pPr>
              <w:pStyle w:val="40"/>
              <w:bidi w:val="0"/>
              <w:rPr>
                <w:rFonts w:hint="default" w:eastAsia="宋体"/>
                <w:b w:val="0"/>
                <w:bCs w:val="0"/>
                <w:u w:val="none" w:color="auto"/>
                <w:lang w:val="en-US" w:eastAsia="zh-CN"/>
              </w:rPr>
            </w:pPr>
            <w:r>
              <w:rPr>
                <w:rFonts w:hint="eastAsia"/>
                <w:b w:val="0"/>
                <w:bCs w:val="0"/>
                <w:u w:val="none" w:color="auto"/>
                <w:lang w:val="en-US" w:eastAsia="zh-CN"/>
              </w:rPr>
              <w:t>V边缘控制点控制风速，m/s，0.5m/s。</w:t>
            </w:r>
          </w:p>
          <w:p w14:paraId="32DDB112">
            <w:pPr>
              <w:pStyle w:val="40"/>
              <w:bidi w:val="0"/>
              <w:rPr>
                <w:rFonts w:hint="default" w:eastAsia="宋体"/>
                <w:b w:val="0"/>
                <w:bCs w:val="0"/>
                <w:u w:val="none" w:color="auto"/>
                <w:lang w:val="en-US" w:eastAsia="zh-CN"/>
              </w:rPr>
            </w:pPr>
            <w:r>
              <w:rPr>
                <w:rFonts w:hint="eastAsia"/>
                <w:b w:val="0"/>
                <w:bCs w:val="0"/>
                <w:u w:val="none" w:color="auto"/>
                <w:lang w:val="en-US" w:eastAsia="zh-CN"/>
              </w:rPr>
              <w:t>F集气罩面积；</w:t>
            </w:r>
          </w:p>
          <w:p w14:paraId="3E385C30">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bCs/>
                <w:sz w:val="21"/>
                <w:szCs w:val="21"/>
                <w:u w:val="none" w:color="auto"/>
                <w:lang w:val="en-US" w:eastAsia="zh-CN"/>
              </w:rPr>
            </w:pPr>
            <w:r>
              <w:rPr>
                <w:rFonts w:hint="eastAsia"/>
                <w:b/>
                <w:bCs/>
                <w:sz w:val="21"/>
                <w:szCs w:val="21"/>
                <w:u w:val="none" w:color="auto"/>
                <w:lang w:val="en-US" w:eastAsia="zh-CN"/>
              </w:rPr>
              <w:t>表4-1项目废气治理设施风量一览表</w:t>
            </w:r>
          </w:p>
          <w:tbl>
            <w:tblPr>
              <w:tblStyle w:val="34"/>
              <w:tblW w:w="8512" w:type="dxa"/>
              <w:tblInd w:w="-1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9"/>
              <w:gridCol w:w="1305"/>
              <w:gridCol w:w="735"/>
              <w:gridCol w:w="1035"/>
              <w:gridCol w:w="1155"/>
              <w:gridCol w:w="1290"/>
              <w:gridCol w:w="1110"/>
              <w:gridCol w:w="1083"/>
            </w:tblGrid>
            <w:tr w14:paraId="0AF7F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99" w:type="dxa"/>
                  <w:tcBorders>
                    <w:tl2br w:val="nil"/>
                    <w:tr2bl w:val="nil"/>
                  </w:tcBorders>
                  <w:vAlign w:val="center"/>
                </w:tcPr>
                <w:p w14:paraId="5C523CFF">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序号</w:t>
                  </w:r>
                </w:p>
              </w:tc>
              <w:tc>
                <w:tcPr>
                  <w:tcW w:w="1305" w:type="dxa"/>
                  <w:tcBorders>
                    <w:tl2br w:val="nil"/>
                    <w:tr2bl w:val="nil"/>
                  </w:tcBorders>
                  <w:vAlign w:val="center"/>
                </w:tcPr>
                <w:p w14:paraId="03178AE9">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设备</w:t>
                  </w:r>
                </w:p>
              </w:tc>
              <w:tc>
                <w:tcPr>
                  <w:tcW w:w="735" w:type="dxa"/>
                  <w:tcBorders>
                    <w:tl2br w:val="nil"/>
                    <w:tr2bl w:val="nil"/>
                  </w:tcBorders>
                  <w:vAlign w:val="center"/>
                </w:tcPr>
                <w:p w14:paraId="3B0BD50C">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数量（台）</w:t>
                  </w:r>
                </w:p>
              </w:tc>
              <w:tc>
                <w:tcPr>
                  <w:tcW w:w="1035" w:type="dxa"/>
                  <w:tcBorders>
                    <w:tl2br w:val="nil"/>
                    <w:tr2bl w:val="nil"/>
                  </w:tcBorders>
                  <w:vAlign w:val="center"/>
                </w:tcPr>
                <w:p w14:paraId="1D6AA507">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集气数量（个）</w:t>
                  </w:r>
                </w:p>
              </w:tc>
              <w:tc>
                <w:tcPr>
                  <w:tcW w:w="1155" w:type="dxa"/>
                  <w:tcBorders>
                    <w:tl2br w:val="nil"/>
                    <w:tr2bl w:val="nil"/>
                  </w:tcBorders>
                  <w:vAlign w:val="center"/>
                </w:tcPr>
                <w:p w14:paraId="1A00782E">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单个集气罩面积（m</w:t>
                  </w:r>
                  <w:r>
                    <w:rPr>
                      <w:rFonts w:hint="eastAsia"/>
                      <w:b w:val="0"/>
                      <w:bCs w:val="0"/>
                      <w:sz w:val="21"/>
                      <w:szCs w:val="21"/>
                      <w:u w:val="none" w:color="auto"/>
                      <w:vertAlign w:val="superscript"/>
                      <w:lang w:val="en-US" w:eastAsia="zh-CN"/>
                    </w:rPr>
                    <w:t>2</w:t>
                  </w:r>
                  <w:r>
                    <w:rPr>
                      <w:rFonts w:hint="eastAsia"/>
                      <w:b w:val="0"/>
                      <w:bCs w:val="0"/>
                      <w:sz w:val="21"/>
                      <w:szCs w:val="21"/>
                      <w:u w:val="none" w:color="auto"/>
                      <w:vertAlign w:val="baseline"/>
                      <w:lang w:val="en-US" w:eastAsia="zh-CN"/>
                    </w:rPr>
                    <w:t>）</w:t>
                  </w:r>
                </w:p>
              </w:tc>
              <w:tc>
                <w:tcPr>
                  <w:tcW w:w="1290" w:type="dxa"/>
                  <w:tcBorders>
                    <w:tl2br w:val="nil"/>
                    <w:tr2bl w:val="nil"/>
                  </w:tcBorders>
                  <w:vAlign w:val="center"/>
                </w:tcPr>
                <w:p w14:paraId="0746D26E">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集气罩总面积（m</w:t>
                  </w:r>
                  <w:r>
                    <w:rPr>
                      <w:rFonts w:hint="eastAsia"/>
                      <w:b w:val="0"/>
                      <w:bCs w:val="0"/>
                      <w:sz w:val="21"/>
                      <w:szCs w:val="21"/>
                      <w:u w:val="none" w:color="auto"/>
                      <w:vertAlign w:val="superscript"/>
                      <w:lang w:val="en-US" w:eastAsia="zh-CN"/>
                    </w:rPr>
                    <w:t>2</w:t>
                  </w:r>
                  <w:r>
                    <w:rPr>
                      <w:rFonts w:hint="eastAsia"/>
                      <w:b w:val="0"/>
                      <w:bCs w:val="0"/>
                      <w:sz w:val="21"/>
                      <w:szCs w:val="21"/>
                      <w:u w:val="none" w:color="auto"/>
                      <w:vertAlign w:val="baseline"/>
                      <w:lang w:val="en-US" w:eastAsia="zh-CN"/>
                    </w:rPr>
                    <w:t>）</w:t>
                  </w:r>
                </w:p>
              </w:tc>
              <w:tc>
                <w:tcPr>
                  <w:tcW w:w="1110" w:type="dxa"/>
                  <w:tcBorders>
                    <w:tl2br w:val="nil"/>
                    <w:tr2bl w:val="nil"/>
                  </w:tcBorders>
                  <w:vAlign w:val="center"/>
                </w:tcPr>
                <w:p w14:paraId="11370EC3">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核算风量（m</w:t>
                  </w:r>
                  <w:r>
                    <w:rPr>
                      <w:rFonts w:hint="eastAsia"/>
                      <w:b w:val="0"/>
                      <w:bCs w:val="0"/>
                      <w:sz w:val="21"/>
                      <w:szCs w:val="21"/>
                      <w:u w:val="none" w:color="auto"/>
                      <w:vertAlign w:val="superscript"/>
                      <w:lang w:val="en-US" w:eastAsia="zh-CN"/>
                    </w:rPr>
                    <w:t>3</w:t>
                  </w:r>
                  <w:r>
                    <w:rPr>
                      <w:rFonts w:hint="eastAsia"/>
                      <w:b w:val="0"/>
                      <w:bCs w:val="0"/>
                      <w:sz w:val="21"/>
                      <w:szCs w:val="21"/>
                      <w:u w:val="none" w:color="auto"/>
                      <w:vertAlign w:val="baseline"/>
                      <w:lang w:val="en-US" w:eastAsia="zh-CN"/>
                    </w:rPr>
                    <w:t>）</w:t>
                  </w:r>
                </w:p>
              </w:tc>
              <w:tc>
                <w:tcPr>
                  <w:tcW w:w="1083" w:type="dxa"/>
                  <w:tcBorders>
                    <w:tl2br w:val="nil"/>
                    <w:tr2bl w:val="nil"/>
                  </w:tcBorders>
                  <w:vAlign w:val="center"/>
                </w:tcPr>
                <w:p w14:paraId="6C669D81">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设计风量（m</w:t>
                  </w:r>
                  <w:r>
                    <w:rPr>
                      <w:rFonts w:hint="eastAsia"/>
                      <w:b w:val="0"/>
                      <w:bCs w:val="0"/>
                      <w:sz w:val="21"/>
                      <w:szCs w:val="21"/>
                      <w:u w:val="none" w:color="auto"/>
                      <w:vertAlign w:val="superscript"/>
                      <w:lang w:val="en-US" w:eastAsia="zh-CN"/>
                    </w:rPr>
                    <w:t>3</w:t>
                  </w:r>
                  <w:r>
                    <w:rPr>
                      <w:rFonts w:hint="eastAsia"/>
                      <w:b w:val="0"/>
                      <w:bCs w:val="0"/>
                      <w:sz w:val="21"/>
                      <w:szCs w:val="21"/>
                      <w:u w:val="none" w:color="auto"/>
                      <w:vertAlign w:val="baseline"/>
                      <w:lang w:val="en-US" w:eastAsia="zh-CN"/>
                    </w:rPr>
                    <w:t>）</w:t>
                  </w:r>
                </w:p>
              </w:tc>
            </w:tr>
            <w:tr w14:paraId="60E412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99" w:type="dxa"/>
                  <w:tcBorders>
                    <w:tl2br w:val="nil"/>
                    <w:tr2bl w:val="nil"/>
                  </w:tcBorders>
                  <w:vAlign w:val="center"/>
                </w:tcPr>
                <w:p w14:paraId="0EEE02EC">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1</w:t>
                  </w:r>
                </w:p>
              </w:tc>
              <w:tc>
                <w:tcPr>
                  <w:tcW w:w="1305" w:type="dxa"/>
                  <w:tcBorders>
                    <w:tl2br w:val="nil"/>
                    <w:tr2bl w:val="nil"/>
                  </w:tcBorders>
                  <w:vAlign w:val="center"/>
                </w:tcPr>
                <w:p w14:paraId="3199755A">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无铅熔锡炉</w:t>
                  </w:r>
                </w:p>
              </w:tc>
              <w:tc>
                <w:tcPr>
                  <w:tcW w:w="735" w:type="dxa"/>
                  <w:tcBorders>
                    <w:tl2br w:val="nil"/>
                    <w:tr2bl w:val="nil"/>
                  </w:tcBorders>
                  <w:vAlign w:val="center"/>
                </w:tcPr>
                <w:p w14:paraId="3DD5DE33">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2</w:t>
                  </w:r>
                </w:p>
              </w:tc>
              <w:tc>
                <w:tcPr>
                  <w:tcW w:w="1035" w:type="dxa"/>
                  <w:tcBorders>
                    <w:tl2br w:val="nil"/>
                    <w:tr2bl w:val="nil"/>
                  </w:tcBorders>
                  <w:vAlign w:val="center"/>
                </w:tcPr>
                <w:p w14:paraId="49578AF6">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2</w:t>
                  </w:r>
                </w:p>
              </w:tc>
              <w:tc>
                <w:tcPr>
                  <w:tcW w:w="1155" w:type="dxa"/>
                  <w:tcBorders>
                    <w:tl2br w:val="nil"/>
                    <w:tr2bl w:val="nil"/>
                  </w:tcBorders>
                  <w:vAlign w:val="center"/>
                </w:tcPr>
                <w:p w14:paraId="4F554A0B">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0.48</w:t>
                  </w:r>
                </w:p>
              </w:tc>
              <w:tc>
                <w:tcPr>
                  <w:tcW w:w="1290" w:type="dxa"/>
                  <w:tcBorders>
                    <w:tl2br w:val="nil"/>
                    <w:tr2bl w:val="nil"/>
                  </w:tcBorders>
                  <w:vAlign w:val="center"/>
                </w:tcPr>
                <w:p w14:paraId="66CDE4F9">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0.96</w:t>
                  </w:r>
                </w:p>
              </w:tc>
              <w:tc>
                <w:tcPr>
                  <w:tcW w:w="1110" w:type="dxa"/>
                  <w:tcBorders>
                    <w:tl2br w:val="nil"/>
                    <w:tr2bl w:val="nil"/>
                  </w:tcBorders>
                  <w:vAlign w:val="center"/>
                </w:tcPr>
                <w:p w14:paraId="5126E030">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1814.4</w:t>
                  </w:r>
                </w:p>
              </w:tc>
              <w:tc>
                <w:tcPr>
                  <w:tcW w:w="1083" w:type="dxa"/>
                  <w:tcBorders>
                    <w:tl2br w:val="nil"/>
                    <w:tr2bl w:val="nil"/>
                  </w:tcBorders>
                  <w:vAlign w:val="center"/>
                </w:tcPr>
                <w:p w14:paraId="68C45DB4">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w:t>
                  </w:r>
                </w:p>
              </w:tc>
            </w:tr>
            <w:tr w14:paraId="0C60E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99" w:type="dxa"/>
                  <w:tcBorders>
                    <w:tl2br w:val="nil"/>
                    <w:tr2bl w:val="nil"/>
                  </w:tcBorders>
                  <w:vAlign w:val="center"/>
                </w:tcPr>
                <w:p w14:paraId="666603A1">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2</w:t>
                  </w:r>
                </w:p>
              </w:tc>
              <w:tc>
                <w:tcPr>
                  <w:tcW w:w="1305" w:type="dxa"/>
                  <w:tcBorders>
                    <w:tl2br w:val="nil"/>
                    <w:tr2bl w:val="nil"/>
                  </w:tcBorders>
                  <w:vAlign w:val="center"/>
                </w:tcPr>
                <w:p w14:paraId="75C5B038">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真空含浸机</w:t>
                  </w:r>
                </w:p>
              </w:tc>
              <w:tc>
                <w:tcPr>
                  <w:tcW w:w="735" w:type="dxa"/>
                  <w:tcBorders>
                    <w:tl2br w:val="nil"/>
                    <w:tr2bl w:val="nil"/>
                  </w:tcBorders>
                  <w:vAlign w:val="center"/>
                </w:tcPr>
                <w:p w14:paraId="4614277C">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1</w:t>
                  </w:r>
                </w:p>
              </w:tc>
              <w:tc>
                <w:tcPr>
                  <w:tcW w:w="1035" w:type="dxa"/>
                  <w:tcBorders>
                    <w:tl2br w:val="nil"/>
                    <w:tr2bl w:val="nil"/>
                  </w:tcBorders>
                  <w:vAlign w:val="center"/>
                </w:tcPr>
                <w:p w14:paraId="5B1111B5">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1</w:t>
                  </w:r>
                </w:p>
              </w:tc>
              <w:tc>
                <w:tcPr>
                  <w:tcW w:w="1155" w:type="dxa"/>
                  <w:tcBorders>
                    <w:tl2br w:val="nil"/>
                    <w:tr2bl w:val="nil"/>
                  </w:tcBorders>
                  <w:vAlign w:val="center"/>
                </w:tcPr>
                <w:p w14:paraId="37539430">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1.68</w:t>
                  </w:r>
                </w:p>
              </w:tc>
              <w:tc>
                <w:tcPr>
                  <w:tcW w:w="1290" w:type="dxa"/>
                  <w:tcBorders>
                    <w:tl2br w:val="nil"/>
                    <w:tr2bl w:val="nil"/>
                  </w:tcBorders>
                  <w:vAlign w:val="center"/>
                </w:tcPr>
                <w:p w14:paraId="38A111C5">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1.68</w:t>
                  </w:r>
                </w:p>
              </w:tc>
              <w:tc>
                <w:tcPr>
                  <w:tcW w:w="1110" w:type="dxa"/>
                  <w:tcBorders>
                    <w:tl2br w:val="nil"/>
                    <w:tr2bl w:val="nil"/>
                  </w:tcBorders>
                  <w:vAlign w:val="center"/>
                </w:tcPr>
                <w:p w14:paraId="048423EC">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3175.2</w:t>
                  </w:r>
                </w:p>
              </w:tc>
              <w:tc>
                <w:tcPr>
                  <w:tcW w:w="1083" w:type="dxa"/>
                  <w:tcBorders>
                    <w:tl2br w:val="nil"/>
                    <w:tr2bl w:val="nil"/>
                  </w:tcBorders>
                  <w:vAlign w:val="center"/>
                </w:tcPr>
                <w:p w14:paraId="42252F9E">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w:t>
                  </w:r>
                </w:p>
              </w:tc>
            </w:tr>
            <w:tr w14:paraId="72CB16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99" w:type="dxa"/>
                  <w:tcBorders>
                    <w:tl2br w:val="nil"/>
                    <w:tr2bl w:val="nil"/>
                  </w:tcBorders>
                  <w:vAlign w:val="center"/>
                </w:tcPr>
                <w:p w14:paraId="04FBF2FC">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3</w:t>
                  </w:r>
                </w:p>
              </w:tc>
              <w:tc>
                <w:tcPr>
                  <w:tcW w:w="1305" w:type="dxa"/>
                  <w:tcBorders>
                    <w:tl2br w:val="nil"/>
                    <w:tr2bl w:val="nil"/>
                  </w:tcBorders>
                  <w:vAlign w:val="center"/>
                </w:tcPr>
                <w:p w14:paraId="75A99FE8">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隧道式烘箱</w:t>
                  </w:r>
                </w:p>
              </w:tc>
              <w:tc>
                <w:tcPr>
                  <w:tcW w:w="735" w:type="dxa"/>
                  <w:tcBorders>
                    <w:tl2br w:val="nil"/>
                    <w:tr2bl w:val="nil"/>
                  </w:tcBorders>
                  <w:vAlign w:val="center"/>
                </w:tcPr>
                <w:p w14:paraId="1CA5C842">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1</w:t>
                  </w:r>
                </w:p>
              </w:tc>
              <w:tc>
                <w:tcPr>
                  <w:tcW w:w="1035" w:type="dxa"/>
                  <w:tcBorders>
                    <w:tl2br w:val="nil"/>
                    <w:tr2bl w:val="nil"/>
                  </w:tcBorders>
                  <w:vAlign w:val="center"/>
                </w:tcPr>
                <w:p w14:paraId="4AF043EF">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2</w:t>
                  </w:r>
                </w:p>
              </w:tc>
              <w:tc>
                <w:tcPr>
                  <w:tcW w:w="1155" w:type="dxa"/>
                  <w:tcBorders>
                    <w:tl2br w:val="nil"/>
                    <w:tr2bl w:val="nil"/>
                  </w:tcBorders>
                  <w:vAlign w:val="center"/>
                </w:tcPr>
                <w:p w14:paraId="72610467">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1.05</w:t>
                  </w:r>
                </w:p>
              </w:tc>
              <w:tc>
                <w:tcPr>
                  <w:tcW w:w="1290" w:type="dxa"/>
                  <w:tcBorders>
                    <w:tl2br w:val="nil"/>
                    <w:tr2bl w:val="nil"/>
                  </w:tcBorders>
                  <w:vAlign w:val="center"/>
                </w:tcPr>
                <w:p w14:paraId="0FB9F6E2">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2.10</w:t>
                  </w:r>
                </w:p>
              </w:tc>
              <w:tc>
                <w:tcPr>
                  <w:tcW w:w="1110" w:type="dxa"/>
                  <w:tcBorders>
                    <w:tl2br w:val="nil"/>
                    <w:tr2bl w:val="nil"/>
                  </w:tcBorders>
                  <w:vAlign w:val="center"/>
                </w:tcPr>
                <w:p w14:paraId="6BE497BC">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3969</w:t>
                  </w:r>
                </w:p>
              </w:tc>
              <w:tc>
                <w:tcPr>
                  <w:tcW w:w="1083" w:type="dxa"/>
                  <w:tcBorders>
                    <w:tl2br w:val="nil"/>
                    <w:tr2bl w:val="nil"/>
                  </w:tcBorders>
                  <w:vAlign w:val="center"/>
                </w:tcPr>
                <w:p w14:paraId="6FC295BB">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w:t>
                  </w:r>
                </w:p>
              </w:tc>
            </w:tr>
            <w:tr w14:paraId="15F8F3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319" w:type="dxa"/>
                  <w:gridSpan w:val="6"/>
                  <w:tcBorders>
                    <w:tl2br w:val="nil"/>
                    <w:tr2bl w:val="nil"/>
                  </w:tcBorders>
                  <w:vAlign w:val="center"/>
                </w:tcPr>
                <w:p w14:paraId="1E5F16FC">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合计</w:t>
                  </w:r>
                </w:p>
              </w:tc>
              <w:tc>
                <w:tcPr>
                  <w:tcW w:w="1110" w:type="dxa"/>
                  <w:tcBorders>
                    <w:tl2br w:val="nil"/>
                    <w:tr2bl w:val="nil"/>
                  </w:tcBorders>
                  <w:vAlign w:val="center"/>
                </w:tcPr>
                <w:p w14:paraId="3AA7006E">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8958.6</w:t>
                  </w:r>
                </w:p>
              </w:tc>
              <w:tc>
                <w:tcPr>
                  <w:tcW w:w="1083" w:type="dxa"/>
                  <w:tcBorders>
                    <w:tl2br w:val="nil"/>
                    <w:tr2bl w:val="nil"/>
                  </w:tcBorders>
                  <w:vAlign w:val="center"/>
                </w:tcPr>
                <w:p w14:paraId="1347E981">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sz w:val="21"/>
                      <w:szCs w:val="21"/>
                      <w:u w:val="none" w:color="auto"/>
                      <w:vertAlign w:val="baseline"/>
                      <w:lang w:val="en-US" w:eastAsia="zh-CN"/>
                    </w:rPr>
                  </w:pPr>
                  <w:r>
                    <w:rPr>
                      <w:rFonts w:hint="eastAsia"/>
                      <w:b w:val="0"/>
                      <w:bCs w:val="0"/>
                      <w:sz w:val="21"/>
                      <w:szCs w:val="21"/>
                      <w:u w:val="none" w:color="auto"/>
                      <w:vertAlign w:val="baseline"/>
                      <w:lang w:val="en-US" w:eastAsia="zh-CN"/>
                    </w:rPr>
                    <w:t>11000</w:t>
                  </w:r>
                </w:p>
              </w:tc>
            </w:tr>
          </w:tbl>
          <w:p w14:paraId="6C01A043">
            <w:pPr>
              <w:pStyle w:val="40"/>
              <w:bidi w:val="0"/>
              <w:rPr>
                <w:rFonts w:hint="eastAsia"/>
                <w:b w:val="0"/>
                <w:bCs w:val="0"/>
                <w:u w:val="single" w:color="auto"/>
              </w:rPr>
            </w:pPr>
            <w:r>
              <w:rPr>
                <w:rFonts w:hint="eastAsia"/>
                <w:b w:val="0"/>
                <w:bCs w:val="0"/>
                <w:u w:val="single" w:color="auto"/>
              </w:rPr>
              <w:t>根据《吸附法工业有机废气治理工程技术规范》要求，设计风量为处理风量的120%，则本项目排气筒风量设计值设置为</w:t>
            </w:r>
            <w:r>
              <w:rPr>
                <w:rFonts w:hint="eastAsia"/>
                <w:b w:val="0"/>
                <w:bCs w:val="0"/>
                <w:u w:val="single" w:color="auto"/>
                <w:lang w:val="en-US" w:eastAsia="zh-CN"/>
              </w:rPr>
              <w:t>110</w:t>
            </w:r>
            <w:r>
              <w:rPr>
                <w:rFonts w:hint="eastAsia"/>
                <w:b w:val="0"/>
                <w:bCs w:val="0"/>
                <w:u w:val="single" w:color="auto"/>
              </w:rPr>
              <w:t>00m</w:t>
            </w:r>
            <w:r>
              <w:rPr>
                <w:rFonts w:hint="eastAsia"/>
                <w:b w:val="0"/>
                <w:bCs w:val="0"/>
                <w:u w:val="single" w:color="auto"/>
                <w:vertAlign w:val="superscript"/>
                <w:lang w:val="en-US" w:eastAsia="zh-CN"/>
              </w:rPr>
              <w:t>3</w:t>
            </w:r>
            <w:r>
              <w:rPr>
                <w:rFonts w:hint="eastAsia"/>
                <w:b w:val="0"/>
                <w:bCs w:val="0"/>
                <w:u w:val="single" w:color="auto"/>
              </w:rPr>
              <w:t>/h。项目运营过程生产过程门窗关闭，形成生产车间区域围蔽，降低废气外逸。有机废气经集气罩收集后采用</w:t>
            </w:r>
            <w:r>
              <w:rPr>
                <w:rFonts w:hint="eastAsia"/>
                <w:b w:val="0"/>
                <w:bCs w:val="0"/>
                <w:u w:val="single" w:color="auto"/>
                <w:lang w:val="en-US" w:eastAsia="zh-CN"/>
              </w:rPr>
              <w:t>二级</w:t>
            </w:r>
            <w:r>
              <w:rPr>
                <w:rFonts w:hint="eastAsia"/>
                <w:b w:val="0"/>
                <w:bCs w:val="0"/>
                <w:u w:val="single" w:color="auto"/>
              </w:rPr>
              <w:t>活性炭吸附装置处理。</w:t>
            </w:r>
          </w:p>
          <w:p w14:paraId="655CB155">
            <w:pPr>
              <w:pStyle w:val="40"/>
              <w:bidi w:val="0"/>
              <w:rPr>
                <w:rFonts w:hint="default" w:eastAsia="宋体"/>
                <w:b w:val="0"/>
                <w:bCs w:val="0"/>
                <w:u w:val="none" w:color="auto"/>
                <w:lang w:val="en-US" w:eastAsia="zh-CN"/>
              </w:rPr>
            </w:pPr>
            <w:r>
              <w:rPr>
                <w:rFonts w:hint="eastAsia"/>
                <w:b w:val="0"/>
                <w:bCs w:val="0"/>
                <w:u w:val="none" w:color="auto"/>
                <w:lang w:val="en-US" w:eastAsia="zh-CN"/>
              </w:rPr>
              <w:t>根据</w:t>
            </w:r>
            <w:r>
              <w:rPr>
                <w:rFonts w:hint="eastAsia" w:cs="Times New Roman"/>
                <w:b w:val="0"/>
                <w:bCs w:val="0"/>
                <w:u w:val="single" w:color="auto"/>
                <w:lang w:val="en-US" w:eastAsia="zh-CN"/>
              </w:rPr>
              <w:t>《主要污染物总量减排核算技术指南》（2022修订版）表2-3中VOCs废气收集率和治理设施去除率通用系数，采用包围型集气罩（含软帘）废气收集效率取50%，项目焊锡废气采用包围型集气罩（含软帘）收集，收集效率取50%，采用密闭空间(含密闭式集气罩)负压收集的，废气收集效率取90%，本项目调漆、浸漆、烘干废气采取密闭式含浸烘干房，配套排风系统持续抽风使房内保持微负压状态，+包围型集气罩（含软帘）收集，收集效率取90%。一级活性炭处理效率为30%，本项目采用二级活性炭吸附，处理效率取50%。</w:t>
            </w:r>
          </w:p>
          <w:p w14:paraId="00599DDF">
            <w:pPr>
              <w:pStyle w:val="40"/>
              <w:bidi w:val="0"/>
              <w:rPr>
                <w:b/>
                <w:bCs/>
                <w:u w:val="none" w:color="auto"/>
              </w:rPr>
            </w:pPr>
            <w:r>
              <w:rPr>
                <w:rFonts w:hint="eastAsia"/>
                <w:b/>
                <w:bCs/>
                <w:u w:val="none" w:color="auto"/>
              </w:rPr>
              <w:t>2、大气污染物影响分析</w:t>
            </w:r>
          </w:p>
          <w:p w14:paraId="74E7F331">
            <w:pPr>
              <w:pStyle w:val="40"/>
              <w:bidi w:val="0"/>
              <w:rPr>
                <w:b/>
                <w:bCs/>
                <w:u w:val="none" w:color="auto"/>
              </w:rPr>
            </w:pPr>
            <w:r>
              <w:rPr>
                <w:b/>
                <w:bCs/>
                <w:u w:val="none" w:color="auto"/>
              </w:rPr>
              <w:t>（</w:t>
            </w:r>
            <w:r>
              <w:rPr>
                <w:rFonts w:hint="eastAsia"/>
                <w:b/>
                <w:bCs/>
                <w:u w:val="none" w:color="auto"/>
              </w:rPr>
              <w:t>1</w:t>
            </w:r>
            <w:r>
              <w:rPr>
                <w:b/>
                <w:bCs/>
                <w:u w:val="none" w:color="auto"/>
              </w:rPr>
              <w:t>）大气污染物排放</w:t>
            </w:r>
            <w:r>
              <w:rPr>
                <w:rFonts w:hint="eastAsia"/>
                <w:b/>
                <w:bCs/>
                <w:u w:val="none" w:color="auto"/>
              </w:rPr>
              <w:t>情况</w:t>
            </w:r>
          </w:p>
          <w:p w14:paraId="7DDF26BE">
            <w:pPr>
              <w:pStyle w:val="40"/>
              <w:bidi w:val="0"/>
              <w:rPr>
                <w:color w:val="000000" w:themeColor="text1"/>
                <w:u w:val="none" w:color="auto"/>
                <w14:textFill>
                  <w14:solidFill>
                    <w14:schemeClr w14:val="tx1"/>
                  </w14:solidFill>
                </w14:textFill>
              </w:rPr>
            </w:pPr>
            <w:r>
              <w:rPr>
                <w:u w:val="none" w:color="auto"/>
              </w:rPr>
              <w:t>本项目</w:t>
            </w:r>
            <w:r>
              <w:rPr>
                <w:rFonts w:hint="eastAsia"/>
                <w:u w:val="none" w:color="auto"/>
              </w:rPr>
              <w:t>废</w:t>
            </w:r>
            <w:r>
              <w:rPr>
                <w:u w:val="none" w:color="auto"/>
              </w:rPr>
              <w:t>气污染物信息表如下表</w:t>
            </w:r>
            <w:r>
              <w:rPr>
                <w:rFonts w:hint="eastAsia"/>
                <w:u w:val="none" w:color="auto"/>
              </w:rPr>
              <w:t>4-</w:t>
            </w:r>
            <w:r>
              <w:rPr>
                <w:rFonts w:hint="eastAsia"/>
                <w:u w:val="none" w:color="auto"/>
                <w:lang w:val="en-US" w:eastAsia="zh-CN"/>
              </w:rPr>
              <w:t>2</w:t>
            </w:r>
            <w:r>
              <w:rPr>
                <w:u w:val="none" w:color="auto"/>
              </w:rPr>
              <w:t>所示</w:t>
            </w:r>
            <w:r>
              <w:rPr>
                <w:rFonts w:hint="eastAsia"/>
                <w:u w:val="none" w:color="auto"/>
              </w:rPr>
              <w:t>，</w:t>
            </w:r>
            <w:r>
              <w:rPr>
                <w:u w:val="none" w:color="auto"/>
              </w:rPr>
              <w:t>废气排放口情况如下表</w:t>
            </w:r>
            <w:r>
              <w:rPr>
                <w:rFonts w:hint="eastAsia"/>
                <w:u w:val="none" w:color="auto"/>
                <w:lang w:val="en-US" w:eastAsia="zh-CN"/>
              </w:rPr>
              <w:t>4-3</w:t>
            </w:r>
            <w:r>
              <w:rPr>
                <w:u w:val="none" w:color="auto"/>
              </w:rPr>
              <w:t>所示</w:t>
            </w:r>
            <w:r>
              <w:rPr>
                <w:rFonts w:hint="eastAsia"/>
                <w:u w:val="none" w:color="auto"/>
              </w:rPr>
              <w:t>。</w:t>
            </w:r>
          </w:p>
        </w:tc>
      </w:tr>
    </w:tbl>
    <w:p w14:paraId="6FE3D0D2">
      <w:pPr>
        <w:adjustRightInd w:val="0"/>
        <w:snapToGrid w:val="0"/>
        <w:spacing w:line="360" w:lineRule="auto"/>
        <w:rPr>
          <w:b/>
          <w:color w:val="000000" w:themeColor="text1"/>
          <w:kern w:val="0"/>
          <w:sz w:val="28"/>
          <w:szCs w:val="28"/>
          <w:u w:val="none" w:color="auto"/>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4769"/>
      </w:tblGrid>
      <w:tr w14:paraId="2E0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6" w:hRule="atLeast"/>
        </w:trPr>
        <w:tc>
          <w:tcPr>
            <w:tcW w:w="190" w:type="pct"/>
            <w:vAlign w:val="center"/>
          </w:tcPr>
          <w:p w14:paraId="4A505709">
            <w:pPr>
              <w:jc w:val="center"/>
              <w:rPr>
                <w:color w:val="000000" w:themeColor="text1"/>
                <w:u w:val="none" w:color="auto"/>
                <w:vertAlign w:val="baseline"/>
                <w14:textFill>
                  <w14:solidFill>
                    <w14:schemeClr w14:val="tx1"/>
                  </w14:solidFill>
                </w14:textFill>
              </w:rPr>
            </w:pPr>
            <w:r>
              <w:rPr>
                <w:bCs/>
                <w:color w:val="000000" w:themeColor="text1"/>
                <w:szCs w:val="21"/>
                <w:u w:val="none" w:color="auto"/>
                <w14:textFill>
                  <w14:solidFill>
                    <w14:schemeClr w14:val="tx1"/>
                  </w14:solidFill>
                </w14:textFill>
              </w:rPr>
              <w:t>营运期环境影响和保护措施</w:t>
            </w:r>
          </w:p>
        </w:tc>
        <w:tc>
          <w:tcPr>
            <w:tcW w:w="4809" w:type="pct"/>
          </w:tcPr>
          <w:p w14:paraId="0C4DD7D5">
            <w:pPr>
              <w:pStyle w:val="42"/>
              <w:bidi w:val="0"/>
              <w:rPr>
                <w:u w:val="none" w:color="auto"/>
              </w:rPr>
            </w:pPr>
            <w:r>
              <w:rPr>
                <w:rFonts w:hint="default"/>
                <w:u w:val="none" w:color="auto"/>
              </w:rPr>
              <w:t>表4-</w:t>
            </w:r>
            <w:r>
              <w:rPr>
                <w:rFonts w:hint="eastAsia"/>
                <w:u w:val="none" w:color="auto"/>
                <w:lang w:val="en-US" w:eastAsia="zh-CN"/>
              </w:rPr>
              <w:t>2</w:t>
            </w:r>
            <w:r>
              <w:rPr>
                <w:rFonts w:hint="default"/>
                <w:u w:val="none" w:color="auto"/>
                <w:lang w:val="en-US" w:eastAsia="zh-CN"/>
              </w:rPr>
              <w:t xml:space="preserve"> </w:t>
            </w:r>
            <w:r>
              <w:rPr>
                <w:rFonts w:hint="default"/>
                <w:u w:val="none" w:color="auto"/>
              </w:rPr>
              <w:t xml:space="preserve"> 废气污染源源强核算结果一览表</w:t>
            </w:r>
          </w:p>
          <w:tbl>
            <w:tblPr>
              <w:tblStyle w:val="34"/>
              <w:tblW w:w="4995" w:type="pc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9"/>
              <w:gridCol w:w="1024"/>
              <w:gridCol w:w="1105"/>
              <w:gridCol w:w="1091"/>
              <w:gridCol w:w="1513"/>
              <w:gridCol w:w="1050"/>
              <w:gridCol w:w="1105"/>
              <w:gridCol w:w="1051"/>
              <w:gridCol w:w="1205"/>
              <w:gridCol w:w="1003"/>
              <w:gridCol w:w="982"/>
              <w:gridCol w:w="1159"/>
              <w:gridCol w:w="859"/>
              <w:gridCol w:w="795"/>
            </w:tblGrid>
            <w:tr w14:paraId="464495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6" w:type="pct"/>
                  <w:vMerge w:val="restart"/>
                  <w:tcBorders>
                    <w:tl2br w:val="nil"/>
                    <w:tr2bl w:val="nil"/>
                  </w:tcBorders>
                  <w:noWrap w:val="0"/>
                  <w:vAlign w:val="center"/>
                </w:tcPr>
                <w:p w14:paraId="2E817F5C">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eastAsia="zh-CN"/>
                    </w:rPr>
                  </w:pPr>
                  <w:r>
                    <w:rPr>
                      <w:rFonts w:hint="default" w:ascii="Times New Roman" w:hAnsi="Times New Roman" w:cs="Times New Roman"/>
                      <w:sz w:val="21"/>
                      <w:szCs w:val="21"/>
                      <w:u w:val="single" w:color="auto"/>
                      <w:vertAlign w:val="baseline"/>
                      <w:lang w:eastAsia="zh-CN"/>
                    </w:rPr>
                    <w:t>产生</w:t>
                  </w:r>
                  <w:r>
                    <w:rPr>
                      <w:rFonts w:hint="eastAsia" w:ascii="Times New Roman" w:cs="Times New Roman"/>
                      <w:sz w:val="21"/>
                      <w:szCs w:val="21"/>
                      <w:u w:val="single" w:color="auto"/>
                      <w:vertAlign w:val="baseline"/>
                      <w:lang w:val="en-US" w:eastAsia="zh-CN"/>
                    </w:rPr>
                    <w:t>单元</w:t>
                  </w:r>
                </w:p>
              </w:tc>
              <w:tc>
                <w:tcPr>
                  <w:tcW w:w="352" w:type="pct"/>
                  <w:vMerge w:val="restart"/>
                  <w:tcBorders>
                    <w:tl2br w:val="nil"/>
                    <w:tr2bl w:val="nil"/>
                  </w:tcBorders>
                  <w:noWrap w:val="0"/>
                  <w:vAlign w:val="center"/>
                </w:tcPr>
                <w:p w14:paraId="4E2553B9">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eastAsia="zh-CN"/>
                    </w:rPr>
                  </w:pPr>
                  <w:r>
                    <w:rPr>
                      <w:rFonts w:hint="default" w:ascii="Times New Roman" w:hAnsi="Times New Roman" w:cs="Times New Roman"/>
                      <w:sz w:val="21"/>
                      <w:szCs w:val="21"/>
                      <w:u w:val="single" w:color="auto"/>
                      <w:vertAlign w:val="baseline"/>
                      <w:lang w:eastAsia="zh-CN"/>
                    </w:rPr>
                    <w:t>产排污环节/污染源</w:t>
                  </w:r>
                </w:p>
              </w:tc>
              <w:tc>
                <w:tcPr>
                  <w:tcW w:w="380" w:type="pct"/>
                  <w:vMerge w:val="restart"/>
                  <w:tcBorders>
                    <w:tl2br w:val="nil"/>
                    <w:tr2bl w:val="nil"/>
                  </w:tcBorders>
                  <w:noWrap w:val="0"/>
                  <w:vAlign w:val="center"/>
                </w:tcPr>
                <w:p w14:paraId="244A81A9">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eastAsia="zh-CN"/>
                    </w:rPr>
                  </w:pPr>
                  <w:r>
                    <w:rPr>
                      <w:rFonts w:hint="eastAsia" w:ascii="Times New Roman" w:hAnsi="Times New Roman" w:cs="Times New Roman"/>
                      <w:sz w:val="21"/>
                      <w:szCs w:val="21"/>
                      <w:u w:val="single" w:color="auto"/>
                      <w:vertAlign w:val="baseline"/>
                      <w:lang w:eastAsia="zh-CN"/>
                    </w:rPr>
                    <w:t>污染物</w:t>
                  </w:r>
                </w:p>
              </w:tc>
              <w:tc>
                <w:tcPr>
                  <w:tcW w:w="375" w:type="pct"/>
                  <w:vMerge w:val="restart"/>
                  <w:tcBorders>
                    <w:tl2br w:val="nil"/>
                    <w:tr2bl w:val="nil"/>
                  </w:tcBorders>
                  <w:noWrap w:val="0"/>
                  <w:vAlign w:val="center"/>
                </w:tcPr>
                <w:p w14:paraId="506273C8">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val="en-US" w:eastAsia="zh-CN"/>
                    </w:rPr>
                  </w:pPr>
                  <w:r>
                    <w:rPr>
                      <w:rFonts w:hint="default" w:ascii="Times New Roman" w:hAnsi="Times New Roman" w:cs="Times New Roman"/>
                      <w:sz w:val="21"/>
                      <w:szCs w:val="21"/>
                      <w:u w:val="single" w:color="auto"/>
                      <w:vertAlign w:val="baseline"/>
                      <w:lang w:eastAsia="zh-CN"/>
                    </w:rPr>
                    <w:t>产生量</w:t>
                  </w:r>
                  <w:r>
                    <w:rPr>
                      <w:rFonts w:hint="default" w:ascii="Times New Roman" w:hAnsi="Times New Roman" w:cs="Times New Roman"/>
                      <w:sz w:val="21"/>
                      <w:szCs w:val="21"/>
                      <w:u w:val="single" w:color="auto"/>
                      <w:vertAlign w:val="baseline"/>
                      <w:lang w:val="en-US" w:eastAsia="zh-CN"/>
                    </w:rPr>
                    <w:t>t/a</w:t>
                  </w:r>
                </w:p>
              </w:tc>
              <w:tc>
                <w:tcPr>
                  <w:tcW w:w="521" w:type="pct"/>
                  <w:vMerge w:val="restart"/>
                  <w:tcBorders>
                    <w:tl2br w:val="nil"/>
                    <w:tr2bl w:val="nil"/>
                  </w:tcBorders>
                  <w:noWrap w:val="0"/>
                  <w:vAlign w:val="center"/>
                </w:tcPr>
                <w:p w14:paraId="1A9B4298">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eastAsia="zh-CN"/>
                    </w:rPr>
                  </w:pPr>
                  <w:r>
                    <w:rPr>
                      <w:rFonts w:hint="default" w:ascii="Times New Roman" w:hAnsi="Times New Roman" w:cs="Times New Roman"/>
                      <w:sz w:val="21"/>
                      <w:szCs w:val="21"/>
                      <w:u w:val="single" w:color="auto"/>
                      <w:vertAlign w:val="baseline"/>
                      <w:lang w:eastAsia="zh-CN"/>
                    </w:rPr>
                    <w:t>处理措施</w:t>
                  </w:r>
                </w:p>
              </w:tc>
              <w:tc>
                <w:tcPr>
                  <w:tcW w:w="361" w:type="pct"/>
                  <w:vMerge w:val="restart"/>
                  <w:tcBorders>
                    <w:tl2br w:val="nil"/>
                    <w:tr2bl w:val="nil"/>
                  </w:tcBorders>
                  <w:noWrap w:val="0"/>
                  <w:vAlign w:val="center"/>
                </w:tcPr>
                <w:p w14:paraId="248549ED">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eastAsia="zh-CN"/>
                    </w:rPr>
                  </w:pPr>
                  <w:r>
                    <w:rPr>
                      <w:rFonts w:hint="default" w:ascii="Times New Roman" w:hAnsi="Times New Roman" w:cs="Times New Roman"/>
                      <w:sz w:val="21"/>
                      <w:szCs w:val="21"/>
                      <w:u w:val="single" w:color="auto"/>
                      <w:vertAlign w:val="baseline"/>
                      <w:lang w:eastAsia="zh-CN"/>
                    </w:rPr>
                    <w:t>风机风量</w:t>
                  </w:r>
                  <w:r>
                    <w:rPr>
                      <w:rFonts w:hint="eastAsia" w:ascii="Times New Roman" w:hAnsi="Times New Roman" w:cs="Times New Roman"/>
                      <w:sz w:val="21"/>
                      <w:szCs w:val="21"/>
                      <w:u w:val="single" w:color="auto"/>
                      <w:vertAlign w:val="baseline"/>
                      <w:lang w:eastAsia="zh-CN"/>
                    </w:rPr>
                    <w:t>（</w:t>
                  </w:r>
                  <w:r>
                    <w:rPr>
                      <w:rFonts w:hint="eastAsia" w:ascii="Times New Roman" w:hAnsi="Times New Roman" w:eastAsia="宋体" w:cs="Times New Roman"/>
                      <w:i w:val="0"/>
                      <w:iCs w:val="0"/>
                      <w:color w:val="000000"/>
                      <w:kern w:val="2"/>
                      <w:sz w:val="21"/>
                      <w:szCs w:val="21"/>
                      <w:u w:val="single" w:color="auto"/>
                      <w:lang w:val="en-US" w:eastAsia="zh-CN" w:bidi="ar-SA"/>
                    </w:rPr>
                    <w:t>m</w:t>
                  </w:r>
                  <w:r>
                    <w:rPr>
                      <w:rFonts w:hint="eastAsia" w:ascii="Times New Roman" w:hAnsi="Times New Roman" w:eastAsia="宋体" w:cs="Times New Roman"/>
                      <w:i w:val="0"/>
                      <w:iCs w:val="0"/>
                      <w:color w:val="000000"/>
                      <w:kern w:val="2"/>
                      <w:sz w:val="21"/>
                      <w:szCs w:val="21"/>
                      <w:u w:val="single" w:color="auto"/>
                      <w:vertAlign w:val="superscript"/>
                      <w:lang w:val="en-US" w:eastAsia="zh-CN" w:bidi="ar-SA"/>
                    </w:rPr>
                    <w:t>3</w:t>
                  </w:r>
                  <w:r>
                    <w:rPr>
                      <w:rFonts w:hint="eastAsia" w:ascii="Times New Roman" w:hAnsi="Times New Roman" w:eastAsia="宋体" w:cs="Times New Roman"/>
                      <w:i w:val="0"/>
                      <w:iCs w:val="0"/>
                      <w:color w:val="000000"/>
                      <w:kern w:val="2"/>
                      <w:sz w:val="21"/>
                      <w:szCs w:val="21"/>
                      <w:u w:val="single" w:color="auto"/>
                      <w:lang w:val="en-US" w:eastAsia="zh-CN" w:bidi="ar-SA"/>
                    </w:rPr>
                    <w:t>/h</w:t>
                  </w:r>
                  <w:r>
                    <w:rPr>
                      <w:rFonts w:hint="eastAsia" w:ascii="Times New Roman" w:hAnsi="Times New Roman" w:cs="Times New Roman"/>
                      <w:sz w:val="21"/>
                      <w:szCs w:val="21"/>
                      <w:u w:val="single" w:color="auto"/>
                      <w:vertAlign w:val="baseline"/>
                      <w:lang w:eastAsia="zh-CN"/>
                    </w:rPr>
                    <w:t>）</w:t>
                  </w:r>
                </w:p>
              </w:tc>
              <w:tc>
                <w:tcPr>
                  <w:tcW w:w="380" w:type="pct"/>
                  <w:vMerge w:val="restart"/>
                  <w:tcBorders>
                    <w:tl2br w:val="nil"/>
                    <w:tr2bl w:val="nil"/>
                  </w:tcBorders>
                  <w:noWrap w:val="0"/>
                  <w:vAlign w:val="center"/>
                </w:tcPr>
                <w:p w14:paraId="62557E2A">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eastAsia="zh-CN"/>
                    </w:rPr>
                  </w:pPr>
                  <w:r>
                    <w:rPr>
                      <w:rFonts w:hint="default" w:ascii="Times New Roman" w:hAnsi="Times New Roman" w:cs="Times New Roman"/>
                      <w:sz w:val="21"/>
                      <w:szCs w:val="21"/>
                      <w:u w:val="single" w:color="auto"/>
                      <w:vertAlign w:val="baseline"/>
                      <w:lang w:eastAsia="zh-CN"/>
                    </w:rPr>
                    <w:t>收集效率</w:t>
                  </w:r>
                  <w:r>
                    <w:rPr>
                      <w:rFonts w:hint="eastAsia" w:ascii="Times New Roman" w:hAnsi="Times New Roman" w:cs="Times New Roman"/>
                      <w:sz w:val="21"/>
                      <w:szCs w:val="21"/>
                      <w:u w:val="single" w:color="auto"/>
                      <w:vertAlign w:val="baseline"/>
                      <w:lang w:eastAsia="zh-CN"/>
                    </w:rPr>
                    <w:t>（</w:t>
                  </w:r>
                  <w:r>
                    <w:rPr>
                      <w:rFonts w:hint="eastAsia" w:ascii="Times New Roman" w:hAnsi="Times New Roman" w:cs="Times New Roman"/>
                      <w:sz w:val="21"/>
                      <w:szCs w:val="21"/>
                      <w:u w:val="single" w:color="auto"/>
                      <w:vertAlign w:val="baseline"/>
                      <w:lang w:val="en-US" w:eastAsia="zh-CN"/>
                    </w:rPr>
                    <w:t>%</w:t>
                  </w:r>
                  <w:r>
                    <w:rPr>
                      <w:rFonts w:hint="eastAsia" w:ascii="Times New Roman" w:hAnsi="Times New Roman" w:cs="Times New Roman"/>
                      <w:sz w:val="21"/>
                      <w:szCs w:val="21"/>
                      <w:u w:val="single" w:color="auto"/>
                      <w:vertAlign w:val="baseline"/>
                      <w:lang w:eastAsia="zh-CN"/>
                    </w:rPr>
                    <w:t>）</w:t>
                  </w:r>
                </w:p>
              </w:tc>
              <w:tc>
                <w:tcPr>
                  <w:tcW w:w="362" w:type="pct"/>
                  <w:vMerge w:val="restart"/>
                  <w:tcBorders>
                    <w:tl2br w:val="nil"/>
                    <w:tr2bl w:val="nil"/>
                  </w:tcBorders>
                  <w:noWrap w:val="0"/>
                  <w:vAlign w:val="center"/>
                </w:tcPr>
                <w:p w14:paraId="5D348753">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eastAsia="zh-CN"/>
                    </w:rPr>
                  </w:pPr>
                  <w:r>
                    <w:rPr>
                      <w:rFonts w:hint="default" w:ascii="Times New Roman" w:hAnsi="Times New Roman" w:cs="Times New Roman"/>
                      <w:sz w:val="21"/>
                      <w:szCs w:val="21"/>
                      <w:u w:val="single" w:color="auto"/>
                      <w:vertAlign w:val="baseline"/>
                      <w:lang w:eastAsia="zh-CN"/>
                    </w:rPr>
                    <w:t>处理效率</w:t>
                  </w:r>
                  <w:r>
                    <w:rPr>
                      <w:rFonts w:hint="eastAsia" w:ascii="Times New Roman" w:hAnsi="Times New Roman" w:cs="Times New Roman"/>
                      <w:sz w:val="21"/>
                      <w:szCs w:val="21"/>
                      <w:u w:val="single" w:color="auto"/>
                      <w:vertAlign w:val="baseline"/>
                      <w:lang w:eastAsia="zh-CN"/>
                    </w:rPr>
                    <w:t>（</w:t>
                  </w:r>
                  <w:r>
                    <w:rPr>
                      <w:rFonts w:hint="eastAsia" w:ascii="Times New Roman" w:hAnsi="Times New Roman" w:cs="Times New Roman"/>
                      <w:sz w:val="21"/>
                      <w:szCs w:val="21"/>
                      <w:u w:val="single" w:color="auto"/>
                      <w:vertAlign w:val="baseline"/>
                      <w:lang w:val="en-US" w:eastAsia="zh-CN"/>
                    </w:rPr>
                    <w:t>%</w:t>
                  </w:r>
                  <w:r>
                    <w:rPr>
                      <w:rFonts w:hint="eastAsia" w:ascii="Times New Roman" w:hAnsi="Times New Roman" w:cs="Times New Roman"/>
                      <w:sz w:val="21"/>
                      <w:szCs w:val="21"/>
                      <w:u w:val="single" w:color="auto"/>
                      <w:vertAlign w:val="baseline"/>
                      <w:lang w:eastAsia="zh-CN"/>
                    </w:rPr>
                    <w:t>）</w:t>
                  </w:r>
                </w:p>
              </w:tc>
              <w:tc>
                <w:tcPr>
                  <w:tcW w:w="1498" w:type="pct"/>
                  <w:gridSpan w:val="4"/>
                  <w:tcBorders>
                    <w:tl2br w:val="nil"/>
                    <w:tr2bl w:val="nil"/>
                  </w:tcBorders>
                  <w:noWrap w:val="0"/>
                  <w:vAlign w:val="center"/>
                </w:tcPr>
                <w:p w14:paraId="154E8537">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eastAsia="zh-CN"/>
                    </w:rPr>
                  </w:pPr>
                  <w:r>
                    <w:rPr>
                      <w:rFonts w:hint="default" w:ascii="Times New Roman" w:hAnsi="Times New Roman" w:cs="Times New Roman"/>
                      <w:sz w:val="21"/>
                      <w:szCs w:val="21"/>
                      <w:u w:val="single" w:color="auto"/>
                      <w:vertAlign w:val="baseline"/>
                      <w:lang w:eastAsia="zh-CN"/>
                    </w:rPr>
                    <w:t>排放情况</w:t>
                  </w:r>
                </w:p>
              </w:tc>
              <w:tc>
                <w:tcPr>
                  <w:tcW w:w="295" w:type="pct"/>
                  <w:vMerge w:val="restart"/>
                  <w:tcBorders>
                    <w:tl2br w:val="nil"/>
                    <w:tr2bl w:val="nil"/>
                  </w:tcBorders>
                  <w:noWrap w:val="0"/>
                  <w:vAlign w:val="center"/>
                </w:tcPr>
                <w:p w14:paraId="622E9711">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r>
                    <w:rPr>
                      <w:rFonts w:hint="default" w:ascii="Times New Roman" w:hAnsi="Times New Roman" w:cs="Times New Roman"/>
                      <w:sz w:val="21"/>
                      <w:szCs w:val="21"/>
                      <w:u w:val="single" w:color="auto"/>
                      <w:vertAlign w:val="baseline"/>
                    </w:rPr>
                    <w:t>排气筒</w:t>
                  </w:r>
                </w:p>
                <w:p w14:paraId="68C3BD25">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r>
                    <w:rPr>
                      <w:rFonts w:hint="default" w:ascii="Times New Roman" w:hAnsi="Times New Roman" w:cs="Times New Roman"/>
                      <w:sz w:val="21"/>
                      <w:szCs w:val="21"/>
                      <w:u w:val="single" w:color="auto"/>
                      <w:vertAlign w:val="baseline"/>
                    </w:rPr>
                    <w:t>编号</w:t>
                  </w:r>
                </w:p>
              </w:tc>
              <w:tc>
                <w:tcPr>
                  <w:tcW w:w="273" w:type="pct"/>
                  <w:vMerge w:val="restart"/>
                  <w:tcBorders>
                    <w:tl2br w:val="nil"/>
                    <w:tr2bl w:val="nil"/>
                  </w:tcBorders>
                  <w:noWrap w:val="0"/>
                  <w:vAlign w:val="center"/>
                </w:tcPr>
                <w:p w14:paraId="4BE7FC51">
                  <w:pPr>
                    <w:jc w:val="center"/>
                    <w:rPr>
                      <w:rFonts w:hint="default"/>
                      <w:sz w:val="21"/>
                      <w:szCs w:val="21"/>
                      <w:u w:val="single" w:color="auto"/>
                      <w:lang w:val="en-US" w:eastAsia="zh-CN"/>
                    </w:rPr>
                  </w:pPr>
                  <w:r>
                    <w:rPr>
                      <w:rFonts w:hint="eastAsia" w:cs="Times New Roman"/>
                      <w:sz w:val="21"/>
                      <w:szCs w:val="21"/>
                      <w:u w:val="single" w:color="auto"/>
                      <w:vertAlign w:val="baseline"/>
                      <w:lang w:val="en-US" w:eastAsia="zh-CN"/>
                    </w:rPr>
                    <w:t>排放时间（h）</w:t>
                  </w:r>
                </w:p>
              </w:tc>
            </w:tr>
            <w:tr w14:paraId="29AC76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6" w:type="pct"/>
                  <w:vMerge w:val="continue"/>
                  <w:tcBorders>
                    <w:tl2br w:val="nil"/>
                    <w:tr2bl w:val="nil"/>
                  </w:tcBorders>
                  <w:noWrap w:val="0"/>
                  <w:vAlign w:val="center"/>
                </w:tcPr>
                <w:p w14:paraId="07B48F7A">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52" w:type="pct"/>
                  <w:vMerge w:val="continue"/>
                  <w:tcBorders>
                    <w:tl2br w:val="nil"/>
                    <w:tr2bl w:val="nil"/>
                  </w:tcBorders>
                  <w:noWrap w:val="0"/>
                  <w:vAlign w:val="center"/>
                </w:tcPr>
                <w:p w14:paraId="1F5596E0">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80" w:type="pct"/>
                  <w:vMerge w:val="continue"/>
                  <w:tcBorders>
                    <w:tl2br w:val="nil"/>
                    <w:tr2bl w:val="nil"/>
                  </w:tcBorders>
                  <w:noWrap w:val="0"/>
                  <w:vAlign w:val="center"/>
                </w:tcPr>
                <w:p w14:paraId="4DEF17E7">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75" w:type="pct"/>
                  <w:vMerge w:val="continue"/>
                  <w:tcBorders>
                    <w:tl2br w:val="nil"/>
                    <w:tr2bl w:val="nil"/>
                  </w:tcBorders>
                  <w:noWrap w:val="0"/>
                  <w:vAlign w:val="center"/>
                </w:tcPr>
                <w:p w14:paraId="1B1E4F1F">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521" w:type="pct"/>
                  <w:vMerge w:val="continue"/>
                  <w:tcBorders>
                    <w:tl2br w:val="nil"/>
                    <w:tr2bl w:val="nil"/>
                  </w:tcBorders>
                  <w:noWrap w:val="0"/>
                  <w:vAlign w:val="center"/>
                </w:tcPr>
                <w:p w14:paraId="74D25E70">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61" w:type="pct"/>
                  <w:vMerge w:val="continue"/>
                  <w:tcBorders>
                    <w:tl2br w:val="nil"/>
                    <w:tr2bl w:val="nil"/>
                  </w:tcBorders>
                  <w:noWrap w:val="0"/>
                  <w:vAlign w:val="center"/>
                </w:tcPr>
                <w:p w14:paraId="4D0A676A">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80" w:type="pct"/>
                  <w:vMerge w:val="continue"/>
                  <w:tcBorders>
                    <w:tl2br w:val="nil"/>
                    <w:tr2bl w:val="nil"/>
                  </w:tcBorders>
                  <w:noWrap w:val="0"/>
                  <w:vAlign w:val="center"/>
                </w:tcPr>
                <w:p w14:paraId="264FEC2F">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62" w:type="pct"/>
                  <w:vMerge w:val="continue"/>
                  <w:tcBorders>
                    <w:tl2br w:val="nil"/>
                    <w:tr2bl w:val="nil"/>
                  </w:tcBorders>
                  <w:noWrap w:val="0"/>
                  <w:vAlign w:val="center"/>
                </w:tcPr>
                <w:p w14:paraId="2D0FB47E">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1099" w:type="pct"/>
                  <w:gridSpan w:val="3"/>
                  <w:tcBorders>
                    <w:tl2br w:val="nil"/>
                    <w:tr2bl w:val="nil"/>
                  </w:tcBorders>
                  <w:noWrap w:val="0"/>
                  <w:vAlign w:val="center"/>
                </w:tcPr>
                <w:p w14:paraId="2DF09879">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default" w:ascii="Times New Roman" w:hAnsi="Times New Roman" w:cs="Times New Roman"/>
                      <w:sz w:val="21"/>
                      <w:szCs w:val="21"/>
                      <w:u w:val="single" w:color="auto"/>
                      <w:vertAlign w:val="baseline"/>
                      <w:lang w:eastAsia="zh-CN"/>
                    </w:rPr>
                    <w:t>有组织</w:t>
                  </w:r>
                </w:p>
              </w:tc>
              <w:tc>
                <w:tcPr>
                  <w:tcW w:w="399" w:type="pct"/>
                  <w:tcBorders>
                    <w:tl2br w:val="nil"/>
                    <w:tr2bl w:val="nil"/>
                  </w:tcBorders>
                  <w:noWrap w:val="0"/>
                  <w:vAlign w:val="center"/>
                </w:tcPr>
                <w:p w14:paraId="4B038546">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无组织</w:t>
                  </w:r>
                </w:p>
              </w:tc>
              <w:tc>
                <w:tcPr>
                  <w:tcW w:w="295" w:type="pct"/>
                  <w:vMerge w:val="continue"/>
                  <w:tcBorders>
                    <w:tl2br w:val="nil"/>
                    <w:tr2bl w:val="nil"/>
                  </w:tcBorders>
                  <w:noWrap w:val="0"/>
                  <w:vAlign w:val="center"/>
                </w:tcPr>
                <w:p w14:paraId="3A987C99">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273" w:type="pct"/>
                  <w:vMerge w:val="continue"/>
                  <w:tcBorders>
                    <w:tl2br w:val="nil"/>
                    <w:tr2bl w:val="nil"/>
                  </w:tcBorders>
                  <w:noWrap w:val="0"/>
                  <w:vAlign w:val="center"/>
                </w:tcPr>
                <w:p w14:paraId="0763F1BB">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r>
            <w:tr w14:paraId="28367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6" w:type="pct"/>
                  <w:vMerge w:val="continue"/>
                  <w:tcBorders>
                    <w:tl2br w:val="nil"/>
                    <w:tr2bl w:val="nil"/>
                  </w:tcBorders>
                  <w:noWrap w:val="0"/>
                  <w:vAlign w:val="center"/>
                </w:tcPr>
                <w:p w14:paraId="3B117259">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52" w:type="pct"/>
                  <w:vMerge w:val="continue"/>
                  <w:tcBorders>
                    <w:tl2br w:val="nil"/>
                    <w:tr2bl w:val="nil"/>
                  </w:tcBorders>
                  <w:noWrap w:val="0"/>
                  <w:vAlign w:val="center"/>
                </w:tcPr>
                <w:p w14:paraId="553C5C88">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80" w:type="pct"/>
                  <w:vMerge w:val="continue"/>
                  <w:tcBorders>
                    <w:tl2br w:val="nil"/>
                    <w:tr2bl w:val="nil"/>
                  </w:tcBorders>
                  <w:noWrap w:val="0"/>
                  <w:vAlign w:val="center"/>
                </w:tcPr>
                <w:p w14:paraId="27575D9A">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75" w:type="pct"/>
                  <w:vMerge w:val="continue"/>
                  <w:tcBorders>
                    <w:tl2br w:val="nil"/>
                    <w:tr2bl w:val="nil"/>
                  </w:tcBorders>
                  <w:noWrap w:val="0"/>
                  <w:vAlign w:val="center"/>
                </w:tcPr>
                <w:p w14:paraId="2DA4434A">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521" w:type="pct"/>
                  <w:vMerge w:val="continue"/>
                  <w:tcBorders>
                    <w:tl2br w:val="nil"/>
                    <w:tr2bl w:val="nil"/>
                  </w:tcBorders>
                  <w:noWrap w:val="0"/>
                  <w:vAlign w:val="center"/>
                </w:tcPr>
                <w:p w14:paraId="2D022B51">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61" w:type="pct"/>
                  <w:vMerge w:val="continue"/>
                  <w:tcBorders>
                    <w:tl2br w:val="nil"/>
                    <w:tr2bl w:val="nil"/>
                  </w:tcBorders>
                  <w:noWrap w:val="0"/>
                  <w:vAlign w:val="center"/>
                </w:tcPr>
                <w:p w14:paraId="719CBDC4">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80" w:type="pct"/>
                  <w:vMerge w:val="continue"/>
                  <w:tcBorders>
                    <w:tl2br w:val="nil"/>
                    <w:tr2bl w:val="nil"/>
                  </w:tcBorders>
                  <w:noWrap w:val="0"/>
                  <w:vAlign w:val="center"/>
                </w:tcPr>
                <w:p w14:paraId="6CD84DD5">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362" w:type="pct"/>
                  <w:vMerge w:val="continue"/>
                  <w:tcBorders>
                    <w:tl2br w:val="nil"/>
                    <w:tr2bl w:val="nil"/>
                  </w:tcBorders>
                  <w:noWrap w:val="0"/>
                  <w:vAlign w:val="center"/>
                </w:tcPr>
                <w:p w14:paraId="68348F62">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c>
                <w:tcPr>
                  <w:tcW w:w="415" w:type="pct"/>
                  <w:tcBorders>
                    <w:tl2br w:val="nil"/>
                    <w:tr2bl w:val="nil"/>
                  </w:tcBorders>
                  <w:noWrap w:val="0"/>
                  <w:vAlign w:val="center"/>
                </w:tcPr>
                <w:p w14:paraId="0500A9CC">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排放量</w:t>
                  </w:r>
                  <w:r>
                    <w:rPr>
                      <w:rFonts w:hint="default" w:ascii="Times New Roman" w:hAnsi="Times New Roman" w:cs="Times New Roman"/>
                      <w:sz w:val="21"/>
                      <w:szCs w:val="21"/>
                      <w:u w:val="single" w:color="auto"/>
                      <w:vertAlign w:val="baseline"/>
                      <w:lang w:val="en-US" w:eastAsia="zh-CN"/>
                    </w:rPr>
                    <w:t>t/a</w:t>
                  </w:r>
                </w:p>
              </w:tc>
              <w:tc>
                <w:tcPr>
                  <w:tcW w:w="345" w:type="pct"/>
                  <w:tcBorders>
                    <w:tl2br w:val="nil"/>
                    <w:tr2bl w:val="nil"/>
                  </w:tcBorders>
                  <w:noWrap w:val="0"/>
                  <w:vAlign w:val="center"/>
                </w:tcPr>
                <w:p w14:paraId="139F7445">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排放浓度</w:t>
                  </w:r>
                  <w:r>
                    <w:rPr>
                      <w:rFonts w:hint="default" w:ascii="Times New Roman" w:hAnsi="Times New Roman" w:cs="Times New Roman"/>
                      <w:sz w:val="21"/>
                      <w:szCs w:val="21"/>
                      <w:u w:val="single" w:color="auto"/>
                      <w:vertAlign w:val="baseline"/>
                    </w:rPr>
                    <w:t>mg/m</w:t>
                  </w:r>
                  <w:r>
                    <w:rPr>
                      <w:rFonts w:hint="default" w:ascii="Times New Roman" w:hAnsi="Times New Roman" w:cs="Times New Roman"/>
                      <w:sz w:val="21"/>
                      <w:szCs w:val="21"/>
                      <w:u w:val="single" w:color="auto"/>
                      <w:vertAlign w:val="superscript"/>
                      <w:lang w:val="en-US" w:eastAsia="zh-CN"/>
                    </w:rPr>
                    <w:t>3</w:t>
                  </w:r>
                </w:p>
              </w:tc>
              <w:tc>
                <w:tcPr>
                  <w:tcW w:w="338" w:type="pct"/>
                  <w:tcBorders>
                    <w:tl2br w:val="nil"/>
                    <w:tr2bl w:val="nil"/>
                  </w:tcBorders>
                  <w:noWrap w:val="0"/>
                  <w:vAlign w:val="center"/>
                </w:tcPr>
                <w:p w14:paraId="243026A0">
                  <w:pPr>
                    <w:pStyle w:val="58"/>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hAnsi="Times New Roman" w:cs="Times New Roman"/>
                      <w:sz w:val="21"/>
                      <w:szCs w:val="21"/>
                      <w:u w:val="single" w:color="auto"/>
                      <w:vertAlign w:val="baseline"/>
                      <w:lang w:val="en-US"/>
                    </w:rPr>
                  </w:pPr>
                  <w:r>
                    <w:rPr>
                      <w:rFonts w:hint="eastAsia" w:ascii="Times New Roman" w:cs="Times New Roman"/>
                      <w:sz w:val="21"/>
                      <w:szCs w:val="21"/>
                      <w:u w:val="single" w:color="auto"/>
                      <w:vertAlign w:val="baseline"/>
                      <w:lang w:val="en-US" w:eastAsia="zh-CN"/>
                    </w:rPr>
                    <w:t>排放速率kg/h</w:t>
                  </w:r>
                </w:p>
              </w:tc>
              <w:tc>
                <w:tcPr>
                  <w:tcW w:w="399" w:type="pct"/>
                  <w:tcBorders>
                    <w:tl2br w:val="nil"/>
                    <w:tr2bl w:val="nil"/>
                  </w:tcBorders>
                  <w:noWrap w:val="0"/>
                  <w:vAlign w:val="center"/>
                </w:tcPr>
                <w:p w14:paraId="29DF301D">
                  <w:pPr>
                    <w:pStyle w:val="58"/>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排放量t/a</w:t>
                  </w:r>
                </w:p>
              </w:tc>
              <w:tc>
                <w:tcPr>
                  <w:tcW w:w="295" w:type="pct"/>
                  <w:vMerge w:val="restart"/>
                  <w:tcBorders>
                    <w:tl2br w:val="nil"/>
                    <w:tr2bl w:val="nil"/>
                  </w:tcBorders>
                  <w:noWrap w:val="0"/>
                  <w:vAlign w:val="center"/>
                </w:tcPr>
                <w:p w14:paraId="01D1BA98">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DA001</w:t>
                  </w:r>
                </w:p>
              </w:tc>
              <w:tc>
                <w:tcPr>
                  <w:tcW w:w="273" w:type="pct"/>
                  <w:vMerge w:val="continue"/>
                  <w:tcBorders>
                    <w:tl2br w:val="nil"/>
                    <w:tr2bl w:val="nil"/>
                  </w:tcBorders>
                  <w:noWrap w:val="0"/>
                  <w:vAlign w:val="center"/>
                </w:tcPr>
                <w:p w14:paraId="6B686C24">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rPr>
                  </w:pPr>
                </w:p>
              </w:tc>
            </w:tr>
            <w:tr w14:paraId="38490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2" w:hRule="atLeast"/>
              </w:trPr>
              <w:tc>
                <w:tcPr>
                  <w:tcW w:w="196" w:type="pct"/>
                  <w:vMerge w:val="restart"/>
                  <w:tcBorders>
                    <w:tl2br w:val="nil"/>
                    <w:tr2bl w:val="nil"/>
                  </w:tcBorders>
                  <w:noWrap w:val="0"/>
                  <w:vAlign w:val="center"/>
                </w:tcPr>
                <w:p w14:paraId="406113D7">
                  <w:pPr>
                    <w:pStyle w:val="72"/>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sz w:val="21"/>
                      <w:szCs w:val="21"/>
                      <w:u w:val="single" w:color="auto"/>
                      <w:vertAlign w:val="baseline"/>
                      <w:lang w:val="en-US"/>
                    </w:rPr>
                  </w:pPr>
                  <w:r>
                    <w:rPr>
                      <w:rFonts w:hint="eastAsia" w:cs="Times New Roman"/>
                      <w:b w:val="0"/>
                      <w:bCs/>
                      <w:sz w:val="21"/>
                      <w:szCs w:val="21"/>
                      <w:u w:val="single" w:color="auto"/>
                      <w:vertAlign w:val="baseline"/>
                      <w:lang w:val="en-US" w:eastAsia="zh-CN"/>
                    </w:rPr>
                    <w:t>生产车间</w:t>
                  </w:r>
                </w:p>
              </w:tc>
              <w:tc>
                <w:tcPr>
                  <w:tcW w:w="352" w:type="pct"/>
                  <w:vMerge w:val="restart"/>
                  <w:tcBorders>
                    <w:tl2br w:val="nil"/>
                    <w:tr2bl w:val="nil"/>
                  </w:tcBorders>
                  <w:noWrap w:val="0"/>
                  <w:vAlign w:val="center"/>
                </w:tcPr>
                <w:p w14:paraId="4AC2F0BE">
                  <w:pPr>
                    <w:autoSpaceDE w:val="0"/>
                    <w:autoSpaceDN w:val="0"/>
                    <w:contextualSpacing/>
                    <w:jc w:val="center"/>
                    <w:rPr>
                      <w:rFonts w:hint="eastAsia" w:cs="Times New Roman"/>
                      <w:b w:val="0"/>
                      <w:bCs/>
                      <w:sz w:val="21"/>
                      <w:szCs w:val="21"/>
                      <w:u w:val="single" w:color="auto"/>
                      <w:vertAlign w:val="baseline"/>
                      <w:lang w:val="en-US" w:eastAsia="zh-CN"/>
                    </w:rPr>
                  </w:pPr>
                  <w:r>
                    <w:rPr>
                      <w:rFonts w:hint="eastAsia" w:cs="Times New Roman"/>
                      <w:b w:val="0"/>
                      <w:bCs w:val="0"/>
                      <w:color w:val="000000" w:themeColor="text1"/>
                      <w:sz w:val="21"/>
                      <w:szCs w:val="21"/>
                      <w:u w:val="single" w:color="auto"/>
                      <w:lang w:val="en-US" w:eastAsia="zh-CN"/>
                      <w14:textFill>
                        <w14:solidFill>
                          <w14:schemeClr w14:val="tx1"/>
                        </w14:solidFill>
                      </w14:textFill>
                    </w:rPr>
                    <w:t>焊锡废气</w:t>
                  </w:r>
                </w:p>
              </w:tc>
              <w:tc>
                <w:tcPr>
                  <w:tcW w:w="380" w:type="pct"/>
                  <w:tcBorders>
                    <w:tl2br w:val="nil"/>
                    <w:tr2bl w:val="nil"/>
                  </w:tcBorders>
                  <w:noWrap w:val="0"/>
                  <w:vAlign w:val="center"/>
                </w:tcPr>
                <w:p w14:paraId="2DC3F3AC">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hAnsi="Times New Roman" w:cs="Times New Roman"/>
                      <w:sz w:val="21"/>
                      <w:szCs w:val="21"/>
                      <w:u w:val="single" w:color="auto"/>
                      <w:vertAlign w:val="baseline"/>
                      <w:lang w:val="en-US" w:eastAsia="zh-CN"/>
                    </w:rPr>
                  </w:pPr>
                  <w:r>
                    <w:rPr>
                      <w:rFonts w:hint="eastAsia" w:ascii="Times New Roman" w:hAnsi="Times New Roman" w:cs="Times New Roman"/>
                      <w:sz w:val="21"/>
                      <w:szCs w:val="21"/>
                      <w:u w:val="single" w:color="auto"/>
                      <w:vertAlign w:val="baseline"/>
                      <w:lang w:val="en-US" w:eastAsia="zh-CN"/>
                    </w:rPr>
                    <w:t>颗粒物</w:t>
                  </w:r>
                </w:p>
              </w:tc>
              <w:tc>
                <w:tcPr>
                  <w:tcW w:w="375" w:type="pct"/>
                  <w:tcBorders>
                    <w:tl2br w:val="nil"/>
                    <w:tr2bl w:val="nil"/>
                  </w:tcBorders>
                  <w:noWrap w:val="0"/>
                  <w:vAlign w:val="center"/>
                </w:tcPr>
                <w:p w14:paraId="2199A0D0">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val="en-US" w:eastAsia="zh-CN"/>
                    </w:rPr>
                  </w:pPr>
                  <w:r>
                    <w:rPr>
                      <w:rFonts w:hint="default" w:ascii="Times New Roman" w:hAnsi="Times New Roman" w:cs="Times New Roman"/>
                      <w:color w:val="auto"/>
                      <w:sz w:val="21"/>
                      <w:szCs w:val="21"/>
                      <w:u w:val="single" w:color="auto"/>
                      <w:lang w:val="en-US" w:eastAsia="zh-CN"/>
                    </w:rPr>
                    <w:t>0.000033</w:t>
                  </w:r>
                </w:p>
              </w:tc>
              <w:tc>
                <w:tcPr>
                  <w:tcW w:w="521" w:type="pct"/>
                  <w:vMerge w:val="restart"/>
                  <w:tcBorders>
                    <w:tl2br w:val="nil"/>
                    <w:tr2bl w:val="nil"/>
                  </w:tcBorders>
                  <w:noWrap w:val="0"/>
                  <w:vAlign w:val="center"/>
                </w:tcPr>
                <w:p w14:paraId="1FE0A33C">
                  <w:pPr>
                    <w:bidi w:val="0"/>
                    <w:jc w:val="center"/>
                    <w:rPr>
                      <w:rFonts w:hint="default" w:ascii="Times New Roman" w:hAnsi="Times New Roman" w:cs="Times New Roman"/>
                      <w:sz w:val="21"/>
                      <w:szCs w:val="21"/>
                      <w:u w:val="single" w:color="auto"/>
                      <w:vertAlign w:val="baseline"/>
                    </w:rPr>
                  </w:pPr>
                  <w:r>
                    <w:rPr>
                      <w:rFonts w:hint="default" w:ascii="Times New Roman" w:hAnsi="Times New Roman" w:cs="Times New Roman"/>
                      <w:sz w:val="21"/>
                      <w:szCs w:val="21"/>
                      <w:u w:val="single" w:color="auto"/>
                      <w:lang w:val="en-US" w:eastAsia="zh-CN"/>
                    </w:rPr>
                    <w:t>集气罩</w:t>
                  </w:r>
                  <w:r>
                    <w:rPr>
                      <w:rFonts w:hint="eastAsia" w:cs="Times New Roman"/>
                      <w:sz w:val="21"/>
                      <w:szCs w:val="21"/>
                      <w:u w:val="single" w:color="auto"/>
                      <w:lang w:val="en-US" w:eastAsia="zh-CN"/>
                    </w:rPr>
                    <w:t>+干式过滤器+</w:t>
                  </w:r>
                  <w:r>
                    <w:rPr>
                      <w:rFonts w:hint="default" w:ascii="Times New Roman" w:hAnsi="Times New Roman" w:cs="Times New Roman"/>
                      <w:sz w:val="21"/>
                      <w:szCs w:val="21"/>
                      <w:u w:val="single" w:color="auto"/>
                      <w:lang w:val="en-US" w:eastAsia="zh-CN"/>
                    </w:rPr>
                    <w:t>二级活性炭吸附+</w:t>
                  </w:r>
                  <w:r>
                    <w:rPr>
                      <w:rFonts w:hint="eastAsia" w:cs="Times New Roman"/>
                      <w:sz w:val="21"/>
                      <w:szCs w:val="21"/>
                      <w:u w:val="single" w:color="auto"/>
                      <w:lang w:val="en-US" w:eastAsia="zh-CN"/>
                    </w:rPr>
                    <w:t>23m排气筒</w:t>
                  </w:r>
                  <w:r>
                    <w:rPr>
                      <w:rFonts w:hint="default" w:ascii="Times New Roman" w:hAnsi="Times New Roman" w:cs="Times New Roman"/>
                      <w:sz w:val="21"/>
                      <w:szCs w:val="21"/>
                      <w:u w:val="single" w:color="auto"/>
                      <w:lang w:val="en-US" w:eastAsia="zh-CN"/>
                    </w:rPr>
                    <w:t>DA001</w:t>
                  </w:r>
                </w:p>
              </w:tc>
              <w:tc>
                <w:tcPr>
                  <w:tcW w:w="361" w:type="pct"/>
                  <w:vMerge w:val="restart"/>
                  <w:tcBorders>
                    <w:tl2br w:val="nil"/>
                    <w:tr2bl w:val="nil"/>
                  </w:tcBorders>
                  <w:noWrap w:val="0"/>
                  <w:vAlign w:val="center"/>
                </w:tcPr>
                <w:p w14:paraId="74035714">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i w:val="0"/>
                      <w:iCs w:val="0"/>
                      <w:color w:val="000000"/>
                      <w:kern w:val="2"/>
                      <w:sz w:val="21"/>
                      <w:szCs w:val="21"/>
                      <w:u w:val="single" w:color="auto"/>
                      <w:lang w:val="en-US" w:eastAsia="zh-CN" w:bidi="ar-SA"/>
                    </w:rPr>
                  </w:pPr>
                  <w:r>
                    <w:rPr>
                      <w:rFonts w:hint="eastAsia" w:ascii="Times New Roman" w:cs="Times New Roman"/>
                      <w:i w:val="0"/>
                      <w:iCs w:val="0"/>
                      <w:color w:val="000000"/>
                      <w:kern w:val="2"/>
                      <w:sz w:val="21"/>
                      <w:szCs w:val="21"/>
                      <w:u w:val="single" w:color="auto"/>
                      <w:lang w:val="en-US" w:eastAsia="zh-CN" w:bidi="ar-SA"/>
                    </w:rPr>
                    <w:t>11000</w:t>
                  </w:r>
                </w:p>
              </w:tc>
              <w:tc>
                <w:tcPr>
                  <w:tcW w:w="380" w:type="pct"/>
                  <w:vMerge w:val="restart"/>
                  <w:tcBorders>
                    <w:tl2br w:val="nil"/>
                    <w:tr2bl w:val="nil"/>
                  </w:tcBorders>
                  <w:noWrap w:val="0"/>
                  <w:vAlign w:val="center"/>
                </w:tcPr>
                <w:p w14:paraId="08FE20F5">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50</w:t>
                  </w:r>
                </w:p>
              </w:tc>
              <w:tc>
                <w:tcPr>
                  <w:tcW w:w="362" w:type="pct"/>
                  <w:vMerge w:val="restart"/>
                  <w:tcBorders>
                    <w:tl2br w:val="nil"/>
                    <w:tr2bl w:val="nil"/>
                  </w:tcBorders>
                  <w:noWrap w:val="0"/>
                  <w:vAlign w:val="center"/>
                </w:tcPr>
                <w:p w14:paraId="07E19030">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80</w:t>
                  </w:r>
                </w:p>
              </w:tc>
              <w:tc>
                <w:tcPr>
                  <w:tcW w:w="415" w:type="pct"/>
                  <w:tcBorders>
                    <w:tl2br w:val="nil"/>
                    <w:tr2bl w:val="nil"/>
                  </w:tcBorders>
                  <w:noWrap w:val="0"/>
                  <w:vAlign w:val="center"/>
                </w:tcPr>
                <w:p w14:paraId="60599C9B">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val="en-US" w:eastAsia="zh-CN"/>
                    </w:rPr>
                  </w:pPr>
                  <w:r>
                    <w:rPr>
                      <w:rFonts w:hint="default" w:ascii="Times New Roman" w:hAnsi="Times New Roman" w:cs="Times New Roman"/>
                      <w:b w:val="0"/>
                      <w:bCs w:val="0"/>
                      <w:sz w:val="21"/>
                      <w:szCs w:val="21"/>
                      <w:u w:val="single" w:color="auto"/>
                      <w:lang w:val="en-US" w:eastAsia="zh-CN"/>
                    </w:rPr>
                    <w:t>0.0000</w:t>
                  </w:r>
                  <w:r>
                    <w:rPr>
                      <w:rFonts w:hint="eastAsia" w:ascii="Times New Roman" w:cs="Times New Roman"/>
                      <w:b w:val="0"/>
                      <w:bCs w:val="0"/>
                      <w:sz w:val="21"/>
                      <w:szCs w:val="21"/>
                      <w:u w:val="single" w:color="auto"/>
                      <w:lang w:val="en-US" w:eastAsia="zh-CN"/>
                    </w:rPr>
                    <w:t>033</w:t>
                  </w:r>
                </w:p>
              </w:tc>
              <w:tc>
                <w:tcPr>
                  <w:tcW w:w="345" w:type="pct"/>
                  <w:tcBorders>
                    <w:tl2br w:val="nil"/>
                    <w:tr2bl w:val="nil"/>
                  </w:tcBorders>
                  <w:noWrap w:val="0"/>
                  <w:vAlign w:val="center"/>
                </w:tcPr>
                <w:p w14:paraId="3BB2A1C1">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val="en-US" w:eastAsia="zh-CN"/>
                    </w:rPr>
                  </w:pPr>
                  <w:r>
                    <w:rPr>
                      <w:rFonts w:hint="default" w:ascii="Times New Roman" w:hAnsi="Times New Roman" w:cs="Times New Roman"/>
                      <w:sz w:val="21"/>
                      <w:szCs w:val="21"/>
                      <w:u w:val="single" w:color="auto"/>
                      <w:vertAlign w:val="baseline"/>
                      <w:lang w:val="en-US" w:eastAsia="zh-CN"/>
                    </w:rPr>
                    <w:t>0.000</w:t>
                  </w:r>
                  <w:r>
                    <w:rPr>
                      <w:rFonts w:hint="eastAsia" w:ascii="Times New Roman" w:cs="Times New Roman"/>
                      <w:sz w:val="21"/>
                      <w:szCs w:val="21"/>
                      <w:u w:val="single" w:color="auto"/>
                      <w:vertAlign w:val="baseline"/>
                      <w:lang w:val="en-US" w:eastAsia="zh-CN"/>
                    </w:rPr>
                    <w:t>1</w:t>
                  </w:r>
                </w:p>
              </w:tc>
              <w:tc>
                <w:tcPr>
                  <w:tcW w:w="338" w:type="pct"/>
                  <w:tcBorders>
                    <w:tl2br w:val="nil"/>
                    <w:tr2bl w:val="nil"/>
                  </w:tcBorders>
                  <w:noWrap w:val="0"/>
                  <w:vAlign w:val="center"/>
                </w:tcPr>
                <w:p w14:paraId="273397AB">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val="en-US" w:eastAsia="zh-CN"/>
                    </w:rPr>
                  </w:pPr>
                  <w:r>
                    <w:rPr>
                      <w:rFonts w:hint="default" w:ascii="Times New Roman" w:hAnsi="Times New Roman" w:cs="Times New Roman"/>
                      <w:b w:val="0"/>
                      <w:bCs w:val="0"/>
                      <w:sz w:val="21"/>
                      <w:szCs w:val="21"/>
                      <w:u w:val="single" w:color="auto"/>
                      <w:lang w:val="en-US" w:eastAsia="zh-CN"/>
                    </w:rPr>
                    <w:t>0.00000</w:t>
                  </w:r>
                  <w:r>
                    <w:rPr>
                      <w:rFonts w:hint="eastAsia" w:ascii="Times New Roman" w:cs="Times New Roman"/>
                      <w:b w:val="0"/>
                      <w:bCs w:val="0"/>
                      <w:sz w:val="21"/>
                      <w:szCs w:val="21"/>
                      <w:u w:val="single" w:color="auto"/>
                      <w:lang w:val="en-US" w:eastAsia="zh-CN"/>
                    </w:rPr>
                    <w:t>1</w:t>
                  </w:r>
                </w:p>
              </w:tc>
              <w:tc>
                <w:tcPr>
                  <w:tcW w:w="399" w:type="pct"/>
                  <w:tcBorders>
                    <w:tl2br w:val="nil"/>
                    <w:tr2bl w:val="nil"/>
                  </w:tcBorders>
                  <w:noWrap w:val="0"/>
                  <w:vAlign w:val="center"/>
                </w:tcPr>
                <w:p w14:paraId="5A8A8877">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eastAsia="宋体" w:cs="Times New Roman"/>
                      <w:sz w:val="21"/>
                      <w:szCs w:val="21"/>
                      <w:u w:val="single" w:color="auto"/>
                      <w:vertAlign w:val="baseline"/>
                      <w:lang w:val="en-US" w:eastAsia="zh-CN"/>
                    </w:rPr>
                  </w:pPr>
                  <w:r>
                    <w:rPr>
                      <w:rFonts w:hint="default" w:ascii="Times New Roman" w:hAnsi="Times New Roman" w:cs="Times New Roman"/>
                      <w:b w:val="0"/>
                      <w:bCs w:val="0"/>
                      <w:sz w:val="21"/>
                      <w:szCs w:val="21"/>
                      <w:u w:val="single" w:color="auto"/>
                      <w:lang w:val="en-US" w:eastAsia="zh-CN"/>
                    </w:rPr>
                    <w:t>0.0000165</w:t>
                  </w:r>
                </w:p>
              </w:tc>
              <w:tc>
                <w:tcPr>
                  <w:tcW w:w="295" w:type="pct"/>
                  <w:vMerge w:val="continue"/>
                  <w:tcBorders>
                    <w:tl2br w:val="nil"/>
                    <w:tr2bl w:val="nil"/>
                  </w:tcBorders>
                  <w:noWrap w:val="0"/>
                  <w:vAlign w:val="center"/>
                </w:tcPr>
                <w:p w14:paraId="1DA1D6A9">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p>
              </w:tc>
              <w:tc>
                <w:tcPr>
                  <w:tcW w:w="273" w:type="pct"/>
                  <w:tcBorders>
                    <w:tl2br w:val="nil"/>
                    <w:tr2bl w:val="nil"/>
                  </w:tcBorders>
                  <w:noWrap w:val="0"/>
                  <w:vAlign w:val="center"/>
                </w:tcPr>
                <w:p w14:paraId="6DDF0063">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2700</w:t>
                  </w:r>
                </w:p>
              </w:tc>
            </w:tr>
            <w:tr w14:paraId="169EA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96" w:type="pct"/>
                  <w:vMerge w:val="continue"/>
                  <w:tcBorders>
                    <w:tl2br w:val="nil"/>
                    <w:tr2bl w:val="nil"/>
                  </w:tcBorders>
                  <w:noWrap w:val="0"/>
                  <w:vAlign w:val="center"/>
                </w:tcPr>
                <w:p w14:paraId="6B06A6AA">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b w:val="0"/>
                      <w:bCs/>
                      <w:sz w:val="21"/>
                      <w:szCs w:val="21"/>
                      <w:u w:val="single" w:color="auto"/>
                      <w:vertAlign w:val="baseline"/>
                      <w:lang w:val="en-US" w:eastAsia="zh-CN"/>
                    </w:rPr>
                  </w:pPr>
                </w:p>
              </w:tc>
              <w:tc>
                <w:tcPr>
                  <w:tcW w:w="352" w:type="pct"/>
                  <w:vMerge w:val="continue"/>
                  <w:tcBorders>
                    <w:tl2br w:val="nil"/>
                    <w:tr2bl w:val="nil"/>
                  </w:tcBorders>
                  <w:noWrap w:val="0"/>
                  <w:vAlign w:val="center"/>
                </w:tcPr>
                <w:p w14:paraId="32FFEC91">
                  <w:pPr>
                    <w:autoSpaceDE w:val="0"/>
                    <w:autoSpaceDN w:val="0"/>
                    <w:contextualSpacing/>
                    <w:jc w:val="center"/>
                    <w:rPr>
                      <w:rFonts w:hint="eastAsia" w:cs="Times New Roman"/>
                      <w:b w:val="0"/>
                      <w:bCs w:val="0"/>
                      <w:color w:val="000000" w:themeColor="text1"/>
                      <w:sz w:val="21"/>
                      <w:szCs w:val="21"/>
                      <w:u w:val="single" w:color="auto"/>
                      <w:lang w:val="en-US" w:eastAsia="zh-CN"/>
                      <w14:textFill>
                        <w14:solidFill>
                          <w14:schemeClr w14:val="tx1"/>
                        </w14:solidFill>
                      </w14:textFill>
                    </w:rPr>
                  </w:pPr>
                </w:p>
              </w:tc>
              <w:tc>
                <w:tcPr>
                  <w:tcW w:w="380" w:type="pct"/>
                  <w:tcBorders>
                    <w:tl2br w:val="nil"/>
                    <w:tr2bl w:val="nil"/>
                  </w:tcBorders>
                  <w:noWrap w:val="0"/>
                  <w:vAlign w:val="center"/>
                </w:tcPr>
                <w:p w14:paraId="509C9C18">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锡及其化合物</w:t>
                  </w:r>
                </w:p>
              </w:tc>
              <w:tc>
                <w:tcPr>
                  <w:tcW w:w="375" w:type="pct"/>
                  <w:tcBorders>
                    <w:tl2br w:val="nil"/>
                    <w:tr2bl w:val="nil"/>
                  </w:tcBorders>
                  <w:noWrap w:val="0"/>
                  <w:vAlign w:val="center"/>
                </w:tcPr>
                <w:p w14:paraId="3215C8AF">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0.000297</w:t>
                  </w:r>
                </w:p>
              </w:tc>
              <w:tc>
                <w:tcPr>
                  <w:tcW w:w="521" w:type="pct"/>
                  <w:vMerge w:val="continue"/>
                  <w:tcBorders>
                    <w:tl2br w:val="nil"/>
                    <w:tr2bl w:val="nil"/>
                  </w:tcBorders>
                  <w:noWrap w:val="0"/>
                  <w:vAlign w:val="center"/>
                </w:tcPr>
                <w:p w14:paraId="178A1707">
                  <w:pPr>
                    <w:bidi w:val="0"/>
                    <w:jc w:val="center"/>
                    <w:rPr>
                      <w:rFonts w:hint="default" w:ascii="Times New Roman" w:hAnsi="Times New Roman" w:cs="Times New Roman"/>
                      <w:sz w:val="21"/>
                      <w:szCs w:val="21"/>
                      <w:u w:val="single" w:color="auto"/>
                      <w:lang w:val="en-US" w:eastAsia="zh-CN"/>
                    </w:rPr>
                  </w:pPr>
                </w:p>
              </w:tc>
              <w:tc>
                <w:tcPr>
                  <w:tcW w:w="361" w:type="pct"/>
                  <w:vMerge w:val="continue"/>
                  <w:tcBorders>
                    <w:tl2br w:val="nil"/>
                    <w:tr2bl w:val="nil"/>
                  </w:tcBorders>
                  <w:noWrap w:val="0"/>
                  <w:vAlign w:val="center"/>
                </w:tcPr>
                <w:p w14:paraId="0074799C">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cs="Times New Roman"/>
                      <w:i w:val="0"/>
                      <w:iCs w:val="0"/>
                      <w:color w:val="000000"/>
                      <w:kern w:val="2"/>
                      <w:sz w:val="21"/>
                      <w:szCs w:val="21"/>
                      <w:u w:val="single" w:color="auto"/>
                      <w:lang w:val="en-US" w:eastAsia="zh-CN" w:bidi="ar-SA"/>
                    </w:rPr>
                  </w:pPr>
                </w:p>
              </w:tc>
              <w:tc>
                <w:tcPr>
                  <w:tcW w:w="380" w:type="pct"/>
                  <w:vMerge w:val="continue"/>
                  <w:tcBorders>
                    <w:tl2br w:val="nil"/>
                    <w:tr2bl w:val="nil"/>
                  </w:tcBorders>
                  <w:noWrap w:val="0"/>
                  <w:vAlign w:val="center"/>
                </w:tcPr>
                <w:p w14:paraId="048C610B">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cs="Times New Roman"/>
                      <w:sz w:val="21"/>
                      <w:szCs w:val="21"/>
                      <w:u w:val="single" w:color="auto"/>
                      <w:vertAlign w:val="baseline"/>
                      <w:lang w:val="en-US" w:eastAsia="zh-CN"/>
                    </w:rPr>
                  </w:pPr>
                </w:p>
              </w:tc>
              <w:tc>
                <w:tcPr>
                  <w:tcW w:w="362" w:type="pct"/>
                  <w:vMerge w:val="continue"/>
                  <w:tcBorders>
                    <w:tl2br w:val="nil"/>
                    <w:tr2bl w:val="nil"/>
                  </w:tcBorders>
                  <w:noWrap w:val="0"/>
                  <w:vAlign w:val="center"/>
                </w:tcPr>
                <w:p w14:paraId="1B98F28B">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cs="Times New Roman"/>
                      <w:sz w:val="21"/>
                      <w:szCs w:val="21"/>
                      <w:u w:val="single" w:color="auto"/>
                      <w:vertAlign w:val="baseline"/>
                      <w:lang w:val="en-US" w:eastAsia="zh-CN"/>
                    </w:rPr>
                  </w:pPr>
                </w:p>
              </w:tc>
              <w:tc>
                <w:tcPr>
                  <w:tcW w:w="415" w:type="pct"/>
                  <w:tcBorders>
                    <w:tl2br w:val="nil"/>
                    <w:tr2bl w:val="nil"/>
                  </w:tcBorders>
                  <w:noWrap w:val="0"/>
                  <w:vAlign w:val="center"/>
                </w:tcPr>
                <w:p w14:paraId="6E6798B2">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default" w:ascii="Times New Roman" w:hAnsi="Times New Roman" w:cs="Times New Roman"/>
                      <w:sz w:val="21"/>
                      <w:szCs w:val="21"/>
                      <w:u w:val="single" w:color="auto"/>
                      <w:vertAlign w:val="baseline"/>
                      <w:lang w:val="en-US" w:eastAsia="zh-CN"/>
                    </w:rPr>
                    <w:t>0.000</w:t>
                  </w:r>
                  <w:r>
                    <w:rPr>
                      <w:rFonts w:hint="eastAsia" w:ascii="Times New Roman" w:cs="Times New Roman"/>
                      <w:sz w:val="21"/>
                      <w:szCs w:val="21"/>
                      <w:u w:val="single" w:color="auto"/>
                      <w:vertAlign w:val="baseline"/>
                      <w:lang w:val="en-US" w:eastAsia="zh-CN"/>
                    </w:rPr>
                    <w:t>0297</w:t>
                  </w:r>
                </w:p>
              </w:tc>
              <w:tc>
                <w:tcPr>
                  <w:tcW w:w="345" w:type="pct"/>
                  <w:tcBorders>
                    <w:tl2br w:val="nil"/>
                    <w:tr2bl w:val="nil"/>
                  </w:tcBorders>
                  <w:noWrap w:val="0"/>
                  <w:vAlign w:val="center"/>
                </w:tcPr>
                <w:p w14:paraId="01658ADD">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default" w:ascii="Times New Roman" w:hAnsi="Times New Roman" w:cs="Times New Roman"/>
                      <w:sz w:val="21"/>
                      <w:szCs w:val="21"/>
                      <w:u w:val="single" w:color="auto"/>
                      <w:vertAlign w:val="baseline"/>
                      <w:lang w:val="en-US" w:eastAsia="zh-CN"/>
                    </w:rPr>
                    <w:t>0.00</w:t>
                  </w:r>
                  <w:r>
                    <w:rPr>
                      <w:rFonts w:hint="eastAsia" w:ascii="Times New Roman" w:cs="Times New Roman"/>
                      <w:sz w:val="21"/>
                      <w:szCs w:val="21"/>
                      <w:u w:val="single" w:color="auto"/>
                      <w:vertAlign w:val="baseline"/>
                      <w:lang w:val="en-US" w:eastAsia="zh-CN"/>
                    </w:rPr>
                    <w:t>1</w:t>
                  </w:r>
                </w:p>
              </w:tc>
              <w:tc>
                <w:tcPr>
                  <w:tcW w:w="338" w:type="pct"/>
                  <w:tcBorders>
                    <w:tl2br w:val="nil"/>
                    <w:tr2bl w:val="nil"/>
                  </w:tcBorders>
                  <w:noWrap w:val="0"/>
                  <w:vAlign w:val="center"/>
                </w:tcPr>
                <w:p w14:paraId="6443335E">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default" w:ascii="Times New Roman" w:hAnsi="Times New Roman" w:cs="Times New Roman"/>
                      <w:b w:val="0"/>
                      <w:bCs w:val="0"/>
                      <w:sz w:val="21"/>
                      <w:szCs w:val="21"/>
                      <w:u w:val="single" w:color="auto"/>
                      <w:lang w:val="en-US" w:eastAsia="zh-CN"/>
                    </w:rPr>
                    <w:t>0.0000</w:t>
                  </w:r>
                  <w:r>
                    <w:rPr>
                      <w:rFonts w:hint="eastAsia" w:ascii="Times New Roman" w:cs="Times New Roman"/>
                      <w:b w:val="0"/>
                      <w:bCs w:val="0"/>
                      <w:sz w:val="21"/>
                      <w:szCs w:val="21"/>
                      <w:u w:val="single" w:color="auto"/>
                      <w:lang w:val="en-US" w:eastAsia="zh-CN"/>
                    </w:rPr>
                    <w:t>11</w:t>
                  </w:r>
                </w:p>
              </w:tc>
              <w:tc>
                <w:tcPr>
                  <w:tcW w:w="399" w:type="pct"/>
                  <w:tcBorders>
                    <w:tl2br w:val="nil"/>
                    <w:tr2bl w:val="nil"/>
                  </w:tcBorders>
                  <w:noWrap w:val="0"/>
                  <w:vAlign w:val="center"/>
                </w:tcPr>
                <w:p w14:paraId="01D4E7CA">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default" w:ascii="Times New Roman" w:hAnsi="Times New Roman" w:cs="Times New Roman"/>
                      <w:sz w:val="21"/>
                      <w:szCs w:val="21"/>
                      <w:u w:val="single" w:color="auto"/>
                      <w:vertAlign w:val="baseline"/>
                      <w:lang w:val="en-US" w:eastAsia="zh-CN"/>
                    </w:rPr>
                    <w:t>0.0001485</w:t>
                  </w:r>
                </w:p>
              </w:tc>
              <w:tc>
                <w:tcPr>
                  <w:tcW w:w="295" w:type="pct"/>
                  <w:vMerge w:val="continue"/>
                  <w:tcBorders>
                    <w:tl2br w:val="nil"/>
                    <w:tr2bl w:val="nil"/>
                  </w:tcBorders>
                  <w:noWrap w:val="0"/>
                  <w:vAlign w:val="center"/>
                </w:tcPr>
                <w:p w14:paraId="312E2C76">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p>
              </w:tc>
              <w:tc>
                <w:tcPr>
                  <w:tcW w:w="273" w:type="pct"/>
                  <w:tcBorders>
                    <w:tl2br w:val="nil"/>
                    <w:tr2bl w:val="nil"/>
                  </w:tcBorders>
                  <w:noWrap w:val="0"/>
                  <w:vAlign w:val="center"/>
                </w:tcPr>
                <w:p w14:paraId="317AFE28">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2700</w:t>
                  </w:r>
                </w:p>
              </w:tc>
            </w:tr>
            <w:tr w14:paraId="35FE26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196" w:type="pct"/>
                  <w:vMerge w:val="continue"/>
                  <w:tcBorders>
                    <w:tl2br w:val="nil"/>
                    <w:tr2bl w:val="nil"/>
                  </w:tcBorders>
                  <w:noWrap w:val="0"/>
                  <w:vAlign w:val="center"/>
                </w:tcPr>
                <w:p w14:paraId="29F6137B">
                  <w:pPr>
                    <w:pStyle w:val="72"/>
                    <w:keepNext w:val="0"/>
                    <w:keepLines w:val="0"/>
                    <w:pageBreakBefore w:val="0"/>
                    <w:widowControl w:val="0"/>
                    <w:kinsoku/>
                    <w:wordWrap/>
                    <w:overflowPunct/>
                    <w:topLinePunct w:val="0"/>
                    <w:autoSpaceDE/>
                    <w:autoSpaceDN/>
                    <w:bidi w:val="0"/>
                    <w:adjustRightInd/>
                    <w:snapToGrid/>
                    <w:jc w:val="center"/>
                    <w:textAlignment w:val="auto"/>
                    <w:rPr>
                      <w:rFonts w:hint="eastAsia" w:cs="Times New Roman"/>
                      <w:b w:val="0"/>
                      <w:bCs/>
                      <w:sz w:val="21"/>
                      <w:szCs w:val="21"/>
                      <w:u w:val="single" w:color="auto"/>
                      <w:vertAlign w:val="baseline"/>
                      <w:lang w:val="en-US" w:eastAsia="zh-CN"/>
                    </w:rPr>
                  </w:pPr>
                </w:p>
              </w:tc>
              <w:tc>
                <w:tcPr>
                  <w:tcW w:w="352" w:type="pct"/>
                  <w:vMerge w:val="continue"/>
                  <w:tcBorders>
                    <w:tl2br w:val="nil"/>
                    <w:tr2bl w:val="nil"/>
                  </w:tcBorders>
                  <w:noWrap w:val="0"/>
                  <w:vAlign w:val="center"/>
                </w:tcPr>
                <w:p w14:paraId="65211483">
                  <w:pPr>
                    <w:autoSpaceDE w:val="0"/>
                    <w:autoSpaceDN w:val="0"/>
                    <w:contextualSpacing/>
                    <w:jc w:val="center"/>
                    <w:rPr>
                      <w:rFonts w:hint="eastAsia" w:cs="Times New Roman"/>
                      <w:b w:val="0"/>
                      <w:bCs w:val="0"/>
                      <w:color w:val="000000" w:themeColor="text1"/>
                      <w:sz w:val="21"/>
                      <w:szCs w:val="21"/>
                      <w:u w:val="single" w:color="auto"/>
                      <w:lang w:val="en-US" w:eastAsia="zh-CN"/>
                      <w14:textFill>
                        <w14:solidFill>
                          <w14:schemeClr w14:val="tx1"/>
                        </w14:solidFill>
                      </w14:textFill>
                    </w:rPr>
                  </w:pPr>
                </w:p>
              </w:tc>
              <w:tc>
                <w:tcPr>
                  <w:tcW w:w="380" w:type="pct"/>
                  <w:tcBorders>
                    <w:tl2br w:val="nil"/>
                    <w:tr2bl w:val="nil"/>
                  </w:tcBorders>
                  <w:noWrap w:val="0"/>
                  <w:vAlign w:val="center"/>
                </w:tcPr>
                <w:p w14:paraId="1646606D">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hAnsi="Times New Roman" w:cs="Times New Roman"/>
                      <w:sz w:val="21"/>
                      <w:szCs w:val="21"/>
                      <w:u w:val="single" w:color="auto"/>
                      <w:vertAlign w:val="baseline"/>
                      <w:lang w:val="en-US" w:eastAsia="zh-CN"/>
                    </w:rPr>
                  </w:pPr>
                  <w:r>
                    <w:rPr>
                      <w:rFonts w:hint="eastAsia" w:ascii="Times New Roman" w:hAnsi="Times New Roman" w:cs="Times New Roman"/>
                      <w:sz w:val="21"/>
                      <w:szCs w:val="21"/>
                      <w:u w:val="single" w:color="auto"/>
                      <w:vertAlign w:val="baseline"/>
                      <w:lang w:val="en-US" w:eastAsia="zh-CN"/>
                    </w:rPr>
                    <w:t>VOCs（以非甲烷总烃计）</w:t>
                  </w:r>
                </w:p>
              </w:tc>
              <w:tc>
                <w:tcPr>
                  <w:tcW w:w="375" w:type="pct"/>
                  <w:tcBorders>
                    <w:tl2br w:val="nil"/>
                    <w:tr2bl w:val="nil"/>
                  </w:tcBorders>
                  <w:noWrap w:val="0"/>
                  <w:vAlign w:val="center"/>
                </w:tcPr>
                <w:p w14:paraId="435C9522">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0.05</w:t>
                  </w:r>
                </w:p>
              </w:tc>
              <w:tc>
                <w:tcPr>
                  <w:tcW w:w="521" w:type="pct"/>
                  <w:vMerge w:val="continue"/>
                  <w:tcBorders>
                    <w:tl2br w:val="nil"/>
                    <w:tr2bl w:val="nil"/>
                  </w:tcBorders>
                  <w:noWrap w:val="0"/>
                  <w:vAlign w:val="center"/>
                </w:tcPr>
                <w:p w14:paraId="36E082E7">
                  <w:pPr>
                    <w:bidi w:val="0"/>
                    <w:jc w:val="center"/>
                    <w:rPr>
                      <w:rFonts w:hint="default" w:ascii="Times New Roman" w:hAnsi="Times New Roman" w:cs="Times New Roman"/>
                      <w:sz w:val="21"/>
                      <w:szCs w:val="21"/>
                      <w:u w:val="single" w:color="auto"/>
                      <w:lang w:val="en-US" w:eastAsia="zh-CN"/>
                    </w:rPr>
                  </w:pPr>
                </w:p>
              </w:tc>
              <w:tc>
                <w:tcPr>
                  <w:tcW w:w="361" w:type="pct"/>
                  <w:vMerge w:val="continue"/>
                  <w:tcBorders>
                    <w:tl2br w:val="nil"/>
                    <w:tr2bl w:val="nil"/>
                  </w:tcBorders>
                  <w:noWrap w:val="0"/>
                  <w:vAlign w:val="center"/>
                </w:tcPr>
                <w:p w14:paraId="2B942753">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cs="Times New Roman"/>
                      <w:i w:val="0"/>
                      <w:iCs w:val="0"/>
                      <w:color w:val="000000"/>
                      <w:kern w:val="2"/>
                      <w:sz w:val="21"/>
                      <w:szCs w:val="21"/>
                      <w:u w:val="single" w:color="auto"/>
                      <w:lang w:val="en-US" w:eastAsia="zh-CN" w:bidi="ar-SA"/>
                    </w:rPr>
                  </w:pPr>
                </w:p>
              </w:tc>
              <w:tc>
                <w:tcPr>
                  <w:tcW w:w="380" w:type="pct"/>
                  <w:vMerge w:val="continue"/>
                  <w:tcBorders>
                    <w:tl2br w:val="nil"/>
                    <w:tr2bl w:val="nil"/>
                  </w:tcBorders>
                  <w:noWrap w:val="0"/>
                  <w:vAlign w:val="center"/>
                </w:tcPr>
                <w:p w14:paraId="2F036A56">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cs="Times New Roman"/>
                      <w:sz w:val="21"/>
                      <w:szCs w:val="21"/>
                      <w:u w:val="single" w:color="auto"/>
                      <w:vertAlign w:val="baseline"/>
                      <w:lang w:val="en-US" w:eastAsia="zh-CN"/>
                    </w:rPr>
                  </w:pPr>
                </w:p>
              </w:tc>
              <w:tc>
                <w:tcPr>
                  <w:tcW w:w="362" w:type="pct"/>
                  <w:tcBorders>
                    <w:tl2br w:val="nil"/>
                    <w:tr2bl w:val="nil"/>
                  </w:tcBorders>
                  <w:noWrap w:val="0"/>
                  <w:vAlign w:val="center"/>
                </w:tcPr>
                <w:p w14:paraId="73C431BE">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50</w:t>
                  </w:r>
                </w:p>
              </w:tc>
              <w:tc>
                <w:tcPr>
                  <w:tcW w:w="415" w:type="pct"/>
                  <w:tcBorders>
                    <w:tl2br w:val="nil"/>
                    <w:tr2bl w:val="nil"/>
                  </w:tcBorders>
                  <w:noWrap w:val="0"/>
                  <w:vAlign w:val="center"/>
                </w:tcPr>
                <w:p w14:paraId="22D6D93D">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cs="Times New Roman"/>
                      <w:sz w:val="21"/>
                      <w:szCs w:val="21"/>
                      <w:u w:val="single" w:color="auto"/>
                      <w:vertAlign w:val="baseline"/>
                      <w:lang w:val="en-US" w:eastAsia="zh-CN"/>
                    </w:rPr>
                  </w:pPr>
                  <w:r>
                    <w:rPr>
                      <w:rFonts w:hint="eastAsia" w:ascii="Times New Roman" w:hAnsi="Times New Roman" w:cs="Times New Roman"/>
                      <w:b w:val="0"/>
                      <w:bCs w:val="0"/>
                      <w:sz w:val="21"/>
                      <w:szCs w:val="21"/>
                      <w:u w:val="single" w:color="auto"/>
                      <w:lang w:val="en-US" w:eastAsia="zh-CN"/>
                    </w:rPr>
                    <w:t>0.0125</w:t>
                  </w:r>
                </w:p>
              </w:tc>
              <w:tc>
                <w:tcPr>
                  <w:tcW w:w="345" w:type="pct"/>
                  <w:tcBorders>
                    <w:tl2br w:val="nil"/>
                    <w:tr2bl w:val="nil"/>
                  </w:tcBorders>
                  <w:noWrap w:val="0"/>
                  <w:vAlign w:val="center"/>
                </w:tcPr>
                <w:p w14:paraId="08562920">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default" w:ascii="Times New Roman" w:hAnsi="Times New Roman" w:cs="Times New Roman"/>
                      <w:sz w:val="21"/>
                      <w:szCs w:val="21"/>
                      <w:u w:val="single" w:color="auto"/>
                      <w:vertAlign w:val="baseline"/>
                      <w:lang w:val="en-US" w:eastAsia="zh-CN"/>
                    </w:rPr>
                    <w:t>0.42</w:t>
                  </w:r>
                </w:p>
              </w:tc>
              <w:tc>
                <w:tcPr>
                  <w:tcW w:w="338" w:type="pct"/>
                  <w:tcBorders>
                    <w:tl2br w:val="nil"/>
                    <w:tr2bl w:val="nil"/>
                  </w:tcBorders>
                  <w:noWrap w:val="0"/>
                  <w:vAlign w:val="center"/>
                </w:tcPr>
                <w:p w14:paraId="7BAD80D1">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default" w:ascii="Times New Roman" w:hAnsi="Times New Roman" w:cs="Times New Roman"/>
                      <w:sz w:val="21"/>
                      <w:szCs w:val="21"/>
                      <w:u w:val="single" w:color="auto"/>
                      <w:vertAlign w:val="baseline"/>
                      <w:lang w:val="en-US" w:eastAsia="zh-CN"/>
                    </w:rPr>
                    <w:t>0.005</w:t>
                  </w:r>
                </w:p>
              </w:tc>
              <w:tc>
                <w:tcPr>
                  <w:tcW w:w="399" w:type="pct"/>
                  <w:tcBorders>
                    <w:tl2br w:val="nil"/>
                    <w:tr2bl w:val="nil"/>
                  </w:tcBorders>
                  <w:noWrap w:val="0"/>
                  <w:vAlign w:val="center"/>
                </w:tcPr>
                <w:p w14:paraId="023D9375">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default" w:ascii="Times New Roman" w:hAnsi="Times New Roman" w:cs="Times New Roman"/>
                      <w:sz w:val="21"/>
                      <w:szCs w:val="21"/>
                      <w:u w:val="single" w:color="auto"/>
                      <w:vertAlign w:val="baseline"/>
                      <w:lang w:val="en-US" w:eastAsia="zh-CN"/>
                    </w:rPr>
                    <w:t>0.025</w:t>
                  </w:r>
                </w:p>
              </w:tc>
              <w:tc>
                <w:tcPr>
                  <w:tcW w:w="295" w:type="pct"/>
                  <w:vMerge w:val="continue"/>
                  <w:tcBorders>
                    <w:tl2br w:val="nil"/>
                    <w:tr2bl w:val="nil"/>
                  </w:tcBorders>
                  <w:noWrap w:val="0"/>
                  <w:vAlign w:val="center"/>
                </w:tcPr>
                <w:p w14:paraId="3BD768E0">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p>
              </w:tc>
              <w:tc>
                <w:tcPr>
                  <w:tcW w:w="273" w:type="pct"/>
                  <w:tcBorders>
                    <w:tl2br w:val="nil"/>
                    <w:tr2bl w:val="nil"/>
                  </w:tcBorders>
                  <w:noWrap w:val="0"/>
                  <w:vAlign w:val="center"/>
                </w:tcPr>
                <w:p w14:paraId="18762B2F">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2700</w:t>
                  </w:r>
                </w:p>
              </w:tc>
            </w:tr>
            <w:tr w14:paraId="0869F4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7" w:hRule="atLeast"/>
              </w:trPr>
              <w:tc>
                <w:tcPr>
                  <w:tcW w:w="196" w:type="pct"/>
                  <w:vMerge w:val="restart"/>
                  <w:tcBorders>
                    <w:tl2br w:val="nil"/>
                    <w:tr2bl w:val="nil"/>
                  </w:tcBorders>
                  <w:noWrap w:val="0"/>
                  <w:vAlign w:val="center"/>
                </w:tcPr>
                <w:p w14:paraId="34D737DB">
                  <w:pPr>
                    <w:bidi w:val="0"/>
                    <w:jc w:val="center"/>
                    <w:rPr>
                      <w:rFonts w:hint="eastAsia" w:eastAsia="宋体"/>
                      <w:sz w:val="21"/>
                      <w:szCs w:val="21"/>
                      <w:u w:val="single" w:color="auto"/>
                      <w:lang w:val="en-US" w:eastAsia="zh-CN"/>
                    </w:rPr>
                  </w:pPr>
                  <w:r>
                    <w:rPr>
                      <w:rFonts w:hint="eastAsia"/>
                      <w:sz w:val="21"/>
                      <w:szCs w:val="21"/>
                      <w:u w:val="single" w:color="auto"/>
                      <w:lang w:val="en-US" w:eastAsia="zh-CN"/>
                    </w:rPr>
                    <w:t>生产车间</w:t>
                  </w:r>
                </w:p>
              </w:tc>
              <w:tc>
                <w:tcPr>
                  <w:tcW w:w="352" w:type="pct"/>
                  <w:vMerge w:val="restart"/>
                  <w:tcBorders>
                    <w:tl2br w:val="nil"/>
                    <w:tr2bl w:val="nil"/>
                  </w:tcBorders>
                  <w:noWrap w:val="0"/>
                  <w:vAlign w:val="center"/>
                </w:tcPr>
                <w:p w14:paraId="2D3762F4">
                  <w:pPr>
                    <w:autoSpaceDE w:val="0"/>
                    <w:autoSpaceDN w:val="0"/>
                    <w:contextualSpacing/>
                    <w:jc w:val="center"/>
                    <w:rPr>
                      <w:rFonts w:hint="eastAsia"/>
                      <w:sz w:val="21"/>
                      <w:szCs w:val="21"/>
                      <w:u w:val="single" w:color="auto"/>
                      <w:lang w:val="en-US" w:eastAsia="zh-CN"/>
                    </w:rPr>
                  </w:pPr>
                  <w:r>
                    <w:rPr>
                      <w:rFonts w:hint="eastAsia" w:cs="Times New Roman"/>
                      <w:b w:val="0"/>
                      <w:bCs w:val="0"/>
                      <w:color w:val="000000" w:themeColor="text1"/>
                      <w:sz w:val="21"/>
                      <w:szCs w:val="21"/>
                      <w:u w:val="single" w:color="auto"/>
                      <w:lang w:val="en-US" w:eastAsia="zh-CN"/>
                      <w14:textFill>
                        <w14:solidFill>
                          <w14:schemeClr w14:val="tx1"/>
                        </w14:solidFill>
                      </w14:textFill>
                    </w:rPr>
                    <w:t>调漆、浸漆、烘干有机废气</w:t>
                  </w:r>
                </w:p>
              </w:tc>
              <w:tc>
                <w:tcPr>
                  <w:tcW w:w="380" w:type="pct"/>
                  <w:tcBorders>
                    <w:tl2br w:val="nil"/>
                    <w:tr2bl w:val="nil"/>
                  </w:tcBorders>
                  <w:noWrap w:val="0"/>
                  <w:vAlign w:val="center"/>
                </w:tcPr>
                <w:p w14:paraId="5FC47CA7">
                  <w:pPr>
                    <w:pStyle w:val="58"/>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ascii="Times New Roman" w:hAnsi="Times New Roman" w:cs="Times New Roman"/>
                      <w:sz w:val="21"/>
                      <w:szCs w:val="21"/>
                      <w:u w:val="single" w:color="auto"/>
                      <w:vertAlign w:val="baseline"/>
                      <w:lang w:val="en-US" w:eastAsia="zh-CN"/>
                    </w:rPr>
                  </w:pPr>
                  <w:r>
                    <w:rPr>
                      <w:rFonts w:hint="eastAsia" w:ascii="Times New Roman" w:hAnsi="Times New Roman" w:cs="Times New Roman"/>
                      <w:sz w:val="21"/>
                      <w:szCs w:val="21"/>
                      <w:u w:val="single" w:color="auto"/>
                      <w:vertAlign w:val="baseline"/>
                      <w:lang w:val="en-US" w:eastAsia="zh-CN"/>
                    </w:rPr>
                    <w:t>VOCs（以非甲烷总烃计）</w:t>
                  </w:r>
                </w:p>
              </w:tc>
              <w:tc>
                <w:tcPr>
                  <w:tcW w:w="375" w:type="pct"/>
                  <w:tcBorders>
                    <w:tl2br w:val="nil"/>
                    <w:tr2bl w:val="nil"/>
                  </w:tcBorders>
                  <w:noWrap w:val="0"/>
                  <w:vAlign w:val="center"/>
                </w:tcPr>
                <w:p w14:paraId="21E6D6FD">
                  <w:pPr>
                    <w:pStyle w:val="58"/>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1.25</w:t>
                  </w:r>
                </w:p>
              </w:tc>
              <w:tc>
                <w:tcPr>
                  <w:tcW w:w="521" w:type="pct"/>
                  <w:vMerge w:val="restart"/>
                  <w:tcBorders>
                    <w:tl2br w:val="nil"/>
                    <w:tr2bl w:val="nil"/>
                  </w:tcBorders>
                  <w:noWrap w:val="0"/>
                  <w:vAlign w:val="center"/>
                </w:tcPr>
                <w:p w14:paraId="0AB737B0">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密闭含浸车间微负压收集+干式+</w:t>
                  </w:r>
                  <w:r>
                    <w:rPr>
                      <w:rFonts w:hint="default" w:ascii="Times New Roman" w:hAnsi="Times New Roman" w:cs="Times New Roman"/>
                      <w:sz w:val="21"/>
                      <w:szCs w:val="21"/>
                      <w:u w:val="single" w:color="auto"/>
                      <w:lang w:val="en-US" w:eastAsia="zh-CN"/>
                    </w:rPr>
                    <w:t>二级活性炭吸附+</w:t>
                  </w:r>
                  <w:r>
                    <w:rPr>
                      <w:rFonts w:hint="eastAsia" w:ascii="Times New Roman" w:cs="Times New Roman"/>
                      <w:sz w:val="21"/>
                      <w:szCs w:val="21"/>
                      <w:u w:val="single" w:color="auto"/>
                      <w:lang w:val="en-US" w:eastAsia="zh-CN"/>
                    </w:rPr>
                    <w:t>23m排气筒</w:t>
                  </w:r>
                  <w:r>
                    <w:rPr>
                      <w:rFonts w:hint="default" w:ascii="Times New Roman" w:hAnsi="Times New Roman" w:cs="Times New Roman"/>
                      <w:sz w:val="21"/>
                      <w:szCs w:val="21"/>
                      <w:u w:val="single" w:color="auto"/>
                      <w:lang w:val="en-US" w:eastAsia="zh-CN"/>
                    </w:rPr>
                    <w:t>DA001</w:t>
                  </w:r>
                </w:p>
              </w:tc>
              <w:tc>
                <w:tcPr>
                  <w:tcW w:w="361" w:type="pct"/>
                  <w:vMerge w:val="continue"/>
                  <w:tcBorders>
                    <w:tl2br w:val="nil"/>
                    <w:tr2bl w:val="nil"/>
                  </w:tcBorders>
                  <w:noWrap w:val="0"/>
                  <w:vAlign w:val="center"/>
                </w:tcPr>
                <w:p w14:paraId="0BE0A94D">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hAnsi="Times New Roman" w:cs="Times New Roman"/>
                      <w:sz w:val="21"/>
                      <w:szCs w:val="21"/>
                      <w:u w:val="single" w:color="auto"/>
                      <w:vertAlign w:val="baseline"/>
                      <w:lang w:val="en-US" w:eastAsia="zh-CN"/>
                    </w:rPr>
                  </w:pPr>
                </w:p>
              </w:tc>
              <w:tc>
                <w:tcPr>
                  <w:tcW w:w="380" w:type="pct"/>
                  <w:vMerge w:val="restart"/>
                  <w:tcBorders>
                    <w:tl2br w:val="nil"/>
                    <w:tr2bl w:val="nil"/>
                  </w:tcBorders>
                  <w:noWrap w:val="0"/>
                  <w:vAlign w:val="center"/>
                </w:tcPr>
                <w:p w14:paraId="300A4134">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90</w:t>
                  </w:r>
                </w:p>
              </w:tc>
              <w:tc>
                <w:tcPr>
                  <w:tcW w:w="362" w:type="pct"/>
                  <w:tcBorders>
                    <w:tl2br w:val="nil"/>
                    <w:tr2bl w:val="nil"/>
                  </w:tcBorders>
                  <w:noWrap w:val="0"/>
                  <w:vAlign w:val="center"/>
                </w:tcPr>
                <w:p w14:paraId="32D0375F">
                  <w:pPr>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50</w:t>
                  </w:r>
                </w:p>
              </w:tc>
              <w:tc>
                <w:tcPr>
                  <w:tcW w:w="415" w:type="pct"/>
                  <w:tcBorders>
                    <w:tl2br w:val="nil"/>
                    <w:tr2bl w:val="nil"/>
                  </w:tcBorders>
                  <w:noWrap w:val="0"/>
                  <w:vAlign w:val="center"/>
                </w:tcPr>
                <w:p w14:paraId="321D75C9">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0.5625</w:t>
                  </w:r>
                </w:p>
              </w:tc>
              <w:tc>
                <w:tcPr>
                  <w:tcW w:w="345" w:type="pct"/>
                  <w:tcBorders>
                    <w:tl2br w:val="nil"/>
                    <w:tr2bl w:val="nil"/>
                  </w:tcBorders>
                  <w:noWrap w:val="0"/>
                  <w:vAlign w:val="center"/>
                </w:tcPr>
                <w:p w14:paraId="32760052">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b w:val="0"/>
                      <w:bCs w:val="0"/>
                      <w:sz w:val="21"/>
                      <w:szCs w:val="21"/>
                      <w:u w:val="single" w:color="auto"/>
                      <w:lang w:val="en-US" w:eastAsia="zh-CN"/>
                    </w:rPr>
                    <w:t>18.94</w:t>
                  </w:r>
                </w:p>
              </w:tc>
              <w:tc>
                <w:tcPr>
                  <w:tcW w:w="338" w:type="pct"/>
                  <w:tcBorders>
                    <w:tl2br w:val="nil"/>
                    <w:tr2bl w:val="nil"/>
                  </w:tcBorders>
                  <w:noWrap w:val="0"/>
                  <w:vAlign w:val="center"/>
                </w:tcPr>
                <w:p w14:paraId="146885BB">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b w:val="0"/>
                      <w:bCs w:val="0"/>
                      <w:sz w:val="21"/>
                      <w:szCs w:val="21"/>
                      <w:u w:val="single" w:color="auto"/>
                      <w:lang w:val="en-US" w:eastAsia="zh-CN"/>
                    </w:rPr>
                    <w:t>0.208</w:t>
                  </w:r>
                </w:p>
              </w:tc>
              <w:tc>
                <w:tcPr>
                  <w:tcW w:w="399" w:type="pct"/>
                  <w:tcBorders>
                    <w:tl2br w:val="nil"/>
                    <w:tr2bl w:val="nil"/>
                  </w:tcBorders>
                  <w:noWrap w:val="0"/>
                  <w:vAlign w:val="center"/>
                </w:tcPr>
                <w:p w14:paraId="09152F4C">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0.125</w:t>
                  </w:r>
                </w:p>
              </w:tc>
              <w:tc>
                <w:tcPr>
                  <w:tcW w:w="295" w:type="pct"/>
                  <w:vMerge w:val="continue"/>
                  <w:tcBorders>
                    <w:tl2br w:val="nil"/>
                    <w:tr2bl w:val="nil"/>
                  </w:tcBorders>
                  <w:noWrap w:val="0"/>
                  <w:vAlign w:val="center"/>
                </w:tcPr>
                <w:p w14:paraId="147151FB">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hAnsi="Times New Roman" w:cs="Times New Roman"/>
                      <w:sz w:val="21"/>
                      <w:szCs w:val="21"/>
                      <w:u w:val="single" w:color="auto"/>
                      <w:vertAlign w:val="baseline"/>
                      <w:lang w:val="en-US" w:eastAsia="zh-CN"/>
                    </w:rPr>
                  </w:pPr>
                </w:p>
              </w:tc>
              <w:tc>
                <w:tcPr>
                  <w:tcW w:w="273" w:type="pct"/>
                  <w:tcBorders>
                    <w:tl2br w:val="nil"/>
                    <w:tr2bl w:val="nil"/>
                  </w:tcBorders>
                  <w:noWrap w:val="0"/>
                  <w:vAlign w:val="center"/>
                </w:tcPr>
                <w:p w14:paraId="0309DED8">
                  <w:pPr>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2700</w:t>
                  </w:r>
                </w:p>
              </w:tc>
            </w:tr>
            <w:tr w14:paraId="1B4F80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6" w:hRule="atLeast"/>
              </w:trPr>
              <w:tc>
                <w:tcPr>
                  <w:tcW w:w="196" w:type="pct"/>
                  <w:vMerge w:val="continue"/>
                  <w:tcBorders>
                    <w:tl2br w:val="nil"/>
                    <w:tr2bl w:val="nil"/>
                  </w:tcBorders>
                  <w:noWrap w:val="0"/>
                  <w:vAlign w:val="center"/>
                </w:tcPr>
                <w:p w14:paraId="48F1E83C">
                  <w:pPr>
                    <w:bidi w:val="0"/>
                    <w:jc w:val="center"/>
                    <w:rPr>
                      <w:rFonts w:hint="eastAsia"/>
                      <w:sz w:val="21"/>
                      <w:szCs w:val="21"/>
                      <w:u w:val="single" w:color="auto"/>
                      <w:lang w:val="en-US" w:eastAsia="zh-CN"/>
                    </w:rPr>
                  </w:pPr>
                </w:p>
              </w:tc>
              <w:tc>
                <w:tcPr>
                  <w:tcW w:w="352" w:type="pct"/>
                  <w:vMerge w:val="continue"/>
                  <w:tcBorders>
                    <w:tl2br w:val="nil"/>
                    <w:tr2bl w:val="nil"/>
                  </w:tcBorders>
                  <w:noWrap w:val="0"/>
                  <w:vAlign w:val="center"/>
                </w:tcPr>
                <w:p w14:paraId="0B369A4B">
                  <w:pPr>
                    <w:autoSpaceDE w:val="0"/>
                    <w:autoSpaceDN w:val="0"/>
                    <w:contextualSpacing/>
                    <w:jc w:val="center"/>
                    <w:rPr>
                      <w:rFonts w:hint="eastAsia" w:cs="Times New Roman"/>
                      <w:b w:val="0"/>
                      <w:bCs w:val="0"/>
                      <w:color w:val="000000" w:themeColor="text1"/>
                      <w:sz w:val="21"/>
                      <w:szCs w:val="21"/>
                      <w:u w:val="single" w:color="auto"/>
                      <w:lang w:val="en-US" w:eastAsia="zh-CN"/>
                      <w14:textFill>
                        <w14:solidFill>
                          <w14:schemeClr w14:val="tx1"/>
                        </w14:solidFill>
                      </w14:textFill>
                    </w:rPr>
                  </w:pPr>
                </w:p>
              </w:tc>
              <w:tc>
                <w:tcPr>
                  <w:tcW w:w="380" w:type="pct"/>
                  <w:tcBorders>
                    <w:tl2br w:val="nil"/>
                    <w:tr2bl w:val="nil"/>
                  </w:tcBorders>
                  <w:noWrap w:val="0"/>
                  <w:vAlign w:val="center"/>
                </w:tcPr>
                <w:p w14:paraId="50EB8D6C">
                  <w:pPr>
                    <w:pStyle w:val="58"/>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苯系物（二甲苯）</w:t>
                  </w:r>
                </w:p>
              </w:tc>
              <w:tc>
                <w:tcPr>
                  <w:tcW w:w="375" w:type="pct"/>
                  <w:tcBorders>
                    <w:tl2br w:val="nil"/>
                    <w:tr2bl w:val="nil"/>
                  </w:tcBorders>
                  <w:noWrap w:val="0"/>
                  <w:vAlign w:val="center"/>
                </w:tcPr>
                <w:p w14:paraId="38B6DC3C">
                  <w:pPr>
                    <w:pStyle w:val="58"/>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0.23</w:t>
                  </w:r>
                </w:p>
              </w:tc>
              <w:tc>
                <w:tcPr>
                  <w:tcW w:w="521" w:type="pct"/>
                  <w:vMerge w:val="continue"/>
                  <w:tcBorders>
                    <w:tl2br w:val="nil"/>
                    <w:tr2bl w:val="nil"/>
                  </w:tcBorders>
                  <w:noWrap w:val="0"/>
                  <w:vAlign w:val="center"/>
                </w:tcPr>
                <w:p w14:paraId="10B06BD9">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hAnsi="Times New Roman" w:cs="Times New Roman"/>
                      <w:sz w:val="21"/>
                      <w:szCs w:val="21"/>
                      <w:u w:val="single" w:color="auto"/>
                      <w:vertAlign w:val="baseline"/>
                      <w:lang w:val="en-US" w:eastAsia="zh-CN"/>
                    </w:rPr>
                  </w:pPr>
                </w:p>
              </w:tc>
              <w:tc>
                <w:tcPr>
                  <w:tcW w:w="361" w:type="pct"/>
                  <w:vMerge w:val="continue"/>
                  <w:tcBorders>
                    <w:tl2br w:val="nil"/>
                    <w:tr2bl w:val="nil"/>
                  </w:tcBorders>
                  <w:noWrap w:val="0"/>
                  <w:vAlign w:val="center"/>
                </w:tcPr>
                <w:p w14:paraId="46E06EC1">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hAnsi="Times New Roman" w:cs="Times New Roman"/>
                      <w:sz w:val="21"/>
                      <w:szCs w:val="21"/>
                      <w:u w:val="single" w:color="auto"/>
                      <w:vertAlign w:val="baseline"/>
                      <w:lang w:val="en-US" w:eastAsia="zh-CN"/>
                    </w:rPr>
                  </w:pPr>
                </w:p>
              </w:tc>
              <w:tc>
                <w:tcPr>
                  <w:tcW w:w="380" w:type="pct"/>
                  <w:vMerge w:val="continue"/>
                  <w:tcBorders>
                    <w:tl2br w:val="nil"/>
                    <w:tr2bl w:val="nil"/>
                  </w:tcBorders>
                  <w:noWrap w:val="0"/>
                  <w:vAlign w:val="center"/>
                </w:tcPr>
                <w:p w14:paraId="6EE2C45D">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hAnsi="Times New Roman" w:cs="Times New Roman"/>
                      <w:sz w:val="21"/>
                      <w:szCs w:val="21"/>
                      <w:u w:val="single" w:color="auto"/>
                      <w:vertAlign w:val="baseline"/>
                      <w:lang w:val="en-US" w:eastAsia="zh-CN"/>
                    </w:rPr>
                  </w:pPr>
                </w:p>
              </w:tc>
              <w:tc>
                <w:tcPr>
                  <w:tcW w:w="362" w:type="pct"/>
                  <w:tcBorders>
                    <w:tl2br w:val="nil"/>
                    <w:tr2bl w:val="nil"/>
                  </w:tcBorders>
                  <w:noWrap w:val="0"/>
                  <w:vAlign w:val="center"/>
                </w:tcPr>
                <w:p w14:paraId="6421A3E6">
                  <w:pPr>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50</w:t>
                  </w:r>
                </w:p>
              </w:tc>
              <w:tc>
                <w:tcPr>
                  <w:tcW w:w="415" w:type="pct"/>
                  <w:tcBorders>
                    <w:tl2br w:val="nil"/>
                    <w:tr2bl w:val="nil"/>
                  </w:tcBorders>
                  <w:noWrap w:val="0"/>
                  <w:vAlign w:val="center"/>
                </w:tcPr>
                <w:p w14:paraId="3EA47157">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0.1035</w:t>
                  </w:r>
                </w:p>
              </w:tc>
              <w:tc>
                <w:tcPr>
                  <w:tcW w:w="345" w:type="pct"/>
                  <w:tcBorders>
                    <w:tl2br w:val="nil"/>
                    <w:tr2bl w:val="nil"/>
                  </w:tcBorders>
                  <w:noWrap w:val="0"/>
                  <w:vAlign w:val="center"/>
                </w:tcPr>
                <w:p w14:paraId="6CF108E2">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3.48</w:t>
                  </w:r>
                </w:p>
              </w:tc>
              <w:tc>
                <w:tcPr>
                  <w:tcW w:w="338" w:type="pct"/>
                  <w:tcBorders>
                    <w:tl2br w:val="nil"/>
                    <w:tr2bl w:val="nil"/>
                  </w:tcBorders>
                  <w:noWrap w:val="0"/>
                  <w:vAlign w:val="center"/>
                </w:tcPr>
                <w:p w14:paraId="6BB28BA4">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0.038</w:t>
                  </w:r>
                </w:p>
              </w:tc>
              <w:tc>
                <w:tcPr>
                  <w:tcW w:w="399" w:type="pct"/>
                  <w:tcBorders>
                    <w:tl2br w:val="nil"/>
                    <w:tr2bl w:val="nil"/>
                  </w:tcBorders>
                  <w:noWrap w:val="0"/>
                  <w:vAlign w:val="center"/>
                </w:tcPr>
                <w:p w14:paraId="22C4A2C9">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0.023</w:t>
                  </w:r>
                </w:p>
              </w:tc>
              <w:tc>
                <w:tcPr>
                  <w:tcW w:w="295" w:type="pct"/>
                  <w:vMerge w:val="continue"/>
                  <w:tcBorders>
                    <w:tl2br w:val="nil"/>
                    <w:tr2bl w:val="nil"/>
                  </w:tcBorders>
                  <w:noWrap w:val="0"/>
                  <w:vAlign w:val="center"/>
                </w:tcPr>
                <w:p w14:paraId="0F5E6A1E">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eastAsia" w:ascii="Times New Roman" w:hAnsi="Times New Roman" w:cs="Times New Roman"/>
                      <w:sz w:val="21"/>
                      <w:szCs w:val="21"/>
                      <w:u w:val="single" w:color="auto"/>
                      <w:vertAlign w:val="baseline"/>
                      <w:lang w:val="en-US" w:eastAsia="zh-CN"/>
                    </w:rPr>
                  </w:pPr>
                </w:p>
              </w:tc>
              <w:tc>
                <w:tcPr>
                  <w:tcW w:w="273" w:type="pct"/>
                  <w:tcBorders>
                    <w:tl2br w:val="nil"/>
                    <w:tr2bl w:val="nil"/>
                  </w:tcBorders>
                  <w:noWrap w:val="0"/>
                  <w:vAlign w:val="center"/>
                </w:tcPr>
                <w:p w14:paraId="5BA1BE0B">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2700</w:t>
                  </w:r>
                </w:p>
              </w:tc>
            </w:tr>
            <w:tr w14:paraId="43BCE3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96" w:type="pct"/>
                  <w:tcBorders>
                    <w:tl2br w:val="nil"/>
                    <w:tr2bl w:val="nil"/>
                  </w:tcBorders>
                  <w:noWrap w:val="0"/>
                  <w:vAlign w:val="center"/>
                </w:tcPr>
                <w:p w14:paraId="5DA230B1">
                  <w:pPr>
                    <w:bidi w:val="0"/>
                    <w:jc w:val="center"/>
                    <w:rPr>
                      <w:rFonts w:hint="default"/>
                      <w:sz w:val="21"/>
                      <w:szCs w:val="21"/>
                      <w:u w:val="single" w:color="auto"/>
                      <w:lang w:val="en-US" w:eastAsia="zh-CN"/>
                    </w:rPr>
                  </w:pPr>
                  <w:r>
                    <w:rPr>
                      <w:rFonts w:hint="eastAsia"/>
                      <w:sz w:val="21"/>
                      <w:szCs w:val="21"/>
                      <w:u w:val="single" w:color="auto"/>
                      <w:lang w:val="en-US" w:eastAsia="zh-CN"/>
                    </w:rPr>
                    <w:t>生产车间</w:t>
                  </w:r>
                </w:p>
              </w:tc>
              <w:tc>
                <w:tcPr>
                  <w:tcW w:w="352" w:type="pct"/>
                  <w:tcBorders>
                    <w:tl2br w:val="nil"/>
                    <w:tr2bl w:val="nil"/>
                  </w:tcBorders>
                  <w:noWrap w:val="0"/>
                  <w:vAlign w:val="center"/>
                </w:tcPr>
                <w:p w14:paraId="259FDDE5">
                  <w:pPr>
                    <w:autoSpaceDE w:val="0"/>
                    <w:autoSpaceDN w:val="0"/>
                    <w:contextualSpacing/>
                    <w:jc w:val="center"/>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点胶有机废气</w:t>
                  </w:r>
                </w:p>
              </w:tc>
              <w:tc>
                <w:tcPr>
                  <w:tcW w:w="380" w:type="pct"/>
                  <w:tcBorders>
                    <w:tl2br w:val="nil"/>
                    <w:tr2bl w:val="nil"/>
                  </w:tcBorders>
                  <w:noWrap w:val="0"/>
                  <w:vAlign w:val="center"/>
                </w:tcPr>
                <w:p w14:paraId="5C834B39">
                  <w:pPr>
                    <w:pStyle w:val="58"/>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ascii="Times New Roman" w:cs="Times New Roman"/>
                      <w:sz w:val="21"/>
                      <w:szCs w:val="21"/>
                      <w:u w:val="single" w:color="auto"/>
                      <w:vertAlign w:val="baseline"/>
                      <w:lang w:val="en-US" w:eastAsia="zh-CN"/>
                    </w:rPr>
                  </w:pPr>
                  <w:r>
                    <w:rPr>
                      <w:rFonts w:hint="eastAsia" w:ascii="Times New Roman" w:hAnsi="Times New Roman" w:cs="Times New Roman"/>
                      <w:sz w:val="21"/>
                      <w:szCs w:val="21"/>
                      <w:u w:val="single" w:color="auto"/>
                      <w:vertAlign w:val="baseline"/>
                      <w:lang w:val="en-US" w:eastAsia="zh-CN"/>
                    </w:rPr>
                    <w:t>VOCs（以非甲烷总烃计）</w:t>
                  </w:r>
                </w:p>
              </w:tc>
              <w:tc>
                <w:tcPr>
                  <w:tcW w:w="375" w:type="pct"/>
                  <w:tcBorders>
                    <w:tl2br w:val="nil"/>
                    <w:tr2bl w:val="nil"/>
                  </w:tcBorders>
                  <w:noWrap w:val="0"/>
                  <w:vAlign w:val="center"/>
                </w:tcPr>
                <w:p w14:paraId="33FB2CC3">
                  <w:pPr>
                    <w:pStyle w:val="58"/>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0.0045</w:t>
                  </w:r>
                </w:p>
              </w:tc>
              <w:tc>
                <w:tcPr>
                  <w:tcW w:w="521" w:type="pct"/>
                  <w:tcBorders>
                    <w:tl2br w:val="nil"/>
                    <w:tr2bl w:val="nil"/>
                  </w:tcBorders>
                  <w:noWrap w:val="0"/>
                  <w:vAlign w:val="center"/>
                </w:tcPr>
                <w:p w14:paraId="74ABD41B">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加强车间通风后无组织排放</w:t>
                  </w:r>
                </w:p>
              </w:tc>
              <w:tc>
                <w:tcPr>
                  <w:tcW w:w="361" w:type="pct"/>
                  <w:tcBorders>
                    <w:tl2br w:val="nil"/>
                    <w:tr2bl w:val="nil"/>
                  </w:tcBorders>
                  <w:noWrap w:val="0"/>
                  <w:vAlign w:val="center"/>
                </w:tcPr>
                <w:p w14:paraId="7716FCF5">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w:t>
                  </w:r>
                </w:p>
              </w:tc>
              <w:tc>
                <w:tcPr>
                  <w:tcW w:w="380" w:type="pct"/>
                  <w:tcBorders>
                    <w:tl2br w:val="nil"/>
                    <w:tr2bl w:val="nil"/>
                  </w:tcBorders>
                  <w:noWrap w:val="0"/>
                  <w:vAlign w:val="center"/>
                </w:tcPr>
                <w:p w14:paraId="23E11940">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w:t>
                  </w:r>
                </w:p>
              </w:tc>
              <w:tc>
                <w:tcPr>
                  <w:tcW w:w="362" w:type="pct"/>
                  <w:tcBorders>
                    <w:tl2br w:val="nil"/>
                    <w:tr2bl w:val="nil"/>
                  </w:tcBorders>
                  <w:noWrap w:val="0"/>
                  <w:vAlign w:val="center"/>
                </w:tcPr>
                <w:p w14:paraId="0B164458">
                  <w:pPr>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cs="Times New Roman"/>
                      <w:sz w:val="21"/>
                      <w:szCs w:val="21"/>
                      <w:u w:val="single" w:color="auto"/>
                      <w:vertAlign w:val="baseline"/>
                      <w:lang w:val="en-US" w:eastAsia="zh-CN"/>
                    </w:rPr>
                    <w:t>/</w:t>
                  </w:r>
                </w:p>
              </w:tc>
              <w:tc>
                <w:tcPr>
                  <w:tcW w:w="415" w:type="pct"/>
                  <w:tcBorders>
                    <w:tl2br w:val="nil"/>
                    <w:tr2bl w:val="nil"/>
                  </w:tcBorders>
                  <w:noWrap w:val="0"/>
                  <w:vAlign w:val="center"/>
                </w:tcPr>
                <w:p w14:paraId="218395F4">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w:t>
                  </w:r>
                </w:p>
              </w:tc>
              <w:tc>
                <w:tcPr>
                  <w:tcW w:w="345" w:type="pct"/>
                  <w:tcBorders>
                    <w:tl2br w:val="nil"/>
                    <w:tr2bl w:val="nil"/>
                  </w:tcBorders>
                  <w:noWrap w:val="0"/>
                  <w:vAlign w:val="center"/>
                </w:tcPr>
                <w:p w14:paraId="441413ED">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w:t>
                  </w:r>
                </w:p>
              </w:tc>
              <w:tc>
                <w:tcPr>
                  <w:tcW w:w="338" w:type="pct"/>
                  <w:tcBorders>
                    <w:tl2br w:val="nil"/>
                    <w:tr2bl w:val="nil"/>
                  </w:tcBorders>
                  <w:noWrap w:val="0"/>
                  <w:vAlign w:val="center"/>
                </w:tcPr>
                <w:p w14:paraId="0027F91D">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w:t>
                  </w:r>
                </w:p>
              </w:tc>
              <w:tc>
                <w:tcPr>
                  <w:tcW w:w="399" w:type="pct"/>
                  <w:tcBorders>
                    <w:tl2br w:val="nil"/>
                    <w:tr2bl w:val="nil"/>
                  </w:tcBorders>
                  <w:noWrap w:val="0"/>
                  <w:vAlign w:val="center"/>
                </w:tcPr>
                <w:p w14:paraId="693B79FC">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0.0045</w:t>
                  </w:r>
                </w:p>
              </w:tc>
              <w:tc>
                <w:tcPr>
                  <w:tcW w:w="295" w:type="pct"/>
                  <w:tcBorders>
                    <w:tl2br w:val="nil"/>
                    <w:tr2bl w:val="nil"/>
                  </w:tcBorders>
                  <w:noWrap w:val="0"/>
                  <w:vAlign w:val="center"/>
                </w:tcPr>
                <w:p w14:paraId="5E0D8B70">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hAns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w:t>
                  </w:r>
                </w:p>
              </w:tc>
              <w:tc>
                <w:tcPr>
                  <w:tcW w:w="273" w:type="pct"/>
                  <w:tcBorders>
                    <w:tl2br w:val="nil"/>
                    <w:tr2bl w:val="nil"/>
                  </w:tcBorders>
                  <w:noWrap w:val="0"/>
                  <w:vAlign w:val="center"/>
                </w:tcPr>
                <w:p w14:paraId="1DC65C51">
                  <w:pPr>
                    <w:pStyle w:val="58"/>
                    <w:keepNext w:val="0"/>
                    <w:keepLines w:val="0"/>
                    <w:pageBreakBefore w:val="0"/>
                    <w:widowControl w:val="0"/>
                    <w:kinsoku/>
                    <w:wordWrap/>
                    <w:overflowPunct/>
                    <w:topLinePunct w:val="0"/>
                    <w:autoSpaceDE w:val="0"/>
                    <w:autoSpaceDN w:val="0"/>
                    <w:bidi w:val="0"/>
                    <w:adjustRightInd/>
                    <w:snapToGrid/>
                    <w:ind w:firstLine="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2700</w:t>
                  </w:r>
                </w:p>
              </w:tc>
            </w:tr>
          </w:tbl>
          <w:p w14:paraId="3ACB26A9">
            <w:pPr>
              <w:pStyle w:val="42"/>
              <w:bidi w:val="0"/>
              <w:rPr>
                <w:u w:val="none" w:color="auto"/>
              </w:rPr>
            </w:pPr>
            <w:r>
              <w:rPr>
                <w:u w:val="none" w:color="auto"/>
              </w:rPr>
              <w:t>表4-</w:t>
            </w:r>
            <w:r>
              <w:rPr>
                <w:rFonts w:hint="eastAsia"/>
                <w:u w:val="none" w:color="auto"/>
                <w:lang w:val="en-US" w:eastAsia="zh-CN"/>
              </w:rPr>
              <w:t>3</w:t>
            </w:r>
            <w:r>
              <w:rPr>
                <w:rFonts w:hint="eastAsia"/>
                <w:u w:val="none" w:color="auto"/>
              </w:rPr>
              <w:t xml:space="preserve"> </w:t>
            </w:r>
            <w:r>
              <w:rPr>
                <w:u w:val="none" w:color="auto"/>
              </w:rPr>
              <w:t xml:space="preserve"> 大气排放口基本情况表</w:t>
            </w:r>
          </w:p>
          <w:tbl>
            <w:tblPr>
              <w:tblStyle w:val="34"/>
              <w:tblW w:w="5001"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06"/>
              <w:gridCol w:w="2942"/>
              <w:gridCol w:w="2599"/>
              <w:gridCol w:w="2309"/>
              <w:gridCol w:w="3247"/>
              <w:gridCol w:w="1923"/>
            </w:tblGrid>
            <w:tr w14:paraId="79F50C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7" w:hRule="atLeast"/>
                <w:jc w:val="center"/>
              </w:trPr>
              <w:tc>
                <w:tcPr>
                  <w:tcW w:w="518" w:type="pct"/>
                  <w:tcBorders>
                    <w:tl2br w:val="nil"/>
                    <w:tr2bl w:val="nil"/>
                  </w:tcBorders>
                  <w:vAlign w:val="center"/>
                </w:tcPr>
                <w:p w14:paraId="27C8F60B">
                  <w:pPr>
                    <w:widowControl w:val="0"/>
                    <w:snapToGrid/>
                    <w:spacing w:before="0" w:after="0" w:line="240" w:lineRule="auto"/>
                    <w:ind w:right="0"/>
                    <w:jc w:val="center"/>
                    <w:rPr>
                      <w:b w:val="0"/>
                      <w:bCs w:val="0"/>
                      <w:color w:val="000000" w:themeColor="text1"/>
                      <w:sz w:val="21"/>
                      <w:szCs w:val="21"/>
                      <w:u w:val="none" w:color="auto"/>
                      <w14:textFill>
                        <w14:solidFill>
                          <w14:schemeClr w14:val="tx1"/>
                        </w14:solidFill>
                      </w14:textFill>
                    </w:rPr>
                  </w:pPr>
                  <w:r>
                    <w:rPr>
                      <w:rFonts w:hint="eastAsia"/>
                      <w:b w:val="0"/>
                      <w:bCs w:val="0"/>
                      <w:color w:val="000000" w:themeColor="text1"/>
                      <w:sz w:val="21"/>
                      <w:szCs w:val="21"/>
                      <w:u w:val="none" w:color="auto"/>
                      <w14:textFill>
                        <w14:solidFill>
                          <w14:schemeClr w14:val="tx1"/>
                        </w14:solidFill>
                      </w14:textFill>
                    </w:rPr>
                    <w:t>排气筒</w:t>
                  </w:r>
                  <w:r>
                    <w:rPr>
                      <w:b w:val="0"/>
                      <w:bCs w:val="0"/>
                      <w:color w:val="000000" w:themeColor="text1"/>
                      <w:sz w:val="21"/>
                      <w:szCs w:val="21"/>
                      <w:u w:val="none" w:color="auto"/>
                      <w14:textFill>
                        <w14:solidFill>
                          <w14:schemeClr w14:val="tx1"/>
                        </w14:solidFill>
                      </w14:textFill>
                    </w:rPr>
                    <w:t>编号</w:t>
                  </w:r>
                </w:p>
              </w:tc>
              <w:tc>
                <w:tcPr>
                  <w:tcW w:w="1012" w:type="pct"/>
                  <w:tcBorders>
                    <w:tl2br w:val="nil"/>
                    <w:tr2bl w:val="nil"/>
                  </w:tcBorders>
                  <w:vAlign w:val="center"/>
                </w:tcPr>
                <w:p w14:paraId="11B88D04">
                  <w:pPr>
                    <w:widowControl w:val="0"/>
                    <w:snapToGrid/>
                    <w:spacing w:before="0" w:after="0" w:line="240" w:lineRule="auto"/>
                    <w:ind w:right="0"/>
                    <w:jc w:val="center"/>
                    <w:rPr>
                      <w:b w:val="0"/>
                      <w:bCs w:val="0"/>
                      <w:color w:val="000000" w:themeColor="text1"/>
                      <w:sz w:val="21"/>
                      <w:szCs w:val="21"/>
                      <w:u w:val="none" w:color="auto"/>
                      <w14:textFill>
                        <w14:solidFill>
                          <w14:schemeClr w14:val="tx1"/>
                        </w14:solidFill>
                      </w14:textFill>
                    </w:rPr>
                  </w:pPr>
                  <w:r>
                    <w:rPr>
                      <w:rFonts w:hint="eastAsia"/>
                      <w:b w:val="0"/>
                      <w:bCs w:val="0"/>
                      <w:color w:val="000000" w:themeColor="text1"/>
                      <w:sz w:val="21"/>
                      <w:szCs w:val="21"/>
                      <w:u w:val="none" w:color="auto"/>
                      <w14:textFill>
                        <w14:solidFill>
                          <w14:schemeClr w14:val="tx1"/>
                        </w14:solidFill>
                      </w14:textFill>
                    </w:rPr>
                    <w:t>污染物</w:t>
                  </w:r>
                  <w:r>
                    <w:rPr>
                      <w:b w:val="0"/>
                      <w:bCs w:val="0"/>
                      <w:color w:val="000000" w:themeColor="text1"/>
                      <w:sz w:val="21"/>
                      <w:szCs w:val="21"/>
                      <w:u w:val="none" w:color="auto"/>
                      <w14:textFill>
                        <w14:solidFill>
                          <w14:schemeClr w14:val="tx1"/>
                        </w14:solidFill>
                      </w14:textFill>
                    </w:rPr>
                    <w:t>名称</w:t>
                  </w:r>
                </w:p>
              </w:tc>
              <w:tc>
                <w:tcPr>
                  <w:tcW w:w="894" w:type="pct"/>
                  <w:tcBorders>
                    <w:tl2br w:val="nil"/>
                    <w:tr2bl w:val="nil"/>
                  </w:tcBorders>
                  <w:vAlign w:val="center"/>
                </w:tcPr>
                <w:p w14:paraId="56F8D135">
                  <w:pPr>
                    <w:widowControl w:val="0"/>
                    <w:snapToGrid/>
                    <w:spacing w:before="0" w:after="0" w:line="240" w:lineRule="auto"/>
                    <w:ind w:right="0"/>
                    <w:jc w:val="center"/>
                    <w:rPr>
                      <w:b w:val="0"/>
                      <w:bCs w:val="0"/>
                      <w:color w:val="000000" w:themeColor="text1"/>
                      <w:sz w:val="21"/>
                      <w:szCs w:val="21"/>
                      <w:u w:val="none" w:color="auto"/>
                      <w14:textFill>
                        <w14:solidFill>
                          <w14:schemeClr w14:val="tx1"/>
                        </w14:solidFill>
                      </w14:textFill>
                    </w:rPr>
                  </w:pPr>
                  <w:r>
                    <w:rPr>
                      <w:b w:val="0"/>
                      <w:bCs w:val="0"/>
                      <w:color w:val="000000" w:themeColor="text1"/>
                      <w:sz w:val="21"/>
                      <w:szCs w:val="21"/>
                      <w:u w:val="none" w:color="auto"/>
                      <w14:textFill>
                        <w14:solidFill>
                          <w14:schemeClr w14:val="tx1"/>
                        </w14:solidFill>
                      </w14:textFill>
                    </w:rPr>
                    <w:t>坐标</w:t>
                  </w:r>
                </w:p>
              </w:tc>
              <w:tc>
                <w:tcPr>
                  <w:tcW w:w="794" w:type="pct"/>
                  <w:tcBorders>
                    <w:tl2br w:val="nil"/>
                    <w:tr2bl w:val="nil"/>
                  </w:tcBorders>
                  <w:vAlign w:val="center"/>
                </w:tcPr>
                <w:p w14:paraId="06167400">
                  <w:pPr>
                    <w:widowControl w:val="0"/>
                    <w:snapToGrid/>
                    <w:spacing w:before="0" w:after="0" w:line="240" w:lineRule="auto"/>
                    <w:ind w:right="0"/>
                    <w:jc w:val="center"/>
                    <w:rPr>
                      <w:b w:val="0"/>
                      <w:bCs w:val="0"/>
                      <w:color w:val="000000" w:themeColor="text1"/>
                      <w:sz w:val="21"/>
                      <w:szCs w:val="21"/>
                      <w:u w:val="none" w:color="auto"/>
                      <w14:textFill>
                        <w14:solidFill>
                          <w14:schemeClr w14:val="tx1"/>
                        </w14:solidFill>
                      </w14:textFill>
                    </w:rPr>
                  </w:pPr>
                  <w:r>
                    <w:rPr>
                      <w:b w:val="0"/>
                      <w:bCs w:val="0"/>
                      <w:color w:val="000000" w:themeColor="text1"/>
                      <w:sz w:val="21"/>
                      <w:szCs w:val="21"/>
                      <w:u w:val="none" w:color="auto"/>
                      <w14:textFill>
                        <w14:solidFill>
                          <w14:schemeClr w14:val="tx1"/>
                        </w14:solidFill>
                      </w14:textFill>
                    </w:rPr>
                    <w:t>排气筒高度/m</w:t>
                  </w:r>
                </w:p>
              </w:tc>
              <w:tc>
                <w:tcPr>
                  <w:tcW w:w="1117" w:type="pct"/>
                  <w:tcBorders>
                    <w:tl2br w:val="nil"/>
                    <w:tr2bl w:val="nil"/>
                  </w:tcBorders>
                  <w:vAlign w:val="center"/>
                </w:tcPr>
                <w:p w14:paraId="142D2D56">
                  <w:pPr>
                    <w:widowControl w:val="0"/>
                    <w:snapToGrid/>
                    <w:spacing w:before="0" w:after="0" w:line="240" w:lineRule="auto"/>
                    <w:ind w:right="0"/>
                    <w:jc w:val="center"/>
                    <w:rPr>
                      <w:b w:val="0"/>
                      <w:bCs w:val="0"/>
                      <w:color w:val="000000" w:themeColor="text1"/>
                      <w:sz w:val="21"/>
                      <w:szCs w:val="21"/>
                      <w:u w:val="none" w:color="auto"/>
                      <w14:textFill>
                        <w14:solidFill>
                          <w14:schemeClr w14:val="tx1"/>
                        </w14:solidFill>
                      </w14:textFill>
                    </w:rPr>
                  </w:pPr>
                  <w:r>
                    <w:rPr>
                      <w:b w:val="0"/>
                      <w:bCs w:val="0"/>
                      <w:color w:val="000000" w:themeColor="text1"/>
                      <w:sz w:val="21"/>
                      <w:szCs w:val="21"/>
                      <w:u w:val="none" w:color="auto"/>
                      <w14:textFill>
                        <w14:solidFill>
                          <w14:schemeClr w14:val="tx1"/>
                        </w14:solidFill>
                      </w14:textFill>
                    </w:rPr>
                    <w:t>排气筒出口内径/m</w:t>
                  </w:r>
                </w:p>
              </w:tc>
              <w:tc>
                <w:tcPr>
                  <w:tcW w:w="661" w:type="pct"/>
                  <w:tcBorders>
                    <w:tl2br w:val="nil"/>
                    <w:tr2bl w:val="nil"/>
                  </w:tcBorders>
                  <w:vAlign w:val="center"/>
                </w:tcPr>
                <w:p w14:paraId="2D413B34">
                  <w:pPr>
                    <w:widowControl w:val="0"/>
                    <w:snapToGrid/>
                    <w:spacing w:before="0" w:after="0" w:line="240" w:lineRule="auto"/>
                    <w:ind w:right="0"/>
                    <w:jc w:val="center"/>
                    <w:rPr>
                      <w:b w:val="0"/>
                      <w:bCs w:val="0"/>
                      <w:color w:val="000000" w:themeColor="text1"/>
                      <w:sz w:val="21"/>
                      <w:szCs w:val="21"/>
                      <w:u w:val="none" w:color="auto"/>
                      <w14:textFill>
                        <w14:solidFill>
                          <w14:schemeClr w14:val="tx1"/>
                        </w14:solidFill>
                      </w14:textFill>
                    </w:rPr>
                  </w:pPr>
                  <w:r>
                    <w:rPr>
                      <w:b w:val="0"/>
                      <w:bCs w:val="0"/>
                      <w:color w:val="000000" w:themeColor="text1"/>
                      <w:sz w:val="21"/>
                      <w:szCs w:val="21"/>
                      <w:u w:val="none" w:color="auto"/>
                      <w14:textFill>
                        <w14:solidFill>
                          <w14:schemeClr w14:val="tx1"/>
                        </w14:solidFill>
                      </w14:textFill>
                    </w:rPr>
                    <w:t>烟气温度/°C</w:t>
                  </w:r>
                </w:p>
              </w:tc>
            </w:tr>
            <w:tr w14:paraId="1A233B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9" w:hRule="atLeast"/>
                <w:jc w:val="center"/>
              </w:trPr>
              <w:tc>
                <w:tcPr>
                  <w:tcW w:w="518" w:type="pct"/>
                  <w:tcBorders>
                    <w:tl2br w:val="nil"/>
                    <w:tr2bl w:val="nil"/>
                  </w:tcBorders>
                  <w:vAlign w:val="center"/>
                </w:tcPr>
                <w:p w14:paraId="31E83104">
                  <w:pPr>
                    <w:widowControl w:val="0"/>
                    <w:snapToGrid/>
                    <w:spacing w:before="0" w:after="0" w:line="240" w:lineRule="auto"/>
                    <w:ind w:right="0"/>
                    <w:jc w:val="center"/>
                    <w:rPr>
                      <w:color w:val="000000" w:themeColor="text1"/>
                      <w:kern w:val="2"/>
                      <w:sz w:val="21"/>
                      <w:szCs w:val="21"/>
                      <w:u w:val="none" w:color="auto"/>
                      <w14:textFill>
                        <w14:solidFill>
                          <w14:schemeClr w14:val="tx1"/>
                        </w14:solidFill>
                      </w14:textFill>
                    </w:rPr>
                  </w:pPr>
                  <w:r>
                    <w:rPr>
                      <w:rFonts w:hint="eastAsia"/>
                      <w:color w:val="000000" w:themeColor="text1"/>
                      <w:kern w:val="2"/>
                      <w:sz w:val="21"/>
                      <w:szCs w:val="21"/>
                      <w:u w:val="none" w:color="auto"/>
                      <w14:textFill>
                        <w14:solidFill>
                          <w14:schemeClr w14:val="tx1"/>
                        </w14:solidFill>
                      </w14:textFill>
                    </w:rPr>
                    <w:t>DA001</w:t>
                  </w:r>
                </w:p>
              </w:tc>
              <w:tc>
                <w:tcPr>
                  <w:tcW w:w="1012" w:type="pct"/>
                  <w:tcBorders>
                    <w:tl2br w:val="nil"/>
                    <w:tr2bl w:val="nil"/>
                  </w:tcBorders>
                  <w:vAlign w:val="center"/>
                </w:tcPr>
                <w:p w14:paraId="4B4D7FDC">
                  <w:pPr>
                    <w:widowControl w:val="0"/>
                    <w:snapToGrid/>
                    <w:spacing w:before="0" w:after="0" w:line="240" w:lineRule="auto"/>
                    <w:ind w:right="0" w:rightChars="0"/>
                    <w:jc w:val="center"/>
                    <w:rPr>
                      <w:rFonts w:hint="default" w:ascii="Times New Roman" w:hAnsi="Times New Roman" w:eastAsia="宋体" w:cs="Times New Roman"/>
                      <w:color w:val="000000" w:themeColor="text1"/>
                      <w:kern w:val="0"/>
                      <w:sz w:val="21"/>
                      <w:szCs w:val="21"/>
                      <w:u w:val="none" w:color="auto"/>
                      <w:vertAlign w:val="baseline"/>
                      <w:lang w:val="en-US" w:eastAsia="zh-CN" w:bidi="ar-SA"/>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颗粒物、锡及其化合物、VOCs</w:t>
                  </w:r>
                  <w:r>
                    <w:rPr>
                      <w:rFonts w:hint="eastAsia" w:cs="Times New Roman"/>
                      <w:b w:val="0"/>
                      <w:bCs w:val="0"/>
                      <w:color w:val="000000" w:themeColor="text1"/>
                      <w:sz w:val="21"/>
                      <w:szCs w:val="21"/>
                      <w:u w:val="none" w:color="auto"/>
                      <w:lang w:val="en-US" w:eastAsia="zh-CN"/>
                      <w14:textFill>
                        <w14:solidFill>
                          <w14:schemeClr w14:val="tx1"/>
                        </w14:solidFill>
                      </w14:textFill>
                    </w:rPr>
                    <w:t>（以非甲烷总烃计）、苯系物（二甲苯）</w:t>
                  </w:r>
                </w:p>
              </w:tc>
              <w:tc>
                <w:tcPr>
                  <w:tcW w:w="894" w:type="pct"/>
                  <w:tcBorders>
                    <w:tl2br w:val="nil"/>
                    <w:tr2bl w:val="nil"/>
                  </w:tcBorders>
                  <w:vAlign w:val="center"/>
                </w:tcPr>
                <w:p w14:paraId="51263518">
                  <w:pPr>
                    <w:jc w:val="center"/>
                    <w:rPr>
                      <w:rFonts w:hint="default" w:ascii="Times New Roman" w:hAnsi="Times New Roman" w:cs="Times New Roman"/>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t>110.124699</w:t>
                  </w:r>
                  <w:r>
                    <w:rPr>
                      <w:rFonts w:hint="default" w:ascii="Times New Roman" w:hAnsi="Times New Roman" w:cs="Times New Roman"/>
                      <w:color w:val="000000" w:themeColor="text1"/>
                      <w:kern w:val="2"/>
                      <w:sz w:val="21"/>
                      <w:szCs w:val="21"/>
                      <w:u w:val="none" w:color="auto"/>
                      <w:lang w:val="en-US" w:eastAsia="zh-CN" w:bidi="ar-SA"/>
                      <w14:textFill>
                        <w14:solidFill>
                          <w14:schemeClr w14:val="tx1"/>
                        </w14:solidFill>
                      </w14:textFill>
                    </w:rPr>
                    <w:t>°E</w:t>
                  </w:r>
                </w:p>
                <w:p w14:paraId="6329214E">
                  <w:pPr>
                    <w:jc w:val="center"/>
                    <w:rPr>
                      <w:rFonts w:hint="default"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u w:val="none" w:color="auto"/>
                      <w:lang w:val="en-US" w:eastAsia="zh-CN" w:bidi="ar-SA"/>
                      <w14:textFill>
                        <w14:solidFill>
                          <w14:schemeClr w14:val="tx1"/>
                        </w14:solidFill>
                      </w14:textFill>
                    </w:rPr>
                    <w:t>27.649304°N</w:t>
                  </w:r>
                </w:p>
              </w:tc>
              <w:tc>
                <w:tcPr>
                  <w:tcW w:w="794" w:type="pct"/>
                  <w:tcBorders>
                    <w:tl2br w:val="nil"/>
                    <w:tr2bl w:val="nil"/>
                  </w:tcBorders>
                  <w:vAlign w:val="center"/>
                </w:tcPr>
                <w:p w14:paraId="1D70457D">
                  <w:pPr>
                    <w:widowControl w:val="0"/>
                    <w:snapToGrid/>
                    <w:spacing w:before="0" w:after="0" w:line="240" w:lineRule="auto"/>
                    <w:ind w:right="0"/>
                    <w:jc w:val="center"/>
                    <w:rPr>
                      <w:rFonts w:hint="default" w:eastAsia="宋体"/>
                      <w:color w:val="000000" w:themeColor="text1"/>
                      <w:kern w:val="2"/>
                      <w:sz w:val="21"/>
                      <w:szCs w:val="21"/>
                      <w:u w:val="none" w:color="auto"/>
                      <w:lang w:val="en-US" w:eastAsia="zh-CN"/>
                      <w14:textFill>
                        <w14:solidFill>
                          <w14:schemeClr w14:val="tx1"/>
                        </w14:solidFill>
                      </w14:textFill>
                    </w:rPr>
                  </w:pPr>
                  <w:r>
                    <w:rPr>
                      <w:rFonts w:hint="eastAsia"/>
                      <w:color w:val="000000" w:themeColor="text1"/>
                      <w:kern w:val="2"/>
                      <w:sz w:val="21"/>
                      <w:szCs w:val="21"/>
                      <w:u w:val="none" w:color="auto"/>
                      <w:lang w:val="en-US" w:eastAsia="zh-CN"/>
                      <w14:textFill>
                        <w14:solidFill>
                          <w14:schemeClr w14:val="tx1"/>
                        </w14:solidFill>
                      </w14:textFill>
                    </w:rPr>
                    <w:t>23</w:t>
                  </w:r>
                </w:p>
              </w:tc>
              <w:tc>
                <w:tcPr>
                  <w:tcW w:w="1117" w:type="pct"/>
                  <w:tcBorders>
                    <w:tl2br w:val="nil"/>
                    <w:tr2bl w:val="nil"/>
                  </w:tcBorders>
                  <w:vAlign w:val="center"/>
                </w:tcPr>
                <w:p w14:paraId="7DA2A280">
                  <w:pPr>
                    <w:jc w:val="center"/>
                    <w:rPr>
                      <w:rFonts w:hint="default"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0.5</w:t>
                  </w:r>
                </w:p>
              </w:tc>
              <w:tc>
                <w:tcPr>
                  <w:tcW w:w="661" w:type="pct"/>
                  <w:tcBorders>
                    <w:tl2br w:val="nil"/>
                    <w:tr2bl w:val="nil"/>
                  </w:tcBorders>
                  <w:vAlign w:val="center"/>
                </w:tcPr>
                <w:p w14:paraId="6BAFFF7E">
                  <w:pPr>
                    <w:jc w:val="center"/>
                    <w:rPr>
                      <w:rFonts w:hint="default"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45~60</w:t>
                  </w:r>
                </w:p>
              </w:tc>
            </w:tr>
          </w:tbl>
          <w:p w14:paraId="4E1225A1">
            <w:pPr>
              <w:jc w:val="both"/>
              <w:rPr>
                <w:b/>
                <w:bCs/>
                <w:color w:val="000000" w:themeColor="text1"/>
                <w:u w:val="none" w:color="auto"/>
                <w14:textFill>
                  <w14:solidFill>
                    <w14:schemeClr w14:val="tx1"/>
                  </w14:solidFill>
                </w14:textFill>
              </w:rPr>
            </w:pPr>
          </w:p>
        </w:tc>
      </w:tr>
    </w:tbl>
    <w:p w14:paraId="4984A55E">
      <w:pPr>
        <w:pStyle w:val="5"/>
        <w:rPr>
          <w:u w:val="none" w:color="auto"/>
        </w:rPr>
        <w:sectPr>
          <w:pgSz w:w="16840" w:h="11907" w:orient="landscape"/>
          <w:pgMar w:top="850" w:right="850" w:bottom="850" w:left="850"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4"/>
        <w:tblW w:w="0" w:type="auto"/>
        <w:tblInd w:w="-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8819"/>
      </w:tblGrid>
      <w:tr w14:paraId="2573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9" w:hRule="atLeast"/>
        </w:trPr>
        <w:tc>
          <w:tcPr>
            <w:tcW w:w="542" w:type="dxa"/>
            <w:vAlign w:val="center"/>
          </w:tcPr>
          <w:p w14:paraId="32862D59">
            <w:pPr>
              <w:jc w:val="center"/>
              <w:rPr>
                <w:u w:val="none" w:color="auto"/>
                <w:vertAlign w:val="baseline"/>
              </w:rPr>
            </w:pPr>
            <w:r>
              <w:rPr>
                <w:bCs/>
                <w:color w:val="000000" w:themeColor="text1"/>
                <w:szCs w:val="21"/>
                <w:u w:val="none" w:color="auto"/>
                <w14:textFill>
                  <w14:solidFill>
                    <w14:schemeClr w14:val="tx1"/>
                  </w14:solidFill>
                </w14:textFill>
              </w:rPr>
              <w:t>营运期环境影响和保护措施</w:t>
            </w:r>
          </w:p>
        </w:tc>
        <w:tc>
          <w:tcPr>
            <w:tcW w:w="8819" w:type="dxa"/>
          </w:tcPr>
          <w:p w14:paraId="34471163">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2" w:firstLineChars="200"/>
              <w:textAlignment w:val="auto"/>
              <w:rPr>
                <w:b/>
                <w:bCs/>
                <w:color w:val="000000" w:themeColor="text1"/>
                <w:kern w:val="0"/>
                <w:u w:val="none" w:color="auto"/>
                <w14:textFill>
                  <w14:solidFill>
                    <w14:schemeClr w14:val="tx1"/>
                  </w14:solidFill>
                </w14:textFill>
              </w:rPr>
            </w:pPr>
            <w:r>
              <w:rPr>
                <w:rFonts w:hint="eastAsia"/>
                <w:b/>
                <w:bCs/>
                <w:color w:val="000000" w:themeColor="text1"/>
                <w:kern w:val="0"/>
                <w:u w:val="none" w:color="auto"/>
                <w:lang w:eastAsia="zh-CN"/>
                <w14:textFill>
                  <w14:solidFill>
                    <w14:schemeClr w14:val="tx1"/>
                  </w14:solidFill>
                </w14:textFill>
              </w:rPr>
              <w:t>（</w:t>
            </w:r>
            <w:r>
              <w:rPr>
                <w:rFonts w:hint="eastAsia"/>
                <w:b/>
                <w:bCs/>
                <w:color w:val="000000" w:themeColor="text1"/>
                <w:kern w:val="0"/>
                <w:u w:val="none" w:color="auto"/>
                <w:lang w:val="en-US" w:eastAsia="zh-CN"/>
                <w14:textFill>
                  <w14:solidFill>
                    <w14:schemeClr w14:val="tx1"/>
                  </w14:solidFill>
                </w14:textFill>
              </w:rPr>
              <w:t>2</w:t>
            </w:r>
            <w:r>
              <w:rPr>
                <w:rFonts w:hint="eastAsia"/>
                <w:b/>
                <w:bCs/>
                <w:color w:val="000000" w:themeColor="text1"/>
                <w:kern w:val="0"/>
                <w:u w:val="none" w:color="auto"/>
                <w:lang w:eastAsia="zh-CN"/>
                <w14:textFill>
                  <w14:solidFill>
                    <w14:schemeClr w14:val="tx1"/>
                  </w14:solidFill>
                </w14:textFill>
              </w:rPr>
              <w:t>）</w:t>
            </w:r>
            <w:r>
              <w:rPr>
                <w:rFonts w:hint="eastAsia"/>
                <w:b/>
                <w:bCs/>
                <w:color w:val="000000" w:themeColor="text1"/>
                <w:kern w:val="0"/>
                <w:u w:val="none" w:color="auto"/>
                <w14:textFill>
                  <w14:solidFill>
                    <w14:schemeClr w14:val="tx1"/>
                  </w14:solidFill>
                </w14:textFill>
              </w:rPr>
              <w:t>污染物排放量核算表</w:t>
            </w:r>
          </w:p>
          <w:p w14:paraId="6F2D8B5C">
            <w:pPr>
              <w:spacing w:line="360" w:lineRule="auto"/>
              <w:ind w:firstLine="480" w:firstLineChars="200"/>
              <w:jc w:val="left"/>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①有</w:t>
            </w:r>
            <w:r>
              <w:rPr>
                <w:color w:val="000000" w:themeColor="text1"/>
                <w:u w:val="none" w:color="auto"/>
                <w14:textFill>
                  <w14:solidFill>
                    <w14:schemeClr w14:val="tx1"/>
                  </w14:solidFill>
                </w14:textFill>
              </w:rPr>
              <w:t>组织排放量核算</w:t>
            </w:r>
          </w:p>
          <w:p w14:paraId="0D2EED7C">
            <w:pPr>
              <w:pStyle w:val="42"/>
              <w:bidi w:val="0"/>
              <w:rPr>
                <w:u w:val="none" w:color="auto"/>
              </w:rPr>
            </w:pPr>
            <w:r>
              <w:rPr>
                <w:u w:val="none" w:color="auto"/>
              </w:rPr>
              <w:t>表</w:t>
            </w:r>
            <w:r>
              <w:rPr>
                <w:rFonts w:hint="eastAsia"/>
                <w:u w:val="none" w:color="auto"/>
              </w:rPr>
              <w:t>4-</w:t>
            </w:r>
            <w:r>
              <w:rPr>
                <w:rFonts w:hint="eastAsia"/>
                <w:u w:val="none" w:color="auto"/>
                <w:lang w:val="en-US" w:eastAsia="zh-CN"/>
              </w:rPr>
              <w:t>4</w:t>
            </w:r>
            <w:r>
              <w:rPr>
                <w:u w:val="none" w:color="auto"/>
              </w:rPr>
              <w:t xml:space="preserve">  大气污染物</w:t>
            </w:r>
            <w:r>
              <w:rPr>
                <w:rFonts w:hint="eastAsia"/>
                <w:u w:val="none" w:color="auto"/>
                <w:lang w:val="en-US" w:eastAsia="zh-CN"/>
              </w:rPr>
              <w:t>有组织</w:t>
            </w:r>
            <w:r>
              <w:rPr>
                <w:u w:val="none" w:color="auto"/>
              </w:rPr>
              <w:t>排放量核算表</w:t>
            </w:r>
          </w:p>
          <w:tbl>
            <w:tblPr>
              <w:tblStyle w:val="33"/>
              <w:tblW w:w="499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1088"/>
              <w:gridCol w:w="749"/>
              <w:gridCol w:w="750"/>
              <w:gridCol w:w="766"/>
              <w:gridCol w:w="822"/>
              <w:gridCol w:w="1444"/>
              <w:gridCol w:w="1654"/>
            </w:tblGrid>
            <w:tr w14:paraId="7708DA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753" w:type="pct"/>
                  <w:noWrap w:val="0"/>
                  <w:vAlign w:val="center"/>
                </w:tcPr>
                <w:p w14:paraId="6FFE1FA3">
                  <w:pPr>
                    <w:pStyle w:val="41"/>
                    <w:bidi w:val="0"/>
                    <w:rPr>
                      <w:u w:val="none" w:color="auto"/>
                    </w:rPr>
                  </w:pPr>
                  <w:r>
                    <w:rPr>
                      <w:rFonts w:hint="eastAsia"/>
                      <w:u w:val="none" w:color="auto"/>
                    </w:rPr>
                    <w:t>序号</w:t>
                  </w:r>
                </w:p>
              </w:tc>
              <w:tc>
                <w:tcPr>
                  <w:tcW w:w="635" w:type="pct"/>
                  <w:noWrap w:val="0"/>
                  <w:vAlign w:val="center"/>
                </w:tcPr>
                <w:p w14:paraId="69251CD5">
                  <w:pPr>
                    <w:pStyle w:val="41"/>
                    <w:bidi w:val="0"/>
                    <w:rPr>
                      <w:u w:val="none" w:color="auto"/>
                    </w:rPr>
                  </w:pPr>
                  <w:r>
                    <w:rPr>
                      <w:rFonts w:hint="eastAsia"/>
                      <w:u w:val="none" w:color="auto"/>
                    </w:rPr>
                    <w:t>排放口编号</w:t>
                  </w:r>
                </w:p>
              </w:tc>
              <w:tc>
                <w:tcPr>
                  <w:tcW w:w="875" w:type="pct"/>
                  <w:gridSpan w:val="2"/>
                  <w:noWrap w:val="0"/>
                  <w:vAlign w:val="center"/>
                </w:tcPr>
                <w:p w14:paraId="59B08C33">
                  <w:pPr>
                    <w:pStyle w:val="41"/>
                    <w:bidi w:val="0"/>
                    <w:rPr>
                      <w:u w:val="none" w:color="auto"/>
                    </w:rPr>
                  </w:pPr>
                  <w:r>
                    <w:rPr>
                      <w:rFonts w:hint="eastAsia"/>
                      <w:u w:val="none" w:color="auto"/>
                    </w:rPr>
                    <w:t>污染物</w:t>
                  </w:r>
                </w:p>
              </w:tc>
              <w:tc>
                <w:tcPr>
                  <w:tcW w:w="927" w:type="pct"/>
                  <w:gridSpan w:val="2"/>
                  <w:noWrap w:val="0"/>
                  <w:vAlign w:val="center"/>
                </w:tcPr>
                <w:p w14:paraId="33925DD1">
                  <w:pPr>
                    <w:pStyle w:val="41"/>
                    <w:bidi w:val="0"/>
                    <w:rPr>
                      <w:u w:val="none" w:color="auto"/>
                    </w:rPr>
                  </w:pPr>
                  <w:r>
                    <w:rPr>
                      <w:rFonts w:hint="eastAsia"/>
                      <w:u w:val="none" w:color="auto"/>
                    </w:rPr>
                    <w:t>核算排放浓度（mg/m</w:t>
                  </w:r>
                  <w:r>
                    <w:rPr>
                      <w:rFonts w:hint="eastAsia"/>
                      <w:u w:val="none" w:color="auto"/>
                      <w:vertAlign w:val="superscript"/>
                    </w:rPr>
                    <w:t>3</w:t>
                  </w:r>
                  <w:r>
                    <w:rPr>
                      <w:rFonts w:hint="eastAsia"/>
                      <w:u w:val="none" w:color="auto"/>
                    </w:rPr>
                    <w:t>）</w:t>
                  </w:r>
                </w:p>
              </w:tc>
              <w:tc>
                <w:tcPr>
                  <w:tcW w:w="843" w:type="pct"/>
                  <w:noWrap w:val="0"/>
                  <w:vAlign w:val="center"/>
                </w:tcPr>
                <w:p w14:paraId="5FF0F13A">
                  <w:pPr>
                    <w:pStyle w:val="41"/>
                    <w:bidi w:val="0"/>
                    <w:rPr>
                      <w:u w:val="none" w:color="auto"/>
                    </w:rPr>
                  </w:pPr>
                  <w:r>
                    <w:rPr>
                      <w:rFonts w:hint="eastAsia"/>
                      <w:u w:val="none" w:color="auto"/>
                    </w:rPr>
                    <w:t>核算排放速率（kg/h）</w:t>
                  </w:r>
                </w:p>
              </w:tc>
              <w:tc>
                <w:tcPr>
                  <w:tcW w:w="965" w:type="pct"/>
                  <w:noWrap w:val="0"/>
                  <w:vAlign w:val="center"/>
                </w:tcPr>
                <w:p w14:paraId="1EFC7CE0">
                  <w:pPr>
                    <w:pStyle w:val="41"/>
                    <w:bidi w:val="0"/>
                    <w:rPr>
                      <w:u w:val="none" w:color="auto"/>
                    </w:rPr>
                  </w:pPr>
                  <w:r>
                    <w:rPr>
                      <w:rFonts w:hint="eastAsia"/>
                      <w:u w:val="none" w:color="auto"/>
                    </w:rPr>
                    <w:t>核算年排放量（t/a）</w:t>
                  </w:r>
                </w:p>
              </w:tc>
            </w:tr>
            <w:tr w14:paraId="340104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5000" w:type="pct"/>
                  <w:gridSpan w:val="8"/>
                  <w:noWrap w:val="0"/>
                  <w:vAlign w:val="center"/>
                </w:tcPr>
                <w:p w14:paraId="43E8500A">
                  <w:pPr>
                    <w:pStyle w:val="41"/>
                    <w:bidi w:val="0"/>
                    <w:rPr>
                      <w:u w:val="none" w:color="auto"/>
                    </w:rPr>
                  </w:pPr>
                  <w:r>
                    <w:rPr>
                      <w:rFonts w:hint="eastAsia"/>
                      <w:u w:val="none" w:color="auto"/>
                    </w:rPr>
                    <w:t>一般排放口</w:t>
                  </w:r>
                </w:p>
              </w:tc>
            </w:tr>
            <w:tr w14:paraId="73C5BF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3" w:type="pct"/>
                  <w:noWrap w:val="0"/>
                  <w:vAlign w:val="center"/>
                </w:tcPr>
                <w:p w14:paraId="5B58533E">
                  <w:pPr>
                    <w:pStyle w:val="41"/>
                    <w:bidi w:val="0"/>
                    <w:rPr>
                      <w:u w:val="none" w:color="auto"/>
                    </w:rPr>
                  </w:pPr>
                  <w:r>
                    <w:rPr>
                      <w:rFonts w:hint="eastAsia"/>
                      <w:u w:val="none" w:color="auto"/>
                    </w:rPr>
                    <w:t>1</w:t>
                  </w:r>
                </w:p>
              </w:tc>
              <w:tc>
                <w:tcPr>
                  <w:tcW w:w="635" w:type="pct"/>
                  <w:vMerge w:val="restart"/>
                  <w:noWrap w:val="0"/>
                  <w:vAlign w:val="center"/>
                </w:tcPr>
                <w:p w14:paraId="29B86E8F">
                  <w:pPr>
                    <w:pStyle w:val="41"/>
                    <w:bidi w:val="0"/>
                    <w:rPr>
                      <w:rFonts w:hint="eastAsia" w:eastAsia="宋体"/>
                      <w:u w:val="none" w:color="auto"/>
                      <w:lang w:val="en-US" w:eastAsia="zh-CN"/>
                    </w:rPr>
                  </w:pPr>
                  <w:r>
                    <w:rPr>
                      <w:rFonts w:hint="eastAsia"/>
                      <w:u w:val="none" w:color="auto"/>
                    </w:rPr>
                    <w:t>DA001</w:t>
                  </w:r>
                </w:p>
              </w:tc>
              <w:tc>
                <w:tcPr>
                  <w:tcW w:w="875" w:type="pct"/>
                  <w:gridSpan w:val="2"/>
                  <w:noWrap w:val="0"/>
                  <w:vAlign w:val="center"/>
                </w:tcPr>
                <w:p w14:paraId="66E10B48">
                  <w:pPr>
                    <w:pStyle w:val="41"/>
                    <w:bidi w:val="0"/>
                    <w:rPr>
                      <w:rFonts w:hint="eastAsia"/>
                      <w:u w:val="none" w:color="auto"/>
                    </w:rPr>
                  </w:pPr>
                  <w:r>
                    <w:rPr>
                      <w:rFonts w:hint="eastAsia"/>
                      <w:lang w:val="en-US" w:eastAsia="zh-CN"/>
                    </w:rPr>
                    <w:t>颗粒物</w:t>
                  </w:r>
                </w:p>
              </w:tc>
              <w:tc>
                <w:tcPr>
                  <w:tcW w:w="927" w:type="pct"/>
                  <w:gridSpan w:val="2"/>
                  <w:noWrap w:val="0"/>
                  <w:vAlign w:val="center"/>
                </w:tcPr>
                <w:p w14:paraId="72509F0A">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u w:val="none" w:color="auto"/>
                      <w:lang w:val="en-US" w:eastAsia="zh-CN"/>
                    </w:rPr>
                  </w:pPr>
                  <w:r>
                    <w:rPr>
                      <w:rFonts w:hint="eastAsia" w:ascii="Times New Roman" w:cs="Times New Roman"/>
                      <w:sz w:val="21"/>
                      <w:szCs w:val="21"/>
                      <w:u w:val="none"/>
                      <w:vertAlign w:val="baseline"/>
                      <w:lang w:val="en-US" w:eastAsia="zh-CN"/>
                    </w:rPr>
                    <w:t>0.00006</w:t>
                  </w:r>
                </w:p>
              </w:tc>
              <w:tc>
                <w:tcPr>
                  <w:tcW w:w="843" w:type="pct"/>
                  <w:noWrap w:val="0"/>
                  <w:vAlign w:val="center"/>
                </w:tcPr>
                <w:p w14:paraId="3E3D9AD3">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u w:val="none" w:color="auto"/>
                      <w:lang w:val="en-US" w:eastAsia="zh-CN"/>
                    </w:rPr>
                  </w:pPr>
                  <w:r>
                    <w:rPr>
                      <w:rFonts w:hint="default" w:ascii="Times New Roman" w:hAnsi="Times New Roman" w:cs="Times New Roman"/>
                      <w:b w:val="0"/>
                      <w:bCs w:val="0"/>
                      <w:sz w:val="21"/>
                      <w:szCs w:val="21"/>
                      <w:u w:val="single" w:color="auto"/>
                      <w:lang w:val="en-US" w:eastAsia="zh-CN"/>
                    </w:rPr>
                    <w:t>0.</w:t>
                  </w:r>
                  <w:r>
                    <w:rPr>
                      <w:rFonts w:hint="eastAsia" w:ascii="Times New Roman" w:cs="Times New Roman"/>
                      <w:b w:val="0"/>
                      <w:bCs w:val="0"/>
                      <w:sz w:val="21"/>
                      <w:szCs w:val="21"/>
                      <w:u w:val="single" w:color="auto"/>
                      <w:lang w:val="en-US" w:eastAsia="zh-CN"/>
                    </w:rPr>
                    <w:t>0</w:t>
                  </w:r>
                  <w:r>
                    <w:rPr>
                      <w:rFonts w:hint="default" w:ascii="Times New Roman" w:hAnsi="Times New Roman" w:cs="Times New Roman"/>
                      <w:b w:val="0"/>
                      <w:bCs w:val="0"/>
                      <w:sz w:val="21"/>
                      <w:szCs w:val="21"/>
                      <w:u w:val="single" w:color="auto"/>
                      <w:lang w:val="en-US" w:eastAsia="zh-CN"/>
                    </w:rPr>
                    <w:t>000006</w:t>
                  </w:r>
                </w:p>
              </w:tc>
              <w:tc>
                <w:tcPr>
                  <w:tcW w:w="965" w:type="pct"/>
                  <w:noWrap w:val="0"/>
                  <w:vAlign w:val="center"/>
                </w:tcPr>
                <w:p w14:paraId="4D3EEF82">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u w:val="none" w:color="auto"/>
                      <w:lang w:val="en-US" w:eastAsia="zh-CN"/>
                    </w:rPr>
                  </w:pPr>
                  <w:r>
                    <w:rPr>
                      <w:rFonts w:hint="default" w:ascii="Times New Roman" w:hAnsi="Times New Roman" w:cs="Times New Roman"/>
                      <w:b w:val="0"/>
                      <w:bCs w:val="0"/>
                      <w:sz w:val="21"/>
                      <w:szCs w:val="21"/>
                      <w:u w:val="single" w:color="auto"/>
                      <w:lang w:val="en-US" w:eastAsia="zh-CN"/>
                    </w:rPr>
                    <w:t>0.0000</w:t>
                  </w:r>
                  <w:r>
                    <w:rPr>
                      <w:rFonts w:hint="eastAsia" w:ascii="Times New Roman" w:cs="Times New Roman"/>
                      <w:b w:val="0"/>
                      <w:bCs w:val="0"/>
                      <w:sz w:val="21"/>
                      <w:szCs w:val="21"/>
                      <w:u w:val="single" w:color="auto"/>
                      <w:lang w:val="en-US" w:eastAsia="zh-CN"/>
                    </w:rPr>
                    <w:t>033</w:t>
                  </w:r>
                </w:p>
              </w:tc>
            </w:tr>
            <w:tr w14:paraId="35A86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753" w:type="pct"/>
                  <w:noWrap w:val="0"/>
                  <w:vAlign w:val="center"/>
                </w:tcPr>
                <w:p w14:paraId="1C477DC4">
                  <w:pPr>
                    <w:pStyle w:val="41"/>
                    <w:bidi w:val="0"/>
                    <w:rPr>
                      <w:rFonts w:hint="eastAsia" w:eastAsia="宋体"/>
                      <w:u w:val="none" w:color="auto"/>
                      <w:lang w:val="en-US" w:eastAsia="zh-CN"/>
                    </w:rPr>
                  </w:pPr>
                  <w:r>
                    <w:rPr>
                      <w:rFonts w:hint="eastAsia"/>
                      <w:u w:val="none" w:color="auto"/>
                      <w:lang w:val="en-US" w:eastAsia="zh-CN"/>
                    </w:rPr>
                    <w:t>2</w:t>
                  </w:r>
                </w:p>
              </w:tc>
              <w:tc>
                <w:tcPr>
                  <w:tcW w:w="635" w:type="pct"/>
                  <w:vMerge w:val="continue"/>
                  <w:noWrap w:val="0"/>
                  <w:vAlign w:val="center"/>
                </w:tcPr>
                <w:p w14:paraId="28D6C746">
                  <w:pPr>
                    <w:pStyle w:val="41"/>
                    <w:bidi w:val="0"/>
                    <w:rPr>
                      <w:rFonts w:hint="eastAsia"/>
                      <w:u w:val="none" w:color="auto"/>
                    </w:rPr>
                  </w:pPr>
                </w:p>
              </w:tc>
              <w:tc>
                <w:tcPr>
                  <w:tcW w:w="875" w:type="pct"/>
                  <w:gridSpan w:val="2"/>
                  <w:noWrap w:val="0"/>
                  <w:vAlign w:val="center"/>
                </w:tcPr>
                <w:p w14:paraId="6BB75CBE">
                  <w:pPr>
                    <w:pStyle w:val="41"/>
                    <w:bidi w:val="0"/>
                    <w:rPr>
                      <w:rFonts w:hint="default"/>
                      <w:lang w:val="en-US" w:eastAsia="zh-CN"/>
                    </w:rPr>
                  </w:pPr>
                  <w:r>
                    <w:rPr>
                      <w:rFonts w:hint="eastAsia"/>
                      <w:lang w:val="en-US" w:eastAsia="zh-CN"/>
                    </w:rPr>
                    <w:t>锡及其化合物</w:t>
                  </w:r>
                </w:p>
              </w:tc>
              <w:tc>
                <w:tcPr>
                  <w:tcW w:w="927" w:type="pct"/>
                  <w:gridSpan w:val="2"/>
                  <w:noWrap w:val="0"/>
                  <w:vAlign w:val="center"/>
                </w:tcPr>
                <w:p w14:paraId="2CF5BADC">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eastAsia" w:ascii="Times New Roman" w:cs="Times New Roman"/>
                      <w:sz w:val="21"/>
                      <w:szCs w:val="21"/>
                      <w:u w:val="none"/>
                      <w:vertAlign w:val="baseline"/>
                      <w:lang w:val="en-US" w:eastAsia="zh-CN"/>
                    </w:rPr>
                  </w:pPr>
                  <w:r>
                    <w:rPr>
                      <w:rFonts w:hint="default" w:ascii="Times New Roman" w:hAnsi="Times New Roman" w:cs="Times New Roman"/>
                      <w:sz w:val="21"/>
                      <w:szCs w:val="21"/>
                      <w:u w:val="single" w:color="auto"/>
                      <w:vertAlign w:val="baseline"/>
                      <w:lang w:val="en-US" w:eastAsia="zh-CN"/>
                    </w:rPr>
                    <w:t>0.00</w:t>
                  </w:r>
                  <w:r>
                    <w:rPr>
                      <w:rFonts w:hint="eastAsia" w:ascii="Times New Roman" w:cs="Times New Roman"/>
                      <w:sz w:val="21"/>
                      <w:szCs w:val="21"/>
                      <w:u w:val="single" w:color="auto"/>
                      <w:vertAlign w:val="baseline"/>
                      <w:lang w:val="en-US" w:eastAsia="zh-CN"/>
                    </w:rPr>
                    <w:t>0</w:t>
                  </w:r>
                  <w:r>
                    <w:rPr>
                      <w:rFonts w:hint="default" w:ascii="Times New Roman" w:hAnsi="Times New Roman" w:cs="Times New Roman"/>
                      <w:sz w:val="21"/>
                      <w:szCs w:val="21"/>
                      <w:u w:val="single" w:color="auto"/>
                      <w:vertAlign w:val="baseline"/>
                      <w:lang w:val="en-US" w:eastAsia="zh-CN"/>
                    </w:rPr>
                    <w:t>5</w:t>
                  </w:r>
                </w:p>
              </w:tc>
              <w:tc>
                <w:tcPr>
                  <w:tcW w:w="843" w:type="pct"/>
                  <w:noWrap w:val="0"/>
                  <w:vAlign w:val="center"/>
                </w:tcPr>
                <w:p w14:paraId="37D7241D">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eastAsia" w:ascii="Times New Roman" w:cs="Times New Roman"/>
                      <w:sz w:val="21"/>
                      <w:szCs w:val="21"/>
                      <w:u w:val="none"/>
                      <w:vertAlign w:val="baseline"/>
                      <w:lang w:val="en-US" w:eastAsia="zh-CN"/>
                    </w:rPr>
                  </w:pPr>
                  <w:r>
                    <w:rPr>
                      <w:rFonts w:hint="default" w:ascii="Times New Roman" w:hAnsi="Times New Roman" w:cs="Times New Roman"/>
                      <w:b w:val="0"/>
                      <w:bCs w:val="0"/>
                      <w:sz w:val="21"/>
                      <w:szCs w:val="21"/>
                      <w:u w:val="single" w:color="auto"/>
                      <w:lang w:val="en-US" w:eastAsia="zh-CN"/>
                    </w:rPr>
                    <w:t>0.</w:t>
                  </w:r>
                  <w:r>
                    <w:rPr>
                      <w:rFonts w:hint="eastAsia" w:ascii="Times New Roman" w:cs="Times New Roman"/>
                      <w:b w:val="0"/>
                      <w:bCs w:val="0"/>
                      <w:sz w:val="21"/>
                      <w:szCs w:val="21"/>
                      <w:u w:val="single" w:color="auto"/>
                      <w:lang w:val="en-US" w:eastAsia="zh-CN"/>
                    </w:rPr>
                    <w:t>0</w:t>
                  </w:r>
                  <w:r>
                    <w:rPr>
                      <w:rFonts w:hint="default" w:ascii="Times New Roman" w:hAnsi="Times New Roman" w:cs="Times New Roman"/>
                      <w:b w:val="0"/>
                      <w:bCs w:val="0"/>
                      <w:sz w:val="21"/>
                      <w:szCs w:val="21"/>
                      <w:u w:val="single" w:color="auto"/>
                      <w:lang w:val="en-US" w:eastAsia="zh-CN"/>
                    </w:rPr>
                    <w:t>00006</w:t>
                  </w:r>
                </w:p>
              </w:tc>
              <w:tc>
                <w:tcPr>
                  <w:tcW w:w="965" w:type="pct"/>
                  <w:noWrap w:val="0"/>
                  <w:vAlign w:val="center"/>
                </w:tcPr>
                <w:p w14:paraId="43C3332B">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ascii="Times New Roman" w:cs="Times New Roman"/>
                      <w:sz w:val="21"/>
                      <w:szCs w:val="21"/>
                      <w:u w:val="none"/>
                      <w:vertAlign w:val="baseline"/>
                      <w:lang w:val="en-US" w:eastAsia="zh-CN"/>
                    </w:rPr>
                  </w:pPr>
                  <w:r>
                    <w:rPr>
                      <w:rFonts w:hint="default" w:ascii="Times New Roman" w:hAnsi="Times New Roman" w:cs="Times New Roman"/>
                      <w:sz w:val="21"/>
                      <w:szCs w:val="21"/>
                      <w:u w:val="single" w:color="auto"/>
                      <w:vertAlign w:val="baseline"/>
                      <w:lang w:val="en-US" w:eastAsia="zh-CN"/>
                    </w:rPr>
                    <w:t>0.000</w:t>
                  </w:r>
                  <w:r>
                    <w:rPr>
                      <w:rFonts w:hint="eastAsia" w:ascii="Times New Roman" w:cs="Times New Roman"/>
                      <w:sz w:val="21"/>
                      <w:szCs w:val="21"/>
                      <w:u w:val="single" w:color="auto"/>
                      <w:vertAlign w:val="baseline"/>
                      <w:lang w:val="en-US" w:eastAsia="zh-CN"/>
                    </w:rPr>
                    <w:t>0297</w:t>
                  </w:r>
                </w:p>
              </w:tc>
            </w:tr>
            <w:tr w14:paraId="293E28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753" w:type="pct"/>
                  <w:noWrap w:val="0"/>
                  <w:vAlign w:val="center"/>
                </w:tcPr>
                <w:p w14:paraId="1E037171">
                  <w:pPr>
                    <w:pStyle w:val="41"/>
                    <w:bidi w:val="0"/>
                    <w:rPr>
                      <w:rFonts w:hint="eastAsia" w:eastAsia="宋体"/>
                      <w:u w:val="none" w:color="auto"/>
                      <w:lang w:eastAsia="zh-CN"/>
                    </w:rPr>
                  </w:pPr>
                  <w:r>
                    <w:rPr>
                      <w:rFonts w:hint="eastAsia"/>
                      <w:u w:val="none" w:color="auto"/>
                      <w:lang w:val="en-US" w:eastAsia="zh-CN"/>
                    </w:rPr>
                    <w:t>3</w:t>
                  </w:r>
                </w:p>
              </w:tc>
              <w:tc>
                <w:tcPr>
                  <w:tcW w:w="635" w:type="pct"/>
                  <w:vMerge w:val="continue"/>
                  <w:noWrap w:val="0"/>
                  <w:vAlign w:val="center"/>
                </w:tcPr>
                <w:p w14:paraId="41F0EE9A">
                  <w:pPr>
                    <w:pStyle w:val="41"/>
                    <w:bidi w:val="0"/>
                    <w:rPr>
                      <w:u w:val="none" w:color="auto"/>
                    </w:rPr>
                  </w:pPr>
                </w:p>
              </w:tc>
              <w:tc>
                <w:tcPr>
                  <w:tcW w:w="437" w:type="pct"/>
                  <w:vMerge w:val="restart"/>
                  <w:noWrap w:val="0"/>
                  <w:vAlign w:val="center"/>
                </w:tcPr>
                <w:p w14:paraId="171E4D2B">
                  <w:pPr>
                    <w:pStyle w:val="41"/>
                    <w:bidi w:val="0"/>
                    <w:rPr>
                      <w:rFonts w:hint="default"/>
                      <w:u w:val="none" w:color="auto"/>
                      <w:lang w:val="en-US" w:eastAsia="zh-CN"/>
                    </w:rPr>
                  </w:pPr>
                  <w:r>
                    <w:rPr>
                      <w:rFonts w:hint="eastAsia"/>
                      <w:color w:val="000000" w:themeColor="text1"/>
                      <w:sz w:val="21"/>
                      <w:szCs w:val="21"/>
                      <w:u w:val="none" w:color="auto"/>
                      <w:lang w:val="en-US" w:eastAsia="zh-CN"/>
                      <w14:textFill>
                        <w14:solidFill>
                          <w14:schemeClr w14:val="tx1"/>
                        </w14:solidFill>
                      </w14:textFill>
                    </w:rPr>
                    <w:t>VOCs</w:t>
                  </w:r>
                </w:p>
              </w:tc>
              <w:tc>
                <w:tcPr>
                  <w:tcW w:w="437" w:type="pct"/>
                  <w:noWrap w:val="0"/>
                  <w:vAlign w:val="center"/>
                </w:tcPr>
                <w:p w14:paraId="1CA372B1">
                  <w:pPr>
                    <w:pStyle w:val="41"/>
                    <w:bidi w:val="0"/>
                    <w:rPr>
                      <w:rFonts w:hint="default"/>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非甲烷总烃</w:t>
                  </w:r>
                </w:p>
              </w:tc>
              <w:tc>
                <w:tcPr>
                  <w:tcW w:w="927" w:type="pct"/>
                  <w:gridSpan w:val="2"/>
                  <w:noWrap w:val="0"/>
                  <w:vAlign w:val="center"/>
                </w:tcPr>
                <w:p w14:paraId="6CF9B4FC">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u w:val="none" w:color="auto"/>
                      <w:lang w:val="en-US" w:eastAsia="zh-CN"/>
                    </w:rPr>
                  </w:pPr>
                  <w:r>
                    <w:rPr>
                      <w:rFonts w:hint="eastAsia" w:ascii="Times New Roman" w:cs="Times New Roman"/>
                      <w:b w:val="0"/>
                      <w:bCs w:val="0"/>
                      <w:sz w:val="21"/>
                      <w:szCs w:val="21"/>
                      <w:u w:val="none" w:color="auto"/>
                      <w:lang w:val="en-US" w:eastAsia="zh-CN"/>
                    </w:rPr>
                    <w:t>19.4</w:t>
                  </w:r>
                </w:p>
              </w:tc>
              <w:tc>
                <w:tcPr>
                  <w:tcW w:w="843" w:type="pct"/>
                  <w:noWrap w:val="0"/>
                  <w:vAlign w:val="center"/>
                </w:tcPr>
                <w:p w14:paraId="45C2914F">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u w:val="none" w:color="auto"/>
                      <w:lang w:val="en-US" w:eastAsia="zh-CN"/>
                    </w:rPr>
                  </w:pPr>
                  <w:r>
                    <w:rPr>
                      <w:rFonts w:hint="eastAsia" w:ascii="Times New Roman" w:cs="Times New Roman"/>
                      <w:b w:val="0"/>
                      <w:bCs w:val="0"/>
                      <w:sz w:val="21"/>
                      <w:szCs w:val="21"/>
                      <w:u w:val="none" w:color="auto"/>
                      <w:lang w:val="en-US" w:eastAsia="zh-CN"/>
                    </w:rPr>
                    <w:t>0.213</w:t>
                  </w:r>
                </w:p>
              </w:tc>
              <w:tc>
                <w:tcPr>
                  <w:tcW w:w="965" w:type="pct"/>
                  <w:noWrap w:val="0"/>
                  <w:vAlign w:val="center"/>
                </w:tcPr>
                <w:p w14:paraId="6F2722AA">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u w:val="none" w:color="auto"/>
                      <w:lang w:val="en-US" w:eastAsia="zh-CN"/>
                    </w:rPr>
                  </w:pPr>
                  <w:r>
                    <w:rPr>
                      <w:rFonts w:hint="eastAsia" w:ascii="Times New Roman" w:cs="Times New Roman"/>
                      <w:sz w:val="21"/>
                      <w:szCs w:val="21"/>
                      <w:u w:val="none"/>
                      <w:vertAlign w:val="baseline"/>
                      <w:lang w:val="en-US" w:eastAsia="zh-CN"/>
                    </w:rPr>
                    <w:t>0.575</w:t>
                  </w:r>
                </w:p>
              </w:tc>
            </w:tr>
            <w:tr w14:paraId="2F3F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753" w:type="pct"/>
                  <w:noWrap w:val="0"/>
                  <w:vAlign w:val="center"/>
                </w:tcPr>
                <w:p w14:paraId="54D52535">
                  <w:pPr>
                    <w:pStyle w:val="41"/>
                    <w:bidi w:val="0"/>
                    <w:rPr>
                      <w:rFonts w:hint="eastAsia" w:ascii="Times New Roman" w:hAnsi="Times New Roman" w:eastAsia="宋体" w:cs="Times New Roman"/>
                      <w:color w:val="000000" w:themeColor="text1"/>
                      <w:kern w:val="0"/>
                      <w:sz w:val="21"/>
                      <w:szCs w:val="18"/>
                      <w:u w:val="none" w:color="auto"/>
                      <w:lang w:val="en-US" w:eastAsia="zh-CN" w:bidi="ar-SA"/>
                      <w14:textFill>
                        <w14:solidFill>
                          <w14:schemeClr w14:val="tx1"/>
                        </w14:solidFill>
                      </w14:textFill>
                    </w:rPr>
                  </w:pPr>
                  <w:r>
                    <w:rPr>
                      <w:rFonts w:hint="eastAsia"/>
                      <w:u w:val="none" w:color="auto"/>
                      <w:lang w:val="en-US" w:eastAsia="zh-CN"/>
                    </w:rPr>
                    <w:t>4</w:t>
                  </w:r>
                </w:p>
              </w:tc>
              <w:tc>
                <w:tcPr>
                  <w:tcW w:w="635" w:type="pct"/>
                  <w:vMerge w:val="continue"/>
                  <w:noWrap w:val="0"/>
                  <w:vAlign w:val="center"/>
                </w:tcPr>
                <w:p w14:paraId="666E1D10">
                  <w:pPr>
                    <w:pStyle w:val="41"/>
                    <w:bidi w:val="0"/>
                    <w:rPr>
                      <w:u w:val="none" w:color="auto"/>
                    </w:rPr>
                  </w:pPr>
                </w:p>
              </w:tc>
              <w:tc>
                <w:tcPr>
                  <w:tcW w:w="437" w:type="pct"/>
                  <w:vMerge w:val="continue"/>
                  <w:noWrap w:val="0"/>
                  <w:vAlign w:val="center"/>
                </w:tcPr>
                <w:p w14:paraId="326DBECA">
                  <w:pPr>
                    <w:pStyle w:val="41"/>
                    <w:bidi w:val="0"/>
                    <w:rPr>
                      <w:rFonts w:hint="default"/>
                      <w:u w:val="none" w:color="auto"/>
                      <w:lang w:val="en-US" w:eastAsia="zh-CN"/>
                    </w:rPr>
                  </w:pPr>
                </w:p>
              </w:tc>
              <w:tc>
                <w:tcPr>
                  <w:tcW w:w="437" w:type="pct"/>
                  <w:noWrap w:val="0"/>
                  <w:vAlign w:val="center"/>
                </w:tcPr>
                <w:p w14:paraId="42A17D2E">
                  <w:pPr>
                    <w:pStyle w:val="41"/>
                    <w:bidi w:val="0"/>
                    <w:rPr>
                      <w:rFonts w:hint="default"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苯系物（二甲苯）</w:t>
                  </w:r>
                </w:p>
              </w:tc>
              <w:tc>
                <w:tcPr>
                  <w:tcW w:w="927" w:type="pct"/>
                  <w:gridSpan w:val="2"/>
                  <w:noWrap w:val="0"/>
                  <w:vAlign w:val="center"/>
                </w:tcPr>
                <w:p w14:paraId="0B168853">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sz w:val="21"/>
                      <w:szCs w:val="21"/>
                      <w:u w:val="none"/>
                      <w:vertAlign w:val="baseline"/>
                      <w:lang w:val="en-US" w:eastAsia="zh-CN"/>
                    </w:rPr>
                    <w:t>3.48</w:t>
                  </w:r>
                </w:p>
              </w:tc>
              <w:tc>
                <w:tcPr>
                  <w:tcW w:w="843" w:type="pct"/>
                  <w:noWrap w:val="0"/>
                  <w:vAlign w:val="center"/>
                </w:tcPr>
                <w:p w14:paraId="665B5812">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cs="Times New Roman"/>
                      <w:b w:val="0"/>
                      <w:bCs w:val="0"/>
                      <w:color w:val="000000" w:themeColor="text1"/>
                      <w:kern w:val="2"/>
                      <w:sz w:val="21"/>
                      <w:szCs w:val="21"/>
                      <w:u w:val="none" w:color="auto"/>
                      <w:lang w:val="en-US" w:eastAsia="zh-CN" w:bidi="ar-SA"/>
                      <w14:textFill>
                        <w14:solidFill>
                          <w14:schemeClr w14:val="tx1"/>
                        </w14:solidFill>
                      </w14:textFill>
                    </w:rPr>
                  </w:pPr>
                  <w:r>
                    <w:rPr>
                      <w:rFonts w:hint="eastAsia" w:ascii="Times New Roman" w:cs="Times New Roman"/>
                      <w:sz w:val="21"/>
                      <w:szCs w:val="21"/>
                      <w:u w:val="none"/>
                      <w:vertAlign w:val="baseline"/>
                      <w:lang w:val="en-US" w:eastAsia="zh-CN"/>
                    </w:rPr>
                    <w:t>0.038</w:t>
                  </w:r>
                </w:p>
              </w:tc>
              <w:tc>
                <w:tcPr>
                  <w:tcW w:w="965" w:type="pct"/>
                  <w:noWrap w:val="0"/>
                  <w:vAlign w:val="center"/>
                </w:tcPr>
                <w:p w14:paraId="10278865">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cs="Times New Roman"/>
                      <w:b w:val="0"/>
                      <w:bCs w:val="0"/>
                      <w:color w:val="000000" w:themeColor="text1"/>
                      <w:kern w:val="2"/>
                      <w:sz w:val="21"/>
                      <w:szCs w:val="21"/>
                      <w:u w:val="none" w:color="auto"/>
                      <w:lang w:val="en-US" w:eastAsia="zh-CN" w:bidi="ar-SA"/>
                      <w14:textFill>
                        <w14:solidFill>
                          <w14:schemeClr w14:val="tx1"/>
                        </w14:solidFill>
                      </w14:textFill>
                    </w:rPr>
                  </w:pPr>
                  <w:r>
                    <w:rPr>
                      <w:rFonts w:hint="eastAsia" w:ascii="Times New Roman" w:cs="Times New Roman"/>
                      <w:sz w:val="21"/>
                      <w:szCs w:val="21"/>
                      <w:u w:val="none"/>
                      <w:vertAlign w:val="baseline"/>
                      <w:lang w:val="en-US" w:eastAsia="zh-CN"/>
                    </w:rPr>
                    <w:t>0.1035</w:t>
                  </w:r>
                </w:p>
              </w:tc>
            </w:tr>
            <w:tr w14:paraId="4C719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8" w:type="pct"/>
                  <w:gridSpan w:val="2"/>
                  <w:vMerge w:val="restart"/>
                  <w:noWrap w:val="0"/>
                  <w:vAlign w:val="center"/>
                </w:tcPr>
                <w:p w14:paraId="0886496B">
                  <w:pPr>
                    <w:pStyle w:val="41"/>
                    <w:bidi w:val="0"/>
                    <w:rPr>
                      <w:u w:val="none" w:color="auto"/>
                    </w:rPr>
                  </w:pPr>
                  <w:r>
                    <w:rPr>
                      <w:rFonts w:hint="eastAsia"/>
                      <w:u w:val="none" w:color="auto"/>
                    </w:rPr>
                    <w:t>一般排放口合计</w:t>
                  </w:r>
                </w:p>
              </w:tc>
              <w:tc>
                <w:tcPr>
                  <w:tcW w:w="2645" w:type="pct"/>
                  <w:gridSpan w:val="5"/>
                  <w:noWrap w:val="0"/>
                  <w:vAlign w:val="center"/>
                </w:tcPr>
                <w:p w14:paraId="0F06CC0B">
                  <w:pPr>
                    <w:pStyle w:val="41"/>
                    <w:bidi w:val="0"/>
                    <w:rPr>
                      <w:rFonts w:hint="eastAsia"/>
                      <w:u w:val="none" w:color="auto"/>
                    </w:rPr>
                  </w:pPr>
                  <w:r>
                    <w:rPr>
                      <w:rFonts w:hint="eastAsia"/>
                      <w:lang w:val="en-US" w:eastAsia="zh-CN"/>
                    </w:rPr>
                    <w:t>颗粒物</w:t>
                  </w:r>
                </w:p>
              </w:tc>
              <w:tc>
                <w:tcPr>
                  <w:tcW w:w="965" w:type="pct"/>
                  <w:noWrap w:val="0"/>
                  <w:vAlign w:val="center"/>
                </w:tcPr>
                <w:p w14:paraId="280B5E31">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u w:val="none" w:color="auto"/>
                      <w:lang w:val="en-US" w:eastAsia="zh-CN"/>
                    </w:rPr>
                  </w:pPr>
                  <w:r>
                    <w:rPr>
                      <w:rFonts w:hint="default" w:ascii="Times New Roman" w:hAnsi="Times New Roman" w:cs="Times New Roman"/>
                      <w:b w:val="0"/>
                      <w:bCs w:val="0"/>
                      <w:sz w:val="21"/>
                      <w:szCs w:val="21"/>
                      <w:u w:val="single" w:color="auto"/>
                      <w:lang w:val="en-US" w:eastAsia="zh-CN"/>
                    </w:rPr>
                    <w:t>0.0000</w:t>
                  </w:r>
                  <w:r>
                    <w:rPr>
                      <w:rFonts w:hint="eastAsia" w:ascii="Times New Roman" w:cs="Times New Roman"/>
                      <w:b w:val="0"/>
                      <w:bCs w:val="0"/>
                      <w:sz w:val="21"/>
                      <w:szCs w:val="21"/>
                      <w:u w:val="single" w:color="auto"/>
                      <w:lang w:val="en-US" w:eastAsia="zh-CN"/>
                    </w:rPr>
                    <w:t>033</w:t>
                  </w:r>
                </w:p>
              </w:tc>
            </w:tr>
            <w:tr w14:paraId="2BB160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8" w:type="pct"/>
                  <w:gridSpan w:val="2"/>
                  <w:vMerge w:val="continue"/>
                  <w:noWrap w:val="0"/>
                  <w:vAlign w:val="center"/>
                </w:tcPr>
                <w:p w14:paraId="50BACF46">
                  <w:pPr>
                    <w:pStyle w:val="41"/>
                    <w:bidi w:val="0"/>
                    <w:rPr>
                      <w:rFonts w:hint="eastAsia"/>
                      <w:u w:val="none" w:color="auto"/>
                    </w:rPr>
                  </w:pPr>
                </w:p>
              </w:tc>
              <w:tc>
                <w:tcPr>
                  <w:tcW w:w="2645" w:type="pct"/>
                  <w:gridSpan w:val="5"/>
                  <w:noWrap w:val="0"/>
                  <w:vAlign w:val="center"/>
                </w:tcPr>
                <w:p w14:paraId="47A5E8AF">
                  <w:pPr>
                    <w:pStyle w:val="41"/>
                    <w:bidi w:val="0"/>
                    <w:rPr>
                      <w:rFonts w:hint="default"/>
                      <w:lang w:val="en-US" w:eastAsia="zh-CN"/>
                    </w:rPr>
                  </w:pPr>
                  <w:r>
                    <w:rPr>
                      <w:rFonts w:hint="eastAsia"/>
                      <w:lang w:val="en-US" w:eastAsia="zh-CN"/>
                    </w:rPr>
                    <w:t>锡及其化合物</w:t>
                  </w:r>
                </w:p>
              </w:tc>
              <w:tc>
                <w:tcPr>
                  <w:tcW w:w="965" w:type="pct"/>
                  <w:noWrap w:val="0"/>
                  <w:vAlign w:val="center"/>
                </w:tcPr>
                <w:p w14:paraId="3DAA481F">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ascii="Times New Roman" w:cs="Times New Roman"/>
                      <w:sz w:val="21"/>
                      <w:szCs w:val="21"/>
                      <w:u w:val="none"/>
                      <w:vertAlign w:val="baseline"/>
                      <w:lang w:val="en-US" w:eastAsia="zh-CN"/>
                    </w:rPr>
                  </w:pPr>
                  <w:r>
                    <w:rPr>
                      <w:rFonts w:hint="default" w:ascii="Times New Roman" w:hAnsi="Times New Roman" w:cs="Times New Roman"/>
                      <w:sz w:val="21"/>
                      <w:szCs w:val="21"/>
                      <w:u w:val="single" w:color="auto"/>
                      <w:vertAlign w:val="baseline"/>
                      <w:lang w:val="en-US" w:eastAsia="zh-CN"/>
                    </w:rPr>
                    <w:t>0.000</w:t>
                  </w:r>
                  <w:r>
                    <w:rPr>
                      <w:rFonts w:hint="eastAsia" w:ascii="Times New Roman" w:cs="Times New Roman"/>
                      <w:sz w:val="21"/>
                      <w:szCs w:val="21"/>
                      <w:u w:val="single" w:color="auto"/>
                      <w:vertAlign w:val="baseline"/>
                      <w:lang w:val="en-US" w:eastAsia="zh-CN"/>
                    </w:rPr>
                    <w:t>0297</w:t>
                  </w:r>
                </w:p>
              </w:tc>
            </w:tr>
            <w:tr w14:paraId="61D5B6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388" w:type="pct"/>
                  <w:gridSpan w:val="2"/>
                  <w:vMerge w:val="continue"/>
                  <w:noWrap w:val="0"/>
                  <w:vAlign w:val="center"/>
                </w:tcPr>
                <w:p w14:paraId="6D8E7958">
                  <w:pPr>
                    <w:pStyle w:val="41"/>
                    <w:bidi w:val="0"/>
                    <w:rPr>
                      <w:rFonts w:hint="eastAsia"/>
                      <w:u w:val="none" w:color="auto"/>
                    </w:rPr>
                  </w:pPr>
                </w:p>
              </w:tc>
              <w:tc>
                <w:tcPr>
                  <w:tcW w:w="1322" w:type="pct"/>
                  <w:gridSpan w:val="3"/>
                  <w:vMerge w:val="restart"/>
                  <w:noWrap w:val="0"/>
                  <w:vAlign w:val="center"/>
                </w:tcPr>
                <w:p w14:paraId="4009511B">
                  <w:pPr>
                    <w:pStyle w:val="41"/>
                    <w:bidi w:val="0"/>
                    <w:rPr>
                      <w:rFonts w:hint="eastAsia"/>
                      <w:u w:val="none" w:color="auto"/>
                      <w:lang w:val="en-US" w:eastAsia="zh-CN"/>
                    </w:rPr>
                  </w:pPr>
                  <w:r>
                    <w:rPr>
                      <w:rFonts w:hint="eastAsia"/>
                      <w:color w:val="000000" w:themeColor="text1"/>
                      <w:sz w:val="21"/>
                      <w:szCs w:val="21"/>
                      <w:u w:val="none" w:color="auto"/>
                      <w:lang w:val="en-US" w:eastAsia="zh-CN"/>
                      <w14:textFill>
                        <w14:solidFill>
                          <w14:schemeClr w14:val="tx1"/>
                        </w14:solidFill>
                      </w14:textFill>
                    </w:rPr>
                    <w:t>VOCs</w:t>
                  </w:r>
                </w:p>
              </w:tc>
              <w:tc>
                <w:tcPr>
                  <w:tcW w:w="2266" w:type="dxa"/>
                  <w:gridSpan w:val="2"/>
                  <w:noWrap w:val="0"/>
                  <w:vAlign w:val="center"/>
                </w:tcPr>
                <w:p w14:paraId="61244F1A">
                  <w:pPr>
                    <w:pStyle w:val="41"/>
                    <w:bidi w:val="0"/>
                    <w:rPr>
                      <w:rFonts w:hint="eastAsia"/>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非甲烷总烃</w:t>
                  </w:r>
                </w:p>
              </w:tc>
              <w:tc>
                <w:tcPr>
                  <w:tcW w:w="1654" w:type="dxa"/>
                  <w:noWrap w:val="0"/>
                  <w:vAlign w:val="center"/>
                </w:tcPr>
                <w:p w14:paraId="4DEA3620">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u w:val="none" w:color="auto"/>
                      <w:lang w:val="en-US" w:eastAsia="zh-CN"/>
                    </w:rPr>
                  </w:pPr>
                  <w:r>
                    <w:rPr>
                      <w:rFonts w:hint="eastAsia" w:ascii="Times New Roman" w:cs="Times New Roman"/>
                      <w:sz w:val="21"/>
                      <w:szCs w:val="21"/>
                      <w:u w:val="none"/>
                      <w:vertAlign w:val="baseline"/>
                      <w:lang w:val="en-US" w:eastAsia="zh-CN"/>
                    </w:rPr>
                    <w:t>0.575</w:t>
                  </w:r>
                </w:p>
              </w:tc>
            </w:tr>
            <w:tr w14:paraId="3F3FDB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88" w:type="pct"/>
                  <w:gridSpan w:val="2"/>
                  <w:vMerge w:val="continue"/>
                  <w:noWrap w:val="0"/>
                  <w:vAlign w:val="center"/>
                </w:tcPr>
                <w:p w14:paraId="35D10C65">
                  <w:pPr>
                    <w:pStyle w:val="41"/>
                    <w:bidi w:val="0"/>
                    <w:rPr>
                      <w:rFonts w:hint="eastAsia"/>
                      <w:u w:val="none" w:color="auto"/>
                    </w:rPr>
                  </w:pPr>
                </w:p>
              </w:tc>
              <w:tc>
                <w:tcPr>
                  <w:tcW w:w="1322" w:type="pct"/>
                  <w:gridSpan w:val="3"/>
                  <w:vMerge w:val="continue"/>
                  <w:noWrap w:val="0"/>
                  <w:vAlign w:val="center"/>
                </w:tcPr>
                <w:p w14:paraId="72437BCA">
                  <w:pPr>
                    <w:pStyle w:val="41"/>
                    <w:bidi w:val="0"/>
                    <w:rPr>
                      <w:rFonts w:hint="eastAsia"/>
                      <w:color w:val="000000" w:themeColor="text1"/>
                      <w:sz w:val="21"/>
                      <w:szCs w:val="21"/>
                      <w:u w:val="none" w:color="auto"/>
                      <w:lang w:val="en-US" w:eastAsia="zh-CN"/>
                      <w14:textFill>
                        <w14:solidFill>
                          <w14:schemeClr w14:val="tx1"/>
                        </w14:solidFill>
                      </w14:textFill>
                    </w:rPr>
                  </w:pPr>
                </w:p>
              </w:tc>
              <w:tc>
                <w:tcPr>
                  <w:tcW w:w="2266" w:type="dxa"/>
                  <w:gridSpan w:val="2"/>
                  <w:noWrap w:val="0"/>
                  <w:vAlign w:val="center"/>
                </w:tcPr>
                <w:p w14:paraId="2BCC609B">
                  <w:pPr>
                    <w:pStyle w:val="41"/>
                    <w:bidi w:val="0"/>
                    <w:rPr>
                      <w:rFonts w:hint="eastAsia"/>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苯系物（二甲苯）</w:t>
                  </w:r>
                </w:p>
              </w:tc>
              <w:tc>
                <w:tcPr>
                  <w:tcW w:w="1654" w:type="dxa"/>
                  <w:noWrap w:val="0"/>
                  <w:vAlign w:val="center"/>
                </w:tcPr>
                <w:p w14:paraId="5917497B">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eastAsia" w:ascii="Times New Roman" w:cs="Times New Roman"/>
                      <w:sz w:val="21"/>
                      <w:szCs w:val="21"/>
                      <w:u w:val="none"/>
                      <w:vertAlign w:val="baseline"/>
                      <w:lang w:val="en-US" w:eastAsia="zh-CN"/>
                    </w:rPr>
                  </w:pPr>
                  <w:r>
                    <w:rPr>
                      <w:rFonts w:hint="eastAsia" w:ascii="Times New Roman" w:cs="Times New Roman"/>
                      <w:sz w:val="21"/>
                      <w:szCs w:val="21"/>
                      <w:u w:val="none"/>
                      <w:vertAlign w:val="baseline"/>
                      <w:lang w:val="en-US" w:eastAsia="zh-CN"/>
                    </w:rPr>
                    <w:t>0.1035</w:t>
                  </w:r>
                </w:p>
              </w:tc>
            </w:tr>
          </w:tbl>
          <w:p w14:paraId="4D3592FC">
            <w:pPr>
              <w:spacing w:line="360" w:lineRule="auto"/>
              <w:ind w:firstLine="480" w:firstLineChars="200"/>
              <w:jc w:val="left"/>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②无组织排放量核算</w:t>
            </w:r>
          </w:p>
          <w:p w14:paraId="00DFB46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imes New Roman" w:hAnsi="Times New Roman" w:eastAsia="宋体" w:cs="Times New Roman"/>
                <w:b/>
                <w:color w:val="000000" w:themeColor="text1"/>
                <w:sz w:val="21"/>
                <w:szCs w:val="21"/>
                <w:u w:val="none" w:color="auto"/>
                <w14:textFill>
                  <w14:solidFill>
                    <w14:schemeClr w14:val="tx1"/>
                  </w14:solidFill>
                </w14:textFill>
              </w:rPr>
            </w:pPr>
            <w:r>
              <w:rPr>
                <w:rFonts w:ascii="Times New Roman" w:hAnsi="Times New Roman" w:eastAsia="宋体" w:cs="Times New Roman"/>
                <w:b/>
                <w:color w:val="000000" w:themeColor="text1"/>
                <w:sz w:val="21"/>
                <w:szCs w:val="21"/>
                <w:u w:val="none" w:color="auto"/>
                <w14:textFill>
                  <w14:solidFill>
                    <w14:schemeClr w14:val="tx1"/>
                  </w14:solidFill>
                </w14:textFill>
              </w:rPr>
              <w:t>表</w:t>
            </w:r>
            <w:r>
              <w:rPr>
                <w:rFonts w:hint="eastAsia" w:ascii="Times New Roman" w:hAnsi="Times New Roman" w:eastAsia="宋体" w:cs="Times New Roman"/>
                <w:b/>
                <w:color w:val="000000" w:themeColor="text1"/>
                <w:sz w:val="21"/>
                <w:szCs w:val="21"/>
                <w:u w:val="none" w:color="auto"/>
                <w14:textFill>
                  <w14:solidFill>
                    <w14:schemeClr w14:val="tx1"/>
                  </w14:solidFill>
                </w14:textFill>
              </w:rPr>
              <w:t>4-</w:t>
            </w:r>
            <w:r>
              <w:rPr>
                <w:rFonts w:hint="eastAsia" w:cs="Times New Roman"/>
                <w:b/>
                <w:color w:val="000000" w:themeColor="text1"/>
                <w:sz w:val="21"/>
                <w:szCs w:val="21"/>
                <w:u w:val="none" w:color="auto"/>
                <w:lang w:val="en-US" w:eastAsia="zh-CN"/>
                <w14:textFill>
                  <w14:solidFill>
                    <w14:schemeClr w14:val="tx1"/>
                  </w14:solidFill>
                </w14:textFill>
              </w:rPr>
              <w:t>5</w:t>
            </w:r>
            <w:r>
              <w:rPr>
                <w:rFonts w:ascii="Times New Roman" w:hAnsi="Times New Roman" w:eastAsia="宋体" w:cs="Times New Roman"/>
                <w:b/>
                <w:color w:val="000000" w:themeColor="text1"/>
                <w:sz w:val="21"/>
                <w:szCs w:val="21"/>
                <w:u w:val="none" w:color="auto"/>
                <w14:textFill>
                  <w14:solidFill>
                    <w14:schemeClr w14:val="tx1"/>
                  </w14:solidFill>
                </w14:textFill>
              </w:rPr>
              <w:t xml:space="preserve">  大气污染物无组织排放量核算表</w:t>
            </w:r>
          </w:p>
          <w:tbl>
            <w:tblPr>
              <w:tblStyle w:val="33"/>
              <w:tblW w:w="4998"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68"/>
              <w:gridCol w:w="2416"/>
              <w:gridCol w:w="1358"/>
              <w:gridCol w:w="1358"/>
              <w:gridCol w:w="2370"/>
            </w:tblGrid>
            <w:tr w14:paraId="799B16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623" w:type="pct"/>
                  <w:vMerge w:val="restart"/>
                  <w:tcBorders>
                    <w:tl2br w:val="nil"/>
                    <w:tr2bl w:val="nil"/>
                  </w:tcBorders>
                  <w:vAlign w:val="center"/>
                </w:tcPr>
                <w:p w14:paraId="2D849D84">
                  <w:pPr>
                    <w:keepNext w:val="0"/>
                    <w:keepLines w:val="0"/>
                    <w:pageBreakBefore w:val="0"/>
                    <w:widowControl w:val="0"/>
                    <w:kinsoku/>
                    <w:wordWrap/>
                    <w:overflowPunct/>
                    <w:topLinePunct w:val="0"/>
                    <w:bidi w:val="0"/>
                    <w:spacing w:line="240" w:lineRule="auto"/>
                    <w:jc w:val="center"/>
                    <w:textAlignment w:val="auto"/>
                    <w:rPr>
                      <w:b w:val="0"/>
                      <w:bCs w:val="0"/>
                      <w:color w:val="000000" w:themeColor="text1"/>
                      <w:kern w:val="0"/>
                      <w:sz w:val="21"/>
                      <w:szCs w:val="21"/>
                      <w:u w:val="none" w:color="auto"/>
                      <w14:textFill>
                        <w14:solidFill>
                          <w14:schemeClr w14:val="tx1"/>
                        </w14:solidFill>
                      </w14:textFill>
                    </w:rPr>
                  </w:pPr>
                  <w:r>
                    <w:rPr>
                      <w:b w:val="0"/>
                      <w:bCs w:val="0"/>
                      <w:color w:val="000000" w:themeColor="text1"/>
                      <w:kern w:val="0"/>
                      <w:sz w:val="21"/>
                      <w:szCs w:val="21"/>
                      <w:u w:val="none" w:color="auto"/>
                      <w14:textFill>
                        <w14:solidFill>
                          <w14:schemeClr w14:val="tx1"/>
                        </w14:solidFill>
                      </w14:textFill>
                    </w:rPr>
                    <w:t>序号</w:t>
                  </w:r>
                </w:p>
              </w:tc>
              <w:tc>
                <w:tcPr>
                  <w:tcW w:w="1409" w:type="pct"/>
                  <w:vMerge w:val="restart"/>
                  <w:tcBorders>
                    <w:tl2br w:val="nil"/>
                    <w:tr2bl w:val="nil"/>
                  </w:tcBorders>
                  <w:vAlign w:val="center"/>
                </w:tcPr>
                <w:p w14:paraId="6E1AD22A">
                  <w:pPr>
                    <w:keepNext w:val="0"/>
                    <w:keepLines w:val="0"/>
                    <w:pageBreakBefore w:val="0"/>
                    <w:widowControl w:val="0"/>
                    <w:kinsoku/>
                    <w:wordWrap/>
                    <w:overflowPunct/>
                    <w:topLinePunct w:val="0"/>
                    <w:bidi w:val="0"/>
                    <w:spacing w:line="240" w:lineRule="auto"/>
                    <w:jc w:val="center"/>
                    <w:textAlignment w:val="auto"/>
                    <w:rPr>
                      <w:b w:val="0"/>
                      <w:bCs w:val="0"/>
                      <w:color w:val="000000" w:themeColor="text1"/>
                      <w:kern w:val="0"/>
                      <w:sz w:val="21"/>
                      <w:szCs w:val="21"/>
                      <w:u w:val="none" w:color="auto"/>
                      <w14:textFill>
                        <w14:solidFill>
                          <w14:schemeClr w14:val="tx1"/>
                        </w14:solidFill>
                      </w14:textFill>
                    </w:rPr>
                  </w:pPr>
                  <w:r>
                    <w:rPr>
                      <w:b w:val="0"/>
                      <w:bCs w:val="0"/>
                      <w:color w:val="000000" w:themeColor="text1"/>
                      <w:kern w:val="0"/>
                      <w:sz w:val="21"/>
                      <w:szCs w:val="21"/>
                      <w:u w:val="none" w:color="auto"/>
                      <w14:textFill>
                        <w14:solidFill>
                          <w14:schemeClr w14:val="tx1"/>
                        </w14:solidFill>
                      </w14:textFill>
                    </w:rPr>
                    <w:t>产污环节</w:t>
                  </w:r>
                </w:p>
              </w:tc>
              <w:tc>
                <w:tcPr>
                  <w:tcW w:w="1584" w:type="pct"/>
                  <w:gridSpan w:val="2"/>
                  <w:vMerge w:val="restart"/>
                  <w:tcBorders>
                    <w:tl2br w:val="nil"/>
                    <w:tr2bl w:val="nil"/>
                  </w:tcBorders>
                  <w:vAlign w:val="center"/>
                </w:tcPr>
                <w:p w14:paraId="6D6673D7">
                  <w:pPr>
                    <w:keepNext w:val="0"/>
                    <w:keepLines w:val="0"/>
                    <w:pageBreakBefore w:val="0"/>
                    <w:widowControl w:val="0"/>
                    <w:kinsoku/>
                    <w:wordWrap/>
                    <w:overflowPunct/>
                    <w:topLinePunct w:val="0"/>
                    <w:bidi w:val="0"/>
                    <w:spacing w:line="240" w:lineRule="auto"/>
                    <w:jc w:val="center"/>
                    <w:textAlignment w:val="auto"/>
                    <w:rPr>
                      <w:b w:val="0"/>
                      <w:bCs w:val="0"/>
                      <w:color w:val="000000" w:themeColor="text1"/>
                      <w:kern w:val="0"/>
                      <w:sz w:val="21"/>
                      <w:szCs w:val="21"/>
                      <w:u w:val="none" w:color="auto"/>
                      <w14:textFill>
                        <w14:solidFill>
                          <w14:schemeClr w14:val="tx1"/>
                        </w14:solidFill>
                      </w14:textFill>
                    </w:rPr>
                  </w:pPr>
                  <w:r>
                    <w:rPr>
                      <w:b w:val="0"/>
                      <w:bCs w:val="0"/>
                      <w:color w:val="000000" w:themeColor="text1"/>
                      <w:kern w:val="0"/>
                      <w:sz w:val="21"/>
                      <w:szCs w:val="21"/>
                      <w:u w:val="none" w:color="auto"/>
                      <w14:textFill>
                        <w14:solidFill>
                          <w14:schemeClr w14:val="tx1"/>
                        </w14:solidFill>
                      </w14:textFill>
                    </w:rPr>
                    <w:t>污染物</w:t>
                  </w:r>
                </w:p>
              </w:tc>
              <w:tc>
                <w:tcPr>
                  <w:tcW w:w="1382" w:type="pct"/>
                  <w:vMerge w:val="restart"/>
                  <w:tcBorders>
                    <w:tl2br w:val="nil"/>
                    <w:tr2bl w:val="nil"/>
                  </w:tcBorders>
                  <w:vAlign w:val="center"/>
                </w:tcPr>
                <w:p w14:paraId="6872588D">
                  <w:pPr>
                    <w:keepNext w:val="0"/>
                    <w:keepLines w:val="0"/>
                    <w:pageBreakBefore w:val="0"/>
                    <w:widowControl w:val="0"/>
                    <w:kinsoku/>
                    <w:wordWrap/>
                    <w:overflowPunct/>
                    <w:topLinePunct w:val="0"/>
                    <w:bidi w:val="0"/>
                    <w:spacing w:line="240" w:lineRule="auto"/>
                    <w:jc w:val="center"/>
                    <w:textAlignment w:val="auto"/>
                    <w:rPr>
                      <w:b w:val="0"/>
                      <w:bCs w:val="0"/>
                      <w:color w:val="000000" w:themeColor="text1"/>
                      <w:kern w:val="0"/>
                      <w:sz w:val="21"/>
                      <w:szCs w:val="21"/>
                      <w:u w:val="none" w:color="auto"/>
                      <w14:textFill>
                        <w14:solidFill>
                          <w14:schemeClr w14:val="tx1"/>
                        </w14:solidFill>
                      </w14:textFill>
                    </w:rPr>
                  </w:pPr>
                  <w:r>
                    <w:rPr>
                      <w:b w:val="0"/>
                      <w:bCs w:val="0"/>
                      <w:color w:val="000000" w:themeColor="text1"/>
                      <w:kern w:val="0"/>
                      <w:sz w:val="21"/>
                      <w:szCs w:val="21"/>
                      <w:u w:val="none" w:color="auto"/>
                      <w14:textFill>
                        <w14:solidFill>
                          <w14:schemeClr w14:val="tx1"/>
                        </w14:solidFill>
                      </w14:textFill>
                    </w:rPr>
                    <w:t>年排放量/(t/a)</w:t>
                  </w:r>
                </w:p>
              </w:tc>
            </w:tr>
            <w:tr w14:paraId="06DD67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623" w:type="pct"/>
                  <w:vMerge w:val="continue"/>
                  <w:tcBorders>
                    <w:tl2br w:val="nil"/>
                    <w:tr2bl w:val="nil"/>
                  </w:tcBorders>
                  <w:vAlign w:val="center"/>
                </w:tcPr>
                <w:p w14:paraId="41B049A3">
                  <w:pPr>
                    <w:keepNext w:val="0"/>
                    <w:keepLines w:val="0"/>
                    <w:pageBreakBefore w:val="0"/>
                    <w:widowControl w:val="0"/>
                    <w:kinsoku/>
                    <w:wordWrap/>
                    <w:overflowPunct/>
                    <w:topLinePunct w:val="0"/>
                    <w:bidi w:val="0"/>
                    <w:spacing w:line="240" w:lineRule="auto"/>
                    <w:jc w:val="center"/>
                    <w:textAlignment w:val="auto"/>
                    <w:rPr>
                      <w:b w:val="0"/>
                      <w:bCs w:val="0"/>
                      <w:color w:val="000000" w:themeColor="text1"/>
                      <w:kern w:val="0"/>
                      <w:sz w:val="21"/>
                      <w:szCs w:val="21"/>
                      <w:u w:val="none" w:color="auto"/>
                      <w14:textFill>
                        <w14:solidFill>
                          <w14:schemeClr w14:val="tx1"/>
                        </w14:solidFill>
                      </w14:textFill>
                    </w:rPr>
                  </w:pPr>
                </w:p>
              </w:tc>
              <w:tc>
                <w:tcPr>
                  <w:tcW w:w="1409" w:type="pct"/>
                  <w:vMerge w:val="continue"/>
                  <w:tcBorders>
                    <w:tl2br w:val="nil"/>
                    <w:tr2bl w:val="nil"/>
                  </w:tcBorders>
                  <w:vAlign w:val="center"/>
                </w:tcPr>
                <w:p w14:paraId="7388CE26">
                  <w:pPr>
                    <w:keepNext w:val="0"/>
                    <w:keepLines w:val="0"/>
                    <w:pageBreakBefore w:val="0"/>
                    <w:widowControl w:val="0"/>
                    <w:kinsoku/>
                    <w:wordWrap/>
                    <w:overflowPunct/>
                    <w:topLinePunct w:val="0"/>
                    <w:bidi w:val="0"/>
                    <w:spacing w:line="240" w:lineRule="auto"/>
                    <w:jc w:val="center"/>
                    <w:textAlignment w:val="auto"/>
                    <w:rPr>
                      <w:b w:val="0"/>
                      <w:bCs w:val="0"/>
                      <w:color w:val="000000" w:themeColor="text1"/>
                      <w:kern w:val="0"/>
                      <w:sz w:val="21"/>
                      <w:szCs w:val="21"/>
                      <w:u w:val="none" w:color="auto"/>
                      <w14:textFill>
                        <w14:solidFill>
                          <w14:schemeClr w14:val="tx1"/>
                        </w14:solidFill>
                      </w14:textFill>
                    </w:rPr>
                  </w:pPr>
                </w:p>
              </w:tc>
              <w:tc>
                <w:tcPr>
                  <w:tcW w:w="1584" w:type="pct"/>
                  <w:gridSpan w:val="2"/>
                  <w:vMerge w:val="continue"/>
                  <w:tcBorders>
                    <w:tl2br w:val="nil"/>
                    <w:tr2bl w:val="nil"/>
                  </w:tcBorders>
                  <w:vAlign w:val="center"/>
                </w:tcPr>
                <w:p w14:paraId="77C19A30">
                  <w:pPr>
                    <w:keepNext w:val="0"/>
                    <w:keepLines w:val="0"/>
                    <w:pageBreakBefore w:val="0"/>
                    <w:widowControl w:val="0"/>
                    <w:kinsoku/>
                    <w:wordWrap/>
                    <w:overflowPunct/>
                    <w:topLinePunct w:val="0"/>
                    <w:bidi w:val="0"/>
                    <w:spacing w:line="240" w:lineRule="auto"/>
                    <w:jc w:val="center"/>
                    <w:textAlignment w:val="auto"/>
                    <w:rPr>
                      <w:b w:val="0"/>
                      <w:bCs w:val="0"/>
                      <w:color w:val="000000" w:themeColor="text1"/>
                      <w:kern w:val="0"/>
                      <w:sz w:val="21"/>
                      <w:szCs w:val="21"/>
                      <w:u w:val="none" w:color="auto"/>
                      <w14:textFill>
                        <w14:solidFill>
                          <w14:schemeClr w14:val="tx1"/>
                        </w14:solidFill>
                      </w14:textFill>
                    </w:rPr>
                  </w:pPr>
                </w:p>
              </w:tc>
              <w:tc>
                <w:tcPr>
                  <w:tcW w:w="1382" w:type="pct"/>
                  <w:vMerge w:val="continue"/>
                  <w:tcBorders>
                    <w:tl2br w:val="nil"/>
                    <w:tr2bl w:val="nil"/>
                  </w:tcBorders>
                  <w:vAlign w:val="center"/>
                </w:tcPr>
                <w:p w14:paraId="33986C89">
                  <w:pPr>
                    <w:keepNext w:val="0"/>
                    <w:keepLines w:val="0"/>
                    <w:pageBreakBefore w:val="0"/>
                    <w:widowControl w:val="0"/>
                    <w:kinsoku/>
                    <w:wordWrap/>
                    <w:overflowPunct/>
                    <w:topLinePunct w:val="0"/>
                    <w:bidi w:val="0"/>
                    <w:spacing w:line="240" w:lineRule="auto"/>
                    <w:jc w:val="center"/>
                    <w:textAlignment w:val="auto"/>
                    <w:rPr>
                      <w:b w:val="0"/>
                      <w:bCs w:val="0"/>
                      <w:color w:val="000000" w:themeColor="text1"/>
                      <w:kern w:val="0"/>
                      <w:sz w:val="21"/>
                      <w:szCs w:val="21"/>
                      <w:u w:val="none" w:color="auto"/>
                      <w14:textFill>
                        <w14:solidFill>
                          <w14:schemeClr w14:val="tx1"/>
                        </w14:solidFill>
                      </w14:textFill>
                    </w:rPr>
                  </w:pPr>
                </w:p>
              </w:tc>
            </w:tr>
            <w:tr w14:paraId="76D1EC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4" w:hRule="atLeast"/>
                <w:jc w:val="center"/>
              </w:trPr>
              <w:tc>
                <w:tcPr>
                  <w:tcW w:w="623" w:type="pct"/>
                  <w:vMerge w:val="restart"/>
                  <w:tcBorders>
                    <w:tl2br w:val="nil"/>
                    <w:tr2bl w:val="nil"/>
                  </w:tcBorders>
                  <w:vAlign w:val="center"/>
                </w:tcPr>
                <w:p w14:paraId="6C5D9D65">
                  <w:pPr>
                    <w:keepNext w:val="0"/>
                    <w:keepLines w:val="0"/>
                    <w:pageBreakBefore w:val="0"/>
                    <w:widowControl w:val="0"/>
                    <w:kinsoku/>
                    <w:wordWrap/>
                    <w:overflowPunct/>
                    <w:topLinePunct w:val="0"/>
                    <w:bidi w:val="0"/>
                    <w:spacing w:line="240" w:lineRule="auto"/>
                    <w:jc w:val="center"/>
                    <w:textAlignment w:val="auto"/>
                    <w:rPr>
                      <w:rFonts w:hint="eastAsia" w:eastAsia="宋体"/>
                      <w:b w:val="0"/>
                      <w:bCs w:val="0"/>
                      <w:color w:val="000000" w:themeColor="text1"/>
                      <w:kern w:val="0"/>
                      <w:sz w:val="21"/>
                      <w:szCs w:val="21"/>
                      <w:u w:val="none" w:color="auto"/>
                      <w:lang w:val="en-US" w:eastAsia="zh-CN"/>
                      <w14:textFill>
                        <w14:solidFill>
                          <w14:schemeClr w14:val="tx1"/>
                        </w14:solidFill>
                      </w14:textFill>
                    </w:rPr>
                  </w:pPr>
                  <w:r>
                    <w:rPr>
                      <w:rFonts w:hint="eastAsia"/>
                      <w:b w:val="0"/>
                      <w:bCs w:val="0"/>
                      <w:color w:val="000000" w:themeColor="text1"/>
                      <w:kern w:val="0"/>
                      <w:sz w:val="21"/>
                      <w:szCs w:val="21"/>
                      <w:u w:val="none" w:color="auto"/>
                      <w14:textFill>
                        <w14:solidFill>
                          <w14:schemeClr w14:val="tx1"/>
                        </w14:solidFill>
                      </w14:textFill>
                    </w:rPr>
                    <w:t>1</w:t>
                  </w:r>
                </w:p>
              </w:tc>
              <w:tc>
                <w:tcPr>
                  <w:tcW w:w="1409" w:type="pct"/>
                  <w:vMerge w:val="restart"/>
                  <w:tcBorders>
                    <w:tl2br w:val="nil"/>
                    <w:tr2bl w:val="nil"/>
                  </w:tcBorders>
                  <w:vAlign w:val="center"/>
                </w:tcPr>
                <w:p w14:paraId="5D02CD0D">
                  <w:pPr>
                    <w:keepNext w:val="0"/>
                    <w:keepLines w:val="0"/>
                    <w:pageBreakBefore w:val="0"/>
                    <w:widowControl w:val="0"/>
                    <w:kinsoku/>
                    <w:wordWrap/>
                    <w:overflowPunct/>
                    <w:topLinePunct w:val="0"/>
                    <w:autoSpaceDE w:val="0"/>
                    <w:autoSpaceDN w:val="0"/>
                    <w:bidi w:val="0"/>
                    <w:spacing w:line="240" w:lineRule="auto"/>
                    <w:contextualSpacing/>
                    <w:jc w:val="center"/>
                    <w:textAlignment w:val="auto"/>
                    <w:rPr>
                      <w:rFonts w:hint="default"/>
                      <w:b w:val="0"/>
                      <w:bCs w:val="0"/>
                      <w:color w:val="000000" w:themeColor="text1"/>
                      <w:sz w:val="21"/>
                      <w:szCs w:val="21"/>
                      <w:u w:val="none" w:color="auto"/>
                      <w:lang w:val="en-US" w:eastAsia="zh-CN"/>
                      <w14:textFill>
                        <w14:solidFill>
                          <w14:schemeClr w14:val="tx1"/>
                        </w14:solidFill>
                      </w14:textFill>
                    </w:rPr>
                  </w:pPr>
                  <w:r>
                    <w:rPr>
                      <w:rFonts w:hint="eastAsia"/>
                      <w:b w:val="0"/>
                      <w:bCs w:val="0"/>
                      <w:color w:val="000000" w:themeColor="text1"/>
                      <w:kern w:val="0"/>
                      <w:sz w:val="21"/>
                      <w:szCs w:val="21"/>
                      <w:u w:val="none" w:color="auto"/>
                      <w:lang w:val="en-US" w:eastAsia="zh-CN"/>
                      <w14:textFill>
                        <w14:solidFill>
                          <w14:schemeClr w14:val="tx1"/>
                        </w14:solidFill>
                      </w14:textFill>
                    </w:rPr>
                    <w:t>焊锡</w:t>
                  </w:r>
                </w:p>
              </w:tc>
              <w:tc>
                <w:tcPr>
                  <w:tcW w:w="1584" w:type="pct"/>
                  <w:gridSpan w:val="2"/>
                  <w:tcBorders>
                    <w:tl2br w:val="nil"/>
                    <w:tr2bl w:val="nil"/>
                  </w:tcBorders>
                  <w:vAlign w:val="center"/>
                </w:tcPr>
                <w:p w14:paraId="21E62495">
                  <w:pPr>
                    <w:keepNext w:val="0"/>
                    <w:keepLines w:val="0"/>
                    <w:pageBreakBefore w:val="0"/>
                    <w:widowControl w:val="0"/>
                    <w:kinsoku/>
                    <w:wordWrap/>
                    <w:overflowPunct/>
                    <w:topLinePunct w:val="0"/>
                    <w:autoSpaceDE w:val="0"/>
                    <w:autoSpaceDN w:val="0"/>
                    <w:bidi w:val="0"/>
                    <w:spacing w:line="240" w:lineRule="auto"/>
                    <w:contextualSpacing/>
                    <w:jc w:val="center"/>
                    <w:textAlignment w:val="auto"/>
                    <w:rPr>
                      <w:b w:val="0"/>
                      <w:bCs w:val="0"/>
                      <w:color w:val="000000" w:themeColor="text1"/>
                      <w:kern w:val="0"/>
                      <w:sz w:val="21"/>
                      <w:szCs w:val="21"/>
                      <w:u w:val="none" w:color="auto"/>
                      <w14:textFill>
                        <w14:solidFill>
                          <w14:schemeClr w14:val="tx1"/>
                        </w14:solidFill>
                      </w14:textFill>
                    </w:rPr>
                  </w:pPr>
                  <w:r>
                    <w:rPr>
                      <w:rFonts w:hint="eastAsia"/>
                      <w:sz w:val="21"/>
                      <w:szCs w:val="21"/>
                      <w:lang w:val="en-US" w:eastAsia="zh-CN"/>
                    </w:rPr>
                    <w:t>颗粒物</w:t>
                  </w:r>
                </w:p>
              </w:tc>
              <w:tc>
                <w:tcPr>
                  <w:tcW w:w="1382" w:type="pct"/>
                  <w:tcBorders>
                    <w:tl2br w:val="nil"/>
                    <w:tr2bl w:val="nil"/>
                  </w:tcBorders>
                  <w:vAlign w:val="center"/>
                </w:tcPr>
                <w:p w14:paraId="2A330ADC">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eastAsia="宋体"/>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cs="Times New Roman"/>
                      <w:b w:val="0"/>
                      <w:bCs w:val="0"/>
                      <w:sz w:val="21"/>
                      <w:szCs w:val="21"/>
                      <w:u w:val="single" w:color="auto"/>
                      <w:lang w:val="en-US" w:eastAsia="zh-CN"/>
                    </w:rPr>
                    <w:t>0.00001</w:t>
                  </w:r>
                  <w:r>
                    <w:rPr>
                      <w:rFonts w:hint="eastAsia" w:ascii="Times New Roman" w:cs="Times New Roman"/>
                      <w:b w:val="0"/>
                      <w:bCs w:val="0"/>
                      <w:sz w:val="21"/>
                      <w:szCs w:val="21"/>
                      <w:u w:val="single" w:color="auto"/>
                      <w:lang w:val="en-US" w:eastAsia="zh-CN"/>
                    </w:rPr>
                    <w:t>65</w:t>
                  </w:r>
                </w:p>
              </w:tc>
            </w:tr>
            <w:tr w14:paraId="68B9D2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4" w:hRule="atLeast"/>
                <w:jc w:val="center"/>
              </w:trPr>
              <w:tc>
                <w:tcPr>
                  <w:tcW w:w="623" w:type="pct"/>
                  <w:vMerge w:val="continue"/>
                  <w:tcBorders>
                    <w:tl2br w:val="nil"/>
                    <w:tr2bl w:val="nil"/>
                  </w:tcBorders>
                  <w:vAlign w:val="center"/>
                </w:tcPr>
                <w:p w14:paraId="7517ACA3">
                  <w:pPr>
                    <w:keepNext w:val="0"/>
                    <w:keepLines w:val="0"/>
                    <w:pageBreakBefore w:val="0"/>
                    <w:widowControl w:val="0"/>
                    <w:kinsoku/>
                    <w:wordWrap/>
                    <w:overflowPunct/>
                    <w:topLinePunct w:val="0"/>
                    <w:bidi w:val="0"/>
                    <w:spacing w:line="240" w:lineRule="auto"/>
                    <w:jc w:val="center"/>
                    <w:textAlignment w:val="auto"/>
                    <w:rPr>
                      <w:rFonts w:hint="eastAsia"/>
                      <w:b w:val="0"/>
                      <w:bCs w:val="0"/>
                      <w:color w:val="000000" w:themeColor="text1"/>
                      <w:kern w:val="0"/>
                      <w:sz w:val="21"/>
                      <w:szCs w:val="21"/>
                      <w:u w:val="none" w:color="auto"/>
                      <w14:textFill>
                        <w14:solidFill>
                          <w14:schemeClr w14:val="tx1"/>
                        </w14:solidFill>
                      </w14:textFill>
                    </w:rPr>
                  </w:pPr>
                </w:p>
              </w:tc>
              <w:tc>
                <w:tcPr>
                  <w:tcW w:w="1409" w:type="pct"/>
                  <w:vMerge w:val="continue"/>
                  <w:tcBorders>
                    <w:tl2br w:val="nil"/>
                    <w:tr2bl w:val="nil"/>
                  </w:tcBorders>
                  <w:vAlign w:val="center"/>
                </w:tcPr>
                <w:p w14:paraId="3662EFC3">
                  <w:pPr>
                    <w:keepNext w:val="0"/>
                    <w:keepLines w:val="0"/>
                    <w:pageBreakBefore w:val="0"/>
                    <w:widowControl w:val="0"/>
                    <w:kinsoku/>
                    <w:wordWrap/>
                    <w:overflowPunct/>
                    <w:topLinePunct w:val="0"/>
                    <w:autoSpaceDE w:val="0"/>
                    <w:autoSpaceDN w:val="0"/>
                    <w:bidi w:val="0"/>
                    <w:spacing w:line="240" w:lineRule="auto"/>
                    <w:contextualSpacing/>
                    <w:jc w:val="center"/>
                    <w:textAlignment w:val="auto"/>
                    <w:rPr>
                      <w:rFonts w:hint="eastAsia"/>
                      <w:b w:val="0"/>
                      <w:bCs w:val="0"/>
                      <w:color w:val="000000" w:themeColor="text1"/>
                      <w:kern w:val="0"/>
                      <w:sz w:val="21"/>
                      <w:szCs w:val="21"/>
                      <w:u w:val="none" w:color="auto"/>
                      <w:lang w:val="en-US" w:eastAsia="zh-CN"/>
                      <w14:textFill>
                        <w14:solidFill>
                          <w14:schemeClr w14:val="tx1"/>
                        </w14:solidFill>
                      </w14:textFill>
                    </w:rPr>
                  </w:pPr>
                </w:p>
              </w:tc>
              <w:tc>
                <w:tcPr>
                  <w:tcW w:w="1584" w:type="pct"/>
                  <w:gridSpan w:val="2"/>
                  <w:tcBorders>
                    <w:tl2br w:val="nil"/>
                    <w:tr2bl w:val="nil"/>
                  </w:tcBorders>
                  <w:vAlign w:val="center"/>
                </w:tcPr>
                <w:p w14:paraId="1EBCDDCC">
                  <w:pPr>
                    <w:keepNext w:val="0"/>
                    <w:keepLines w:val="0"/>
                    <w:pageBreakBefore w:val="0"/>
                    <w:widowControl w:val="0"/>
                    <w:kinsoku/>
                    <w:wordWrap/>
                    <w:overflowPunct/>
                    <w:topLinePunct w:val="0"/>
                    <w:autoSpaceDE w:val="0"/>
                    <w:autoSpaceDN w:val="0"/>
                    <w:bidi w:val="0"/>
                    <w:spacing w:line="240" w:lineRule="auto"/>
                    <w:contextualSpacing/>
                    <w:jc w:val="center"/>
                    <w:textAlignment w:val="auto"/>
                    <w:rPr>
                      <w:rFonts w:hint="default"/>
                      <w:sz w:val="21"/>
                      <w:szCs w:val="21"/>
                      <w:lang w:val="en-US" w:eastAsia="zh-CN"/>
                    </w:rPr>
                  </w:pPr>
                  <w:r>
                    <w:rPr>
                      <w:rFonts w:hint="eastAsia"/>
                      <w:sz w:val="21"/>
                      <w:szCs w:val="21"/>
                      <w:lang w:val="en-US" w:eastAsia="zh-CN"/>
                    </w:rPr>
                    <w:t>锡及其化合物</w:t>
                  </w:r>
                </w:p>
              </w:tc>
              <w:tc>
                <w:tcPr>
                  <w:tcW w:w="1382" w:type="pct"/>
                  <w:tcBorders>
                    <w:tl2br w:val="nil"/>
                    <w:tr2bl w:val="nil"/>
                  </w:tcBorders>
                  <w:vAlign w:val="center"/>
                </w:tcPr>
                <w:p w14:paraId="1793AFA5">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eastAsia" w:ascii="Times New Roman" w:cs="Times New Roman"/>
                      <w:sz w:val="21"/>
                      <w:szCs w:val="21"/>
                      <w:u w:val="none"/>
                      <w:vertAlign w:val="baseline"/>
                      <w:lang w:val="en-US" w:eastAsia="zh-CN"/>
                    </w:rPr>
                  </w:pPr>
                  <w:r>
                    <w:rPr>
                      <w:rFonts w:hint="default" w:ascii="Times New Roman" w:hAnsi="Times New Roman" w:cs="Times New Roman"/>
                      <w:sz w:val="21"/>
                      <w:szCs w:val="21"/>
                      <w:u w:val="single" w:color="auto"/>
                      <w:vertAlign w:val="baseline"/>
                      <w:lang w:val="en-US" w:eastAsia="zh-CN"/>
                    </w:rPr>
                    <w:t>0.0001485</w:t>
                  </w:r>
                </w:p>
              </w:tc>
            </w:tr>
            <w:tr w14:paraId="0AFDEC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4" w:hRule="atLeast"/>
                <w:jc w:val="center"/>
              </w:trPr>
              <w:tc>
                <w:tcPr>
                  <w:tcW w:w="623" w:type="pct"/>
                  <w:vMerge w:val="continue"/>
                  <w:tcBorders>
                    <w:tl2br w:val="nil"/>
                    <w:tr2bl w:val="nil"/>
                  </w:tcBorders>
                  <w:vAlign w:val="center"/>
                </w:tcPr>
                <w:p w14:paraId="2B908FDA">
                  <w:pPr>
                    <w:keepNext w:val="0"/>
                    <w:keepLines w:val="0"/>
                    <w:pageBreakBefore w:val="0"/>
                    <w:widowControl w:val="0"/>
                    <w:kinsoku/>
                    <w:wordWrap/>
                    <w:overflowPunct/>
                    <w:topLinePunct w:val="0"/>
                    <w:bidi w:val="0"/>
                    <w:spacing w:line="240" w:lineRule="auto"/>
                    <w:jc w:val="center"/>
                    <w:textAlignment w:val="auto"/>
                    <w:rPr>
                      <w:rFonts w:hint="eastAsia"/>
                      <w:b w:val="0"/>
                      <w:bCs w:val="0"/>
                      <w:color w:val="000000" w:themeColor="text1"/>
                      <w:kern w:val="0"/>
                      <w:sz w:val="21"/>
                      <w:szCs w:val="21"/>
                      <w:u w:val="none" w:color="auto"/>
                      <w14:textFill>
                        <w14:solidFill>
                          <w14:schemeClr w14:val="tx1"/>
                        </w14:solidFill>
                      </w14:textFill>
                    </w:rPr>
                  </w:pPr>
                </w:p>
              </w:tc>
              <w:tc>
                <w:tcPr>
                  <w:tcW w:w="1409" w:type="pct"/>
                  <w:vMerge w:val="continue"/>
                  <w:tcBorders>
                    <w:tl2br w:val="nil"/>
                    <w:tr2bl w:val="nil"/>
                  </w:tcBorders>
                  <w:vAlign w:val="center"/>
                </w:tcPr>
                <w:p w14:paraId="58FB898D">
                  <w:pPr>
                    <w:keepNext w:val="0"/>
                    <w:keepLines w:val="0"/>
                    <w:pageBreakBefore w:val="0"/>
                    <w:widowControl w:val="0"/>
                    <w:kinsoku/>
                    <w:wordWrap/>
                    <w:overflowPunct/>
                    <w:topLinePunct w:val="0"/>
                    <w:autoSpaceDE w:val="0"/>
                    <w:autoSpaceDN w:val="0"/>
                    <w:bidi w:val="0"/>
                    <w:spacing w:line="240" w:lineRule="auto"/>
                    <w:contextualSpacing/>
                    <w:jc w:val="center"/>
                    <w:textAlignment w:val="auto"/>
                    <w:rPr>
                      <w:rFonts w:hint="eastAsia"/>
                      <w:b w:val="0"/>
                      <w:bCs w:val="0"/>
                      <w:color w:val="000000" w:themeColor="text1"/>
                      <w:kern w:val="0"/>
                      <w:sz w:val="21"/>
                      <w:szCs w:val="21"/>
                      <w:u w:val="none" w:color="auto"/>
                      <w:lang w:val="en-US" w:eastAsia="zh-CN"/>
                      <w14:textFill>
                        <w14:solidFill>
                          <w14:schemeClr w14:val="tx1"/>
                        </w14:solidFill>
                      </w14:textFill>
                    </w:rPr>
                  </w:pPr>
                </w:p>
              </w:tc>
              <w:tc>
                <w:tcPr>
                  <w:tcW w:w="1584" w:type="pct"/>
                  <w:gridSpan w:val="2"/>
                  <w:tcBorders>
                    <w:tl2br w:val="nil"/>
                    <w:tr2bl w:val="nil"/>
                  </w:tcBorders>
                  <w:vAlign w:val="center"/>
                </w:tcPr>
                <w:p w14:paraId="545CAE86">
                  <w:pPr>
                    <w:keepNext w:val="0"/>
                    <w:keepLines w:val="0"/>
                    <w:pageBreakBefore w:val="0"/>
                    <w:widowControl w:val="0"/>
                    <w:kinsoku/>
                    <w:wordWrap/>
                    <w:overflowPunct/>
                    <w:topLinePunct w:val="0"/>
                    <w:autoSpaceDE w:val="0"/>
                    <w:autoSpaceDN w:val="0"/>
                    <w:bidi w:val="0"/>
                    <w:spacing w:line="240" w:lineRule="auto"/>
                    <w:contextualSpacing/>
                    <w:jc w:val="center"/>
                    <w:textAlignment w:val="auto"/>
                    <w:rPr>
                      <w:rFonts w:hint="eastAsia"/>
                      <w:sz w:val="21"/>
                      <w:szCs w:val="21"/>
                      <w:lang w:val="en-US" w:eastAsia="zh-CN"/>
                    </w:rPr>
                  </w:pPr>
                  <w:r>
                    <w:rPr>
                      <w:rFonts w:hint="eastAsia"/>
                      <w:sz w:val="21"/>
                      <w:szCs w:val="21"/>
                      <w:lang w:val="en-US" w:eastAsia="zh-CN"/>
                    </w:rPr>
                    <w:t>VOCs（以非甲烷总烃计）</w:t>
                  </w:r>
                </w:p>
              </w:tc>
              <w:tc>
                <w:tcPr>
                  <w:tcW w:w="1382" w:type="pct"/>
                  <w:tcBorders>
                    <w:tl2br w:val="nil"/>
                    <w:tr2bl w:val="nil"/>
                  </w:tcBorders>
                  <w:vAlign w:val="center"/>
                </w:tcPr>
                <w:p w14:paraId="12157C43">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ascii="Times New Roman" w:cs="Times New Roman"/>
                      <w:sz w:val="21"/>
                      <w:szCs w:val="21"/>
                      <w:u w:val="none"/>
                      <w:vertAlign w:val="baseline"/>
                      <w:lang w:val="en-US" w:eastAsia="zh-CN"/>
                    </w:rPr>
                  </w:pPr>
                  <w:r>
                    <w:rPr>
                      <w:rFonts w:hint="eastAsia" w:ascii="Times New Roman" w:cs="Times New Roman"/>
                      <w:sz w:val="21"/>
                      <w:szCs w:val="21"/>
                      <w:u w:val="single" w:color="auto"/>
                      <w:vertAlign w:val="baseline"/>
                      <w:lang w:val="en-US" w:eastAsia="zh-CN"/>
                    </w:rPr>
                    <w:t>0.025</w:t>
                  </w:r>
                </w:p>
              </w:tc>
            </w:tr>
            <w:tr w14:paraId="050F19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8" w:hRule="atLeast"/>
                <w:jc w:val="center"/>
              </w:trPr>
              <w:tc>
                <w:tcPr>
                  <w:tcW w:w="623" w:type="pct"/>
                  <w:vMerge w:val="restart"/>
                  <w:tcBorders>
                    <w:tl2br w:val="nil"/>
                    <w:tr2bl w:val="nil"/>
                  </w:tcBorders>
                  <w:vAlign w:val="center"/>
                </w:tcPr>
                <w:p w14:paraId="1F990A26">
                  <w:pPr>
                    <w:keepNext w:val="0"/>
                    <w:keepLines w:val="0"/>
                    <w:pageBreakBefore w:val="0"/>
                    <w:widowControl w:val="0"/>
                    <w:kinsoku/>
                    <w:wordWrap/>
                    <w:overflowPunct/>
                    <w:topLinePunct w:val="0"/>
                    <w:bidi w:val="0"/>
                    <w:spacing w:line="240" w:lineRule="auto"/>
                    <w:jc w:val="center"/>
                    <w:textAlignment w:val="auto"/>
                    <w:rPr>
                      <w:rFonts w:hint="eastAsia" w:eastAsia="宋体"/>
                      <w:sz w:val="21"/>
                      <w:szCs w:val="21"/>
                      <w:lang w:val="en-US" w:eastAsia="zh-CN"/>
                    </w:rPr>
                  </w:pPr>
                  <w:r>
                    <w:rPr>
                      <w:rFonts w:hint="eastAsia"/>
                      <w:sz w:val="21"/>
                      <w:szCs w:val="21"/>
                      <w:lang w:val="en-US" w:eastAsia="zh-CN"/>
                    </w:rPr>
                    <w:t>2</w:t>
                  </w:r>
                </w:p>
              </w:tc>
              <w:tc>
                <w:tcPr>
                  <w:tcW w:w="1409" w:type="pct"/>
                  <w:vMerge w:val="restart"/>
                  <w:tcBorders>
                    <w:tl2br w:val="nil"/>
                    <w:tr2bl w:val="nil"/>
                  </w:tcBorders>
                  <w:vAlign w:val="center"/>
                </w:tcPr>
                <w:p w14:paraId="6DCD7AF2">
                  <w:pPr>
                    <w:keepNext w:val="0"/>
                    <w:keepLines w:val="0"/>
                    <w:pageBreakBefore w:val="0"/>
                    <w:widowControl w:val="0"/>
                    <w:kinsoku/>
                    <w:wordWrap/>
                    <w:overflowPunct/>
                    <w:topLinePunct w:val="0"/>
                    <w:bidi w:val="0"/>
                    <w:spacing w:line="240" w:lineRule="auto"/>
                    <w:jc w:val="center"/>
                    <w:textAlignment w:val="auto"/>
                    <w:rPr>
                      <w:rFonts w:hint="default"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调漆、含浸、烘干</w:t>
                  </w:r>
                </w:p>
              </w:tc>
              <w:tc>
                <w:tcPr>
                  <w:tcW w:w="792" w:type="pct"/>
                  <w:vMerge w:val="restart"/>
                  <w:tcBorders>
                    <w:tl2br w:val="nil"/>
                    <w:tr2bl w:val="nil"/>
                  </w:tcBorders>
                  <w:vAlign w:val="center"/>
                </w:tcPr>
                <w:p w14:paraId="23BF750B">
                  <w:pPr>
                    <w:keepNext w:val="0"/>
                    <w:keepLines w:val="0"/>
                    <w:pageBreakBefore w:val="0"/>
                    <w:widowControl w:val="0"/>
                    <w:kinsoku/>
                    <w:wordWrap/>
                    <w:overflowPunct/>
                    <w:topLinePunct w:val="0"/>
                    <w:bidi w:val="0"/>
                    <w:spacing w:line="240" w:lineRule="auto"/>
                    <w:jc w:val="center"/>
                    <w:textAlignment w:val="auto"/>
                    <w:rPr>
                      <w:rFonts w:hint="eastAsia" w:cs="Times New Roman"/>
                      <w:b w:val="0"/>
                      <w:bCs w:val="0"/>
                      <w:color w:val="000000" w:themeColor="text1"/>
                      <w:sz w:val="21"/>
                      <w:szCs w:val="21"/>
                      <w:u w:val="none" w:color="auto"/>
                      <w:lang w:val="en-US" w:eastAsia="zh-CN"/>
                      <w14:textFill>
                        <w14:solidFill>
                          <w14:schemeClr w14:val="tx1"/>
                        </w14:solidFill>
                      </w14:textFill>
                    </w:rPr>
                  </w:pPr>
                  <w:r>
                    <w:rPr>
                      <w:rFonts w:hint="eastAsia"/>
                      <w:sz w:val="21"/>
                      <w:szCs w:val="21"/>
                      <w:lang w:val="en-US" w:eastAsia="zh-CN"/>
                    </w:rPr>
                    <w:t>VOCs</w:t>
                  </w:r>
                </w:p>
              </w:tc>
              <w:tc>
                <w:tcPr>
                  <w:tcW w:w="792" w:type="pct"/>
                  <w:tcBorders>
                    <w:tl2br w:val="nil"/>
                    <w:tr2bl w:val="nil"/>
                  </w:tcBorders>
                  <w:vAlign w:val="center"/>
                </w:tcPr>
                <w:p w14:paraId="136DD982">
                  <w:pPr>
                    <w:keepNext w:val="0"/>
                    <w:keepLines w:val="0"/>
                    <w:pageBreakBefore w:val="0"/>
                    <w:widowControl w:val="0"/>
                    <w:kinsoku/>
                    <w:wordWrap/>
                    <w:overflowPunct/>
                    <w:topLinePunct w:val="0"/>
                    <w:bidi w:val="0"/>
                    <w:spacing w:line="240" w:lineRule="auto"/>
                    <w:jc w:val="center"/>
                    <w:textAlignment w:val="auto"/>
                    <w:rPr>
                      <w:rFonts w:hint="default"/>
                      <w:sz w:val="21"/>
                      <w:szCs w:val="21"/>
                      <w:lang w:val="en-US" w:eastAsia="zh-CN"/>
                    </w:rPr>
                  </w:pPr>
                  <w:r>
                    <w:rPr>
                      <w:rFonts w:hint="eastAsia"/>
                      <w:sz w:val="21"/>
                      <w:szCs w:val="21"/>
                      <w:lang w:val="en-US" w:eastAsia="zh-CN"/>
                    </w:rPr>
                    <w:t>非甲烷总烃</w:t>
                  </w:r>
                </w:p>
              </w:tc>
              <w:tc>
                <w:tcPr>
                  <w:tcW w:w="1382" w:type="pct"/>
                  <w:tcBorders>
                    <w:tl2br w:val="nil"/>
                    <w:tr2bl w:val="nil"/>
                  </w:tcBorders>
                  <w:vAlign w:val="center"/>
                </w:tcPr>
                <w:p w14:paraId="7F110BE2">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sz w:val="21"/>
                      <w:szCs w:val="21"/>
                      <w:u w:val="single" w:color="auto"/>
                      <w:vertAlign w:val="baseline"/>
                      <w:lang w:val="en-US" w:eastAsia="zh-CN"/>
                    </w:rPr>
                    <w:t>0.125</w:t>
                  </w:r>
                </w:p>
              </w:tc>
            </w:tr>
            <w:tr w14:paraId="3469C0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8" w:hRule="atLeast"/>
                <w:jc w:val="center"/>
              </w:trPr>
              <w:tc>
                <w:tcPr>
                  <w:tcW w:w="623" w:type="pct"/>
                  <w:vMerge w:val="continue"/>
                  <w:tcBorders>
                    <w:tl2br w:val="nil"/>
                    <w:tr2bl w:val="nil"/>
                  </w:tcBorders>
                  <w:vAlign w:val="center"/>
                </w:tcPr>
                <w:p w14:paraId="28C1A3F1">
                  <w:pPr>
                    <w:keepNext w:val="0"/>
                    <w:keepLines w:val="0"/>
                    <w:pageBreakBefore w:val="0"/>
                    <w:widowControl w:val="0"/>
                    <w:kinsoku/>
                    <w:wordWrap/>
                    <w:overflowPunct/>
                    <w:topLinePunct w:val="0"/>
                    <w:bidi w:val="0"/>
                    <w:spacing w:line="240" w:lineRule="auto"/>
                    <w:jc w:val="center"/>
                    <w:textAlignment w:val="auto"/>
                    <w:rPr>
                      <w:rFonts w:hint="eastAsia" w:cs="Times New Roman"/>
                      <w:b w:val="0"/>
                      <w:bCs w:val="0"/>
                      <w:color w:val="000000" w:themeColor="text1"/>
                      <w:sz w:val="21"/>
                      <w:szCs w:val="21"/>
                      <w:u w:val="none" w:color="auto"/>
                      <w:lang w:val="en-US" w:eastAsia="zh-CN"/>
                      <w14:textFill>
                        <w14:solidFill>
                          <w14:schemeClr w14:val="tx1"/>
                        </w14:solidFill>
                      </w14:textFill>
                    </w:rPr>
                  </w:pPr>
                </w:p>
              </w:tc>
              <w:tc>
                <w:tcPr>
                  <w:tcW w:w="1409" w:type="pct"/>
                  <w:vMerge w:val="continue"/>
                  <w:tcBorders>
                    <w:tl2br w:val="nil"/>
                    <w:tr2bl w:val="nil"/>
                  </w:tcBorders>
                  <w:vAlign w:val="center"/>
                </w:tcPr>
                <w:p w14:paraId="1D8F3EB2">
                  <w:pPr>
                    <w:keepNext w:val="0"/>
                    <w:keepLines w:val="0"/>
                    <w:pageBreakBefore w:val="0"/>
                    <w:widowControl w:val="0"/>
                    <w:kinsoku/>
                    <w:wordWrap/>
                    <w:overflowPunct/>
                    <w:topLinePunct w:val="0"/>
                    <w:bidi w:val="0"/>
                    <w:spacing w:line="240" w:lineRule="auto"/>
                    <w:jc w:val="center"/>
                    <w:textAlignment w:val="auto"/>
                    <w:rPr>
                      <w:rFonts w:hint="eastAsia" w:cs="Times New Roman"/>
                      <w:b w:val="0"/>
                      <w:bCs w:val="0"/>
                      <w:color w:val="000000" w:themeColor="text1"/>
                      <w:sz w:val="21"/>
                      <w:szCs w:val="21"/>
                      <w:u w:val="none" w:color="auto"/>
                      <w:lang w:val="en-US" w:eastAsia="zh-CN"/>
                      <w14:textFill>
                        <w14:solidFill>
                          <w14:schemeClr w14:val="tx1"/>
                        </w14:solidFill>
                      </w14:textFill>
                    </w:rPr>
                  </w:pPr>
                </w:p>
              </w:tc>
              <w:tc>
                <w:tcPr>
                  <w:tcW w:w="792" w:type="pct"/>
                  <w:vMerge w:val="continue"/>
                  <w:tcBorders>
                    <w:tl2br w:val="nil"/>
                    <w:tr2bl w:val="nil"/>
                  </w:tcBorders>
                  <w:vAlign w:val="center"/>
                </w:tcPr>
                <w:p w14:paraId="65E6258D">
                  <w:pPr>
                    <w:keepNext w:val="0"/>
                    <w:keepLines w:val="0"/>
                    <w:pageBreakBefore w:val="0"/>
                    <w:widowControl w:val="0"/>
                    <w:kinsoku/>
                    <w:wordWrap/>
                    <w:overflowPunct/>
                    <w:topLinePunct w:val="0"/>
                    <w:bidi w:val="0"/>
                    <w:spacing w:line="240" w:lineRule="auto"/>
                    <w:jc w:val="center"/>
                    <w:textAlignment w:val="auto"/>
                    <w:rPr>
                      <w:rFonts w:hint="default" w:cs="Times New Roman"/>
                      <w:b w:val="0"/>
                      <w:bCs w:val="0"/>
                      <w:color w:val="000000" w:themeColor="text1"/>
                      <w:sz w:val="21"/>
                      <w:szCs w:val="21"/>
                      <w:u w:val="none" w:color="auto"/>
                      <w:lang w:val="en-US" w:eastAsia="zh-CN"/>
                      <w14:textFill>
                        <w14:solidFill>
                          <w14:schemeClr w14:val="tx1"/>
                        </w14:solidFill>
                      </w14:textFill>
                    </w:rPr>
                  </w:pPr>
                </w:p>
              </w:tc>
              <w:tc>
                <w:tcPr>
                  <w:tcW w:w="792" w:type="pct"/>
                  <w:tcBorders>
                    <w:tl2br w:val="nil"/>
                    <w:tr2bl w:val="nil"/>
                  </w:tcBorders>
                  <w:vAlign w:val="center"/>
                </w:tcPr>
                <w:p w14:paraId="4B6DCB2B">
                  <w:pPr>
                    <w:keepNext w:val="0"/>
                    <w:keepLines w:val="0"/>
                    <w:pageBreakBefore w:val="0"/>
                    <w:widowControl w:val="0"/>
                    <w:kinsoku/>
                    <w:wordWrap/>
                    <w:overflowPunct/>
                    <w:topLinePunct w:val="0"/>
                    <w:bidi w:val="0"/>
                    <w:spacing w:line="240" w:lineRule="auto"/>
                    <w:jc w:val="center"/>
                    <w:textAlignment w:val="auto"/>
                    <w:rPr>
                      <w:rFonts w:hint="eastAsia"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苯系物（二甲苯）</w:t>
                  </w:r>
                </w:p>
              </w:tc>
              <w:tc>
                <w:tcPr>
                  <w:tcW w:w="1382" w:type="pct"/>
                  <w:tcBorders>
                    <w:tl2br w:val="nil"/>
                    <w:tr2bl w:val="nil"/>
                  </w:tcBorders>
                  <w:vAlign w:val="center"/>
                </w:tcPr>
                <w:p w14:paraId="00BB237A">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cs="Times New Roman"/>
                      <w:sz w:val="21"/>
                      <w:szCs w:val="21"/>
                      <w:u w:val="single" w:color="auto"/>
                      <w:vertAlign w:val="baseline"/>
                      <w:lang w:val="en-US" w:eastAsia="zh-CN"/>
                    </w:rPr>
                    <w:t>0.023</w:t>
                  </w:r>
                </w:p>
              </w:tc>
            </w:tr>
            <w:tr w14:paraId="104539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8" w:hRule="atLeast"/>
                <w:jc w:val="center"/>
              </w:trPr>
              <w:tc>
                <w:tcPr>
                  <w:tcW w:w="623" w:type="pct"/>
                  <w:tcBorders>
                    <w:tl2br w:val="nil"/>
                    <w:tr2bl w:val="nil"/>
                  </w:tcBorders>
                  <w:vAlign w:val="center"/>
                </w:tcPr>
                <w:p w14:paraId="569CCB9B">
                  <w:pPr>
                    <w:keepNext w:val="0"/>
                    <w:keepLines w:val="0"/>
                    <w:pageBreakBefore w:val="0"/>
                    <w:widowControl w:val="0"/>
                    <w:kinsoku/>
                    <w:wordWrap/>
                    <w:overflowPunct/>
                    <w:topLinePunct w:val="0"/>
                    <w:bidi w:val="0"/>
                    <w:spacing w:line="240" w:lineRule="auto"/>
                    <w:jc w:val="center"/>
                    <w:textAlignment w:val="auto"/>
                    <w:rPr>
                      <w:rFonts w:hint="default"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3</w:t>
                  </w:r>
                </w:p>
              </w:tc>
              <w:tc>
                <w:tcPr>
                  <w:tcW w:w="1409" w:type="pct"/>
                  <w:tcBorders>
                    <w:tl2br w:val="nil"/>
                    <w:tr2bl w:val="nil"/>
                  </w:tcBorders>
                  <w:vAlign w:val="center"/>
                </w:tcPr>
                <w:p w14:paraId="7484D09E">
                  <w:pPr>
                    <w:keepNext w:val="0"/>
                    <w:keepLines w:val="0"/>
                    <w:pageBreakBefore w:val="0"/>
                    <w:widowControl w:val="0"/>
                    <w:kinsoku/>
                    <w:wordWrap/>
                    <w:overflowPunct/>
                    <w:topLinePunct w:val="0"/>
                    <w:bidi w:val="0"/>
                    <w:spacing w:line="240" w:lineRule="auto"/>
                    <w:jc w:val="center"/>
                    <w:textAlignment w:val="auto"/>
                    <w:rPr>
                      <w:rFonts w:hint="default"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点胶</w:t>
                  </w:r>
                </w:p>
              </w:tc>
              <w:tc>
                <w:tcPr>
                  <w:tcW w:w="1584" w:type="pct"/>
                  <w:gridSpan w:val="2"/>
                  <w:tcBorders>
                    <w:tl2br w:val="nil"/>
                    <w:tr2bl w:val="nil"/>
                  </w:tcBorders>
                  <w:vAlign w:val="center"/>
                </w:tcPr>
                <w:p w14:paraId="40AFE308">
                  <w:pPr>
                    <w:keepNext w:val="0"/>
                    <w:keepLines w:val="0"/>
                    <w:pageBreakBefore w:val="0"/>
                    <w:widowControl w:val="0"/>
                    <w:kinsoku/>
                    <w:wordWrap/>
                    <w:overflowPunct/>
                    <w:topLinePunct w:val="0"/>
                    <w:autoSpaceDE w:val="0"/>
                    <w:autoSpaceDN w:val="0"/>
                    <w:bidi w:val="0"/>
                    <w:spacing w:line="240" w:lineRule="auto"/>
                    <w:contextualSpacing/>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VOCs（以非甲烷总烃计）</w:t>
                  </w:r>
                </w:p>
              </w:tc>
              <w:tc>
                <w:tcPr>
                  <w:tcW w:w="1382" w:type="pct"/>
                  <w:tcBorders>
                    <w:tl2br w:val="nil"/>
                    <w:tr2bl w:val="nil"/>
                  </w:tcBorders>
                  <w:vAlign w:val="center"/>
                </w:tcPr>
                <w:p w14:paraId="1E8D19D3">
                  <w:pPr>
                    <w:pStyle w:val="58"/>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default" w:ascii="Times New Roman" w:cs="Times New Roman"/>
                      <w:sz w:val="21"/>
                      <w:szCs w:val="21"/>
                      <w:u w:val="single" w:color="auto"/>
                      <w:vertAlign w:val="baseline"/>
                      <w:lang w:val="en-US" w:eastAsia="zh-CN"/>
                    </w:rPr>
                  </w:pPr>
                  <w:r>
                    <w:rPr>
                      <w:rFonts w:hint="eastAsia" w:ascii="Times New Roman" w:cs="Times New Roman"/>
                      <w:sz w:val="21"/>
                      <w:szCs w:val="21"/>
                      <w:u w:val="single" w:color="auto"/>
                      <w:vertAlign w:val="baseline"/>
                      <w:lang w:val="en-US" w:eastAsia="zh-CN"/>
                    </w:rPr>
                    <w:t>0.0045</w:t>
                  </w:r>
                </w:p>
              </w:tc>
            </w:tr>
          </w:tbl>
          <w:p w14:paraId="4539AF7D">
            <w:pPr>
              <w:spacing w:line="360" w:lineRule="auto"/>
              <w:ind w:firstLine="480" w:firstLineChars="20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③项目大气污染物年排放量核算</w:t>
            </w:r>
          </w:p>
          <w:p w14:paraId="0B390EED">
            <w:pPr>
              <w:pStyle w:val="42"/>
              <w:bidi w:val="0"/>
              <w:rPr>
                <w:u w:val="none" w:color="auto"/>
              </w:rPr>
            </w:pPr>
            <w:r>
              <w:rPr>
                <w:u w:val="none" w:color="auto"/>
              </w:rPr>
              <w:t>表</w:t>
            </w:r>
            <w:r>
              <w:rPr>
                <w:rFonts w:hint="eastAsia"/>
                <w:u w:val="none" w:color="auto"/>
              </w:rPr>
              <w:t>4-</w:t>
            </w:r>
            <w:r>
              <w:rPr>
                <w:rFonts w:hint="eastAsia"/>
                <w:u w:val="none" w:color="auto"/>
                <w:lang w:val="en-US" w:eastAsia="zh-CN"/>
              </w:rPr>
              <w:t>6</w:t>
            </w:r>
            <w:r>
              <w:rPr>
                <w:u w:val="none" w:color="auto"/>
              </w:rPr>
              <w:t xml:space="preserve">  大气污染物年排放量核算表</w:t>
            </w:r>
          </w:p>
          <w:tbl>
            <w:tblPr>
              <w:tblStyle w:val="33"/>
              <w:tblW w:w="4994"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719"/>
              <w:gridCol w:w="1546"/>
              <w:gridCol w:w="1546"/>
              <w:gridCol w:w="3753"/>
            </w:tblGrid>
            <w:tr w14:paraId="3E1E3C6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03" w:type="pct"/>
                  <w:tcBorders>
                    <w:tl2br w:val="nil"/>
                    <w:tr2bl w:val="nil"/>
                  </w:tcBorders>
                  <w:vAlign w:val="center"/>
                </w:tcPr>
                <w:p w14:paraId="08169BEF">
                  <w:pPr>
                    <w:spacing w:line="259" w:lineRule="auto"/>
                    <w:jc w:val="center"/>
                    <w:rPr>
                      <w:b w:val="0"/>
                      <w:bCs/>
                      <w:color w:val="000000" w:themeColor="text1"/>
                      <w:sz w:val="21"/>
                      <w:szCs w:val="21"/>
                      <w:u w:val="none" w:color="auto"/>
                      <w14:textFill>
                        <w14:solidFill>
                          <w14:schemeClr w14:val="tx1"/>
                        </w14:solidFill>
                      </w14:textFill>
                    </w:rPr>
                  </w:pPr>
                  <w:r>
                    <w:rPr>
                      <w:b w:val="0"/>
                      <w:bCs/>
                      <w:color w:val="000000" w:themeColor="text1"/>
                      <w:sz w:val="21"/>
                      <w:szCs w:val="21"/>
                      <w:u w:val="none" w:color="auto"/>
                      <w14:textFill>
                        <w14:solidFill>
                          <w14:schemeClr w14:val="tx1"/>
                        </w14:solidFill>
                      </w14:textFill>
                    </w:rPr>
                    <w:t>序号</w:t>
                  </w:r>
                </w:p>
              </w:tc>
              <w:tc>
                <w:tcPr>
                  <w:tcW w:w="1805" w:type="pct"/>
                  <w:gridSpan w:val="2"/>
                  <w:tcBorders>
                    <w:tl2br w:val="nil"/>
                    <w:tr2bl w:val="nil"/>
                  </w:tcBorders>
                  <w:vAlign w:val="center"/>
                </w:tcPr>
                <w:p w14:paraId="38134CE9">
                  <w:pPr>
                    <w:spacing w:line="259" w:lineRule="auto"/>
                    <w:jc w:val="center"/>
                    <w:rPr>
                      <w:b w:val="0"/>
                      <w:bCs/>
                      <w:color w:val="000000" w:themeColor="text1"/>
                      <w:sz w:val="21"/>
                      <w:szCs w:val="21"/>
                      <w:u w:val="none" w:color="auto"/>
                      <w14:textFill>
                        <w14:solidFill>
                          <w14:schemeClr w14:val="tx1"/>
                        </w14:solidFill>
                      </w14:textFill>
                    </w:rPr>
                  </w:pPr>
                  <w:r>
                    <w:rPr>
                      <w:b w:val="0"/>
                      <w:bCs/>
                      <w:color w:val="000000" w:themeColor="text1"/>
                      <w:sz w:val="21"/>
                      <w:szCs w:val="21"/>
                      <w:u w:val="none" w:color="auto"/>
                      <w14:textFill>
                        <w14:solidFill>
                          <w14:schemeClr w14:val="tx1"/>
                        </w14:solidFill>
                      </w14:textFill>
                    </w:rPr>
                    <w:t>污染物</w:t>
                  </w:r>
                </w:p>
              </w:tc>
              <w:tc>
                <w:tcPr>
                  <w:tcW w:w="2191" w:type="pct"/>
                  <w:tcBorders>
                    <w:tl2br w:val="nil"/>
                    <w:tr2bl w:val="nil"/>
                  </w:tcBorders>
                  <w:vAlign w:val="center"/>
                </w:tcPr>
                <w:p w14:paraId="6B3AD64F">
                  <w:pPr>
                    <w:spacing w:line="259" w:lineRule="auto"/>
                    <w:jc w:val="center"/>
                    <w:rPr>
                      <w:rFonts w:hint="eastAsia" w:eastAsia="宋体"/>
                      <w:b w:val="0"/>
                      <w:bCs/>
                      <w:color w:val="000000" w:themeColor="text1"/>
                      <w:sz w:val="21"/>
                      <w:szCs w:val="21"/>
                      <w:u w:val="none" w:color="auto"/>
                      <w:lang w:eastAsia="zh-CN"/>
                      <w14:textFill>
                        <w14:solidFill>
                          <w14:schemeClr w14:val="tx1"/>
                        </w14:solidFill>
                      </w14:textFill>
                    </w:rPr>
                  </w:pPr>
                  <w:r>
                    <w:rPr>
                      <w:b w:val="0"/>
                      <w:bCs/>
                      <w:color w:val="000000" w:themeColor="text1"/>
                      <w:sz w:val="21"/>
                      <w:szCs w:val="21"/>
                      <w:u w:val="none" w:color="auto"/>
                      <w14:textFill>
                        <w14:solidFill>
                          <w14:schemeClr w14:val="tx1"/>
                        </w14:solidFill>
                      </w14:textFill>
                    </w:rPr>
                    <w:t>年排放量</w:t>
                  </w:r>
                  <w:r>
                    <w:rPr>
                      <w:rFonts w:hint="eastAsia"/>
                      <w:b w:val="0"/>
                      <w:bCs/>
                      <w:color w:val="000000" w:themeColor="text1"/>
                      <w:sz w:val="21"/>
                      <w:szCs w:val="21"/>
                      <w:u w:val="none" w:color="auto"/>
                      <w:lang w:eastAsia="zh-CN"/>
                      <w14:textFill>
                        <w14:solidFill>
                          <w14:schemeClr w14:val="tx1"/>
                        </w14:solidFill>
                      </w14:textFill>
                    </w:rPr>
                    <w:t>（</w:t>
                  </w:r>
                  <w:r>
                    <w:rPr>
                      <w:rFonts w:hint="eastAsia"/>
                      <w:b w:val="0"/>
                      <w:bCs/>
                      <w:color w:val="000000" w:themeColor="text1"/>
                      <w:sz w:val="21"/>
                      <w:szCs w:val="21"/>
                      <w:u w:val="none" w:color="auto"/>
                      <w:lang w:val="en-US" w:eastAsia="zh-CN"/>
                      <w14:textFill>
                        <w14:solidFill>
                          <w14:schemeClr w14:val="tx1"/>
                        </w14:solidFill>
                      </w14:textFill>
                    </w:rPr>
                    <w:t>t/a</w:t>
                  </w:r>
                  <w:r>
                    <w:rPr>
                      <w:rFonts w:hint="eastAsia"/>
                      <w:b w:val="0"/>
                      <w:bCs/>
                      <w:color w:val="000000" w:themeColor="text1"/>
                      <w:sz w:val="21"/>
                      <w:szCs w:val="21"/>
                      <w:u w:val="none" w:color="auto"/>
                      <w:lang w:eastAsia="zh-CN"/>
                      <w14:textFill>
                        <w14:solidFill>
                          <w14:schemeClr w14:val="tx1"/>
                        </w14:solidFill>
                      </w14:textFill>
                    </w:rPr>
                    <w:t>）</w:t>
                  </w:r>
                </w:p>
              </w:tc>
            </w:tr>
            <w:tr w14:paraId="1929917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03" w:type="pct"/>
                  <w:tcBorders>
                    <w:tl2br w:val="nil"/>
                    <w:tr2bl w:val="nil"/>
                  </w:tcBorders>
                  <w:vAlign w:val="center"/>
                </w:tcPr>
                <w:p w14:paraId="7DF4582C">
                  <w:pPr>
                    <w:spacing w:line="259" w:lineRule="auto"/>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1</w:t>
                  </w:r>
                </w:p>
              </w:tc>
              <w:tc>
                <w:tcPr>
                  <w:tcW w:w="1805" w:type="pct"/>
                  <w:gridSpan w:val="2"/>
                  <w:tcBorders>
                    <w:tl2br w:val="nil"/>
                    <w:tr2bl w:val="nil"/>
                  </w:tcBorders>
                  <w:vAlign w:val="center"/>
                </w:tcPr>
                <w:p w14:paraId="1BBE83C7">
                  <w:pPr>
                    <w:pStyle w:val="41"/>
                    <w:bidi w:val="0"/>
                    <w:rPr>
                      <w:rFonts w:hint="default"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lang w:val="en-US" w:eastAsia="zh-CN"/>
                    </w:rPr>
                    <w:t>颗粒物</w:t>
                  </w:r>
                </w:p>
              </w:tc>
              <w:tc>
                <w:tcPr>
                  <w:tcW w:w="2191" w:type="pct"/>
                  <w:tcBorders>
                    <w:tl2br w:val="nil"/>
                    <w:tr2bl w:val="nil"/>
                  </w:tcBorders>
                  <w:vAlign w:val="center"/>
                </w:tcPr>
                <w:p w14:paraId="38283C75">
                  <w:pPr>
                    <w:pStyle w:val="41"/>
                    <w:bidi w:val="0"/>
                    <w:rPr>
                      <w:rFonts w:hint="default"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cs="Times New Roman"/>
                      <w:color w:val="000000" w:themeColor="text1"/>
                      <w:kern w:val="2"/>
                      <w:sz w:val="21"/>
                      <w:szCs w:val="21"/>
                      <w:u w:val="none" w:color="auto"/>
                      <w:lang w:val="en-US" w:eastAsia="zh-CN" w:bidi="ar-SA"/>
                      <w14:textFill>
                        <w14:solidFill>
                          <w14:schemeClr w14:val="tx1"/>
                        </w14:solidFill>
                      </w14:textFill>
                    </w:rPr>
                    <w:t>0.0000198</w:t>
                  </w:r>
                </w:p>
              </w:tc>
            </w:tr>
            <w:tr w14:paraId="014232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03" w:type="pct"/>
                  <w:tcBorders>
                    <w:tl2br w:val="nil"/>
                    <w:tr2bl w:val="nil"/>
                  </w:tcBorders>
                  <w:vAlign w:val="center"/>
                </w:tcPr>
                <w:p w14:paraId="179371B6">
                  <w:pPr>
                    <w:spacing w:line="259" w:lineRule="auto"/>
                    <w:jc w:val="center"/>
                    <w:rPr>
                      <w:rFonts w:hint="eastAsia"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2</w:t>
                  </w:r>
                </w:p>
              </w:tc>
              <w:tc>
                <w:tcPr>
                  <w:tcW w:w="1805" w:type="pct"/>
                  <w:gridSpan w:val="2"/>
                  <w:tcBorders>
                    <w:tl2br w:val="nil"/>
                    <w:tr2bl w:val="nil"/>
                  </w:tcBorders>
                  <w:vAlign w:val="center"/>
                </w:tcPr>
                <w:p w14:paraId="0E955093">
                  <w:pPr>
                    <w:pStyle w:val="41"/>
                    <w:bidi w:val="0"/>
                    <w:rPr>
                      <w:rFonts w:hint="default"/>
                      <w:lang w:val="en-US" w:eastAsia="zh-CN"/>
                    </w:rPr>
                  </w:pPr>
                  <w:r>
                    <w:rPr>
                      <w:rFonts w:hint="eastAsia"/>
                      <w:lang w:val="en-US" w:eastAsia="zh-CN"/>
                    </w:rPr>
                    <w:t>锡及其化合物</w:t>
                  </w:r>
                </w:p>
              </w:tc>
              <w:tc>
                <w:tcPr>
                  <w:tcW w:w="2191" w:type="pct"/>
                  <w:tcBorders>
                    <w:tl2br w:val="nil"/>
                    <w:tr2bl w:val="nil"/>
                  </w:tcBorders>
                  <w:vAlign w:val="center"/>
                </w:tcPr>
                <w:p w14:paraId="2755F85D">
                  <w:pPr>
                    <w:pStyle w:val="41"/>
                    <w:bidi w:val="0"/>
                    <w:rPr>
                      <w:rFonts w:hint="default" w:cs="Times New Roman"/>
                      <w:color w:val="000000" w:themeColor="text1"/>
                      <w:kern w:val="2"/>
                      <w:sz w:val="21"/>
                      <w:szCs w:val="21"/>
                      <w:u w:val="none" w:color="auto"/>
                      <w:lang w:val="en-US" w:eastAsia="zh-CN" w:bidi="ar-SA"/>
                      <w14:textFill>
                        <w14:solidFill>
                          <w14:schemeClr w14:val="tx1"/>
                        </w14:solidFill>
                      </w14:textFill>
                    </w:rPr>
                  </w:pPr>
                  <w:r>
                    <w:rPr>
                      <w:rFonts w:hint="eastAsia" w:cs="Times New Roman"/>
                      <w:color w:val="000000" w:themeColor="text1"/>
                      <w:kern w:val="2"/>
                      <w:sz w:val="21"/>
                      <w:szCs w:val="21"/>
                      <w:u w:val="none" w:color="auto"/>
                      <w:lang w:val="en-US" w:eastAsia="zh-CN" w:bidi="ar-SA"/>
                      <w14:textFill>
                        <w14:solidFill>
                          <w14:schemeClr w14:val="tx1"/>
                        </w14:solidFill>
                      </w14:textFill>
                    </w:rPr>
                    <w:t>0.0001782</w:t>
                  </w:r>
                </w:p>
              </w:tc>
            </w:tr>
            <w:tr w14:paraId="45B04B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2" w:hRule="atLeast"/>
                <w:jc w:val="center"/>
              </w:trPr>
              <w:tc>
                <w:tcPr>
                  <w:tcW w:w="1003" w:type="pct"/>
                  <w:vMerge w:val="restart"/>
                  <w:tcBorders>
                    <w:tl2br w:val="nil"/>
                    <w:tr2bl w:val="nil"/>
                  </w:tcBorders>
                  <w:vAlign w:val="center"/>
                </w:tcPr>
                <w:p w14:paraId="6AACFD20">
                  <w:pPr>
                    <w:spacing w:line="259" w:lineRule="auto"/>
                    <w:jc w:val="center"/>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3</w:t>
                  </w:r>
                </w:p>
              </w:tc>
              <w:tc>
                <w:tcPr>
                  <w:tcW w:w="902" w:type="pct"/>
                  <w:vMerge w:val="restart"/>
                  <w:tcBorders>
                    <w:tl2br w:val="nil"/>
                    <w:tr2bl w:val="nil"/>
                  </w:tcBorders>
                  <w:vAlign w:val="center"/>
                </w:tcPr>
                <w:p w14:paraId="1F8E3CD7">
                  <w:pPr>
                    <w:pStyle w:val="41"/>
                    <w:bidi w:val="0"/>
                    <w:rPr>
                      <w:rFonts w:hint="eastAsia" w:cs="Times New Roman"/>
                      <w:color w:val="000000" w:themeColor="text1"/>
                      <w:kern w:val="2"/>
                      <w:sz w:val="21"/>
                      <w:szCs w:val="21"/>
                      <w:u w:val="none" w:color="auto"/>
                      <w:lang w:val="en-US" w:eastAsia="zh-CN" w:bidi="ar-SA"/>
                      <w14:textFill>
                        <w14:solidFill>
                          <w14:schemeClr w14:val="tx1"/>
                        </w14:solidFill>
                      </w14:textFill>
                    </w:rPr>
                  </w:pPr>
                  <w:r>
                    <w:rPr>
                      <w:rFonts w:hint="eastAsia"/>
                      <w:lang w:val="en-US" w:eastAsia="zh-CN"/>
                    </w:rPr>
                    <w:t>VOCs</w:t>
                  </w:r>
                </w:p>
              </w:tc>
              <w:tc>
                <w:tcPr>
                  <w:tcW w:w="1546" w:type="dxa"/>
                  <w:tcBorders>
                    <w:tl2br w:val="nil"/>
                    <w:tr2bl w:val="nil"/>
                  </w:tcBorders>
                  <w:vAlign w:val="center"/>
                </w:tcPr>
                <w:p w14:paraId="174041D8">
                  <w:pPr>
                    <w:keepNext w:val="0"/>
                    <w:keepLines w:val="0"/>
                    <w:pageBreakBefore w:val="0"/>
                    <w:widowControl w:val="0"/>
                    <w:kinsoku/>
                    <w:wordWrap/>
                    <w:overflowPunct/>
                    <w:topLinePunct w:val="0"/>
                    <w:bidi w:val="0"/>
                    <w:spacing w:line="240" w:lineRule="auto"/>
                    <w:jc w:val="center"/>
                    <w:textAlignment w:val="auto"/>
                    <w:rPr>
                      <w:rFonts w:hint="eastAsia"/>
                      <w:lang w:val="en-US" w:eastAsia="zh-CN"/>
                    </w:rPr>
                  </w:pPr>
                  <w:r>
                    <w:rPr>
                      <w:rFonts w:hint="eastAsia"/>
                      <w:sz w:val="21"/>
                      <w:szCs w:val="21"/>
                      <w:lang w:val="en-US" w:eastAsia="zh-CN"/>
                    </w:rPr>
                    <w:t>非甲烷总烃</w:t>
                  </w:r>
                </w:p>
              </w:tc>
              <w:tc>
                <w:tcPr>
                  <w:tcW w:w="2191" w:type="pct"/>
                  <w:tcBorders>
                    <w:tl2br w:val="nil"/>
                    <w:tr2bl w:val="nil"/>
                  </w:tcBorders>
                  <w:vAlign w:val="center"/>
                </w:tcPr>
                <w:p w14:paraId="6272EB92">
                  <w:pPr>
                    <w:pStyle w:val="41"/>
                    <w:bidi w:val="0"/>
                    <w:rPr>
                      <w:rFonts w:hint="default"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cs="Times New Roman"/>
                      <w:color w:val="000000" w:themeColor="text1"/>
                      <w:kern w:val="2"/>
                      <w:sz w:val="21"/>
                      <w:szCs w:val="21"/>
                      <w:u w:val="none" w:color="auto"/>
                      <w:lang w:val="en-US" w:eastAsia="zh-CN" w:bidi="ar-SA"/>
                      <w14:textFill>
                        <w14:solidFill>
                          <w14:schemeClr w14:val="tx1"/>
                        </w14:solidFill>
                      </w14:textFill>
                    </w:rPr>
                    <w:t>0.7295</w:t>
                  </w:r>
                </w:p>
              </w:tc>
            </w:tr>
            <w:tr w14:paraId="5055CF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1003" w:type="pct"/>
                  <w:vMerge w:val="continue"/>
                  <w:tcBorders>
                    <w:tl2br w:val="nil"/>
                    <w:tr2bl w:val="nil"/>
                  </w:tcBorders>
                  <w:vAlign w:val="center"/>
                </w:tcPr>
                <w:p w14:paraId="0FA57190">
                  <w:pPr>
                    <w:spacing w:line="259" w:lineRule="auto"/>
                    <w:jc w:val="center"/>
                    <w:rPr>
                      <w:rFonts w:hint="eastAsia"/>
                      <w:color w:val="000000" w:themeColor="text1"/>
                      <w:sz w:val="21"/>
                      <w:szCs w:val="21"/>
                      <w:u w:val="none" w:color="auto"/>
                      <w:lang w:val="en-US" w:eastAsia="zh-CN"/>
                      <w14:textFill>
                        <w14:solidFill>
                          <w14:schemeClr w14:val="tx1"/>
                        </w14:solidFill>
                      </w14:textFill>
                    </w:rPr>
                  </w:pPr>
                </w:p>
              </w:tc>
              <w:tc>
                <w:tcPr>
                  <w:tcW w:w="902" w:type="pct"/>
                  <w:vMerge w:val="continue"/>
                  <w:tcBorders>
                    <w:tl2br w:val="nil"/>
                    <w:tr2bl w:val="nil"/>
                  </w:tcBorders>
                  <w:vAlign w:val="center"/>
                </w:tcPr>
                <w:p w14:paraId="4E762C78">
                  <w:pPr>
                    <w:pStyle w:val="41"/>
                    <w:bidi w:val="0"/>
                    <w:rPr>
                      <w:rFonts w:hint="eastAsia"/>
                      <w:lang w:val="en-US" w:eastAsia="zh-CN"/>
                    </w:rPr>
                  </w:pPr>
                </w:p>
              </w:tc>
              <w:tc>
                <w:tcPr>
                  <w:tcW w:w="1546" w:type="dxa"/>
                  <w:tcBorders>
                    <w:tl2br w:val="nil"/>
                    <w:tr2bl w:val="nil"/>
                  </w:tcBorders>
                  <w:vAlign w:val="center"/>
                </w:tcPr>
                <w:p w14:paraId="19C5AE4D">
                  <w:pPr>
                    <w:keepNext w:val="0"/>
                    <w:keepLines w:val="0"/>
                    <w:pageBreakBefore w:val="0"/>
                    <w:widowControl w:val="0"/>
                    <w:kinsoku/>
                    <w:wordWrap/>
                    <w:overflowPunct/>
                    <w:topLinePunct w:val="0"/>
                    <w:bidi w:val="0"/>
                    <w:spacing w:line="240" w:lineRule="auto"/>
                    <w:jc w:val="center"/>
                    <w:textAlignment w:val="auto"/>
                    <w:rPr>
                      <w:rFonts w:hint="eastAsia"/>
                      <w:lang w:val="en-US" w:eastAsia="zh-CN"/>
                    </w:rPr>
                  </w:pPr>
                  <w:r>
                    <w:rPr>
                      <w:rFonts w:hint="eastAsia" w:cs="Times New Roman"/>
                      <w:b w:val="0"/>
                      <w:bCs w:val="0"/>
                      <w:color w:val="000000" w:themeColor="text1"/>
                      <w:sz w:val="21"/>
                      <w:szCs w:val="21"/>
                      <w:u w:val="none" w:color="auto"/>
                      <w:lang w:val="en-US" w:eastAsia="zh-CN"/>
                      <w14:textFill>
                        <w14:solidFill>
                          <w14:schemeClr w14:val="tx1"/>
                        </w14:solidFill>
                      </w14:textFill>
                    </w:rPr>
                    <w:t>苯系物（二甲苯）</w:t>
                  </w:r>
                </w:p>
              </w:tc>
              <w:tc>
                <w:tcPr>
                  <w:tcW w:w="2191" w:type="pct"/>
                  <w:tcBorders>
                    <w:tl2br w:val="nil"/>
                    <w:tr2bl w:val="nil"/>
                  </w:tcBorders>
                  <w:vAlign w:val="center"/>
                </w:tcPr>
                <w:p w14:paraId="62AD64BF">
                  <w:pPr>
                    <w:pStyle w:val="41"/>
                    <w:bidi w:val="0"/>
                    <w:rPr>
                      <w:rFonts w:hint="default" w:cs="Times New Roman"/>
                      <w:color w:val="000000" w:themeColor="text1"/>
                      <w:kern w:val="2"/>
                      <w:sz w:val="21"/>
                      <w:szCs w:val="21"/>
                      <w:u w:val="none" w:color="auto"/>
                      <w:lang w:val="en-US" w:eastAsia="zh-CN" w:bidi="ar-SA"/>
                      <w14:textFill>
                        <w14:solidFill>
                          <w14:schemeClr w14:val="tx1"/>
                        </w14:solidFill>
                      </w14:textFill>
                    </w:rPr>
                  </w:pPr>
                  <w:r>
                    <w:rPr>
                      <w:rFonts w:hint="eastAsia" w:cs="Times New Roman"/>
                      <w:color w:val="000000" w:themeColor="text1"/>
                      <w:kern w:val="2"/>
                      <w:sz w:val="21"/>
                      <w:szCs w:val="21"/>
                      <w:u w:val="none" w:color="auto"/>
                      <w:lang w:val="en-US" w:eastAsia="zh-CN" w:bidi="ar-SA"/>
                      <w14:textFill>
                        <w14:solidFill>
                          <w14:schemeClr w14:val="tx1"/>
                        </w14:solidFill>
                      </w14:textFill>
                    </w:rPr>
                    <w:t>0.1265</w:t>
                  </w:r>
                </w:p>
              </w:tc>
            </w:tr>
          </w:tbl>
          <w:p w14:paraId="5DC4AA69">
            <w:pPr>
              <w:spacing w:line="360" w:lineRule="auto"/>
              <w:ind w:firstLine="482" w:firstLineChars="200"/>
              <w:rPr>
                <w:rFonts w:hint="default" w:ascii="Times New Roman" w:hAnsi="Times New Roman" w:eastAsia="宋体" w:cs="Times New Roman"/>
                <w:color w:val="000000" w:themeColor="text1"/>
                <w:u w:val="none" w:color="auto"/>
                <w:lang w:val="en-US"/>
                <w14:textFill>
                  <w14:solidFill>
                    <w14:schemeClr w14:val="tx1"/>
                  </w14:solidFill>
                </w14:textFill>
              </w:rPr>
            </w:pPr>
            <w:r>
              <w:rPr>
                <w:rFonts w:hint="eastAsia"/>
                <w:b/>
                <w:bCs/>
                <w:color w:val="000000" w:themeColor="text1"/>
                <w:kern w:val="0"/>
                <w:u w:val="none" w:color="auto"/>
                <w:lang w:eastAsia="zh-CN"/>
                <w14:textFill>
                  <w14:solidFill>
                    <w14:schemeClr w14:val="tx1"/>
                  </w14:solidFill>
                </w14:textFill>
              </w:rPr>
              <w:t>（</w:t>
            </w:r>
            <w:r>
              <w:rPr>
                <w:rFonts w:hint="eastAsia"/>
                <w:b/>
                <w:bCs/>
                <w:color w:val="000000" w:themeColor="text1"/>
                <w:kern w:val="0"/>
                <w:u w:val="none" w:color="auto"/>
                <w:lang w:val="en-US" w:eastAsia="zh-CN"/>
                <w14:textFill>
                  <w14:solidFill>
                    <w14:schemeClr w14:val="tx1"/>
                  </w14:solidFill>
                </w14:textFill>
              </w:rPr>
              <w:t>3</w:t>
            </w:r>
            <w:r>
              <w:rPr>
                <w:rFonts w:hint="eastAsia"/>
                <w:b/>
                <w:bCs/>
                <w:color w:val="000000" w:themeColor="text1"/>
                <w:kern w:val="0"/>
                <w:u w:val="none" w:color="auto"/>
                <w:lang w:eastAsia="zh-CN"/>
                <w14:textFill>
                  <w14:solidFill>
                    <w14:schemeClr w14:val="tx1"/>
                  </w14:solidFill>
                </w14:textFill>
              </w:rPr>
              <w:t>）</w:t>
            </w:r>
            <w:r>
              <w:rPr>
                <w:rFonts w:hint="eastAsia"/>
                <w:b/>
                <w:bCs/>
                <w:color w:val="000000" w:themeColor="text1"/>
                <w:kern w:val="0"/>
                <w:u w:val="none" w:color="auto"/>
                <w:lang w:val="en-US" w:eastAsia="zh-CN"/>
                <w14:textFill>
                  <w14:solidFill>
                    <w14:schemeClr w14:val="tx1"/>
                  </w14:solidFill>
                </w14:textFill>
              </w:rPr>
              <w:t>废气治理设施可行性分析</w:t>
            </w:r>
          </w:p>
          <w:p w14:paraId="498B3D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s="Times New Roman"/>
                <w:color w:val="000000" w:themeColor="text1"/>
                <w:u w:val="none" w:color="auto"/>
                <w:lang w:val="en-US" w:eastAsia="zh-CN"/>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1）干式过滤器工艺原理</w:t>
            </w:r>
          </w:p>
          <w:p w14:paraId="64F71575">
            <w:pPr>
              <w:pStyle w:val="2"/>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干式过滤是一种常用的颗粒物净化方法，过滤法主要利用多孔性、高容尘量的过滤材料，藉由惯性碰撞、拦截效应、布朗扩散、静电吸附及重力沉降等物理作用，将固态颗粒物自废气中分离，以达成净化废气的目的。由于一般多采用物理性过滤，随操作时间之增加，过滤材料将逐渐趋于积尘堵塞现象，此时则须进行过滤材料更换工作。</w:t>
            </w:r>
          </w:p>
          <w:p w14:paraId="45D45AE0">
            <w:pPr>
              <w:pStyle w:val="2"/>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在焊锡废气处理过程中，干式过滤器常被用来捕集焊锡烟尘、锡及其化合物、金属氧化物颗粒、粉尘等颗粒物。过滤法主要是采用多孔性固体过滤材料来过滤净化废气中的有害物质，一般指玻璃纤维过滤棉、无纺布过滤袋或合成纤维过滤材料处理，效率一般在80%以上，适合于大多数低浓度含尘废气。可有效去除废气中的大部分颗粒物及金属氧化物烟尘，所以它被世界各国广泛地应用于工业废气预处理、焊锡烟尘净化、打磨粉尘处理等环境保护和职业健康防护领域。</w:t>
            </w:r>
          </w:p>
          <w:p w14:paraId="7007F1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2）活性炭吸附装置工艺原理</w:t>
            </w:r>
          </w:p>
          <w:p w14:paraId="5AB7E6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活性炭吸附是一种常用的吸附方法，吸附法主要利用高孔隙率、高比表面积的吸附剂，藉由物理性吸附(可逆反应)或化学性键结(不可逆反应)作用，将有机气体分子自废气中分离，以达成净化废气的目的。由于一般多采用物理性吸附，随操作时间之增加，吸附剂将逐渐趋于饱和现象，此时则须进行脱附再生或吸附剂更换工作。在有机废气处理过程中，活性炭常被用来吸附烷烃、烯烃、芳香烃、酮、醛、氯代烃、酯以及挥发性有机化合物(VOC)。吸附法主要是采用固体吸附材料来吸附净化废气中的有害物质，一 般指活性炭或碳纤维吸附处理，效率一般在90%以上，适合于大多数VOC 类废气。可有效去除废水、废气中的大部分有机物和某些无机物，所以它被世界各国广泛地应用于污水及废气的处理、空气净化、回收溶剂等环境保护和资源回收等领域。</w:t>
            </w:r>
          </w:p>
          <w:p w14:paraId="262692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根据生态环境部印发《2020年挥发性有机物治理攻坚方案》(环大气(2020)33号)，明确采用一次性活性炭吸附技术的，应选择碘值不低于800毫克/克的</w:t>
            </w:r>
            <w:r>
              <w:rPr>
                <w:rFonts w:hint="eastAsia" w:cs="Times New Roman"/>
                <w:color w:val="000000" w:themeColor="text1"/>
                <w:u w:val="none" w:color="auto"/>
                <w:lang w:val="en-US" w:eastAsia="zh-CN"/>
                <w14:textFill>
                  <w14:solidFill>
                    <w14:schemeClr w14:val="tx1"/>
                  </w14:solidFill>
                </w14:textFill>
              </w:rPr>
              <w:t>颗粒</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活性炭，并按设计要求足量添加、及时更换。企业可以通过“一看、二称、三试、四测”的简便方法鉴别活性炭优劣，同时应备好所购活性炭厂家关于活性炭碘吸附值(碘值)、四氯化碳吸附值(CTC)、亚甲基蓝吸附值、比表面积等产品质量证明材料用以备查。</w:t>
            </w:r>
          </w:p>
          <w:p w14:paraId="4970E4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企业采用一次性</w:t>
            </w:r>
            <w:r>
              <w:rPr>
                <w:rFonts w:hint="eastAsia" w:cs="Times New Roman"/>
                <w:color w:val="000000" w:themeColor="text1"/>
                <w:u w:val="none" w:color="auto"/>
                <w:lang w:val="en-US" w:eastAsia="zh-CN"/>
                <w14:textFill>
                  <w14:solidFill>
                    <w14:schemeClr w14:val="tx1"/>
                  </w14:solidFill>
                </w14:textFill>
              </w:rPr>
              <w:t>颗粒</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状活性炭处理VOCs废气，年活性炭使用量不应低于VOCs产生量的3倍。本项目需活性炭吸附的有</w:t>
            </w:r>
            <w:r>
              <w:rPr>
                <w:rFonts w:hint="eastAsia" w:cs="Times New Roman"/>
                <w:color w:val="000000" w:themeColor="text1"/>
                <w:u w:val="none" w:color="auto"/>
                <w:lang w:val="en-US" w:eastAsia="zh-CN"/>
                <w14:textFill>
                  <w14:solidFill>
                    <w14:schemeClr w14:val="tx1"/>
                  </w14:solidFill>
                </w14:textFill>
              </w:rPr>
              <w:t>机废气量为0.6785t/a（VOCs（以非甲烷总烃计）0.575</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t/a</w:t>
            </w:r>
            <w:r>
              <w:rPr>
                <w:rFonts w:hint="eastAsia" w:cs="Times New Roman"/>
                <w:color w:val="000000" w:themeColor="text1"/>
                <w:u w:val="none" w:color="auto"/>
                <w:lang w:val="en-US" w:eastAsia="zh-CN"/>
                <w14:textFill>
                  <w14:solidFill>
                    <w14:schemeClr w14:val="tx1"/>
                  </w14:solidFill>
                </w14:textFill>
              </w:rPr>
              <w:t>、苯系物0.1035t/a）</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预计需</w:t>
            </w:r>
            <w:r>
              <w:rPr>
                <w:rFonts w:hint="eastAsia" w:cs="Times New Roman"/>
                <w:color w:val="000000" w:themeColor="text1"/>
                <w:u w:val="none" w:color="auto"/>
                <w:lang w:val="en-US" w:eastAsia="zh-CN"/>
                <w14:textFill>
                  <w14:solidFill>
                    <w14:schemeClr w14:val="tx1"/>
                  </w14:solidFill>
                </w14:textFill>
              </w:rPr>
              <w:t>约2.04</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吨活性炭进行吸附，故本项目活性炭填充量约</w:t>
            </w:r>
            <w:r>
              <w:rPr>
                <w:rFonts w:hint="eastAsia" w:cs="Times New Roman"/>
                <w:color w:val="000000" w:themeColor="text1"/>
                <w:u w:val="none" w:color="auto"/>
                <w:lang w:val="en-US" w:eastAsia="zh-CN"/>
                <w14:textFill>
                  <w14:solidFill>
                    <w14:schemeClr w14:val="tx1"/>
                  </w14:solidFill>
                </w14:textFill>
              </w:rPr>
              <w:t>2.04</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t/a。</w:t>
            </w:r>
          </w:p>
          <w:p w14:paraId="322E7594">
            <w:pPr>
              <w:pStyle w:val="40"/>
              <w:bidi w:val="0"/>
              <w:rPr>
                <w:rFonts w:hint="default"/>
                <w:lang w:val="en-US" w:eastAsia="zh-CN"/>
              </w:rPr>
            </w:pPr>
            <w:r>
              <w:rPr>
                <w:rFonts w:hint="eastAsia"/>
                <w:lang w:val="en-US" w:eastAsia="zh-CN"/>
              </w:rPr>
              <w:t>①活性炭更换周期</w:t>
            </w:r>
          </w:p>
          <w:p w14:paraId="517430CA">
            <w:pPr>
              <w:pStyle w:val="40"/>
              <w:bidi w:val="0"/>
              <w:rPr>
                <w:rFonts w:hint="eastAsia"/>
                <w:b w:val="0"/>
                <w:bCs w:val="0"/>
                <w:color w:val="000000" w:themeColor="text1"/>
                <w:kern w:val="0"/>
                <w:u w:val="none" w:color="auto"/>
                <w:lang w:val="en-US" w:eastAsia="zh-CN"/>
                <w14:textFill>
                  <w14:solidFill>
                    <w14:schemeClr w14:val="tx1"/>
                  </w14:solidFill>
                </w14:textFill>
              </w:rPr>
            </w:pPr>
            <w:r>
              <w:rPr>
                <w:rFonts w:hint="eastAsia"/>
                <w:b w:val="0"/>
                <w:bCs w:val="0"/>
                <w:color w:val="000000" w:themeColor="text1"/>
                <w:kern w:val="0"/>
                <w:u w:val="none" w:color="auto"/>
                <w:lang w:val="en-US" w:eastAsia="zh-CN"/>
                <w14:textFill>
                  <w14:solidFill>
                    <w14:schemeClr w14:val="tx1"/>
                  </w14:solidFill>
                </w14:textFill>
              </w:rPr>
              <w:t>应根据废气活性炭吸附处理设施设计方案确定活性炭更换周期，原则上活性炭更换周期一般不应超过累计运行500小时或3个月。</w:t>
            </w:r>
          </w:p>
          <w:p w14:paraId="25031E71">
            <w:pPr>
              <w:pStyle w:val="40"/>
              <w:bidi w:val="0"/>
              <w:rPr>
                <w:rFonts w:hint="eastAsia"/>
                <w:b w:val="0"/>
                <w:bCs w:val="0"/>
                <w:color w:val="000000" w:themeColor="text1"/>
                <w:kern w:val="0"/>
                <w:u w:val="none" w:color="auto"/>
                <w:lang w:val="en-US" w:eastAsia="zh-CN"/>
                <w14:textFill>
                  <w14:solidFill>
                    <w14:schemeClr w14:val="tx1"/>
                  </w14:solidFill>
                </w14:textFill>
              </w:rPr>
            </w:pPr>
            <w:r>
              <w:rPr>
                <w:rFonts w:hint="eastAsia"/>
                <w:b w:val="0"/>
                <w:bCs w:val="0"/>
                <w:color w:val="000000" w:themeColor="text1"/>
                <w:kern w:val="0"/>
                <w:u w:val="none" w:color="auto"/>
                <w:lang w:val="en-US" w:eastAsia="zh-CN"/>
                <w14:textFill>
                  <w14:solidFill>
                    <w14:schemeClr w14:val="tx1"/>
                  </w14:solidFill>
                </w14:textFill>
              </w:rPr>
              <w:t>参照江苏省生态环境厅发布的《省生态环境厅关于将排污单位活性炭使用更换纳入排污许可管理的通知》附件中的公式计算活性炭更换周期：</w:t>
            </w:r>
          </w:p>
          <w:p w14:paraId="0D378E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color w:val="auto"/>
                <w:sz w:val="24"/>
                <w:szCs w:val="24"/>
                <w:u w:val="none" w:color="auto"/>
                <w:lang w:val="en-US" w:eastAsia="zh-CN"/>
              </w:rPr>
            </w:pPr>
            <w:r>
              <w:rPr>
                <w:rFonts w:hint="eastAsia"/>
                <w:color w:val="auto"/>
                <w:sz w:val="24"/>
                <w:szCs w:val="24"/>
                <w:u w:val="none" w:color="auto"/>
                <w:lang w:val="en-US" w:eastAsia="zh-CN"/>
              </w:rPr>
              <w:t>T=m</w:t>
            </w:r>
            <w:r>
              <w:rPr>
                <w:rFonts w:hint="eastAsia"/>
                <w:color w:val="auto"/>
                <w:sz w:val="24"/>
                <w:szCs w:val="24"/>
                <w:u w:val="none" w:color="auto"/>
                <w:vertAlign w:val="baseline"/>
                <w:lang w:val="en-US" w:eastAsia="zh-CN"/>
              </w:rPr>
              <w:t>*</w:t>
            </w:r>
            <w:r>
              <w:rPr>
                <w:rFonts w:hint="eastAsia"/>
                <w:color w:val="auto"/>
                <w:sz w:val="24"/>
                <w:szCs w:val="24"/>
                <w:u w:val="none" w:color="auto"/>
                <w:lang w:val="en-US" w:eastAsia="zh-CN"/>
              </w:rPr>
              <w:t>s/ (c*10</w:t>
            </w:r>
            <w:r>
              <w:rPr>
                <w:rFonts w:hint="eastAsia"/>
                <w:color w:val="auto"/>
                <w:sz w:val="24"/>
                <w:szCs w:val="24"/>
                <w:u w:val="none" w:color="auto"/>
                <w:vertAlign w:val="superscript"/>
                <w:lang w:val="en-US" w:eastAsia="zh-CN"/>
              </w:rPr>
              <w:t>-6</w:t>
            </w:r>
            <w:r>
              <w:rPr>
                <w:rFonts w:hint="eastAsia"/>
                <w:color w:val="auto"/>
                <w:sz w:val="24"/>
                <w:szCs w:val="24"/>
                <w:u w:val="none" w:color="auto"/>
                <w:lang w:val="en-US" w:eastAsia="zh-CN"/>
              </w:rPr>
              <w:t>*Q*t)</w:t>
            </w:r>
          </w:p>
          <w:p w14:paraId="15B9A9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none" w:color="auto"/>
                <w:lang w:val="en-US" w:eastAsia="zh-CN"/>
              </w:rPr>
            </w:pPr>
            <w:r>
              <w:rPr>
                <w:rFonts w:hint="eastAsia"/>
                <w:color w:val="auto"/>
                <w:sz w:val="24"/>
                <w:szCs w:val="24"/>
                <w:u w:val="none" w:color="auto"/>
                <w:lang w:val="en-US" w:eastAsia="zh-CN"/>
              </w:rPr>
              <w:t>式中:</w:t>
            </w:r>
          </w:p>
          <w:p w14:paraId="0DC409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none" w:color="auto"/>
                <w:lang w:val="en-US" w:eastAsia="zh-CN"/>
              </w:rPr>
            </w:pPr>
            <w:r>
              <w:rPr>
                <w:rFonts w:hint="eastAsia"/>
                <w:color w:val="auto"/>
                <w:sz w:val="24"/>
                <w:szCs w:val="24"/>
                <w:u w:val="none" w:color="auto"/>
                <w:lang w:val="en-US" w:eastAsia="zh-CN"/>
              </w:rPr>
              <w:t>T-更换周期，天；</w:t>
            </w:r>
          </w:p>
          <w:p w14:paraId="7F80C5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none" w:color="auto"/>
                <w:lang w:val="en-US" w:eastAsia="zh-CN"/>
              </w:rPr>
            </w:pPr>
            <w:r>
              <w:rPr>
                <w:rFonts w:hint="eastAsia"/>
                <w:color w:val="auto"/>
                <w:sz w:val="24"/>
                <w:szCs w:val="24"/>
                <w:u w:val="none" w:color="auto"/>
                <w:lang w:val="en-US" w:eastAsia="zh-CN"/>
              </w:rPr>
              <w:t>m-活性炭的用量，kg；</w:t>
            </w:r>
          </w:p>
          <w:p w14:paraId="63495B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none" w:color="auto"/>
                <w:lang w:val="en-US" w:eastAsia="zh-CN"/>
              </w:rPr>
            </w:pPr>
            <w:r>
              <w:rPr>
                <w:rFonts w:hint="eastAsia"/>
                <w:color w:val="auto"/>
                <w:sz w:val="24"/>
                <w:szCs w:val="24"/>
                <w:u w:val="none" w:color="auto"/>
                <w:lang w:val="en-US" w:eastAsia="zh-CN"/>
              </w:rPr>
              <w:t>s一动态吸附量，%（本项目取10%）</w:t>
            </w:r>
          </w:p>
          <w:p w14:paraId="62DB36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none" w:color="auto"/>
                <w:lang w:val="en-US" w:eastAsia="zh-CN"/>
              </w:rPr>
            </w:pPr>
            <w:r>
              <w:rPr>
                <w:rFonts w:hint="eastAsia"/>
                <w:color w:val="auto"/>
                <w:sz w:val="24"/>
                <w:szCs w:val="24"/>
                <w:u w:val="none" w:color="auto"/>
                <w:lang w:val="en-US" w:eastAsia="zh-CN"/>
              </w:rPr>
              <w:t>c一活性炭削减的VOCs浓度,mg/m</w:t>
            </w:r>
            <w:r>
              <w:rPr>
                <w:rFonts w:hint="eastAsia"/>
                <w:color w:val="auto"/>
                <w:sz w:val="24"/>
                <w:szCs w:val="24"/>
                <w:u w:val="none" w:color="auto"/>
                <w:vertAlign w:val="superscript"/>
                <w:lang w:val="en-US" w:eastAsia="zh-CN"/>
              </w:rPr>
              <w:t>3</w:t>
            </w:r>
          </w:p>
          <w:p w14:paraId="3B992E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none" w:color="auto"/>
                <w:lang w:val="en-US" w:eastAsia="zh-CN"/>
              </w:rPr>
            </w:pPr>
            <w:r>
              <w:rPr>
                <w:rFonts w:hint="eastAsia"/>
                <w:color w:val="auto"/>
                <w:sz w:val="24"/>
                <w:szCs w:val="24"/>
                <w:u w:val="none" w:color="auto"/>
                <w:lang w:val="en-US" w:eastAsia="zh-CN"/>
              </w:rPr>
              <w:t>Q一风量，单位m</w:t>
            </w:r>
            <w:r>
              <w:rPr>
                <w:rFonts w:hint="eastAsia"/>
                <w:color w:val="auto"/>
                <w:sz w:val="24"/>
                <w:szCs w:val="24"/>
                <w:u w:val="none" w:color="auto"/>
                <w:vertAlign w:val="superscript"/>
                <w:lang w:val="en-US" w:eastAsia="zh-CN"/>
              </w:rPr>
              <w:t>3</w:t>
            </w:r>
            <w:r>
              <w:rPr>
                <w:rFonts w:hint="eastAsia"/>
                <w:color w:val="auto"/>
                <w:sz w:val="24"/>
                <w:szCs w:val="24"/>
                <w:u w:val="none" w:color="auto"/>
                <w:lang w:val="en-US" w:eastAsia="zh-CN"/>
              </w:rPr>
              <w:t>/h；</w:t>
            </w:r>
          </w:p>
          <w:p w14:paraId="46A292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none" w:color="auto"/>
                <w:lang w:val="en-US" w:eastAsia="zh-CN"/>
              </w:rPr>
            </w:pPr>
            <w:r>
              <w:rPr>
                <w:rFonts w:hint="eastAsia"/>
                <w:color w:val="auto"/>
                <w:sz w:val="24"/>
                <w:szCs w:val="24"/>
                <w:u w:val="none" w:color="auto"/>
                <w:lang w:val="en-US" w:eastAsia="zh-CN"/>
              </w:rPr>
              <w:t>t一运行时间，单位h/d</w:t>
            </w:r>
          </w:p>
          <w:p w14:paraId="3D9F1C7D">
            <w:pPr>
              <w:pStyle w:val="40"/>
              <w:bidi w:val="0"/>
              <w:rPr>
                <w:rFonts w:hint="eastAsia"/>
                <w:color w:val="auto"/>
                <w:sz w:val="24"/>
                <w:szCs w:val="24"/>
                <w:u w:val="none" w:color="auto"/>
                <w:lang w:val="en-US" w:eastAsia="zh-CN"/>
              </w:rPr>
            </w:pPr>
            <w:r>
              <w:rPr>
                <w:rFonts w:hint="eastAsia"/>
                <w:color w:val="auto"/>
                <w:sz w:val="24"/>
                <w:szCs w:val="24"/>
                <w:u w:val="none" w:color="auto"/>
                <w:lang w:val="en-US" w:eastAsia="zh-CN"/>
              </w:rPr>
              <w:t>本项目设计处理风量为11000m</w:t>
            </w:r>
            <w:r>
              <w:rPr>
                <w:rFonts w:hint="eastAsia"/>
                <w:color w:val="auto"/>
                <w:sz w:val="24"/>
                <w:szCs w:val="24"/>
                <w:u w:val="none" w:color="auto"/>
                <w:vertAlign w:val="superscript"/>
                <w:lang w:val="en-US" w:eastAsia="zh-CN"/>
              </w:rPr>
              <w:t>3</w:t>
            </w:r>
            <w:r>
              <w:rPr>
                <w:rFonts w:hint="eastAsia"/>
                <w:color w:val="auto"/>
                <w:sz w:val="24"/>
                <w:szCs w:val="24"/>
                <w:u w:val="none" w:color="auto"/>
                <w:lang w:val="en-US" w:eastAsia="zh-CN"/>
              </w:rPr>
              <w:t>/h，每天运行时间为9h，活性炭削减的VOCs（含苯系物）的浓度为22.84mg/m</w:t>
            </w:r>
            <w:r>
              <w:rPr>
                <w:rFonts w:hint="eastAsia"/>
                <w:color w:val="auto"/>
                <w:sz w:val="24"/>
                <w:szCs w:val="24"/>
                <w:u w:val="none" w:color="auto"/>
                <w:vertAlign w:val="superscript"/>
                <w:lang w:val="en-US" w:eastAsia="zh-CN"/>
              </w:rPr>
              <w:t>3</w:t>
            </w:r>
            <w:r>
              <w:rPr>
                <w:rFonts w:hint="eastAsia"/>
                <w:color w:val="auto"/>
                <w:sz w:val="24"/>
                <w:szCs w:val="24"/>
                <w:u w:val="none" w:color="auto"/>
                <w:lang w:val="en-US" w:eastAsia="zh-CN"/>
              </w:rPr>
              <w:t>，活性炭用量约2040kg，经计算，得出活性炭更换周期约90天，故3个月需进行更换。</w:t>
            </w:r>
          </w:p>
          <w:p w14:paraId="0108A298">
            <w:pPr>
              <w:pStyle w:val="40"/>
              <w:bidi w:val="0"/>
              <w:rPr>
                <w:rFonts w:hint="default"/>
                <w:color w:val="auto"/>
                <w:sz w:val="24"/>
                <w:szCs w:val="24"/>
                <w:u w:val="none" w:color="auto"/>
                <w:lang w:val="en-US" w:eastAsia="zh-CN"/>
              </w:rPr>
            </w:pPr>
            <w:r>
              <w:rPr>
                <w:rFonts w:hint="eastAsia"/>
                <w:color w:val="auto"/>
                <w:sz w:val="24"/>
                <w:szCs w:val="24"/>
                <w:u w:val="none" w:color="auto"/>
                <w:lang w:val="en-US" w:eastAsia="zh-CN"/>
              </w:rPr>
              <w:t>②活性炭装置技术参数</w:t>
            </w:r>
          </w:p>
          <w:p w14:paraId="149854AC">
            <w:pPr>
              <w:pStyle w:val="40"/>
              <w:bidi w:val="0"/>
              <w:rPr>
                <w:rFonts w:hint="default"/>
                <w:color w:val="auto"/>
                <w:sz w:val="24"/>
                <w:szCs w:val="24"/>
                <w:u w:val="none" w:color="auto"/>
                <w:lang w:val="en-US" w:eastAsia="zh-CN"/>
              </w:rPr>
            </w:pPr>
            <w:r>
              <w:rPr>
                <w:rFonts w:hint="eastAsia"/>
                <w:color w:val="auto"/>
                <w:sz w:val="24"/>
                <w:szCs w:val="24"/>
                <w:u w:val="none" w:color="auto"/>
                <w:lang w:val="en-US" w:eastAsia="zh-CN"/>
              </w:rPr>
              <w:t>参考《年产2550万个电感、2400万个高频变压器及180万个传感器建设项目环境影响报告表》、根据《吸附法工业有机废气治理工程技术规范》(HJ2026-2013)中6.3.3.3以及《环境保护产品技术要求工业废气吸附净化装置》(HJ/T386-2007)中内容，本项目废气吸附装置的温度低于40</w:t>
            </w:r>
            <w:r>
              <w:rPr>
                <w:rFonts w:hint="default" w:ascii="Times New Roman" w:hAnsi="Times New Roman" w:cs="Times New Roman"/>
                <w:color w:val="auto"/>
                <w:sz w:val="24"/>
                <w:szCs w:val="24"/>
                <w:u w:val="none" w:color="auto"/>
                <w:lang w:val="en-US" w:eastAsia="zh-CN"/>
              </w:rPr>
              <w:t>°C</w:t>
            </w:r>
            <w:r>
              <w:rPr>
                <w:rFonts w:hint="eastAsia"/>
                <w:color w:val="auto"/>
                <w:sz w:val="24"/>
                <w:szCs w:val="24"/>
                <w:u w:val="none" w:color="auto"/>
                <w:lang w:val="en-US" w:eastAsia="zh-CN"/>
              </w:rPr>
              <w:t>，拟采用颗粒状固定吸附床来吸附有机废气，本项目活性炭吸附装置技术参数见下表所示：</w:t>
            </w:r>
          </w:p>
          <w:p w14:paraId="197AAF8A">
            <w:pPr>
              <w:pStyle w:val="58"/>
              <w:jc w:val="center"/>
              <w:rPr>
                <w:rFonts w:hint="default" w:ascii="Times New Roman" w:hAnsi="Times New Roman" w:cs="Times New Roman"/>
                <w:b/>
                <w:bCs/>
                <w:color w:val="auto"/>
                <w:sz w:val="21"/>
                <w:szCs w:val="21"/>
                <w:u w:val="none" w:color="auto"/>
                <w:lang w:val="en-US" w:eastAsia="zh-CN"/>
              </w:rPr>
            </w:pPr>
            <w:r>
              <w:rPr>
                <w:rFonts w:hint="default" w:ascii="Times New Roman" w:hAnsi="Times New Roman" w:cs="Times New Roman"/>
                <w:b/>
                <w:bCs/>
                <w:color w:val="auto"/>
                <w:sz w:val="21"/>
                <w:szCs w:val="21"/>
                <w:u w:val="none" w:color="auto"/>
                <w:lang w:val="en-US" w:eastAsia="zh-CN"/>
              </w:rPr>
              <w:t>表4-</w:t>
            </w:r>
            <w:r>
              <w:rPr>
                <w:rFonts w:hint="eastAsia" w:ascii="Times New Roman" w:cs="Times New Roman"/>
                <w:b/>
                <w:bCs/>
                <w:color w:val="auto"/>
                <w:sz w:val="21"/>
                <w:szCs w:val="21"/>
                <w:u w:val="none" w:color="auto"/>
                <w:lang w:val="en-US" w:eastAsia="zh-CN"/>
              </w:rPr>
              <w:t>7</w:t>
            </w:r>
            <w:r>
              <w:rPr>
                <w:rFonts w:hint="default" w:ascii="Times New Roman" w:hAnsi="Times New Roman" w:cs="Times New Roman"/>
                <w:b/>
                <w:bCs/>
                <w:color w:val="auto"/>
                <w:sz w:val="21"/>
                <w:szCs w:val="21"/>
                <w:u w:val="none" w:color="auto"/>
                <w:lang w:val="en-US" w:eastAsia="zh-CN"/>
              </w:rPr>
              <w:t>活性炭参数一览表</w:t>
            </w:r>
          </w:p>
          <w:tbl>
            <w:tblPr>
              <w:tblStyle w:val="34"/>
              <w:tblW w:w="4998" w:type="pc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0"/>
              <w:gridCol w:w="3839"/>
              <w:gridCol w:w="3631"/>
            </w:tblGrid>
            <w:tr w14:paraId="4E9F17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642" w:type="pct"/>
                  <w:vMerge w:val="restart"/>
                  <w:tcBorders>
                    <w:tl2br w:val="nil"/>
                    <w:tr2bl w:val="nil"/>
                  </w:tcBorders>
                  <w:vAlign w:val="center"/>
                </w:tcPr>
                <w:p w14:paraId="1E3853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vertAlign w:val="baseline"/>
                      <w:lang w:val="en-US" w:eastAsia="zh-CN"/>
                    </w:rPr>
                  </w:pPr>
                  <w:r>
                    <w:rPr>
                      <w:rFonts w:hint="eastAsia"/>
                      <w:color w:val="auto"/>
                      <w:sz w:val="21"/>
                      <w:szCs w:val="21"/>
                      <w:u w:val="none" w:color="auto"/>
                      <w:vertAlign w:val="baseline"/>
                      <w:lang w:val="en-US" w:eastAsia="zh-CN"/>
                    </w:rPr>
                    <w:t>序号</w:t>
                  </w:r>
                </w:p>
              </w:tc>
              <w:tc>
                <w:tcPr>
                  <w:tcW w:w="2239" w:type="pct"/>
                  <w:vMerge w:val="restart"/>
                  <w:tcBorders>
                    <w:tl2br w:val="nil"/>
                    <w:tr2bl w:val="nil"/>
                  </w:tcBorders>
                  <w:vAlign w:val="center"/>
                </w:tcPr>
                <w:p w14:paraId="75ABEC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vertAlign w:val="baseline"/>
                      <w:lang w:val="en-US" w:eastAsia="zh-CN"/>
                    </w:rPr>
                  </w:pPr>
                  <w:r>
                    <w:rPr>
                      <w:rFonts w:hint="eastAsia"/>
                      <w:color w:val="auto"/>
                      <w:sz w:val="21"/>
                      <w:szCs w:val="21"/>
                      <w:u w:val="none" w:color="auto"/>
                      <w:vertAlign w:val="baseline"/>
                      <w:lang w:val="en-US" w:eastAsia="zh-CN"/>
                    </w:rPr>
                    <w:t>项目</w:t>
                  </w:r>
                </w:p>
              </w:tc>
              <w:tc>
                <w:tcPr>
                  <w:tcW w:w="2118" w:type="pct"/>
                  <w:tcBorders>
                    <w:tl2br w:val="nil"/>
                    <w:tr2bl w:val="nil"/>
                  </w:tcBorders>
                  <w:vAlign w:val="center"/>
                </w:tcPr>
                <w:p w14:paraId="7F5BB4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vertAlign w:val="baseline"/>
                      <w:lang w:val="en-US" w:eastAsia="zh-CN"/>
                    </w:rPr>
                  </w:pPr>
                  <w:r>
                    <w:rPr>
                      <w:rFonts w:hint="eastAsia"/>
                      <w:color w:val="auto"/>
                      <w:sz w:val="21"/>
                      <w:szCs w:val="21"/>
                      <w:u w:val="none" w:color="auto"/>
                      <w:vertAlign w:val="baseline"/>
                      <w:lang w:val="en-US" w:eastAsia="zh-CN"/>
                    </w:rPr>
                    <w:t>技术指标</w:t>
                  </w:r>
                </w:p>
              </w:tc>
            </w:tr>
            <w:tr w14:paraId="1EEC96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642" w:type="pct"/>
                  <w:vMerge w:val="continue"/>
                  <w:tcBorders>
                    <w:tl2br w:val="nil"/>
                    <w:tr2bl w:val="nil"/>
                  </w:tcBorders>
                  <w:vAlign w:val="center"/>
                </w:tcPr>
                <w:p w14:paraId="6F9092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1"/>
                      <w:szCs w:val="21"/>
                      <w:u w:val="none" w:color="auto"/>
                    </w:rPr>
                  </w:pPr>
                </w:p>
              </w:tc>
              <w:tc>
                <w:tcPr>
                  <w:tcW w:w="2239" w:type="pct"/>
                  <w:vMerge w:val="continue"/>
                  <w:tcBorders>
                    <w:tl2br w:val="nil"/>
                    <w:tr2bl w:val="nil"/>
                  </w:tcBorders>
                  <w:vAlign w:val="center"/>
                </w:tcPr>
                <w:p w14:paraId="7A232A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1"/>
                      <w:szCs w:val="21"/>
                      <w:u w:val="none" w:color="auto"/>
                    </w:rPr>
                  </w:pPr>
                </w:p>
              </w:tc>
              <w:tc>
                <w:tcPr>
                  <w:tcW w:w="2118" w:type="pct"/>
                  <w:tcBorders>
                    <w:tl2br w:val="nil"/>
                    <w:tr2bl w:val="nil"/>
                  </w:tcBorders>
                  <w:vAlign w:val="center"/>
                </w:tcPr>
                <w:p w14:paraId="52DF25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u w:val="none" w:color="auto"/>
                      <w:lang w:val="en-US" w:eastAsia="zh-CN"/>
                    </w:rPr>
                  </w:pPr>
                  <w:r>
                    <w:rPr>
                      <w:rFonts w:hint="eastAsia"/>
                      <w:color w:val="auto"/>
                      <w:sz w:val="21"/>
                      <w:szCs w:val="21"/>
                      <w:u w:val="none" w:color="auto"/>
                      <w:lang w:val="en-US" w:eastAsia="zh-CN"/>
                    </w:rPr>
                    <w:t>二级活性炭吸附装置</w:t>
                  </w:r>
                </w:p>
              </w:tc>
            </w:tr>
            <w:tr w14:paraId="094E8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642" w:type="pct"/>
                  <w:tcBorders>
                    <w:tl2br w:val="nil"/>
                    <w:tr2bl w:val="nil"/>
                  </w:tcBorders>
                  <w:vAlign w:val="center"/>
                </w:tcPr>
                <w:p w14:paraId="0CF496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sz w:val="21"/>
                      <w:szCs w:val="21"/>
                      <w:u w:val="none" w:color="auto"/>
                      <w:lang w:val="en-US" w:eastAsia="zh-CN"/>
                    </w:rPr>
                  </w:pPr>
                  <w:r>
                    <w:rPr>
                      <w:rFonts w:hint="eastAsia"/>
                      <w:color w:val="auto"/>
                      <w:sz w:val="21"/>
                      <w:szCs w:val="21"/>
                      <w:u w:val="none" w:color="auto"/>
                      <w:lang w:val="en-US" w:eastAsia="zh-CN"/>
                    </w:rPr>
                    <w:t>1</w:t>
                  </w:r>
                </w:p>
              </w:tc>
              <w:tc>
                <w:tcPr>
                  <w:tcW w:w="2239" w:type="pct"/>
                  <w:tcBorders>
                    <w:tl2br w:val="nil"/>
                    <w:tr2bl w:val="nil"/>
                  </w:tcBorders>
                  <w:vAlign w:val="center"/>
                </w:tcPr>
                <w:p w14:paraId="1E06C7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u w:val="none" w:color="auto"/>
                      <w:lang w:val="en-US" w:eastAsia="zh-CN"/>
                    </w:rPr>
                  </w:pPr>
                  <w:r>
                    <w:rPr>
                      <w:rFonts w:hint="eastAsia"/>
                      <w:color w:val="auto"/>
                      <w:sz w:val="21"/>
                      <w:szCs w:val="21"/>
                      <w:u w:val="none" w:color="auto"/>
                      <w:lang w:val="en-US" w:eastAsia="zh-CN"/>
                    </w:rPr>
                    <w:t>配套风机风量（m</w:t>
                  </w:r>
                  <w:r>
                    <w:rPr>
                      <w:rFonts w:hint="eastAsia"/>
                      <w:color w:val="auto"/>
                      <w:sz w:val="21"/>
                      <w:szCs w:val="21"/>
                      <w:u w:val="none" w:color="auto"/>
                      <w:vertAlign w:val="superscript"/>
                      <w:lang w:val="en-US" w:eastAsia="zh-CN"/>
                    </w:rPr>
                    <w:t>3</w:t>
                  </w:r>
                  <w:r>
                    <w:rPr>
                      <w:rFonts w:hint="eastAsia"/>
                      <w:color w:val="auto"/>
                      <w:sz w:val="21"/>
                      <w:szCs w:val="21"/>
                      <w:u w:val="none" w:color="auto"/>
                      <w:lang w:val="en-US" w:eastAsia="zh-CN"/>
                    </w:rPr>
                    <w:t>/h）</w:t>
                  </w:r>
                </w:p>
              </w:tc>
              <w:tc>
                <w:tcPr>
                  <w:tcW w:w="2118" w:type="pct"/>
                  <w:tcBorders>
                    <w:tl2br w:val="nil"/>
                    <w:tr2bl w:val="nil"/>
                  </w:tcBorders>
                  <w:vAlign w:val="center"/>
                </w:tcPr>
                <w:p w14:paraId="520A64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u w:val="none" w:color="auto"/>
                      <w:lang w:val="en-US" w:eastAsia="zh-CN"/>
                    </w:rPr>
                  </w:pPr>
                  <w:r>
                    <w:rPr>
                      <w:rFonts w:hint="eastAsia"/>
                      <w:color w:val="auto"/>
                      <w:sz w:val="21"/>
                      <w:szCs w:val="21"/>
                      <w:u w:val="none" w:color="auto"/>
                      <w:lang w:val="en-US" w:eastAsia="zh-CN"/>
                    </w:rPr>
                    <w:t>20000</w:t>
                  </w:r>
                </w:p>
              </w:tc>
            </w:tr>
            <w:tr w14:paraId="7E8050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642" w:type="pct"/>
                  <w:tcBorders>
                    <w:tl2br w:val="nil"/>
                    <w:tr2bl w:val="nil"/>
                  </w:tcBorders>
                  <w:vAlign w:val="center"/>
                </w:tcPr>
                <w:p w14:paraId="0F2E2D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2</w:t>
                  </w:r>
                </w:p>
              </w:tc>
              <w:tc>
                <w:tcPr>
                  <w:tcW w:w="2239" w:type="pct"/>
                  <w:tcBorders>
                    <w:tl2br w:val="nil"/>
                    <w:tr2bl w:val="nil"/>
                  </w:tcBorders>
                  <w:vAlign w:val="center"/>
                </w:tcPr>
                <w:p w14:paraId="2A7BD0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过滤风速（m/s）</w:t>
                  </w:r>
                </w:p>
              </w:tc>
              <w:tc>
                <w:tcPr>
                  <w:tcW w:w="2118" w:type="pct"/>
                  <w:tcBorders>
                    <w:tl2br w:val="nil"/>
                    <w:tr2bl w:val="nil"/>
                  </w:tcBorders>
                  <w:vAlign w:val="center"/>
                </w:tcPr>
                <w:p w14:paraId="10213F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0.8</w:t>
                  </w:r>
                </w:p>
              </w:tc>
            </w:tr>
            <w:tr w14:paraId="5B0F67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642" w:type="pct"/>
                  <w:tcBorders>
                    <w:tl2br w:val="nil"/>
                    <w:tr2bl w:val="nil"/>
                  </w:tcBorders>
                  <w:vAlign w:val="center"/>
                </w:tcPr>
                <w:p w14:paraId="32806C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3</w:t>
                  </w:r>
                </w:p>
              </w:tc>
              <w:tc>
                <w:tcPr>
                  <w:tcW w:w="2239" w:type="pct"/>
                  <w:tcBorders>
                    <w:tl2br w:val="nil"/>
                    <w:tr2bl w:val="nil"/>
                  </w:tcBorders>
                  <w:vAlign w:val="center"/>
                </w:tcPr>
                <w:p w14:paraId="77F711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过滤面积（m</w:t>
                  </w:r>
                  <w:r>
                    <w:rPr>
                      <w:rFonts w:hint="eastAsia"/>
                      <w:color w:val="auto"/>
                      <w:sz w:val="21"/>
                      <w:szCs w:val="21"/>
                      <w:u w:val="none" w:color="auto"/>
                      <w:vertAlign w:val="superscript"/>
                      <w:lang w:val="en-US" w:eastAsia="zh-CN"/>
                    </w:rPr>
                    <w:t>2</w:t>
                  </w:r>
                  <w:r>
                    <w:rPr>
                      <w:rFonts w:hint="eastAsia"/>
                      <w:color w:val="auto"/>
                      <w:sz w:val="21"/>
                      <w:szCs w:val="21"/>
                      <w:u w:val="none" w:color="auto"/>
                      <w:lang w:val="en-US" w:eastAsia="zh-CN"/>
                    </w:rPr>
                    <w:t>）</w:t>
                  </w:r>
                </w:p>
              </w:tc>
              <w:tc>
                <w:tcPr>
                  <w:tcW w:w="2118" w:type="pct"/>
                  <w:tcBorders>
                    <w:tl2br w:val="nil"/>
                    <w:tr2bl w:val="nil"/>
                  </w:tcBorders>
                  <w:vAlign w:val="center"/>
                </w:tcPr>
                <w:p w14:paraId="2ADE23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6.0</w:t>
                  </w:r>
                </w:p>
              </w:tc>
            </w:tr>
            <w:tr w14:paraId="655C1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642" w:type="pct"/>
                  <w:tcBorders>
                    <w:tl2br w:val="nil"/>
                    <w:tr2bl w:val="nil"/>
                  </w:tcBorders>
                  <w:vAlign w:val="center"/>
                </w:tcPr>
                <w:p w14:paraId="596DDA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4</w:t>
                  </w:r>
                </w:p>
              </w:tc>
              <w:tc>
                <w:tcPr>
                  <w:tcW w:w="2239" w:type="pct"/>
                  <w:tcBorders>
                    <w:tl2br w:val="nil"/>
                    <w:tr2bl w:val="nil"/>
                  </w:tcBorders>
                  <w:vAlign w:val="center"/>
                </w:tcPr>
                <w:p w14:paraId="18D5FD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单台炭箱规格（m）</w:t>
                  </w:r>
                </w:p>
              </w:tc>
              <w:tc>
                <w:tcPr>
                  <w:tcW w:w="2118" w:type="pct"/>
                  <w:tcBorders>
                    <w:tl2br w:val="nil"/>
                    <w:tr2bl w:val="nil"/>
                  </w:tcBorders>
                  <w:vAlign w:val="center"/>
                </w:tcPr>
                <w:p w14:paraId="6B762F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2*1.5*1</w:t>
                  </w:r>
                </w:p>
              </w:tc>
            </w:tr>
            <w:tr w14:paraId="36CC93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642" w:type="pct"/>
                  <w:tcBorders>
                    <w:tl2br w:val="nil"/>
                    <w:tr2bl w:val="nil"/>
                  </w:tcBorders>
                  <w:vAlign w:val="center"/>
                </w:tcPr>
                <w:p w14:paraId="3E0002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5</w:t>
                  </w:r>
                </w:p>
              </w:tc>
              <w:tc>
                <w:tcPr>
                  <w:tcW w:w="2239" w:type="pct"/>
                  <w:tcBorders>
                    <w:tl2br w:val="nil"/>
                    <w:tr2bl w:val="nil"/>
                  </w:tcBorders>
                  <w:vAlign w:val="center"/>
                </w:tcPr>
                <w:p w14:paraId="5327DF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活性炭种类</w:t>
                  </w:r>
                </w:p>
              </w:tc>
              <w:tc>
                <w:tcPr>
                  <w:tcW w:w="2118" w:type="pct"/>
                  <w:tcBorders>
                    <w:tl2br w:val="nil"/>
                    <w:tr2bl w:val="nil"/>
                  </w:tcBorders>
                  <w:vAlign w:val="center"/>
                </w:tcPr>
                <w:p w14:paraId="581188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颗粒活性炭</w:t>
                  </w:r>
                </w:p>
              </w:tc>
            </w:tr>
            <w:tr w14:paraId="6FB6E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642" w:type="pct"/>
                  <w:tcBorders>
                    <w:tl2br w:val="nil"/>
                    <w:tr2bl w:val="nil"/>
                  </w:tcBorders>
                  <w:vAlign w:val="center"/>
                </w:tcPr>
                <w:p w14:paraId="0C1E74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6</w:t>
                  </w:r>
                </w:p>
              </w:tc>
              <w:tc>
                <w:tcPr>
                  <w:tcW w:w="2239" w:type="pct"/>
                  <w:tcBorders>
                    <w:tl2br w:val="nil"/>
                    <w:tr2bl w:val="nil"/>
                  </w:tcBorders>
                  <w:vAlign w:val="center"/>
                </w:tcPr>
                <w:p w14:paraId="08547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1"/>
                      <w:szCs w:val="21"/>
                      <w:u w:val="none" w:color="auto"/>
                      <w:lang w:val="en-US" w:eastAsia="zh-CN"/>
                    </w:rPr>
                  </w:pPr>
                  <w:r>
                    <w:rPr>
                      <w:rFonts w:hint="eastAsia"/>
                      <w:color w:val="auto"/>
                      <w:sz w:val="21"/>
                      <w:szCs w:val="21"/>
                      <w:u w:val="none" w:color="auto"/>
                      <w:lang w:val="en-US" w:eastAsia="zh-CN"/>
                    </w:rPr>
                    <w:t>碘值(mg/g)</w:t>
                  </w:r>
                </w:p>
              </w:tc>
              <w:tc>
                <w:tcPr>
                  <w:tcW w:w="2118" w:type="pct"/>
                  <w:tcBorders>
                    <w:tl2br w:val="nil"/>
                    <w:tr2bl w:val="nil"/>
                  </w:tcBorders>
                  <w:vAlign w:val="center"/>
                </w:tcPr>
                <w:p w14:paraId="68DD0D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800</w:t>
                  </w:r>
                </w:p>
              </w:tc>
            </w:tr>
            <w:tr w14:paraId="7FA95D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642" w:type="pct"/>
                  <w:tcBorders>
                    <w:tl2br w:val="nil"/>
                    <w:tr2bl w:val="nil"/>
                  </w:tcBorders>
                  <w:vAlign w:val="center"/>
                </w:tcPr>
                <w:p w14:paraId="063987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7</w:t>
                  </w:r>
                </w:p>
              </w:tc>
              <w:tc>
                <w:tcPr>
                  <w:tcW w:w="2239" w:type="pct"/>
                  <w:tcBorders>
                    <w:tl2br w:val="nil"/>
                    <w:tr2bl w:val="nil"/>
                  </w:tcBorders>
                  <w:vAlign w:val="center"/>
                </w:tcPr>
                <w:p w14:paraId="4F9FEA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一次性填充量（kg）</w:t>
                  </w:r>
                </w:p>
              </w:tc>
              <w:tc>
                <w:tcPr>
                  <w:tcW w:w="2118" w:type="pct"/>
                  <w:tcBorders>
                    <w:tl2br w:val="nil"/>
                    <w:tr2bl w:val="nil"/>
                  </w:tcBorders>
                  <w:vAlign w:val="center"/>
                </w:tcPr>
                <w:p w14:paraId="2B80D6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680</w:t>
                  </w:r>
                </w:p>
              </w:tc>
            </w:tr>
            <w:tr w14:paraId="684D87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6" w:hRule="atLeast"/>
              </w:trPr>
              <w:tc>
                <w:tcPr>
                  <w:tcW w:w="642" w:type="pct"/>
                  <w:tcBorders>
                    <w:tl2br w:val="nil"/>
                    <w:tr2bl w:val="nil"/>
                  </w:tcBorders>
                  <w:vAlign w:val="center"/>
                </w:tcPr>
                <w:p w14:paraId="791FDF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8</w:t>
                  </w:r>
                </w:p>
              </w:tc>
              <w:tc>
                <w:tcPr>
                  <w:tcW w:w="2239" w:type="pct"/>
                  <w:tcBorders>
                    <w:tl2br w:val="nil"/>
                    <w:tr2bl w:val="nil"/>
                  </w:tcBorders>
                  <w:vAlign w:val="center"/>
                </w:tcPr>
                <w:p w14:paraId="571388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更换周期（d）</w:t>
                  </w:r>
                </w:p>
              </w:tc>
              <w:tc>
                <w:tcPr>
                  <w:tcW w:w="2118" w:type="pct"/>
                  <w:tcBorders>
                    <w:tl2br w:val="nil"/>
                    <w:tr2bl w:val="nil"/>
                  </w:tcBorders>
                  <w:vAlign w:val="center"/>
                </w:tcPr>
                <w:p w14:paraId="6D7174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u w:val="none" w:color="auto"/>
                      <w:lang w:val="en-US" w:eastAsia="zh-CN"/>
                    </w:rPr>
                  </w:pPr>
                  <w:r>
                    <w:rPr>
                      <w:rFonts w:hint="eastAsia"/>
                      <w:color w:val="auto"/>
                      <w:sz w:val="21"/>
                      <w:szCs w:val="21"/>
                      <w:u w:val="none" w:color="auto"/>
                      <w:lang w:val="en-US" w:eastAsia="zh-CN"/>
                    </w:rPr>
                    <w:t>90</w:t>
                  </w:r>
                </w:p>
              </w:tc>
            </w:tr>
          </w:tbl>
          <w:p w14:paraId="6CA1AED9">
            <w:pPr>
              <w:pStyle w:val="40"/>
              <w:bidi w:val="0"/>
              <w:rPr>
                <w:rFonts w:hint="eastAsia"/>
                <w:b w:val="0"/>
                <w:bCs w:val="0"/>
                <w:color w:val="000000" w:themeColor="text1"/>
                <w:kern w:val="0"/>
                <w:u w:val="none" w:color="auto"/>
                <w:lang w:val="en-US" w:eastAsia="zh-CN"/>
                <w14:textFill>
                  <w14:solidFill>
                    <w14:schemeClr w14:val="tx1"/>
                  </w14:solidFill>
                </w14:textFill>
              </w:rPr>
            </w:pPr>
            <w:r>
              <w:rPr>
                <w:rFonts w:hint="eastAsia"/>
                <w:b w:val="0"/>
                <w:bCs w:val="0"/>
                <w:color w:val="000000" w:themeColor="text1"/>
                <w:kern w:val="0"/>
                <w:u w:val="none" w:color="auto"/>
                <w:lang w:val="en-US" w:eastAsia="zh-CN"/>
                <w14:textFill>
                  <w14:solidFill>
                    <w14:schemeClr w14:val="tx1"/>
                  </w14:solidFill>
                </w14:textFill>
              </w:rPr>
              <w:t>参照《排污许可证申请与核发技术规范电子工业》（HJ1031-2019）附录B.1中的相关要求，本项目治理设施可行性分析如下。</w:t>
            </w:r>
          </w:p>
          <w:p w14:paraId="34A06E1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color w:val="000000" w:themeColor="text1"/>
                <w:sz w:val="21"/>
                <w:szCs w:val="21"/>
                <w:u w:val="none" w:color="auto"/>
                <w:lang w:val="en-US" w:eastAsia="zh-CN"/>
                <w14:textFill>
                  <w14:solidFill>
                    <w14:schemeClr w14:val="tx1"/>
                  </w14:solidFill>
                </w14:textFill>
              </w:rPr>
            </w:pPr>
            <w:r>
              <w:rPr>
                <w:rFonts w:ascii="Times New Roman" w:hAnsi="Times New Roman" w:eastAsia="宋体" w:cs="Times New Roman"/>
                <w:b/>
                <w:color w:val="000000" w:themeColor="text1"/>
                <w:sz w:val="21"/>
                <w:szCs w:val="21"/>
                <w:u w:val="none" w:color="auto"/>
                <w14:textFill>
                  <w14:solidFill>
                    <w14:schemeClr w14:val="tx1"/>
                  </w14:solidFill>
                </w14:textFill>
              </w:rPr>
              <w:t>表</w:t>
            </w:r>
            <w:r>
              <w:rPr>
                <w:rFonts w:hint="eastAsia" w:ascii="Times New Roman" w:hAnsi="Times New Roman" w:eastAsia="宋体" w:cs="Times New Roman"/>
                <w:b/>
                <w:color w:val="000000" w:themeColor="text1"/>
                <w:sz w:val="21"/>
                <w:szCs w:val="21"/>
                <w:u w:val="none" w:color="auto"/>
                <w14:textFill>
                  <w14:solidFill>
                    <w14:schemeClr w14:val="tx1"/>
                  </w14:solidFill>
                </w14:textFill>
              </w:rPr>
              <w:t>4-</w:t>
            </w:r>
            <w:r>
              <w:rPr>
                <w:rFonts w:hint="eastAsia" w:cs="Times New Roman"/>
                <w:b/>
                <w:color w:val="000000" w:themeColor="text1"/>
                <w:sz w:val="21"/>
                <w:szCs w:val="21"/>
                <w:u w:val="none" w:color="auto"/>
                <w:lang w:val="en-US" w:eastAsia="zh-CN"/>
                <w14:textFill>
                  <w14:solidFill>
                    <w14:schemeClr w14:val="tx1"/>
                  </w14:solidFill>
                </w14:textFill>
              </w:rPr>
              <w:t>8</w:t>
            </w:r>
            <w:r>
              <w:rPr>
                <w:rFonts w:ascii="Times New Roman" w:hAnsi="Times New Roman" w:eastAsia="宋体" w:cs="Times New Roman"/>
                <w:b/>
                <w:color w:val="000000" w:themeColor="text1"/>
                <w:sz w:val="21"/>
                <w:szCs w:val="21"/>
                <w:u w:val="none" w:color="auto"/>
                <w14:textFill>
                  <w14:solidFill>
                    <w14:schemeClr w14:val="tx1"/>
                  </w14:solidFill>
                </w14:textFill>
              </w:rPr>
              <w:t xml:space="preserve"> </w:t>
            </w:r>
            <w:r>
              <w:rPr>
                <w:rFonts w:hint="eastAsia" w:ascii="Times New Roman" w:hAnsi="Times New Roman" w:eastAsia="宋体" w:cs="Times New Roman"/>
                <w:b/>
                <w:color w:val="000000" w:themeColor="text1"/>
                <w:sz w:val="21"/>
                <w:szCs w:val="21"/>
                <w:u w:val="none" w:color="auto"/>
                <w:lang w:val="en-US" w:eastAsia="zh-CN"/>
                <w14:textFill>
                  <w14:solidFill>
                    <w14:schemeClr w14:val="tx1"/>
                  </w14:solidFill>
                </w14:textFill>
              </w:rPr>
              <w:t>废气治理可行性技术参照表</w:t>
            </w:r>
          </w:p>
          <w:tbl>
            <w:tblPr>
              <w:tblStyle w:val="33"/>
              <w:tblW w:w="4998"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234"/>
              <w:gridCol w:w="1475"/>
              <w:gridCol w:w="2099"/>
              <w:gridCol w:w="2179"/>
              <w:gridCol w:w="583"/>
            </w:tblGrid>
            <w:tr w14:paraId="5C7EA9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79" w:hRule="atLeast"/>
                <w:jc w:val="center"/>
              </w:trPr>
              <w:tc>
                <w:tcPr>
                  <w:tcW w:w="1303" w:type="pct"/>
                  <w:tcBorders>
                    <w:tl2br w:val="nil"/>
                    <w:tr2bl w:val="nil"/>
                  </w:tcBorders>
                  <w:vAlign w:val="center"/>
                </w:tcPr>
                <w:p w14:paraId="67FD94B5">
                  <w:pPr>
                    <w:pStyle w:val="41"/>
                    <w:bidi w:val="0"/>
                    <w:rPr>
                      <w:rFonts w:hint="default"/>
                      <w:lang w:val="en-US" w:eastAsia="zh-CN"/>
                    </w:rPr>
                  </w:pPr>
                  <w:r>
                    <w:rPr>
                      <w:rFonts w:hint="eastAsia"/>
                      <w:lang w:val="en-US" w:eastAsia="zh-CN"/>
                    </w:rPr>
                    <w:t>规范</w:t>
                  </w:r>
                </w:p>
              </w:tc>
              <w:tc>
                <w:tcPr>
                  <w:tcW w:w="860" w:type="pct"/>
                  <w:tcBorders>
                    <w:tl2br w:val="nil"/>
                    <w:tr2bl w:val="nil"/>
                  </w:tcBorders>
                  <w:vAlign w:val="center"/>
                </w:tcPr>
                <w:p w14:paraId="3A57121F">
                  <w:pPr>
                    <w:pStyle w:val="41"/>
                    <w:bidi w:val="0"/>
                    <w:rPr>
                      <w:rFonts w:hint="default"/>
                      <w:lang w:val="en-US" w:eastAsia="zh-CN"/>
                    </w:rPr>
                  </w:pPr>
                  <w:r>
                    <w:rPr>
                      <w:rFonts w:hint="eastAsia"/>
                      <w:lang w:val="en-US" w:eastAsia="zh-CN"/>
                    </w:rPr>
                    <w:t>污染物</w:t>
                  </w:r>
                </w:p>
              </w:tc>
              <w:tc>
                <w:tcPr>
                  <w:tcW w:w="1224" w:type="pct"/>
                  <w:tcBorders>
                    <w:tl2br w:val="nil"/>
                    <w:tr2bl w:val="nil"/>
                  </w:tcBorders>
                  <w:vAlign w:val="center"/>
                </w:tcPr>
                <w:p w14:paraId="3D58D49A">
                  <w:pPr>
                    <w:pStyle w:val="41"/>
                    <w:bidi w:val="0"/>
                    <w:rPr>
                      <w:rFonts w:hint="eastAsia"/>
                      <w:lang w:val="en-US" w:eastAsia="zh-CN"/>
                    </w:rPr>
                  </w:pPr>
                  <w:r>
                    <w:rPr>
                      <w:rFonts w:hint="eastAsia"/>
                      <w:lang w:val="en-US" w:eastAsia="zh-CN"/>
                    </w:rPr>
                    <w:t>可行技术</w:t>
                  </w:r>
                </w:p>
              </w:tc>
              <w:tc>
                <w:tcPr>
                  <w:tcW w:w="1271" w:type="pct"/>
                  <w:tcBorders>
                    <w:tl2br w:val="nil"/>
                    <w:tr2bl w:val="nil"/>
                  </w:tcBorders>
                  <w:vAlign w:val="center"/>
                </w:tcPr>
                <w:p w14:paraId="36483C9F">
                  <w:pPr>
                    <w:pStyle w:val="41"/>
                    <w:bidi w:val="0"/>
                    <w:rPr>
                      <w:rFonts w:hint="default"/>
                      <w:lang w:val="en-US" w:eastAsia="zh-CN"/>
                    </w:rPr>
                  </w:pPr>
                  <w:r>
                    <w:rPr>
                      <w:rFonts w:hint="eastAsia"/>
                      <w:lang w:val="en-US" w:eastAsia="zh-CN"/>
                    </w:rPr>
                    <w:t>本项目采用的措施</w:t>
                  </w:r>
                </w:p>
              </w:tc>
              <w:tc>
                <w:tcPr>
                  <w:tcW w:w="340" w:type="pct"/>
                  <w:tcBorders>
                    <w:tl2br w:val="nil"/>
                    <w:tr2bl w:val="nil"/>
                  </w:tcBorders>
                  <w:vAlign w:val="center"/>
                </w:tcPr>
                <w:p w14:paraId="1A4A048B">
                  <w:pPr>
                    <w:pStyle w:val="41"/>
                    <w:bidi w:val="0"/>
                    <w:rPr>
                      <w:rFonts w:hint="default"/>
                      <w:lang w:val="en-US" w:eastAsia="zh-CN"/>
                    </w:rPr>
                  </w:pPr>
                  <w:r>
                    <w:rPr>
                      <w:rFonts w:hint="eastAsia"/>
                      <w:lang w:val="en-US" w:eastAsia="zh-CN"/>
                    </w:rPr>
                    <w:t>是否可行</w:t>
                  </w:r>
                </w:p>
              </w:tc>
            </w:tr>
            <w:tr w14:paraId="4D1151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79" w:hRule="atLeast"/>
                <w:jc w:val="center"/>
              </w:trPr>
              <w:tc>
                <w:tcPr>
                  <w:tcW w:w="1303" w:type="pct"/>
                  <w:tcBorders>
                    <w:tl2br w:val="nil"/>
                    <w:tr2bl w:val="nil"/>
                  </w:tcBorders>
                  <w:vAlign w:val="center"/>
                </w:tcPr>
                <w:p w14:paraId="3012D0A4">
                  <w:pPr>
                    <w:pStyle w:val="41"/>
                    <w:bidi w:val="0"/>
                    <w:rPr>
                      <w:rFonts w:hint="eastAsia"/>
                      <w:lang w:val="en-US" w:eastAsia="zh-CN"/>
                    </w:rPr>
                  </w:pPr>
                  <w:r>
                    <w:rPr>
                      <w:rFonts w:hint="eastAsia"/>
                      <w:b w:val="0"/>
                      <w:bCs w:val="0"/>
                      <w:color w:val="000000" w:themeColor="text1"/>
                      <w:kern w:val="0"/>
                      <w:u w:val="none" w:color="auto"/>
                      <w:lang w:val="en-US" w:eastAsia="zh-CN"/>
                      <w14:textFill>
                        <w14:solidFill>
                          <w14:schemeClr w14:val="tx1"/>
                        </w14:solidFill>
                      </w14:textFill>
                    </w:rPr>
                    <w:t>《排污许可证申请与核发技术规范电子工业》（HJ1031-2019）</w:t>
                  </w:r>
                </w:p>
              </w:tc>
              <w:tc>
                <w:tcPr>
                  <w:tcW w:w="860" w:type="pct"/>
                  <w:tcBorders>
                    <w:tl2br w:val="nil"/>
                    <w:tr2bl w:val="nil"/>
                  </w:tcBorders>
                  <w:vAlign w:val="center"/>
                </w:tcPr>
                <w:p w14:paraId="5DC3D8E3">
                  <w:pPr>
                    <w:pStyle w:val="41"/>
                    <w:bidi w:val="0"/>
                    <w:rPr>
                      <w:rFonts w:hint="default"/>
                      <w:lang w:val="en-US" w:eastAsia="zh-CN"/>
                    </w:rPr>
                  </w:pPr>
                  <w:r>
                    <w:rPr>
                      <w:rFonts w:hint="eastAsia"/>
                      <w:lang w:val="en-US" w:eastAsia="zh-CN"/>
                    </w:rPr>
                    <w:t>焊锡、调漆、浸漆、烘干有机废气</w:t>
                  </w:r>
                </w:p>
              </w:tc>
              <w:tc>
                <w:tcPr>
                  <w:tcW w:w="1224" w:type="pct"/>
                  <w:tcBorders>
                    <w:tl2br w:val="nil"/>
                    <w:tr2bl w:val="nil"/>
                  </w:tcBorders>
                  <w:vAlign w:val="center"/>
                </w:tcPr>
                <w:p w14:paraId="11D77186">
                  <w:pPr>
                    <w:pStyle w:val="41"/>
                    <w:bidi w:val="0"/>
                    <w:rPr>
                      <w:rFonts w:hint="default"/>
                      <w:lang w:val="en-US" w:eastAsia="zh-CN"/>
                    </w:rPr>
                  </w:pPr>
                  <w:r>
                    <w:rPr>
                      <w:rFonts w:hint="default"/>
                      <w:lang w:val="en-US" w:eastAsia="zh-CN"/>
                    </w:rPr>
                    <w:t>有机废气处理系统:</w:t>
                  </w:r>
                  <w:r>
                    <w:rPr>
                      <w:rFonts w:hint="default"/>
                      <w:b/>
                      <w:bCs/>
                      <w:lang w:val="en-US" w:eastAsia="zh-CN"/>
                    </w:rPr>
                    <w:t>活性炭吸附法</w:t>
                  </w:r>
                  <w:r>
                    <w:rPr>
                      <w:rFonts w:hint="default"/>
                      <w:lang w:val="en-US" w:eastAsia="zh-CN"/>
                    </w:rPr>
                    <w:t>、燃烧法、浓缩+燃烧法、其他</w:t>
                  </w:r>
                </w:p>
              </w:tc>
              <w:tc>
                <w:tcPr>
                  <w:tcW w:w="1271" w:type="pct"/>
                  <w:tcBorders>
                    <w:tl2br w:val="nil"/>
                    <w:tr2bl w:val="nil"/>
                  </w:tcBorders>
                  <w:vAlign w:val="center"/>
                </w:tcPr>
                <w:p w14:paraId="43F6FA46">
                  <w:pPr>
                    <w:pStyle w:val="41"/>
                    <w:bidi w:val="0"/>
                    <w:rPr>
                      <w:rFonts w:hint="default"/>
                      <w:lang w:val="en-US" w:eastAsia="zh-CN"/>
                    </w:rPr>
                  </w:pPr>
                  <w:r>
                    <w:rPr>
                      <w:rFonts w:hint="eastAsia"/>
                      <w:lang w:val="en-US" w:eastAsia="zh-CN"/>
                    </w:rPr>
                    <w:t>二级活性炭吸附装置</w:t>
                  </w:r>
                </w:p>
              </w:tc>
              <w:tc>
                <w:tcPr>
                  <w:tcW w:w="340" w:type="pct"/>
                  <w:tcBorders>
                    <w:tl2br w:val="nil"/>
                    <w:tr2bl w:val="nil"/>
                  </w:tcBorders>
                  <w:vAlign w:val="center"/>
                </w:tcPr>
                <w:p w14:paraId="1D390A24">
                  <w:pPr>
                    <w:pStyle w:val="41"/>
                    <w:bidi w:val="0"/>
                    <w:rPr>
                      <w:rFonts w:hint="eastAsia"/>
                      <w:lang w:val="en-US" w:eastAsia="zh-CN"/>
                    </w:rPr>
                  </w:pPr>
                  <w:r>
                    <w:rPr>
                      <w:rFonts w:hint="eastAsia"/>
                      <w:lang w:val="en-US" w:eastAsia="zh-CN"/>
                    </w:rPr>
                    <w:t>是</w:t>
                  </w:r>
                </w:p>
              </w:tc>
            </w:tr>
          </w:tbl>
          <w:p w14:paraId="6A9FACD3">
            <w:pPr>
              <w:pStyle w:val="40"/>
              <w:bidi w:val="0"/>
              <w:rPr>
                <w:rFonts w:hint="default"/>
                <w:b w:val="0"/>
                <w:bCs w:val="0"/>
                <w:color w:val="000000" w:themeColor="text1"/>
                <w:kern w:val="0"/>
                <w:u w:val="none" w:color="auto"/>
                <w:lang w:val="en-US" w:eastAsia="zh-CN"/>
                <w14:textFill>
                  <w14:solidFill>
                    <w14:schemeClr w14:val="tx1"/>
                  </w14:solidFill>
                </w14:textFill>
              </w:rPr>
            </w:pPr>
            <w:r>
              <w:rPr>
                <w:rFonts w:hint="eastAsia"/>
                <w:b w:val="0"/>
                <w:bCs w:val="0"/>
                <w:color w:val="000000" w:themeColor="text1"/>
                <w:kern w:val="0"/>
                <w:u w:val="none" w:color="auto"/>
                <w:lang w:val="en-US" w:eastAsia="zh-CN"/>
                <w14:textFill>
                  <w14:solidFill>
                    <w14:schemeClr w14:val="tx1"/>
                  </w14:solidFill>
                </w14:textFill>
              </w:rPr>
              <w:t>由上表可知，本项目废气处理措施采用了排污许可技术规范中可行技术，因此本项目废气治理措施可行。</w:t>
            </w:r>
          </w:p>
          <w:p w14:paraId="40A3EF4E">
            <w:pPr>
              <w:pStyle w:val="40"/>
              <w:bidi w:val="0"/>
              <w:rPr>
                <w:rFonts w:hint="default"/>
                <w:b w:val="0"/>
                <w:bCs w:val="0"/>
                <w:color w:val="000000" w:themeColor="text1"/>
                <w:kern w:val="0"/>
                <w:u w:val="single" w:color="auto"/>
                <w:lang w:val="en-US" w:eastAsia="zh-CN"/>
                <w14:textFill>
                  <w14:solidFill>
                    <w14:schemeClr w14:val="tx1"/>
                  </w14:solidFill>
                </w14:textFill>
              </w:rPr>
            </w:pPr>
            <w:r>
              <w:rPr>
                <w:rFonts w:hint="eastAsia"/>
                <w:b w:val="0"/>
                <w:bCs w:val="0"/>
                <w:color w:val="000000" w:themeColor="text1"/>
                <w:kern w:val="0"/>
                <w:u w:val="single" w:color="auto"/>
                <w:lang w:val="en-US" w:eastAsia="zh-CN"/>
                <w14:textFill>
                  <w14:solidFill>
                    <w14:schemeClr w14:val="tx1"/>
                  </w14:solidFill>
                </w14:textFill>
              </w:rPr>
              <w:t>3）焊锡废气与有机废气共用排气筒合理性分析</w:t>
            </w:r>
          </w:p>
          <w:p w14:paraId="39EF6AC2">
            <w:pPr>
              <w:pStyle w:val="40"/>
              <w:bidi w:val="0"/>
              <w:rPr>
                <w:rFonts w:hint="eastAsia"/>
                <w:b w:val="0"/>
                <w:bCs w:val="0"/>
                <w:color w:val="000000" w:themeColor="text1"/>
                <w:kern w:val="0"/>
                <w:u w:val="single" w:color="auto"/>
                <w:lang w:val="en-US" w:eastAsia="zh-CN"/>
                <w14:textFill>
                  <w14:solidFill>
                    <w14:schemeClr w14:val="tx1"/>
                  </w14:solidFill>
                </w14:textFill>
              </w:rPr>
            </w:pPr>
            <w:r>
              <w:rPr>
                <w:rFonts w:hint="eastAsia"/>
                <w:b w:val="0"/>
                <w:bCs w:val="0"/>
                <w:color w:val="000000" w:themeColor="text1"/>
                <w:kern w:val="0"/>
                <w:u w:val="single" w:color="auto"/>
                <w:lang w:val="en-US" w:eastAsia="zh-CN"/>
                <w14:textFill>
                  <w14:solidFill>
                    <w14:schemeClr w14:val="tx1"/>
                  </w14:solidFill>
                </w14:textFill>
              </w:rPr>
              <w:t>本项目焊锡废气经干式过滤器（过滤棉）预处理去除颗粒物及锡及其化合物后，与调漆、浸漆、烘干废气共用一根排气筒排放，合理性分析如下：</w:t>
            </w:r>
          </w:p>
          <w:p w14:paraId="7D7B8D9C">
            <w:pPr>
              <w:pStyle w:val="40"/>
              <w:bidi w:val="0"/>
              <w:rPr>
                <w:rFonts w:hint="eastAsia"/>
                <w:b w:val="0"/>
                <w:bCs w:val="0"/>
                <w:color w:val="000000" w:themeColor="text1"/>
                <w:kern w:val="0"/>
                <w:u w:val="single" w:color="auto"/>
                <w:lang w:val="en-US" w:eastAsia="zh-CN"/>
                <w14:textFill>
                  <w14:solidFill>
                    <w14:schemeClr w14:val="tx1"/>
                  </w14:solidFill>
                </w14:textFill>
              </w:rPr>
            </w:pPr>
            <w:r>
              <w:rPr>
                <w:rFonts w:hint="eastAsia"/>
                <w:b w:val="0"/>
                <w:bCs w:val="0"/>
                <w:color w:val="000000" w:themeColor="text1"/>
                <w:kern w:val="0"/>
                <w:u w:val="single" w:color="auto"/>
                <w:lang w:val="en-US" w:eastAsia="zh-CN"/>
                <w14:textFill>
                  <w14:solidFill>
                    <w14:schemeClr w14:val="tx1"/>
                  </w14:solidFill>
                </w14:textFill>
              </w:rPr>
              <w:t>①污染物组分相容：焊锡废气主要为颗粒物、锡及其化合物，调漆浸漆烘干废气主要为VOCs，两股废气组分间无化学反应性冲突，混合后不产生新污染物。</w:t>
            </w:r>
          </w:p>
          <w:p w14:paraId="10E5B974">
            <w:pPr>
              <w:pStyle w:val="40"/>
              <w:bidi w:val="0"/>
              <w:rPr>
                <w:rFonts w:hint="eastAsia"/>
                <w:b w:val="0"/>
                <w:bCs w:val="0"/>
                <w:color w:val="000000" w:themeColor="text1"/>
                <w:kern w:val="0"/>
                <w:u w:val="single" w:color="auto"/>
                <w:lang w:val="en-US" w:eastAsia="zh-CN"/>
                <w14:textFill>
                  <w14:solidFill>
                    <w14:schemeClr w14:val="tx1"/>
                  </w14:solidFill>
                </w14:textFill>
              </w:rPr>
            </w:pPr>
            <w:r>
              <w:rPr>
                <w:rFonts w:hint="eastAsia"/>
                <w:b w:val="0"/>
                <w:bCs w:val="0"/>
                <w:color w:val="000000" w:themeColor="text1"/>
                <w:kern w:val="0"/>
                <w:u w:val="single" w:color="auto"/>
                <w:lang w:val="en-US" w:eastAsia="zh-CN"/>
                <w14:textFill>
                  <w14:solidFill>
                    <w14:schemeClr w14:val="tx1"/>
                  </w14:solidFill>
                </w14:textFill>
              </w:rPr>
              <w:t>②处理工艺衔接合理：焊锡废气先经干式过滤器去除金属烟尘，避免细颗粒堵塞后续二级活性炭吸附处理设施；干式过滤器针对颗粒物、后续二级活性炭吸附针对VOCs，处理目标互补，工艺路线顺畅。</w:t>
            </w:r>
          </w:p>
          <w:p w14:paraId="270FBD10">
            <w:pPr>
              <w:pStyle w:val="40"/>
              <w:bidi w:val="0"/>
              <w:rPr>
                <w:rFonts w:hint="eastAsia"/>
                <w:b w:val="0"/>
                <w:bCs w:val="0"/>
                <w:color w:val="000000" w:themeColor="text1"/>
                <w:kern w:val="0"/>
                <w:u w:val="single" w:color="auto"/>
                <w:lang w:val="en-US" w:eastAsia="zh-CN"/>
                <w14:textFill>
                  <w14:solidFill>
                    <w14:schemeClr w14:val="tx1"/>
                  </w14:solidFill>
                </w14:textFill>
              </w:rPr>
            </w:pPr>
            <w:r>
              <w:rPr>
                <w:rFonts w:hint="eastAsia"/>
                <w:b w:val="0"/>
                <w:bCs w:val="0"/>
                <w:color w:val="000000" w:themeColor="text1"/>
                <w:kern w:val="0"/>
                <w:u w:val="single" w:color="auto"/>
                <w:lang w:val="en-US" w:eastAsia="zh-CN"/>
                <w14:textFill>
                  <w14:solidFill>
                    <w14:schemeClr w14:val="tx1"/>
                  </w14:solidFill>
                </w14:textFill>
              </w:rPr>
              <w:t xml:space="preserve">③排放标准适用明确：共用排气筒后各污染物分别执行对应标准、分别核算浓度和速率，不降低排放标准要求；排气筒高度按最严格要求确定，各污染物均能达标排放。 </w:t>
            </w:r>
          </w:p>
          <w:p w14:paraId="1551989D">
            <w:pPr>
              <w:pStyle w:val="40"/>
              <w:bidi w:val="0"/>
              <w:rPr>
                <w:rFonts w:hint="eastAsia"/>
                <w:b w:val="0"/>
                <w:bCs w:val="0"/>
                <w:color w:val="000000" w:themeColor="text1"/>
                <w:kern w:val="0"/>
                <w:u w:val="single" w:color="auto"/>
                <w:lang w:val="en-US" w:eastAsia="zh-CN"/>
                <w14:textFill>
                  <w14:solidFill>
                    <w14:schemeClr w14:val="tx1"/>
                  </w14:solidFill>
                </w14:textFill>
              </w:rPr>
            </w:pPr>
            <w:r>
              <w:rPr>
                <w:rFonts w:hint="eastAsia"/>
                <w:b w:val="0"/>
                <w:bCs w:val="0"/>
                <w:color w:val="000000" w:themeColor="text1"/>
                <w:kern w:val="0"/>
                <w:u w:val="single" w:color="auto"/>
                <w:lang w:val="en-US" w:eastAsia="zh-CN"/>
                <w14:textFill>
                  <w14:solidFill>
                    <w14:schemeClr w14:val="tx1"/>
                  </w14:solidFill>
                </w14:textFill>
              </w:rPr>
              <w:t>④安全风险可控：焊锡废气经收集过滤后温度降至常温，VOCs浓度远低于爆炸下限，共用管道做防静电跨接及可靠接地，无安全隐患。</w:t>
            </w:r>
          </w:p>
          <w:p w14:paraId="53C87982">
            <w:pPr>
              <w:pStyle w:val="40"/>
              <w:bidi w:val="0"/>
              <w:rPr>
                <w:rFonts w:hint="eastAsia"/>
                <w:b w:val="0"/>
                <w:bCs w:val="0"/>
                <w:color w:val="000000" w:themeColor="text1"/>
                <w:kern w:val="0"/>
                <w:u w:val="single" w:color="auto"/>
                <w:lang w:val="en-US" w:eastAsia="zh-CN"/>
                <w14:textFill>
                  <w14:solidFill>
                    <w14:schemeClr w14:val="tx1"/>
                  </w14:solidFill>
                </w14:textFill>
              </w:rPr>
            </w:pPr>
            <w:r>
              <w:rPr>
                <w:rFonts w:hint="eastAsia"/>
                <w:b w:val="0"/>
                <w:bCs w:val="0"/>
                <w:color w:val="000000" w:themeColor="text1"/>
                <w:kern w:val="0"/>
                <w:u w:val="single" w:color="auto"/>
                <w:lang w:val="en-US" w:eastAsia="zh-CN"/>
                <w14:textFill>
                  <w14:solidFill>
                    <w14:schemeClr w14:val="tx1"/>
                  </w14:solidFill>
                </w14:textFill>
              </w:rPr>
              <w:t>⑤技术经济合理：共用排气筒可节省投资、节约占地、便于管理，符合《大气污染物综合排放标准》中多污染物同一排气筒分别达标的规定。</w:t>
            </w:r>
          </w:p>
          <w:p w14:paraId="15F6B572">
            <w:pPr>
              <w:pStyle w:val="40"/>
              <w:bidi w:val="0"/>
              <w:rPr>
                <w:rFonts w:hint="eastAsia"/>
                <w:b w:val="0"/>
                <w:bCs w:val="0"/>
                <w:color w:val="000000" w:themeColor="text1"/>
                <w:kern w:val="0"/>
                <w:u w:val="single" w:color="auto"/>
                <w:lang w:val="en-US" w:eastAsia="zh-CN"/>
                <w14:textFill>
                  <w14:solidFill>
                    <w14:schemeClr w14:val="tx1"/>
                  </w14:solidFill>
                </w14:textFill>
              </w:rPr>
            </w:pPr>
            <w:r>
              <w:rPr>
                <w:rFonts w:hint="eastAsia"/>
                <w:b w:val="0"/>
                <w:bCs w:val="0"/>
                <w:color w:val="000000" w:themeColor="text1"/>
                <w:kern w:val="0"/>
                <w:u w:val="single" w:color="auto"/>
                <w:lang w:val="en-US" w:eastAsia="zh-CN"/>
                <w14:textFill>
                  <w14:solidFill>
                    <w14:schemeClr w14:val="tx1"/>
                  </w14:solidFill>
                </w14:textFill>
              </w:rPr>
              <w:t>结论：焊锡废气经干式过滤器预处理后与调漆、浸漆、烘干有机废气共用排气筒，方案合理可行。</w:t>
            </w:r>
          </w:p>
          <w:p w14:paraId="2837F1D1">
            <w:pPr>
              <w:pStyle w:val="40"/>
              <w:bidi w:val="0"/>
              <w:rPr>
                <w:rFonts w:hint="eastAsia"/>
                <w:lang w:val="en-US" w:eastAsia="zh-CN"/>
              </w:rPr>
            </w:pPr>
            <w:r>
              <w:rPr>
                <w:rFonts w:hint="eastAsia"/>
                <w:b w:val="0"/>
                <w:bCs w:val="0"/>
                <w:color w:val="000000" w:themeColor="text1"/>
                <w:kern w:val="0"/>
                <w:u w:val="none" w:color="auto"/>
                <w:lang w:val="en-US" w:eastAsia="zh-CN"/>
                <w14:textFill>
                  <w14:solidFill>
                    <w14:schemeClr w14:val="tx1"/>
                  </w14:solidFill>
                </w14:textFill>
              </w:rPr>
              <w:t>4）</w:t>
            </w:r>
            <w:r>
              <w:rPr>
                <w:rFonts w:hint="eastAsia"/>
                <w:lang w:val="en-US" w:eastAsia="zh-CN"/>
              </w:rPr>
              <w:t>排气筒高度可行性分析</w:t>
            </w:r>
          </w:p>
          <w:p w14:paraId="6BD81546">
            <w:pPr>
              <w:wordWrap w:val="0"/>
              <w:snapToGrid w:val="0"/>
              <w:spacing w:line="360" w:lineRule="auto"/>
              <w:ind w:firstLine="480" w:firstLineChars="200"/>
              <w:jc w:val="left"/>
              <w:rPr>
                <w:rFonts w:hint="eastAsia" w:eastAsia="宋体"/>
                <w:sz w:val="24"/>
                <w:szCs w:val="24"/>
                <w:u w:val="none" w:color="auto"/>
                <w:lang w:eastAsia="zh-CN"/>
              </w:rPr>
            </w:pPr>
            <w:r>
              <w:rPr>
                <w:rFonts w:hint="eastAsia"/>
                <w:sz w:val="24"/>
                <w:szCs w:val="24"/>
                <w:u w:val="none" w:color="auto"/>
                <w:lang w:val="en-US" w:eastAsia="zh-CN"/>
              </w:rPr>
              <w:t>根据《工业企业挥发性有机物排放标准》（DB43/3550-2026）4.2中要求，排气筒高度不应低于15m，</w:t>
            </w:r>
            <w:r>
              <w:rPr>
                <w:rFonts w:ascii="Times New Roman" w:cs="Times New Roman"/>
                <w:color w:val="auto"/>
                <w:sz w:val="24"/>
                <w:szCs w:val="24"/>
                <w:u w:val="none" w:color="auto"/>
                <w:lang w:bidi="ar"/>
              </w:rPr>
              <w:t>根据</w:t>
            </w:r>
            <w:r>
              <w:rPr>
                <w:rFonts w:hint="eastAsia"/>
                <w:sz w:val="24"/>
                <w:szCs w:val="24"/>
                <w:u w:val="none" w:color="auto"/>
              </w:rPr>
              <w:t>《大气污染物</w:t>
            </w:r>
            <w:r>
              <w:rPr>
                <w:rFonts w:hint="eastAsia"/>
                <w:sz w:val="24"/>
                <w:szCs w:val="24"/>
                <w:u w:val="none" w:color="auto"/>
                <w:lang w:val="en-US" w:eastAsia="zh-CN"/>
              </w:rPr>
              <w:t>综合</w:t>
            </w:r>
            <w:r>
              <w:rPr>
                <w:rFonts w:hint="eastAsia"/>
                <w:sz w:val="24"/>
                <w:szCs w:val="24"/>
                <w:u w:val="none" w:color="auto"/>
              </w:rPr>
              <w:t>排放标准》（GB</w:t>
            </w:r>
            <w:r>
              <w:rPr>
                <w:rFonts w:hint="eastAsia"/>
                <w:sz w:val="24"/>
                <w:szCs w:val="24"/>
                <w:u w:val="none" w:color="auto"/>
                <w:lang w:val="en-US" w:eastAsia="zh-CN"/>
              </w:rPr>
              <w:t>16297-1996</w:t>
            </w:r>
            <w:r>
              <w:rPr>
                <w:rFonts w:hint="eastAsia"/>
                <w:sz w:val="24"/>
                <w:szCs w:val="24"/>
                <w:u w:val="none" w:color="auto"/>
              </w:rPr>
              <w:t>）</w:t>
            </w:r>
            <w:r>
              <w:rPr>
                <w:rFonts w:hint="eastAsia" w:hAnsi="宋体"/>
                <w:color w:val="auto"/>
                <w:sz w:val="24"/>
                <w:szCs w:val="24"/>
                <w:u w:val="none" w:color="auto"/>
                <w:lang w:bidi="ar"/>
              </w:rPr>
              <w:t>中</w:t>
            </w:r>
            <w:r>
              <w:rPr>
                <w:rFonts w:hint="eastAsia" w:hAnsi="宋体"/>
                <w:color w:val="auto"/>
                <w:sz w:val="24"/>
                <w:szCs w:val="24"/>
                <w:u w:val="none" w:color="auto"/>
                <w:lang w:val="en-US" w:eastAsia="zh-CN" w:bidi="ar"/>
              </w:rPr>
              <w:t>7.1规定</w:t>
            </w:r>
            <w:r>
              <w:rPr>
                <w:rFonts w:hint="eastAsia"/>
                <w:color w:val="auto"/>
                <w:sz w:val="24"/>
                <w:szCs w:val="24"/>
                <w:u w:val="none" w:color="auto"/>
                <w:lang w:eastAsia="zh-CN" w:bidi="ar"/>
              </w:rPr>
              <w:t>，</w:t>
            </w:r>
            <w:r>
              <w:rPr>
                <w:rFonts w:hint="eastAsia"/>
                <w:color w:val="auto"/>
                <w:sz w:val="24"/>
                <w:szCs w:val="24"/>
                <w:u w:val="none" w:color="auto"/>
                <w:lang w:val="en-US" w:eastAsia="zh-CN" w:bidi="ar"/>
              </w:rPr>
              <w:t>排气筒高度应</w:t>
            </w:r>
            <w:r>
              <w:rPr>
                <w:rFonts w:hint="eastAsia"/>
                <w:color w:val="auto"/>
                <w:sz w:val="24"/>
                <w:szCs w:val="24"/>
                <w:u w:val="none" w:color="auto"/>
                <w:lang w:eastAsia="zh-CN" w:bidi="ar"/>
              </w:rPr>
              <w:t>高出周围200m半径范围的建筑5m以上，</w:t>
            </w:r>
            <w:r>
              <w:rPr>
                <w:rFonts w:hint="eastAsia"/>
                <w:sz w:val="24"/>
                <w:szCs w:val="24"/>
                <w:u w:val="none" w:color="auto"/>
                <w:lang w:val="en-US" w:eastAsia="zh-CN"/>
              </w:rPr>
              <w:t>本项目排气筒DA001高度设置为23</w:t>
            </w:r>
            <w:r>
              <w:rPr>
                <w:rFonts w:hint="eastAsia"/>
                <w:sz w:val="24"/>
                <w:szCs w:val="24"/>
                <w:u w:val="none" w:color="auto"/>
              </w:rPr>
              <w:t>m，</w:t>
            </w:r>
            <w:r>
              <w:rPr>
                <w:rFonts w:hint="eastAsia"/>
                <w:sz w:val="24"/>
                <w:szCs w:val="24"/>
                <w:u w:val="none" w:color="auto"/>
                <w:lang w:val="en-US" w:eastAsia="zh-CN"/>
              </w:rPr>
              <w:t>项目周围200m半径范围的最高建筑为本项目厂房（层高4F）约17m，本项目排气筒DA001高度</w:t>
            </w:r>
            <w:r>
              <w:rPr>
                <w:rFonts w:hint="eastAsia"/>
                <w:sz w:val="24"/>
                <w:szCs w:val="24"/>
                <w:u w:val="none" w:color="auto"/>
              </w:rPr>
              <w:t>可达到标准要求。</w:t>
            </w:r>
          </w:p>
          <w:p w14:paraId="16268ABC">
            <w:pPr>
              <w:spacing w:line="360" w:lineRule="auto"/>
              <w:ind w:firstLine="480" w:firstLineChars="200"/>
              <w:rPr>
                <w:rFonts w:hint="eastAsia"/>
                <w:b w:val="0"/>
                <w:bCs w:val="0"/>
                <w:color w:val="000000" w:themeColor="text1"/>
                <w:kern w:val="0"/>
                <w:u w:val="none" w:color="auto"/>
                <w:lang w:val="en-US" w:eastAsia="zh-CN"/>
                <w14:textFill>
                  <w14:solidFill>
                    <w14:schemeClr w14:val="tx1"/>
                  </w14:solidFill>
                </w14:textFill>
              </w:rPr>
            </w:pPr>
            <w:r>
              <w:rPr>
                <w:rFonts w:hint="eastAsia"/>
                <w:b w:val="0"/>
                <w:bCs w:val="0"/>
                <w:color w:val="000000" w:themeColor="text1"/>
                <w:kern w:val="0"/>
                <w:u w:val="none" w:color="auto"/>
                <w:lang w:val="en-US" w:eastAsia="zh-CN"/>
                <w14:textFill>
                  <w14:solidFill>
                    <w14:schemeClr w14:val="tx1"/>
                  </w14:solidFill>
                </w14:textFill>
              </w:rPr>
              <w:t>5）排气筒内径可行性分析</w:t>
            </w:r>
          </w:p>
          <w:p w14:paraId="0784B22B">
            <w:pPr>
              <w:spacing w:line="360" w:lineRule="auto"/>
              <w:ind w:firstLine="480" w:firstLineChars="200"/>
              <w:rPr>
                <w:rFonts w:hint="eastAsia"/>
                <w:b w:val="0"/>
                <w:bCs w:val="0"/>
                <w:color w:val="000000" w:themeColor="text1"/>
                <w:kern w:val="0"/>
                <w:u w:val="none" w:color="auto"/>
                <w:lang w:val="en-US" w:eastAsia="zh-CN"/>
                <w14:textFill>
                  <w14:solidFill>
                    <w14:schemeClr w14:val="tx1"/>
                  </w14:solidFill>
                </w14:textFill>
              </w:rPr>
            </w:pPr>
            <w:r>
              <w:rPr>
                <w:rFonts w:hint="eastAsia"/>
                <w:b w:val="0"/>
                <w:bCs w:val="0"/>
                <w:color w:val="000000" w:themeColor="text1"/>
                <w:kern w:val="0"/>
                <w:u w:val="none" w:color="auto"/>
                <w:lang w:val="en-US" w:eastAsia="zh-CN"/>
                <w14:textFill>
                  <w14:solidFill>
                    <w14:schemeClr w14:val="tx1"/>
                  </w14:solidFill>
                </w14:textFill>
              </w:rPr>
              <w:t>根据《大气污染治理工程技术导则》（HJ2000-2010）5.3.5，“排气筒的出口直径应根据出口流速确定，流速宜取15m/s左右。当采用钢管烟肉且高度较高时或烟气量较大时，可适当提高出口流速至20~25m/s”。</w:t>
            </w:r>
          </w:p>
          <w:p w14:paraId="2C93344F">
            <w:pPr>
              <w:spacing w:line="360" w:lineRule="auto"/>
              <w:ind w:firstLine="480" w:firstLineChars="200"/>
              <w:rPr>
                <w:rFonts w:hint="default"/>
                <w:b w:val="0"/>
                <w:bCs w:val="0"/>
                <w:color w:val="000000" w:themeColor="text1"/>
                <w:kern w:val="0"/>
                <w:u w:val="none" w:color="auto"/>
                <w:lang w:val="en-US" w:eastAsia="zh-CN"/>
                <w14:textFill>
                  <w14:solidFill>
                    <w14:schemeClr w14:val="tx1"/>
                  </w14:solidFill>
                </w14:textFill>
              </w:rPr>
            </w:pPr>
            <w:r>
              <w:rPr>
                <w:rFonts w:hint="eastAsia"/>
                <w:b w:val="0"/>
                <w:bCs w:val="0"/>
                <w:color w:val="000000" w:themeColor="text1"/>
                <w:kern w:val="0"/>
                <w:u w:val="none" w:color="auto"/>
                <w:lang w:val="en-US" w:eastAsia="zh-CN"/>
                <w14:textFill>
                  <w14:solidFill>
                    <w14:schemeClr w14:val="tx1"/>
                  </w14:solidFill>
                </w14:textFill>
              </w:rPr>
              <w:t>本项目排气筒DA001风量为11000m</w:t>
            </w:r>
            <w:r>
              <w:rPr>
                <w:rFonts w:hint="eastAsia"/>
                <w:b w:val="0"/>
                <w:bCs w:val="0"/>
                <w:color w:val="000000" w:themeColor="text1"/>
                <w:kern w:val="0"/>
                <w:u w:val="none" w:color="auto"/>
                <w:vertAlign w:val="superscript"/>
                <w:lang w:val="en-US" w:eastAsia="zh-CN"/>
                <w14:textFill>
                  <w14:solidFill>
                    <w14:schemeClr w14:val="tx1"/>
                  </w14:solidFill>
                </w14:textFill>
              </w:rPr>
              <w:t>3</w:t>
            </w:r>
            <w:r>
              <w:rPr>
                <w:rFonts w:hint="eastAsia"/>
                <w:b w:val="0"/>
                <w:bCs w:val="0"/>
                <w:color w:val="000000" w:themeColor="text1"/>
                <w:kern w:val="0"/>
                <w:u w:val="none" w:color="auto"/>
                <w:lang w:val="en-US" w:eastAsia="zh-CN"/>
                <w14:textFill>
                  <w14:solidFill>
                    <w14:schemeClr w14:val="tx1"/>
                  </w14:solidFill>
                </w14:textFill>
              </w:rPr>
              <w:t>/h，内径为0.5m。经核算风速等于15.57/s，符合导则要求。</w:t>
            </w:r>
          </w:p>
          <w:p w14:paraId="54DB40D1">
            <w:pPr>
              <w:spacing w:line="360" w:lineRule="auto"/>
              <w:ind w:firstLine="480" w:firstLineChars="200"/>
              <w:rPr>
                <w:rFonts w:hint="eastAsia"/>
                <w:b w:val="0"/>
                <w:bCs w:val="0"/>
                <w:color w:val="000000" w:themeColor="text1"/>
                <w:kern w:val="0"/>
                <w:u w:val="none" w:color="auto"/>
                <w:lang w:val="en-US" w:eastAsia="zh-CN"/>
                <w14:textFill>
                  <w14:solidFill>
                    <w14:schemeClr w14:val="tx1"/>
                  </w14:solidFill>
                </w14:textFill>
              </w:rPr>
            </w:pPr>
            <w:r>
              <w:rPr>
                <w:rFonts w:hint="eastAsia"/>
                <w:b w:val="0"/>
                <w:bCs w:val="0"/>
                <w:color w:val="000000" w:themeColor="text1"/>
                <w:kern w:val="0"/>
                <w:u w:val="none" w:color="auto"/>
                <w:lang w:val="en-US" w:eastAsia="zh-CN"/>
                <w14:textFill>
                  <w14:solidFill>
                    <w14:schemeClr w14:val="tx1"/>
                  </w14:solidFill>
                </w14:textFill>
              </w:rPr>
              <w:t>⑧项目废气走向图</w:t>
            </w:r>
          </w:p>
          <w:p w14:paraId="17A7AE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lang w:val="en-US" w:eastAsia="zh-CN"/>
              </w:rPr>
            </w:pPr>
            <w:r>
              <w:drawing>
                <wp:inline distT="0" distB="0" distL="114300" distR="114300">
                  <wp:extent cx="4842510" cy="1541780"/>
                  <wp:effectExtent l="0" t="0" r="15240" b="127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8"/>
                          <a:stretch>
                            <a:fillRect/>
                          </a:stretch>
                        </pic:blipFill>
                        <pic:spPr>
                          <a:xfrm>
                            <a:off x="0" y="0"/>
                            <a:ext cx="4842510" cy="1541780"/>
                          </a:xfrm>
                          <a:prstGeom prst="rect">
                            <a:avLst/>
                          </a:prstGeom>
                          <a:noFill/>
                          <a:ln>
                            <a:noFill/>
                          </a:ln>
                        </pic:spPr>
                      </pic:pic>
                    </a:graphicData>
                  </a:graphic>
                </wp:inline>
              </w:drawing>
            </w:r>
          </w:p>
          <w:p w14:paraId="637B79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000000" w:themeColor="text1"/>
                <w:kern w:val="0"/>
                <w:sz w:val="21"/>
                <w:szCs w:val="21"/>
                <w:u w:val="none" w:color="auto"/>
                <w:lang w:val="en-US" w:eastAsia="zh-CN"/>
                <w14:textFill>
                  <w14:solidFill>
                    <w14:schemeClr w14:val="tx1"/>
                  </w14:solidFill>
                </w14:textFill>
              </w:rPr>
            </w:pPr>
            <w:r>
              <w:rPr>
                <w:rFonts w:hint="eastAsia"/>
                <w:b/>
                <w:bCs/>
                <w:color w:val="000000" w:themeColor="text1"/>
                <w:kern w:val="0"/>
                <w:sz w:val="21"/>
                <w:szCs w:val="21"/>
                <w:u w:val="none" w:color="auto"/>
                <w:lang w:val="en-US" w:eastAsia="zh-CN"/>
                <w14:textFill>
                  <w14:solidFill>
                    <w14:schemeClr w14:val="tx1"/>
                  </w14:solidFill>
                </w14:textFill>
              </w:rPr>
              <w:t>图4-1项目废气走向图</w:t>
            </w:r>
          </w:p>
          <w:p w14:paraId="0EF7D251">
            <w:pPr>
              <w:spacing w:line="360" w:lineRule="auto"/>
              <w:ind w:firstLine="482" w:firstLineChars="200"/>
              <w:rPr>
                <w:rFonts w:hint="default" w:eastAsia="宋体"/>
                <w:b/>
                <w:bCs/>
                <w:color w:val="000000" w:themeColor="text1"/>
                <w:kern w:val="0"/>
                <w:u w:val="none" w:color="auto"/>
                <w:lang w:val="en-US" w:eastAsia="zh-CN"/>
                <w14:textFill>
                  <w14:solidFill>
                    <w14:schemeClr w14:val="tx1"/>
                  </w14:solidFill>
                </w14:textFill>
              </w:rPr>
            </w:pPr>
            <w:r>
              <w:rPr>
                <w:rFonts w:hint="eastAsia"/>
                <w:b/>
                <w:bCs/>
                <w:color w:val="000000" w:themeColor="text1"/>
                <w:kern w:val="0"/>
                <w:u w:val="none" w:color="auto"/>
                <w:lang w:val="en-US" w:eastAsia="zh-CN"/>
                <w14:textFill>
                  <w14:solidFill>
                    <w14:schemeClr w14:val="tx1"/>
                  </w14:solidFill>
                </w14:textFill>
              </w:rPr>
              <w:t>3、非正常排放</w:t>
            </w:r>
          </w:p>
          <w:p w14:paraId="76BB9226">
            <w:pPr>
              <w:pStyle w:val="73"/>
              <w:bidi w:val="0"/>
              <w:rPr>
                <w:rFonts w:hint="default"/>
                <w:lang w:val="en-US" w:eastAsia="zh-CN"/>
              </w:rPr>
            </w:pPr>
            <w:r>
              <w:rPr>
                <w:rFonts w:hint="default" w:ascii="Times New Roman" w:hAnsi="Times New Roman" w:cs="Times New Roman"/>
                <w:color w:val="auto"/>
              </w:rPr>
              <w:t>项目非正常情况下废气排放主要为</w:t>
            </w:r>
            <w:r>
              <w:rPr>
                <w:rFonts w:hint="default" w:ascii="Times New Roman" w:hAnsi="Times New Roman" w:eastAsia="宋体" w:cs="Times New Roman"/>
                <w:b w:val="0"/>
                <w:bCs w:val="0"/>
                <w:color w:val="auto"/>
                <w:sz w:val="24"/>
                <w:szCs w:val="24"/>
                <w:lang w:val="en-US" w:eastAsia="zh-CN"/>
              </w:rPr>
              <w:t>废气处理设施出现故障</w:t>
            </w:r>
            <w:r>
              <w:rPr>
                <w:rFonts w:hint="default" w:ascii="Times New Roman" w:hAnsi="Times New Roman" w:cs="Times New Roman"/>
                <w:color w:val="auto"/>
              </w:rPr>
              <w:t>失效，对气体处理效率降低</w:t>
            </w:r>
            <w:r>
              <w:rPr>
                <w:rFonts w:hint="default" w:ascii="Times New Roman" w:hAnsi="Times New Roman" w:cs="Times New Roman"/>
                <w:color w:val="auto"/>
                <w:lang w:eastAsia="zh-CN"/>
              </w:rPr>
              <w:t>，</w:t>
            </w:r>
            <w:r>
              <w:rPr>
                <w:rFonts w:hint="default" w:ascii="Times New Roman" w:hAnsi="Times New Roman" w:cs="Times New Roman"/>
                <w:color w:val="auto"/>
              </w:rPr>
              <w:t>本项目以处理效率0考虑</w:t>
            </w:r>
            <w:r>
              <w:rPr>
                <w:rFonts w:hint="default" w:ascii="Times New Roman" w:hAnsi="Times New Roman" w:cs="Times New Roman"/>
                <w:color w:val="auto"/>
                <w:lang w:eastAsia="zh-CN"/>
              </w:rPr>
              <w:t>，</w:t>
            </w:r>
            <w:r>
              <w:rPr>
                <w:rFonts w:hint="default" w:ascii="Times New Roman" w:hAnsi="Times New Roman" w:cs="Times New Roman"/>
                <w:lang w:val="en-US" w:eastAsia="zh-CN"/>
              </w:rPr>
              <w:t>事故频次1年/1次计，持续时间2h，计算项目非正常工况污染物排放情况。</w:t>
            </w:r>
            <w:r>
              <w:rPr>
                <w:rFonts w:hint="default" w:ascii="Times New Roman" w:hAnsi="Times New Roman" w:cs="Times New Roman"/>
                <w:color w:val="auto"/>
                <w:lang w:val="en-US" w:eastAsia="zh-CN"/>
              </w:rPr>
              <w:t>详情</w:t>
            </w:r>
            <w:r>
              <w:rPr>
                <w:rFonts w:hint="default" w:ascii="Times New Roman" w:hAnsi="Times New Roman" w:cs="Times New Roman"/>
                <w:color w:val="000000" w:themeColor="text1"/>
                <w:sz w:val="24"/>
                <w:u w:val="none" w:color="auto"/>
                <w:lang w:val="en-US" w:eastAsia="zh-CN"/>
                <w14:textFill>
                  <w14:solidFill>
                    <w14:schemeClr w14:val="tx1"/>
                  </w14:solidFill>
                </w14:textFill>
              </w:rPr>
              <w:t>见下表</w:t>
            </w:r>
            <w:r>
              <w:rPr>
                <w:rFonts w:hint="default" w:ascii="Times New Roman" w:hAnsi="Times New Roman" w:cs="Times New Roman"/>
                <w:color w:val="auto"/>
                <w:lang w:val="en-US" w:eastAsia="zh-CN"/>
              </w:rPr>
              <w:t>。</w:t>
            </w:r>
          </w:p>
          <w:p w14:paraId="0E744C5A">
            <w:pPr>
              <w:pStyle w:val="61"/>
              <w:bidi w:val="0"/>
              <w:rPr>
                <w:rFonts w:hint="default"/>
                <w:lang w:val="en-US" w:eastAsia="zh-CN"/>
              </w:rPr>
            </w:pPr>
            <w:r>
              <w:rPr>
                <w:rFonts w:hint="eastAsia"/>
                <w:lang w:val="en-US" w:eastAsia="zh-CN"/>
              </w:rPr>
              <w:t>表4-9非正常工况分析情况一览表</w:t>
            </w:r>
          </w:p>
          <w:tbl>
            <w:tblPr>
              <w:tblStyle w:val="33"/>
              <w:tblW w:w="4998"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17"/>
              <w:gridCol w:w="835"/>
              <w:gridCol w:w="1116"/>
              <w:gridCol w:w="1140"/>
              <w:gridCol w:w="1413"/>
              <w:gridCol w:w="1457"/>
              <w:gridCol w:w="696"/>
              <w:gridCol w:w="696"/>
            </w:tblGrid>
            <w:tr w14:paraId="3EE1E5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710" w:type="pct"/>
                  <w:vMerge w:val="restart"/>
                  <w:tcBorders>
                    <w:tl2br w:val="nil"/>
                    <w:tr2bl w:val="nil"/>
                  </w:tcBorders>
                  <w:noWrap w:val="0"/>
                  <w:vAlign w:val="center"/>
                </w:tcPr>
                <w:p w14:paraId="3F77726A">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r>
                    <w:rPr>
                      <w:rFonts w:hint="default" w:ascii="Times New Roman" w:hAnsi="Times New Roman" w:cs="Times New Roman"/>
                      <w:b w:val="0"/>
                      <w:bCs w:val="0"/>
                      <w:color w:val="auto"/>
                      <w:sz w:val="21"/>
                      <w:szCs w:val="21"/>
                      <w:u w:val="none" w:color="auto"/>
                      <w:lang w:val="en-US" w:eastAsia="zh-CN"/>
                    </w:rPr>
                    <w:t>污染源</w:t>
                  </w:r>
                </w:p>
              </w:tc>
              <w:tc>
                <w:tcPr>
                  <w:tcW w:w="487" w:type="pct"/>
                  <w:vMerge w:val="restart"/>
                  <w:tcBorders>
                    <w:tl2br w:val="nil"/>
                    <w:tr2bl w:val="nil"/>
                  </w:tcBorders>
                  <w:noWrap w:val="0"/>
                  <w:vAlign w:val="center"/>
                </w:tcPr>
                <w:p w14:paraId="3F6C3F1B">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r>
                    <w:rPr>
                      <w:rFonts w:hint="default" w:ascii="Times New Roman" w:hAnsi="Times New Roman" w:cs="Times New Roman"/>
                      <w:b w:val="0"/>
                      <w:bCs w:val="0"/>
                      <w:color w:val="auto"/>
                      <w:sz w:val="21"/>
                      <w:szCs w:val="21"/>
                      <w:u w:val="none" w:color="auto"/>
                      <w:lang w:val="en-US" w:eastAsia="zh-CN"/>
                    </w:rPr>
                    <w:t>排口情况</w:t>
                  </w:r>
                </w:p>
              </w:tc>
              <w:tc>
                <w:tcPr>
                  <w:tcW w:w="651" w:type="pct"/>
                  <w:vMerge w:val="restart"/>
                  <w:tcBorders>
                    <w:tl2br w:val="nil"/>
                    <w:tr2bl w:val="nil"/>
                  </w:tcBorders>
                  <w:noWrap w:val="0"/>
                  <w:vAlign w:val="center"/>
                </w:tcPr>
                <w:p w14:paraId="3B948812">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r>
                    <w:rPr>
                      <w:rFonts w:hint="default" w:ascii="Times New Roman" w:hAnsi="Times New Roman" w:cs="Times New Roman"/>
                      <w:b w:val="0"/>
                      <w:bCs w:val="0"/>
                      <w:color w:val="auto"/>
                      <w:sz w:val="21"/>
                      <w:szCs w:val="21"/>
                      <w:u w:val="none" w:color="auto"/>
                      <w:lang w:val="en-US" w:eastAsia="zh-CN"/>
                    </w:rPr>
                    <w:t>污染物名称</w:t>
                  </w:r>
                </w:p>
              </w:tc>
              <w:tc>
                <w:tcPr>
                  <w:tcW w:w="665" w:type="pct"/>
                  <w:vMerge w:val="restart"/>
                  <w:tcBorders>
                    <w:tl2br w:val="nil"/>
                    <w:tr2bl w:val="nil"/>
                  </w:tcBorders>
                  <w:noWrap w:val="0"/>
                  <w:vAlign w:val="center"/>
                </w:tcPr>
                <w:p w14:paraId="141416BC">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r>
                    <w:rPr>
                      <w:rFonts w:hint="default" w:ascii="Times New Roman" w:hAnsi="Times New Roman" w:cs="Times New Roman"/>
                      <w:b w:val="0"/>
                      <w:bCs w:val="0"/>
                      <w:color w:val="auto"/>
                      <w:sz w:val="21"/>
                      <w:szCs w:val="21"/>
                      <w:u w:val="none" w:color="auto"/>
                      <w:lang w:val="en-US" w:eastAsia="zh-CN"/>
                    </w:rPr>
                    <w:t>非正常排放原因</w:t>
                  </w:r>
                </w:p>
              </w:tc>
              <w:tc>
                <w:tcPr>
                  <w:tcW w:w="2486" w:type="pct"/>
                  <w:gridSpan w:val="4"/>
                  <w:tcBorders>
                    <w:tl2br w:val="nil"/>
                    <w:tr2bl w:val="nil"/>
                  </w:tcBorders>
                  <w:noWrap w:val="0"/>
                  <w:vAlign w:val="center"/>
                </w:tcPr>
                <w:p w14:paraId="410ECEFB">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r>
                    <w:rPr>
                      <w:rFonts w:hint="default" w:ascii="Times New Roman" w:hAnsi="Times New Roman" w:cs="Times New Roman"/>
                      <w:b w:val="0"/>
                      <w:bCs w:val="0"/>
                      <w:color w:val="auto"/>
                      <w:sz w:val="21"/>
                      <w:szCs w:val="21"/>
                      <w:u w:val="none" w:color="auto"/>
                      <w:lang w:val="en-US" w:eastAsia="zh-CN"/>
                    </w:rPr>
                    <w:t>非正常排放情况</w:t>
                  </w:r>
                </w:p>
              </w:tc>
            </w:tr>
            <w:tr w14:paraId="3566CD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710" w:type="pct"/>
                  <w:vMerge w:val="continue"/>
                  <w:tcBorders>
                    <w:tl2br w:val="nil"/>
                    <w:tr2bl w:val="nil"/>
                  </w:tcBorders>
                  <w:noWrap w:val="0"/>
                  <w:vAlign w:val="center"/>
                </w:tcPr>
                <w:p w14:paraId="20E80DFC">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p>
              </w:tc>
              <w:tc>
                <w:tcPr>
                  <w:tcW w:w="487" w:type="pct"/>
                  <w:vMerge w:val="continue"/>
                  <w:tcBorders>
                    <w:tl2br w:val="nil"/>
                    <w:tr2bl w:val="nil"/>
                  </w:tcBorders>
                  <w:noWrap w:val="0"/>
                  <w:vAlign w:val="center"/>
                </w:tcPr>
                <w:p w14:paraId="607239F9">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p>
              </w:tc>
              <w:tc>
                <w:tcPr>
                  <w:tcW w:w="651" w:type="pct"/>
                  <w:vMerge w:val="continue"/>
                  <w:tcBorders>
                    <w:tl2br w:val="nil"/>
                    <w:tr2bl w:val="nil"/>
                  </w:tcBorders>
                  <w:noWrap w:val="0"/>
                  <w:vAlign w:val="center"/>
                </w:tcPr>
                <w:p w14:paraId="16F4F9A5">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p>
              </w:tc>
              <w:tc>
                <w:tcPr>
                  <w:tcW w:w="665" w:type="pct"/>
                  <w:vMerge w:val="continue"/>
                  <w:tcBorders>
                    <w:tl2br w:val="nil"/>
                    <w:tr2bl w:val="nil"/>
                  </w:tcBorders>
                  <w:noWrap w:val="0"/>
                  <w:vAlign w:val="center"/>
                </w:tcPr>
                <w:p w14:paraId="0992C346">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p>
              </w:tc>
              <w:tc>
                <w:tcPr>
                  <w:tcW w:w="824" w:type="pct"/>
                  <w:tcBorders>
                    <w:tl2br w:val="nil"/>
                    <w:tr2bl w:val="nil"/>
                  </w:tcBorders>
                  <w:shd w:val="clear" w:color="auto" w:fill="auto"/>
                  <w:noWrap w:val="0"/>
                  <w:vAlign w:val="center"/>
                </w:tcPr>
                <w:p w14:paraId="609EA4ED">
                  <w:pPr>
                    <w:pStyle w:val="2"/>
                    <w:snapToGrid/>
                    <w:spacing w:before="0" w:after="0" w:line="240" w:lineRule="auto"/>
                    <w:ind w:right="0" w:rightChars="0"/>
                    <w:jc w:val="center"/>
                    <w:rPr>
                      <w:rFonts w:hint="default" w:ascii="Times New Roman" w:hAnsi="Times New Roman" w:eastAsia="宋体" w:cs="Times New Roman"/>
                      <w:b w:val="0"/>
                      <w:bCs w:val="0"/>
                      <w:color w:val="auto"/>
                      <w:kern w:val="0"/>
                      <w:sz w:val="21"/>
                      <w:szCs w:val="21"/>
                      <w:u w:val="none" w:color="auto"/>
                      <w:lang w:val="en-US" w:eastAsia="zh-CN" w:bidi="ar-SA"/>
                    </w:rPr>
                  </w:pPr>
                  <w:r>
                    <w:rPr>
                      <w:rFonts w:hint="default" w:ascii="Times New Roman" w:hAnsi="Times New Roman" w:cs="Times New Roman"/>
                      <w:b w:val="0"/>
                      <w:bCs w:val="0"/>
                      <w:color w:val="auto"/>
                      <w:sz w:val="21"/>
                      <w:szCs w:val="21"/>
                      <w:u w:val="none" w:color="auto"/>
                      <w:lang w:val="en-US" w:eastAsia="zh-CN"/>
                    </w:rPr>
                    <w:t>排放</w:t>
                  </w:r>
                  <w:r>
                    <w:rPr>
                      <w:rFonts w:hint="eastAsia" w:ascii="Times New Roman" w:hAnsi="Times New Roman" w:cs="Times New Roman"/>
                      <w:b w:val="0"/>
                      <w:bCs w:val="0"/>
                      <w:color w:val="auto"/>
                      <w:sz w:val="21"/>
                      <w:szCs w:val="21"/>
                      <w:u w:val="none" w:color="auto"/>
                      <w:lang w:val="en-US" w:eastAsia="zh-CN"/>
                    </w:rPr>
                    <w:t>速率</w:t>
                  </w:r>
                  <w:r>
                    <w:rPr>
                      <w:rFonts w:hint="default" w:ascii="Times New Roman" w:hAnsi="Times New Roman" w:cs="Times New Roman"/>
                      <w:b w:val="0"/>
                      <w:bCs w:val="0"/>
                      <w:color w:val="auto"/>
                      <w:sz w:val="21"/>
                      <w:szCs w:val="21"/>
                      <w:u w:val="none" w:color="auto"/>
                      <w:lang w:val="en-US" w:eastAsia="zh-CN"/>
                    </w:rPr>
                    <w:t>（</w:t>
                  </w:r>
                  <w:r>
                    <w:rPr>
                      <w:rFonts w:hint="eastAsia" w:ascii="Times New Roman" w:hAnsi="Times New Roman" w:cs="Times New Roman"/>
                      <w:b w:val="0"/>
                      <w:bCs w:val="0"/>
                      <w:color w:val="auto"/>
                      <w:sz w:val="21"/>
                      <w:szCs w:val="21"/>
                      <w:u w:val="none" w:color="auto"/>
                      <w:lang w:val="en-US" w:eastAsia="zh-CN"/>
                    </w:rPr>
                    <w:t>kg</w:t>
                  </w:r>
                  <w:r>
                    <w:rPr>
                      <w:rFonts w:hint="default" w:ascii="Times New Roman" w:hAnsi="Times New Roman" w:cs="Times New Roman"/>
                      <w:b w:val="0"/>
                      <w:bCs w:val="0"/>
                      <w:color w:val="auto"/>
                      <w:sz w:val="21"/>
                      <w:szCs w:val="21"/>
                      <w:u w:val="none" w:color="auto"/>
                      <w:lang w:val="en-US" w:eastAsia="zh-CN"/>
                    </w:rPr>
                    <w:t>/</w:t>
                  </w:r>
                  <w:r>
                    <w:rPr>
                      <w:rFonts w:hint="eastAsia" w:ascii="Times New Roman" w:hAnsi="Times New Roman" w:cs="Times New Roman"/>
                      <w:b w:val="0"/>
                      <w:bCs w:val="0"/>
                      <w:color w:val="auto"/>
                      <w:sz w:val="21"/>
                      <w:szCs w:val="21"/>
                      <w:u w:val="none" w:color="auto"/>
                      <w:lang w:val="en-US" w:eastAsia="zh-CN"/>
                    </w:rPr>
                    <w:t>h</w:t>
                  </w:r>
                  <w:r>
                    <w:rPr>
                      <w:rFonts w:hint="default" w:ascii="Times New Roman" w:hAnsi="Times New Roman" w:cs="Times New Roman"/>
                      <w:b w:val="0"/>
                      <w:bCs w:val="0"/>
                      <w:color w:val="auto"/>
                      <w:sz w:val="21"/>
                      <w:szCs w:val="21"/>
                      <w:u w:val="none" w:color="auto"/>
                      <w:lang w:val="en-US" w:eastAsia="zh-CN"/>
                    </w:rPr>
                    <w:t>）</w:t>
                  </w:r>
                </w:p>
              </w:tc>
              <w:tc>
                <w:tcPr>
                  <w:tcW w:w="850" w:type="pct"/>
                  <w:tcBorders>
                    <w:tl2br w:val="nil"/>
                    <w:tr2bl w:val="nil"/>
                  </w:tcBorders>
                  <w:noWrap w:val="0"/>
                  <w:vAlign w:val="center"/>
                </w:tcPr>
                <w:p w14:paraId="0937DFBB">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r>
                    <w:rPr>
                      <w:rFonts w:hint="eastAsia" w:cs="Times New Roman"/>
                      <w:b w:val="0"/>
                      <w:bCs w:val="0"/>
                      <w:color w:val="auto"/>
                      <w:sz w:val="21"/>
                      <w:szCs w:val="21"/>
                      <w:u w:val="none" w:color="auto"/>
                      <w:lang w:val="en-US" w:eastAsia="zh-CN"/>
                    </w:rPr>
                    <w:t>排放浓度（mg/m</w:t>
                  </w:r>
                  <w:r>
                    <w:rPr>
                      <w:rFonts w:hint="eastAsia" w:cs="Times New Roman"/>
                      <w:b w:val="0"/>
                      <w:bCs w:val="0"/>
                      <w:color w:val="auto"/>
                      <w:sz w:val="21"/>
                      <w:szCs w:val="21"/>
                      <w:u w:val="none" w:color="auto"/>
                      <w:vertAlign w:val="superscript"/>
                      <w:lang w:val="en-US" w:eastAsia="zh-CN"/>
                    </w:rPr>
                    <w:t>3</w:t>
                  </w:r>
                  <w:r>
                    <w:rPr>
                      <w:rFonts w:hint="eastAsia" w:cs="Times New Roman"/>
                      <w:b w:val="0"/>
                      <w:bCs w:val="0"/>
                      <w:color w:val="auto"/>
                      <w:sz w:val="21"/>
                      <w:szCs w:val="21"/>
                      <w:u w:val="none" w:color="auto"/>
                      <w:lang w:val="en-US" w:eastAsia="zh-CN"/>
                    </w:rPr>
                    <w:t>）</w:t>
                  </w:r>
                </w:p>
              </w:tc>
              <w:tc>
                <w:tcPr>
                  <w:tcW w:w="406" w:type="pct"/>
                  <w:tcBorders>
                    <w:tl2br w:val="nil"/>
                    <w:tr2bl w:val="nil"/>
                  </w:tcBorders>
                  <w:noWrap w:val="0"/>
                  <w:vAlign w:val="center"/>
                </w:tcPr>
                <w:p w14:paraId="03E8EF58">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r>
                    <w:rPr>
                      <w:rFonts w:hint="default" w:ascii="Times New Roman" w:hAnsi="Times New Roman" w:cs="Times New Roman"/>
                      <w:b w:val="0"/>
                      <w:bCs w:val="0"/>
                      <w:color w:val="auto"/>
                      <w:sz w:val="21"/>
                      <w:szCs w:val="21"/>
                      <w:u w:val="none" w:color="auto"/>
                      <w:lang w:val="en-US" w:eastAsia="zh-CN"/>
                    </w:rPr>
                    <w:t>频次</w:t>
                  </w:r>
                </w:p>
              </w:tc>
              <w:tc>
                <w:tcPr>
                  <w:tcW w:w="406" w:type="pct"/>
                  <w:tcBorders>
                    <w:tl2br w:val="nil"/>
                    <w:tr2bl w:val="nil"/>
                  </w:tcBorders>
                  <w:noWrap w:val="0"/>
                  <w:vAlign w:val="center"/>
                </w:tcPr>
                <w:p w14:paraId="181B4D66">
                  <w:pPr>
                    <w:pStyle w:val="2"/>
                    <w:snapToGrid/>
                    <w:spacing w:before="0" w:after="0" w:line="240" w:lineRule="auto"/>
                    <w:ind w:right="0"/>
                    <w:jc w:val="center"/>
                    <w:rPr>
                      <w:rFonts w:hint="default" w:ascii="Times New Roman" w:hAnsi="Times New Roman" w:cs="Times New Roman"/>
                      <w:b w:val="0"/>
                      <w:bCs w:val="0"/>
                      <w:color w:val="auto"/>
                      <w:sz w:val="21"/>
                      <w:szCs w:val="21"/>
                      <w:u w:val="none" w:color="auto"/>
                      <w:lang w:val="en-US" w:eastAsia="zh-CN"/>
                    </w:rPr>
                  </w:pPr>
                  <w:r>
                    <w:rPr>
                      <w:rFonts w:hint="default" w:ascii="Times New Roman" w:hAnsi="Times New Roman" w:cs="Times New Roman"/>
                      <w:b w:val="0"/>
                      <w:bCs w:val="0"/>
                      <w:color w:val="auto"/>
                      <w:sz w:val="21"/>
                      <w:szCs w:val="21"/>
                      <w:u w:val="none" w:color="auto"/>
                      <w:lang w:val="en-US" w:eastAsia="zh-CN"/>
                    </w:rPr>
                    <w:t>持续时间</w:t>
                  </w:r>
                </w:p>
              </w:tc>
            </w:tr>
            <w:tr w14:paraId="22B5D1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710" w:type="pct"/>
                  <w:vMerge w:val="restart"/>
                  <w:tcBorders>
                    <w:tl2br w:val="nil"/>
                    <w:tr2bl w:val="nil"/>
                  </w:tcBorders>
                  <w:noWrap w:val="0"/>
                  <w:vAlign w:val="center"/>
                </w:tcPr>
                <w:p w14:paraId="7F489DA0">
                  <w:pPr>
                    <w:autoSpaceDE w:val="0"/>
                    <w:autoSpaceDN w:val="0"/>
                    <w:contextualSpacing/>
                    <w:jc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焊锡废气</w:t>
                  </w:r>
                </w:p>
              </w:tc>
              <w:tc>
                <w:tcPr>
                  <w:tcW w:w="487" w:type="pct"/>
                  <w:vMerge w:val="restart"/>
                  <w:tcBorders>
                    <w:tl2br w:val="nil"/>
                    <w:tr2bl w:val="nil"/>
                  </w:tcBorders>
                  <w:noWrap w:val="0"/>
                  <w:vAlign w:val="center"/>
                </w:tcPr>
                <w:p w14:paraId="12C8EFE2">
                  <w:pPr>
                    <w:autoSpaceDE w:val="0"/>
                    <w:autoSpaceDN w:val="0"/>
                    <w:contextualSpacing/>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DA001</w:t>
                  </w:r>
                </w:p>
              </w:tc>
              <w:tc>
                <w:tcPr>
                  <w:tcW w:w="651" w:type="pct"/>
                  <w:tcBorders>
                    <w:tl2br w:val="nil"/>
                    <w:tr2bl w:val="nil"/>
                  </w:tcBorders>
                  <w:noWrap w:val="0"/>
                  <w:vAlign w:val="center"/>
                </w:tcPr>
                <w:p w14:paraId="4970DE17">
                  <w:pPr>
                    <w:autoSpaceDE w:val="0"/>
                    <w:autoSpaceDN w:val="0"/>
                    <w:contextualSpacing/>
                    <w:jc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颗粒物</w:t>
                  </w:r>
                </w:p>
              </w:tc>
              <w:tc>
                <w:tcPr>
                  <w:tcW w:w="665" w:type="pct"/>
                  <w:vMerge w:val="restart"/>
                  <w:tcBorders>
                    <w:tl2br w:val="nil"/>
                    <w:tr2bl w:val="nil"/>
                  </w:tcBorders>
                  <w:noWrap w:val="0"/>
                  <w:vAlign w:val="center"/>
                </w:tcPr>
                <w:p w14:paraId="361C947E">
                  <w:pPr>
                    <w:autoSpaceDE w:val="0"/>
                    <w:autoSpaceDN w:val="0"/>
                    <w:contextualSpacing/>
                    <w:jc w:val="center"/>
                    <w:rPr>
                      <w:rFonts w:hint="default" w:ascii="Times New Roman" w:hAnsi="Times New Roman" w:eastAsia="宋体" w:cs="Times New Roman"/>
                      <w:color w:val="auto"/>
                      <w:sz w:val="21"/>
                      <w:szCs w:val="21"/>
                      <w:highlight w:val="none"/>
                      <w:u w:val="none" w:color="auto"/>
                      <w:lang w:val="en-US" w:eastAsia="zh-CN"/>
                    </w:rPr>
                  </w:pPr>
                  <w:r>
                    <w:rPr>
                      <w:rFonts w:hint="eastAsia"/>
                      <w:b w:val="0"/>
                      <w:bCs w:val="0"/>
                      <w:color w:val="auto"/>
                      <w:sz w:val="21"/>
                      <w:szCs w:val="21"/>
                      <w:u w:val="none" w:color="auto"/>
                      <w:lang w:val="en-US" w:eastAsia="zh-CN"/>
                    </w:rPr>
                    <w:t>废气处理设施失效</w:t>
                  </w:r>
                </w:p>
              </w:tc>
              <w:tc>
                <w:tcPr>
                  <w:tcW w:w="824" w:type="pct"/>
                  <w:tcBorders>
                    <w:tl2br w:val="nil"/>
                    <w:tr2bl w:val="nil"/>
                  </w:tcBorders>
                  <w:shd w:val="clear" w:color="auto" w:fill="auto"/>
                  <w:noWrap w:val="0"/>
                  <w:vAlign w:val="center"/>
                </w:tcPr>
                <w:p w14:paraId="590AE1D2">
                  <w:pPr>
                    <w:keepNext w:val="0"/>
                    <w:keepLines w:val="0"/>
                    <w:widowControl/>
                    <w:suppressLineNumbers w:val="0"/>
                    <w:jc w:val="center"/>
                    <w:textAlignment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0.000006</w:t>
                  </w:r>
                </w:p>
              </w:tc>
              <w:tc>
                <w:tcPr>
                  <w:tcW w:w="850" w:type="pct"/>
                  <w:tcBorders>
                    <w:tl2br w:val="nil"/>
                    <w:tr2bl w:val="nil"/>
                  </w:tcBorders>
                  <w:noWrap w:val="0"/>
                  <w:vAlign w:val="center"/>
                </w:tcPr>
                <w:p w14:paraId="213380EC">
                  <w:pPr>
                    <w:keepNext w:val="0"/>
                    <w:keepLines w:val="0"/>
                    <w:widowControl/>
                    <w:suppressLineNumbers w:val="0"/>
                    <w:jc w:val="center"/>
                    <w:textAlignment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0.0006</w:t>
                  </w:r>
                </w:p>
              </w:tc>
              <w:tc>
                <w:tcPr>
                  <w:tcW w:w="406" w:type="pct"/>
                  <w:vMerge w:val="restart"/>
                  <w:tcBorders>
                    <w:tl2br w:val="nil"/>
                    <w:tr2bl w:val="nil"/>
                  </w:tcBorders>
                  <w:noWrap w:val="0"/>
                  <w:vAlign w:val="center"/>
                </w:tcPr>
                <w:p w14:paraId="7239892F">
                  <w:pPr>
                    <w:pStyle w:val="2"/>
                    <w:snapToGrid/>
                    <w:spacing w:before="0" w:after="0" w:line="240" w:lineRule="auto"/>
                    <w:ind w:right="0" w:rightChars="0"/>
                    <w:jc w:val="center"/>
                    <w:rPr>
                      <w:rFonts w:hint="eastAsia" w:ascii="Times New Roman" w:hAnsi="Times New Roman" w:cs="Times New Roman"/>
                      <w:color w:val="auto"/>
                      <w:sz w:val="21"/>
                      <w:szCs w:val="21"/>
                      <w:u w:val="none" w:color="auto"/>
                      <w:lang w:val="en-US" w:eastAsia="zh-CN"/>
                    </w:rPr>
                  </w:pPr>
                  <w:r>
                    <w:rPr>
                      <w:rFonts w:hint="eastAsia" w:ascii="Times New Roman" w:hAnsi="Times New Roman" w:cs="Times New Roman"/>
                      <w:color w:val="auto"/>
                      <w:sz w:val="21"/>
                      <w:szCs w:val="21"/>
                      <w:u w:val="none" w:color="auto"/>
                      <w:lang w:val="en-US" w:eastAsia="zh-CN"/>
                    </w:rPr>
                    <w:t>1年/次</w:t>
                  </w:r>
                </w:p>
              </w:tc>
              <w:tc>
                <w:tcPr>
                  <w:tcW w:w="406" w:type="pct"/>
                  <w:vMerge w:val="restart"/>
                  <w:tcBorders>
                    <w:tl2br w:val="nil"/>
                    <w:tr2bl w:val="nil"/>
                  </w:tcBorders>
                  <w:noWrap w:val="0"/>
                  <w:vAlign w:val="center"/>
                </w:tcPr>
                <w:p w14:paraId="1AE73937">
                  <w:pPr>
                    <w:pStyle w:val="2"/>
                    <w:snapToGrid/>
                    <w:spacing w:before="0" w:after="0" w:line="240" w:lineRule="auto"/>
                    <w:ind w:right="0" w:rightChars="0"/>
                    <w:jc w:val="center"/>
                    <w:rPr>
                      <w:rFonts w:hint="eastAsia" w:ascii="Times New Roman" w:hAnsi="Times New Roman" w:cs="Times New Roman"/>
                      <w:color w:val="auto"/>
                      <w:sz w:val="21"/>
                      <w:szCs w:val="21"/>
                      <w:u w:val="none" w:color="auto"/>
                      <w:lang w:val="en-US" w:eastAsia="zh-CN"/>
                    </w:rPr>
                  </w:pPr>
                  <w:r>
                    <w:rPr>
                      <w:rFonts w:hint="eastAsia" w:ascii="Times New Roman" w:hAnsi="Times New Roman" w:cs="Times New Roman"/>
                      <w:color w:val="auto"/>
                      <w:sz w:val="21"/>
                      <w:szCs w:val="21"/>
                      <w:u w:val="none" w:color="auto"/>
                      <w:lang w:val="en-US" w:eastAsia="zh-CN"/>
                    </w:rPr>
                    <w:t>2h</w:t>
                  </w:r>
                </w:p>
              </w:tc>
            </w:tr>
            <w:tr w14:paraId="5195E1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710" w:type="pct"/>
                  <w:vMerge w:val="continue"/>
                  <w:tcBorders>
                    <w:tl2br w:val="nil"/>
                    <w:tr2bl w:val="nil"/>
                  </w:tcBorders>
                  <w:noWrap w:val="0"/>
                  <w:vAlign w:val="center"/>
                </w:tcPr>
                <w:p w14:paraId="2122B46E">
                  <w:pPr>
                    <w:autoSpaceDE w:val="0"/>
                    <w:autoSpaceDN w:val="0"/>
                    <w:contextualSpacing/>
                    <w:jc w:val="center"/>
                    <w:rPr>
                      <w:rFonts w:hint="eastAsia" w:cs="Times New Roman"/>
                      <w:color w:val="auto"/>
                      <w:sz w:val="21"/>
                      <w:szCs w:val="21"/>
                      <w:highlight w:val="none"/>
                      <w:u w:val="none" w:color="auto"/>
                      <w:lang w:val="en-US" w:eastAsia="zh-CN"/>
                    </w:rPr>
                  </w:pPr>
                </w:p>
              </w:tc>
              <w:tc>
                <w:tcPr>
                  <w:tcW w:w="487" w:type="pct"/>
                  <w:vMerge w:val="continue"/>
                  <w:tcBorders>
                    <w:tl2br w:val="nil"/>
                    <w:tr2bl w:val="nil"/>
                  </w:tcBorders>
                  <w:noWrap w:val="0"/>
                  <w:vAlign w:val="center"/>
                </w:tcPr>
                <w:p w14:paraId="3148A18A">
                  <w:pPr>
                    <w:autoSpaceDE w:val="0"/>
                    <w:autoSpaceDN w:val="0"/>
                    <w:contextualSpacing/>
                    <w:jc w:val="center"/>
                    <w:rPr>
                      <w:rFonts w:hint="eastAsia" w:cs="Times New Roman"/>
                      <w:color w:val="auto"/>
                      <w:sz w:val="21"/>
                      <w:szCs w:val="21"/>
                      <w:highlight w:val="none"/>
                      <w:u w:val="none" w:color="auto"/>
                      <w:lang w:val="en-US" w:eastAsia="zh-CN"/>
                    </w:rPr>
                  </w:pPr>
                </w:p>
              </w:tc>
              <w:tc>
                <w:tcPr>
                  <w:tcW w:w="651" w:type="pct"/>
                  <w:tcBorders>
                    <w:tl2br w:val="nil"/>
                    <w:tr2bl w:val="nil"/>
                  </w:tcBorders>
                  <w:noWrap w:val="0"/>
                  <w:vAlign w:val="center"/>
                </w:tcPr>
                <w:p w14:paraId="68DEA336">
                  <w:pPr>
                    <w:autoSpaceDE w:val="0"/>
                    <w:autoSpaceDN w:val="0"/>
                    <w:contextualSpacing/>
                    <w:jc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锡及其化合物</w:t>
                  </w:r>
                </w:p>
              </w:tc>
              <w:tc>
                <w:tcPr>
                  <w:tcW w:w="665" w:type="pct"/>
                  <w:vMerge w:val="continue"/>
                  <w:tcBorders>
                    <w:tl2br w:val="nil"/>
                    <w:tr2bl w:val="nil"/>
                  </w:tcBorders>
                  <w:noWrap w:val="0"/>
                  <w:vAlign w:val="center"/>
                </w:tcPr>
                <w:p w14:paraId="6B6EE177">
                  <w:pPr>
                    <w:autoSpaceDE w:val="0"/>
                    <w:autoSpaceDN w:val="0"/>
                    <w:contextualSpacing/>
                    <w:jc w:val="center"/>
                    <w:rPr>
                      <w:rFonts w:hint="eastAsia"/>
                      <w:b w:val="0"/>
                      <w:bCs w:val="0"/>
                      <w:color w:val="auto"/>
                      <w:sz w:val="21"/>
                      <w:szCs w:val="21"/>
                      <w:u w:val="none" w:color="auto"/>
                      <w:lang w:val="en-US" w:eastAsia="zh-CN"/>
                    </w:rPr>
                  </w:pPr>
                </w:p>
              </w:tc>
              <w:tc>
                <w:tcPr>
                  <w:tcW w:w="824" w:type="pct"/>
                  <w:tcBorders>
                    <w:tl2br w:val="nil"/>
                    <w:tr2bl w:val="nil"/>
                  </w:tcBorders>
                  <w:shd w:val="clear" w:color="auto" w:fill="auto"/>
                  <w:noWrap w:val="0"/>
                  <w:vAlign w:val="center"/>
                </w:tcPr>
                <w:p w14:paraId="7B41F344">
                  <w:pPr>
                    <w:keepNext w:val="0"/>
                    <w:keepLines w:val="0"/>
                    <w:widowControl/>
                    <w:suppressLineNumbers w:val="0"/>
                    <w:jc w:val="center"/>
                    <w:textAlignment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0.00006</w:t>
                  </w:r>
                </w:p>
              </w:tc>
              <w:tc>
                <w:tcPr>
                  <w:tcW w:w="850" w:type="pct"/>
                  <w:tcBorders>
                    <w:tl2br w:val="nil"/>
                    <w:tr2bl w:val="nil"/>
                  </w:tcBorders>
                  <w:noWrap w:val="0"/>
                  <w:vAlign w:val="center"/>
                </w:tcPr>
                <w:p w14:paraId="5E147649">
                  <w:pPr>
                    <w:keepNext w:val="0"/>
                    <w:keepLines w:val="0"/>
                    <w:widowControl/>
                    <w:suppressLineNumbers w:val="0"/>
                    <w:jc w:val="center"/>
                    <w:textAlignment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0.005</w:t>
                  </w:r>
                </w:p>
              </w:tc>
              <w:tc>
                <w:tcPr>
                  <w:tcW w:w="406" w:type="pct"/>
                  <w:vMerge w:val="continue"/>
                  <w:tcBorders>
                    <w:tl2br w:val="nil"/>
                    <w:tr2bl w:val="nil"/>
                  </w:tcBorders>
                  <w:noWrap w:val="0"/>
                  <w:vAlign w:val="center"/>
                </w:tcPr>
                <w:p w14:paraId="5D3C5AC4">
                  <w:pPr>
                    <w:pStyle w:val="2"/>
                    <w:snapToGrid/>
                    <w:spacing w:before="0" w:after="0" w:line="240" w:lineRule="auto"/>
                    <w:ind w:right="0" w:rightChars="0"/>
                    <w:jc w:val="center"/>
                    <w:rPr>
                      <w:rFonts w:hint="eastAsia" w:ascii="Times New Roman" w:hAnsi="Times New Roman" w:cs="Times New Roman"/>
                      <w:color w:val="auto"/>
                      <w:sz w:val="21"/>
                      <w:szCs w:val="21"/>
                      <w:u w:val="none" w:color="auto"/>
                      <w:lang w:val="en-US" w:eastAsia="zh-CN"/>
                    </w:rPr>
                  </w:pPr>
                </w:p>
              </w:tc>
              <w:tc>
                <w:tcPr>
                  <w:tcW w:w="406" w:type="pct"/>
                  <w:vMerge w:val="continue"/>
                  <w:tcBorders>
                    <w:tl2br w:val="nil"/>
                    <w:tr2bl w:val="nil"/>
                  </w:tcBorders>
                  <w:noWrap w:val="0"/>
                  <w:vAlign w:val="center"/>
                </w:tcPr>
                <w:p w14:paraId="1DA526C2">
                  <w:pPr>
                    <w:pStyle w:val="2"/>
                    <w:snapToGrid/>
                    <w:spacing w:before="0" w:after="0" w:line="240" w:lineRule="auto"/>
                    <w:ind w:right="0" w:rightChars="0"/>
                    <w:jc w:val="center"/>
                    <w:rPr>
                      <w:rFonts w:hint="eastAsia" w:ascii="Times New Roman" w:hAnsi="Times New Roman" w:cs="Times New Roman"/>
                      <w:color w:val="auto"/>
                      <w:sz w:val="21"/>
                      <w:szCs w:val="21"/>
                      <w:u w:val="none" w:color="auto"/>
                      <w:lang w:val="en-US" w:eastAsia="zh-CN"/>
                    </w:rPr>
                  </w:pPr>
                </w:p>
              </w:tc>
            </w:tr>
            <w:tr w14:paraId="14B63E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710" w:type="pct"/>
                  <w:vMerge w:val="continue"/>
                  <w:tcBorders>
                    <w:tl2br w:val="nil"/>
                    <w:tr2bl w:val="nil"/>
                  </w:tcBorders>
                  <w:noWrap w:val="0"/>
                  <w:vAlign w:val="center"/>
                </w:tcPr>
                <w:p w14:paraId="1E027222">
                  <w:pPr>
                    <w:autoSpaceDE w:val="0"/>
                    <w:autoSpaceDN w:val="0"/>
                    <w:contextualSpacing/>
                    <w:jc w:val="center"/>
                    <w:rPr>
                      <w:rFonts w:hint="eastAsia" w:cs="Times New Roman"/>
                      <w:color w:val="auto"/>
                      <w:sz w:val="21"/>
                      <w:szCs w:val="21"/>
                      <w:highlight w:val="none"/>
                      <w:u w:val="none" w:color="auto"/>
                      <w:lang w:val="en-US" w:eastAsia="zh-CN"/>
                    </w:rPr>
                  </w:pPr>
                </w:p>
              </w:tc>
              <w:tc>
                <w:tcPr>
                  <w:tcW w:w="487" w:type="pct"/>
                  <w:vMerge w:val="continue"/>
                  <w:tcBorders>
                    <w:tl2br w:val="nil"/>
                    <w:tr2bl w:val="nil"/>
                  </w:tcBorders>
                  <w:noWrap w:val="0"/>
                  <w:vAlign w:val="center"/>
                </w:tcPr>
                <w:p w14:paraId="2D9B2F28">
                  <w:pPr>
                    <w:autoSpaceDE w:val="0"/>
                    <w:autoSpaceDN w:val="0"/>
                    <w:contextualSpacing/>
                    <w:jc w:val="center"/>
                    <w:rPr>
                      <w:rFonts w:hint="eastAsia" w:cs="Times New Roman"/>
                      <w:color w:val="auto"/>
                      <w:sz w:val="21"/>
                      <w:szCs w:val="21"/>
                      <w:highlight w:val="none"/>
                      <w:u w:val="none" w:color="auto"/>
                      <w:lang w:val="en-US" w:eastAsia="zh-CN"/>
                    </w:rPr>
                  </w:pPr>
                </w:p>
              </w:tc>
              <w:tc>
                <w:tcPr>
                  <w:tcW w:w="651" w:type="pct"/>
                  <w:tcBorders>
                    <w:tl2br w:val="nil"/>
                    <w:tr2bl w:val="nil"/>
                  </w:tcBorders>
                  <w:noWrap w:val="0"/>
                  <w:vAlign w:val="center"/>
                </w:tcPr>
                <w:p w14:paraId="4637BD0E">
                  <w:pPr>
                    <w:autoSpaceDE w:val="0"/>
                    <w:autoSpaceDN w:val="0"/>
                    <w:contextualSpacing/>
                    <w:jc w:val="center"/>
                    <w:rPr>
                      <w:rFonts w:hint="eastAsia"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VOCs（以非甲烷总烃计）</w:t>
                  </w:r>
                </w:p>
              </w:tc>
              <w:tc>
                <w:tcPr>
                  <w:tcW w:w="665" w:type="pct"/>
                  <w:vMerge w:val="continue"/>
                  <w:tcBorders>
                    <w:tl2br w:val="nil"/>
                    <w:tr2bl w:val="nil"/>
                  </w:tcBorders>
                  <w:noWrap w:val="0"/>
                  <w:vAlign w:val="center"/>
                </w:tcPr>
                <w:p w14:paraId="5D33A29E">
                  <w:pPr>
                    <w:autoSpaceDE w:val="0"/>
                    <w:autoSpaceDN w:val="0"/>
                    <w:contextualSpacing/>
                    <w:jc w:val="center"/>
                    <w:rPr>
                      <w:rFonts w:hint="eastAsia"/>
                      <w:b w:val="0"/>
                      <w:bCs w:val="0"/>
                      <w:color w:val="auto"/>
                      <w:sz w:val="21"/>
                      <w:szCs w:val="21"/>
                      <w:u w:val="none" w:color="auto"/>
                      <w:lang w:val="en-US" w:eastAsia="zh-CN"/>
                    </w:rPr>
                  </w:pPr>
                </w:p>
              </w:tc>
              <w:tc>
                <w:tcPr>
                  <w:tcW w:w="824" w:type="pct"/>
                  <w:tcBorders>
                    <w:tl2br w:val="nil"/>
                    <w:tr2bl w:val="nil"/>
                  </w:tcBorders>
                  <w:shd w:val="clear" w:color="auto" w:fill="auto"/>
                  <w:noWrap w:val="0"/>
                  <w:vAlign w:val="center"/>
                </w:tcPr>
                <w:p w14:paraId="06EE9587">
                  <w:pPr>
                    <w:keepNext w:val="0"/>
                    <w:keepLines w:val="0"/>
                    <w:widowControl/>
                    <w:suppressLineNumbers w:val="0"/>
                    <w:jc w:val="center"/>
                    <w:textAlignment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0.009</w:t>
                  </w:r>
                </w:p>
              </w:tc>
              <w:tc>
                <w:tcPr>
                  <w:tcW w:w="850" w:type="pct"/>
                  <w:tcBorders>
                    <w:tl2br w:val="nil"/>
                    <w:tr2bl w:val="nil"/>
                  </w:tcBorders>
                  <w:noWrap w:val="0"/>
                  <w:vAlign w:val="center"/>
                </w:tcPr>
                <w:p w14:paraId="44D9433D">
                  <w:pPr>
                    <w:keepNext w:val="0"/>
                    <w:keepLines w:val="0"/>
                    <w:widowControl/>
                    <w:suppressLineNumbers w:val="0"/>
                    <w:jc w:val="center"/>
                    <w:textAlignment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0.84</w:t>
                  </w:r>
                </w:p>
              </w:tc>
              <w:tc>
                <w:tcPr>
                  <w:tcW w:w="406" w:type="pct"/>
                  <w:vMerge w:val="continue"/>
                  <w:tcBorders>
                    <w:tl2br w:val="nil"/>
                    <w:tr2bl w:val="nil"/>
                  </w:tcBorders>
                  <w:noWrap w:val="0"/>
                  <w:vAlign w:val="center"/>
                </w:tcPr>
                <w:p w14:paraId="7BF3E1A4">
                  <w:pPr>
                    <w:pStyle w:val="2"/>
                    <w:snapToGrid/>
                    <w:spacing w:before="0" w:after="0" w:line="240" w:lineRule="auto"/>
                    <w:ind w:right="0" w:rightChars="0"/>
                    <w:jc w:val="center"/>
                    <w:rPr>
                      <w:rFonts w:hint="eastAsia" w:ascii="Times New Roman" w:hAnsi="Times New Roman" w:cs="Times New Roman"/>
                      <w:color w:val="auto"/>
                      <w:sz w:val="21"/>
                      <w:szCs w:val="21"/>
                      <w:u w:val="none" w:color="auto"/>
                      <w:lang w:val="en-US" w:eastAsia="zh-CN"/>
                    </w:rPr>
                  </w:pPr>
                </w:p>
              </w:tc>
              <w:tc>
                <w:tcPr>
                  <w:tcW w:w="406" w:type="pct"/>
                  <w:vMerge w:val="continue"/>
                  <w:tcBorders>
                    <w:tl2br w:val="nil"/>
                    <w:tr2bl w:val="nil"/>
                  </w:tcBorders>
                  <w:noWrap w:val="0"/>
                  <w:vAlign w:val="center"/>
                </w:tcPr>
                <w:p w14:paraId="55046431">
                  <w:pPr>
                    <w:pStyle w:val="2"/>
                    <w:snapToGrid/>
                    <w:spacing w:before="0" w:after="0" w:line="240" w:lineRule="auto"/>
                    <w:ind w:right="0" w:rightChars="0"/>
                    <w:jc w:val="center"/>
                    <w:rPr>
                      <w:rFonts w:hint="eastAsia" w:ascii="Times New Roman" w:hAnsi="Times New Roman" w:cs="Times New Roman"/>
                      <w:color w:val="auto"/>
                      <w:sz w:val="21"/>
                      <w:szCs w:val="21"/>
                      <w:u w:val="none" w:color="auto"/>
                      <w:lang w:val="en-US" w:eastAsia="zh-CN"/>
                    </w:rPr>
                  </w:pPr>
                </w:p>
              </w:tc>
            </w:tr>
            <w:tr w14:paraId="06337B7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710" w:type="pct"/>
                  <w:vMerge w:val="restart"/>
                  <w:tcBorders>
                    <w:tl2br w:val="nil"/>
                    <w:tr2bl w:val="nil"/>
                  </w:tcBorders>
                  <w:noWrap w:val="0"/>
                  <w:vAlign w:val="center"/>
                </w:tcPr>
                <w:p w14:paraId="1EF78836">
                  <w:pPr>
                    <w:autoSpaceDE w:val="0"/>
                    <w:autoSpaceDN w:val="0"/>
                    <w:contextualSpacing/>
                    <w:jc w:val="center"/>
                    <w:rPr>
                      <w:rFonts w:hint="default" w:ascii="Times New Roman" w:hAnsi="Times New Roman" w:eastAsia="宋体" w:cs="Times New Roman"/>
                      <w:b w:val="0"/>
                      <w:bCs w:val="0"/>
                      <w:color w:val="auto"/>
                      <w:sz w:val="21"/>
                      <w:szCs w:val="21"/>
                      <w:u w:val="none" w:color="auto"/>
                      <w:lang w:val="en-US" w:eastAsia="zh-CN"/>
                    </w:rPr>
                  </w:pPr>
                  <w:r>
                    <w:rPr>
                      <w:rFonts w:hint="eastAsia" w:cs="Times New Roman"/>
                      <w:color w:val="auto"/>
                      <w:sz w:val="21"/>
                      <w:szCs w:val="21"/>
                      <w:highlight w:val="none"/>
                      <w:u w:val="none" w:color="auto"/>
                      <w:lang w:val="en-US" w:eastAsia="zh-CN"/>
                    </w:rPr>
                    <w:t>调漆、浸漆、烘干有机废气</w:t>
                  </w:r>
                </w:p>
              </w:tc>
              <w:tc>
                <w:tcPr>
                  <w:tcW w:w="487" w:type="pct"/>
                  <w:vMerge w:val="continue"/>
                  <w:tcBorders>
                    <w:tl2br w:val="nil"/>
                    <w:tr2bl w:val="nil"/>
                  </w:tcBorders>
                  <w:noWrap w:val="0"/>
                  <w:vAlign w:val="center"/>
                </w:tcPr>
                <w:p w14:paraId="485306BD">
                  <w:pPr>
                    <w:autoSpaceDE w:val="0"/>
                    <w:autoSpaceDN w:val="0"/>
                    <w:contextualSpacing/>
                    <w:jc w:val="center"/>
                    <w:rPr>
                      <w:rFonts w:hint="default" w:ascii="Times New Roman" w:hAnsi="Times New Roman" w:eastAsia="宋体" w:cs="Times New Roman"/>
                      <w:color w:val="auto"/>
                      <w:sz w:val="21"/>
                      <w:szCs w:val="21"/>
                      <w:highlight w:val="none"/>
                      <w:u w:val="none" w:color="auto"/>
                      <w:lang w:val="en-US" w:eastAsia="zh-CN"/>
                    </w:rPr>
                  </w:pPr>
                </w:p>
              </w:tc>
              <w:tc>
                <w:tcPr>
                  <w:tcW w:w="651" w:type="pct"/>
                  <w:tcBorders>
                    <w:tl2br w:val="nil"/>
                    <w:tr2bl w:val="nil"/>
                  </w:tcBorders>
                  <w:noWrap w:val="0"/>
                  <w:vAlign w:val="center"/>
                </w:tcPr>
                <w:p w14:paraId="36621AF4">
                  <w:pPr>
                    <w:autoSpaceDE w:val="0"/>
                    <w:autoSpaceDN w:val="0"/>
                    <w:contextualSpacing/>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VOCs（以非甲烷总烃计）</w:t>
                  </w:r>
                </w:p>
              </w:tc>
              <w:tc>
                <w:tcPr>
                  <w:tcW w:w="665" w:type="pct"/>
                  <w:vMerge w:val="continue"/>
                  <w:tcBorders>
                    <w:tl2br w:val="nil"/>
                    <w:tr2bl w:val="nil"/>
                  </w:tcBorders>
                  <w:noWrap w:val="0"/>
                  <w:vAlign w:val="center"/>
                </w:tcPr>
                <w:p w14:paraId="3B25E395">
                  <w:pPr>
                    <w:autoSpaceDE w:val="0"/>
                    <w:autoSpaceDN w:val="0"/>
                    <w:contextualSpacing/>
                    <w:jc w:val="center"/>
                    <w:rPr>
                      <w:rFonts w:hint="default" w:ascii="Times New Roman" w:hAnsi="Times New Roman" w:eastAsia="宋体" w:cs="Times New Roman"/>
                      <w:color w:val="auto"/>
                      <w:sz w:val="21"/>
                      <w:szCs w:val="21"/>
                      <w:highlight w:val="none"/>
                      <w:u w:val="none" w:color="auto"/>
                      <w:lang w:val="en-US" w:eastAsia="zh-CN"/>
                    </w:rPr>
                  </w:pPr>
                </w:p>
              </w:tc>
              <w:tc>
                <w:tcPr>
                  <w:tcW w:w="824" w:type="pct"/>
                  <w:tcBorders>
                    <w:tl2br w:val="nil"/>
                    <w:tr2bl w:val="nil"/>
                  </w:tcBorders>
                  <w:shd w:val="clear" w:color="auto" w:fill="auto"/>
                  <w:noWrap w:val="0"/>
                  <w:vAlign w:val="center"/>
                </w:tcPr>
                <w:p w14:paraId="7004F42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0.42</w:t>
                  </w:r>
                </w:p>
              </w:tc>
              <w:tc>
                <w:tcPr>
                  <w:tcW w:w="850" w:type="pct"/>
                  <w:tcBorders>
                    <w:tl2br w:val="nil"/>
                    <w:tr2bl w:val="nil"/>
                  </w:tcBorders>
                  <w:noWrap w:val="0"/>
                  <w:vAlign w:val="center"/>
                </w:tcPr>
                <w:p w14:paraId="55CAA5D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37.88</w:t>
                  </w:r>
                </w:p>
              </w:tc>
              <w:tc>
                <w:tcPr>
                  <w:tcW w:w="406" w:type="pct"/>
                  <w:vMerge w:val="continue"/>
                  <w:tcBorders>
                    <w:tl2br w:val="nil"/>
                    <w:tr2bl w:val="nil"/>
                  </w:tcBorders>
                  <w:noWrap w:val="0"/>
                  <w:vAlign w:val="center"/>
                </w:tcPr>
                <w:p w14:paraId="678895F2">
                  <w:pPr>
                    <w:pStyle w:val="2"/>
                    <w:snapToGrid/>
                    <w:spacing w:before="0" w:after="0" w:line="240" w:lineRule="auto"/>
                    <w:ind w:right="0" w:rightChars="0"/>
                    <w:jc w:val="center"/>
                    <w:rPr>
                      <w:rFonts w:hint="eastAsia" w:ascii="Times New Roman" w:hAnsi="Times New Roman" w:cs="Times New Roman"/>
                      <w:color w:val="auto"/>
                      <w:sz w:val="21"/>
                      <w:szCs w:val="21"/>
                      <w:u w:val="none" w:color="auto"/>
                      <w:lang w:val="en-US" w:eastAsia="zh-CN"/>
                    </w:rPr>
                  </w:pPr>
                </w:p>
              </w:tc>
              <w:tc>
                <w:tcPr>
                  <w:tcW w:w="406" w:type="pct"/>
                  <w:vMerge w:val="continue"/>
                  <w:tcBorders>
                    <w:tl2br w:val="nil"/>
                    <w:tr2bl w:val="nil"/>
                  </w:tcBorders>
                  <w:noWrap w:val="0"/>
                  <w:vAlign w:val="center"/>
                </w:tcPr>
                <w:p w14:paraId="024BDD0A">
                  <w:pPr>
                    <w:pStyle w:val="2"/>
                    <w:snapToGrid/>
                    <w:spacing w:before="0" w:after="0" w:line="240" w:lineRule="auto"/>
                    <w:ind w:right="0" w:rightChars="0"/>
                    <w:jc w:val="center"/>
                    <w:rPr>
                      <w:rFonts w:hint="eastAsia" w:ascii="Times New Roman" w:hAnsi="Times New Roman" w:cs="Times New Roman"/>
                      <w:color w:val="auto"/>
                      <w:sz w:val="21"/>
                      <w:szCs w:val="21"/>
                      <w:u w:val="none" w:color="auto"/>
                      <w:lang w:val="en-US" w:eastAsia="zh-CN"/>
                    </w:rPr>
                  </w:pPr>
                </w:p>
              </w:tc>
            </w:tr>
            <w:tr w14:paraId="71B7CD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710" w:type="pct"/>
                  <w:vMerge w:val="continue"/>
                  <w:tcBorders>
                    <w:tl2br w:val="nil"/>
                    <w:tr2bl w:val="nil"/>
                  </w:tcBorders>
                  <w:noWrap w:val="0"/>
                  <w:vAlign w:val="center"/>
                </w:tcPr>
                <w:p w14:paraId="70253E8C">
                  <w:pPr>
                    <w:autoSpaceDE w:val="0"/>
                    <w:autoSpaceDN w:val="0"/>
                    <w:contextualSpacing/>
                    <w:jc w:val="center"/>
                    <w:rPr>
                      <w:rFonts w:hint="eastAsia" w:ascii="Times New Roman" w:hAnsi="Times New Roman" w:eastAsia="宋体" w:cs="Times New Roman"/>
                      <w:color w:val="auto"/>
                      <w:sz w:val="21"/>
                      <w:szCs w:val="21"/>
                      <w:highlight w:val="none"/>
                      <w:u w:val="none" w:color="auto"/>
                      <w:lang w:val="en-US" w:eastAsia="zh-CN"/>
                    </w:rPr>
                  </w:pPr>
                </w:p>
              </w:tc>
              <w:tc>
                <w:tcPr>
                  <w:tcW w:w="487" w:type="pct"/>
                  <w:vMerge w:val="continue"/>
                  <w:tcBorders>
                    <w:tl2br w:val="nil"/>
                    <w:tr2bl w:val="nil"/>
                  </w:tcBorders>
                  <w:noWrap w:val="0"/>
                  <w:vAlign w:val="center"/>
                </w:tcPr>
                <w:p w14:paraId="2B35122D">
                  <w:pPr>
                    <w:autoSpaceDE w:val="0"/>
                    <w:autoSpaceDN w:val="0"/>
                    <w:contextualSpacing/>
                    <w:jc w:val="center"/>
                    <w:rPr>
                      <w:rFonts w:hint="eastAsia" w:ascii="Times New Roman" w:hAnsi="Times New Roman" w:eastAsia="宋体" w:cs="Times New Roman"/>
                      <w:color w:val="auto"/>
                      <w:sz w:val="21"/>
                      <w:szCs w:val="21"/>
                      <w:highlight w:val="none"/>
                      <w:u w:val="none" w:color="auto"/>
                      <w:lang w:val="en-US" w:eastAsia="zh-CN"/>
                    </w:rPr>
                  </w:pPr>
                </w:p>
              </w:tc>
              <w:tc>
                <w:tcPr>
                  <w:tcW w:w="651" w:type="pct"/>
                  <w:tcBorders>
                    <w:tl2br w:val="nil"/>
                    <w:tr2bl w:val="nil"/>
                  </w:tcBorders>
                  <w:noWrap w:val="0"/>
                  <w:vAlign w:val="center"/>
                </w:tcPr>
                <w:p w14:paraId="1D5AD40E">
                  <w:pPr>
                    <w:autoSpaceDE w:val="0"/>
                    <w:autoSpaceDN w:val="0"/>
                    <w:contextualSpacing/>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苯系物（二甲苯）</w:t>
                  </w:r>
                </w:p>
              </w:tc>
              <w:tc>
                <w:tcPr>
                  <w:tcW w:w="665" w:type="pct"/>
                  <w:vMerge w:val="continue"/>
                  <w:tcBorders>
                    <w:tl2br w:val="nil"/>
                    <w:tr2bl w:val="nil"/>
                  </w:tcBorders>
                  <w:noWrap w:val="0"/>
                  <w:vAlign w:val="center"/>
                </w:tcPr>
                <w:p w14:paraId="26DF368A">
                  <w:pPr>
                    <w:autoSpaceDE w:val="0"/>
                    <w:autoSpaceDN w:val="0"/>
                    <w:contextualSpacing/>
                    <w:jc w:val="center"/>
                    <w:rPr>
                      <w:rFonts w:hint="default" w:ascii="Times New Roman" w:hAnsi="Times New Roman" w:eastAsia="宋体" w:cs="Times New Roman"/>
                      <w:color w:val="auto"/>
                      <w:sz w:val="21"/>
                      <w:szCs w:val="21"/>
                      <w:highlight w:val="none"/>
                      <w:u w:val="none" w:color="auto"/>
                      <w:lang w:val="en-US" w:eastAsia="zh-CN"/>
                    </w:rPr>
                  </w:pPr>
                </w:p>
              </w:tc>
              <w:tc>
                <w:tcPr>
                  <w:tcW w:w="824" w:type="pct"/>
                  <w:tcBorders>
                    <w:tl2br w:val="nil"/>
                    <w:tr2bl w:val="nil"/>
                  </w:tcBorders>
                  <w:shd w:val="clear" w:color="auto" w:fill="auto"/>
                  <w:noWrap w:val="0"/>
                  <w:vAlign w:val="center"/>
                </w:tcPr>
                <w:p w14:paraId="520A5D4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0.04</w:t>
                  </w:r>
                </w:p>
              </w:tc>
              <w:tc>
                <w:tcPr>
                  <w:tcW w:w="850" w:type="pct"/>
                  <w:tcBorders>
                    <w:tl2br w:val="nil"/>
                    <w:tr2bl w:val="nil"/>
                  </w:tcBorders>
                  <w:noWrap w:val="0"/>
                  <w:vAlign w:val="center"/>
                </w:tcPr>
                <w:p w14:paraId="71660C4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3.87</w:t>
                  </w:r>
                </w:p>
              </w:tc>
              <w:tc>
                <w:tcPr>
                  <w:tcW w:w="406" w:type="pct"/>
                  <w:vMerge w:val="continue"/>
                  <w:tcBorders>
                    <w:tl2br w:val="nil"/>
                    <w:tr2bl w:val="nil"/>
                  </w:tcBorders>
                  <w:noWrap w:val="0"/>
                  <w:vAlign w:val="center"/>
                </w:tcPr>
                <w:p w14:paraId="406DC4BD">
                  <w:pPr>
                    <w:pStyle w:val="2"/>
                    <w:snapToGrid/>
                    <w:spacing w:before="0" w:after="0" w:line="240" w:lineRule="auto"/>
                    <w:ind w:right="0" w:rightChars="0"/>
                    <w:jc w:val="center"/>
                    <w:rPr>
                      <w:rFonts w:hint="eastAsia" w:ascii="Times New Roman" w:hAnsi="Times New Roman" w:cs="Times New Roman"/>
                      <w:color w:val="auto"/>
                      <w:sz w:val="21"/>
                      <w:szCs w:val="21"/>
                      <w:u w:val="none" w:color="auto"/>
                      <w:lang w:val="en-US" w:eastAsia="zh-CN"/>
                    </w:rPr>
                  </w:pPr>
                </w:p>
              </w:tc>
              <w:tc>
                <w:tcPr>
                  <w:tcW w:w="406" w:type="pct"/>
                  <w:vMerge w:val="continue"/>
                  <w:tcBorders>
                    <w:tl2br w:val="nil"/>
                    <w:tr2bl w:val="nil"/>
                  </w:tcBorders>
                  <w:noWrap w:val="0"/>
                  <w:vAlign w:val="center"/>
                </w:tcPr>
                <w:p w14:paraId="4FC3EB32">
                  <w:pPr>
                    <w:pStyle w:val="2"/>
                    <w:snapToGrid/>
                    <w:spacing w:before="0" w:after="0" w:line="240" w:lineRule="auto"/>
                    <w:ind w:right="0" w:rightChars="0"/>
                    <w:jc w:val="center"/>
                    <w:rPr>
                      <w:rFonts w:hint="eastAsia" w:ascii="Times New Roman" w:hAnsi="Times New Roman" w:cs="Times New Roman"/>
                      <w:color w:val="auto"/>
                      <w:sz w:val="21"/>
                      <w:szCs w:val="21"/>
                      <w:u w:val="none" w:color="auto"/>
                      <w:lang w:val="en-US" w:eastAsia="zh-CN"/>
                    </w:rPr>
                  </w:pPr>
                </w:p>
              </w:tc>
            </w:tr>
          </w:tbl>
          <w:p w14:paraId="522212B3">
            <w:pPr>
              <w:spacing w:line="360" w:lineRule="auto"/>
              <w:ind w:firstLine="482" w:firstLineChars="200"/>
              <w:rPr>
                <w:b/>
                <w:bCs/>
                <w:color w:val="000000" w:themeColor="text1"/>
                <w:kern w:val="0"/>
                <w:u w:val="none" w:color="auto"/>
                <w14:textFill>
                  <w14:solidFill>
                    <w14:schemeClr w14:val="tx1"/>
                  </w14:solidFill>
                </w14:textFill>
              </w:rPr>
            </w:pPr>
            <w:r>
              <w:rPr>
                <w:rFonts w:hint="eastAsia"/>
                <w:b/>
                <w:bCs/>
                <w:color w:val="000000" w:themeColor="text1"/>
                <w:kern w:val="0"/>
                <w:u w:val="none" w:color="auto"/>
                <w:lang w:val="en-US" w:eastAsia="zh-CN"/>
                <w14:textFill>
                  <w14:solidFill>
                    <w14:schemeClr w14:val="tx1"/>
                  </w14:solidFill>
                </w14:textFill>
              </w:rPr>
              <w:t>4、</w:t>
            </w:r>
            <w:r>
              <w:rPr>
                <w:b/>
                <w:bCs/>
                <w:color w:val="000000" w:themeColor="text1"/>
                <w:kern w:val="0"/>
                <w:u w:val="none" w:color="auto"/>
                <w14:textFill>
                  <w14:solidFill>
                    <w14:schemeClr w14:val="tx1"/>
                  </w14:solidFill>
                </w14:textFill>
              </w:rPr>
              <w:t>大气环境影响评价结论</w:t>
            </w:r>
          </w:p>
          <w:p w14:paraId="402B57BE">
            <w:pPr>
              <w:spacing w:line="360" w:lineRule="auto"/>
              <w:ind w:firstLine="480" w:firstLineChars="200"/>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pPr>
            <w:r>
              <w:rPr>
                <w:rFonts w:hint="eastAsia" w:cs="Times New Roman"/>
                <w:color w:val="000000" w:themeColor="text1"/>
                <w:sz w:val="24"/>
                <w:szCs w:val="24"/>
                <w:u w:val="none" w:color="auto"/>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本项目</w:t>
            </w:r>
            <w:r>
              <w:rPr>
                <w:rFonts w:hint="eastAsia" w:cs="Times New Roman"/>
                <w:color w:val="000000" w:themeColor="text1"/>
                <w:sz w:val="24"/>
                <w:szCs w:val="24"/>
                <w:u w:val="none" w:color="auto"/>
                <w:lang w:val="en-US" w:eastAsia="zh-CN"/>
                <w14:textFill>
                  <w14:solidFill>
                    <w14:schemeClr w14:val="tx1"/>
                  </w14:solidFill>
                </w14:textFill>
              </w:rPr>
              <w:t>调漆、浸漆、烘干有机废气</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经</w:t>
            </w:r>
            <w:r>
              <w:rPr>
                <w:rFonts w:hint="eastAsia" w:cs="Times New Roman"/>
                <w:color w:val="000000" w:themeColor="text1"/>
                <w:sz w:val="24"/>
                <w:szCs w:val="24"/>
                <w:u w:val="none" w:color="auto"/>
                <w:lang w:val="en-US" w:eastAsia="zh-CN"/>
                <w14:textFill>
                  <w14:solidFill>
                    <w14:schemeClr w14:val="tx1"/>
                  </w14:solidFill>
                </w14:textFill>
              </w:rPr>
              <w:t>“密闭空气微负压收集+二级活性炭吸附”</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处理后</w:t>
            </w:r>
            <w:r>
              <w:rPr>
                <w:rFonts w:hint="eastAsia" w:cs="Times New Roman"/>
                <w:color w:val="000000" w:themeColor="text1"/>
                <w:sz w:val="24"/>
                <w:szCs w:val="24"/>
                <w:u w:val="none" w:color="auto"/>
                <w:lang w:val="en-US" w:eastAsia="zh-CN"/>
                <w14:textFill>
                  <w14:solidFill>
                    <w14:schemeClr w14:val="tx1"/>
                  </w14:solidFill>
                </w14:textFill>
              </w:rPr>
              <w:t>+23m高排气筒DA001高空排放</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，经处理后排放的</w:t>
            </w:r>
            <w:r>
              <w:rPr>
                <w:rFonts w:hint="eastAsia" w:cs="Times New Roman"/>
                <w:color w:val="000000" w:themeColor="text1"/>
                <w:sz w:val="24"/>
                <w:szCs w:val="24"/>
                <w:u w:val="none" w:color="auto"/>
                <w:lang w:val="en-US" w:eastAsia="zh-CN"/>
                <w14:textFill>
                  <w14:solidFill>
                    <w14:schemeClr w14:val="tx1"/>
                  </w14:solidFill>
                </w14:textFill>
              </w:rPr>
              <w:t>VOCs（以非甲烷总烃计）、苯系物（二甲苯）能够满足</w:t>
            </w:r>
            <w:r>
              <w:rPr>
                <w:rFonts w:hint="default" w:ascii="Times New Roman" w:hAnsi="Times New Roman" w:eastAsia="宋体" w:cs="Times New Roman"/>
                <w:color w:val="auto"/>
                <w:sz w:val="24"/>
                <w:szCs w:val="24"/>
                <w:highlight w:val="none"/>
                <w:u w:val="none" w:color="auto"/>
              </w:rPr>
              <w:t>湖南省</w:t>
            </w:r>
            <w:r>
              <w:rPr>
                <w:rFonts w:hint="eastAsia" w:cs="Times New Roman"/>
                <w:color w:val="auto"/>
                <w:sz w:val="24"/>
                <w:szCs w:val="24"/>
                <w:highlight w:val="none"/>
                <w:u w:val="none" w:color="auto"/>
                <w:lang w:val="en-US" w:eastAsia="zh-CN"/>
              </w:rPr>
              <w:t>地方标准</w:t>
            </w:r>
            <w:r>
              <w:rPr>
                <w:rFonts w:hint="default" w:ascii="Times New Roman" w:hAnsi="Times New Roman" w:eastAsia="宋体" w:cs="Times New Roman"/>
                <w:color w:val="auto"/>
                <w:sz w:val="24"/>
                <w:szCs w:val="24"/>
                <w:highlight w:val="none"/>
                <w:u w:val="none" w:color="auto"/>
              </w:rPr>
              <w:t>《工业企业挥发性有机物排放标准》（DB43/3550-2026）表1中</w:t>
            </w:r>
            <w:r>
              <w:rPr>
                <w:rFonts w:hint="eastAsia" w:cs="Times New Roman"/>
                <w:color w:val="auto"/>
                <w:sz w:val="24"/>
                <w:szCs w:val="24"/>
                <w:highlight w:val="none"/>
                <w:u w:val="none" w:color="auto"/>
                <w:lang w:val="en-US" w:eastAsia="zh-CN"/>
              </w:rPr>
              <w:t>计算机、通信和其他电子设备制造业</w:t>
            </w:r>
            <w:r>
              <w:rPr>
                <w:rFonts w:hint="default" w:ascii="Times New Roman" w:hAnsi="Times New Roman" w:eastAsia="宋体" w:cs="Times New Roman"/>
                <w:color w:val="auto"/>
                <w:sz w:val="24"/>
                <w:szCs w:val="24"/>
                <w:highlight w:val="none"/>
                <w:u w:val="none" w:color="auto"/>
              </w:rPr>
              <w:t>排放限值</w:t>
            </w:r>
            <w:r>
              <w:rPr>
                <w:rFonts w:hint="eastAsia" w:ascii="Times New Roman" w:hAnsi="Times New Roman" w:eastAsia="宋体" w:cs="Times New Roman"/>
                <w:color w:val="auto"/>
                <w:sz w:val="24"/>
                <w:szCs w:val="24"/>
                <w:highlight w:val="none"/>
                <w:u w:val="none" w:color="auto"/>
                <w:lang w:eastAsia="zh-CN"/>
              </w:rPr>
              <w:t>（</w:t>
            </w:r>
            <w:r>
              <w:rPr>
                <w:rFonts w:hint="eastAsia" w:ascii="Times New Roman" w:hAnsi="Times New Roman" w:eastAsia="宋体" w:cs="Times New Roman"/>
                <w:color w:val="auto"/>
                <w:sz w:val="24"/>
                <w:szCs w:val="24"/>
                <w:highlight w:val="none"/>
                <w:u w:val="none" w:color="auto"/>
                <w:lang w:val="en-US" w:eastAsia="zh-CN"/>
              </w:rPr>
              <w:t>苯系物</w:t>
            </w:r>
            <w:r>
              <w:rPr>
                <w:rFonts w:hint="eastAsia" w:cs="Times New Roman"/>
                <w:color w:val="auto"/>
                <w:sz w:val="24"/>
                <w:szCs w:val="24"/>
                <w:highlight w:val="none"/>
                <w:u w:val="none" w:color="auto"/>
                <w:lang w:val="en-US" w:eastAsia="zh-CN"/>
              </w:rPr>
              <w:t>30</w:t>
            </w:r>
            <w:r>
              <w:rPr>
                <w:rFonts w:hint="eastAsia" w:ascii="Times New Roman" w:hAnsi="Times New Roman" w:eastAsia="宋体" w:cs="Times New Roman"/>
                <w:color w:val="auto"/>
                <w:sz w:val="24"/>
                <w:szCs w:val="24"/>
                <w:highlight w:val="none"/>
                <w:u w:val="none" w:color="auto"/>
                <w:lang w:val="en-US" w:eastAsia="zh-CN"/>
              </w:rPr>
              <w:t>mg/m</w:t>
            </w:r>
            <w:r>
              <w:rPr>
                <w:rFonts w:hint="eastAsia" w:ascii="Times New Roman" w:hAnsi="Times New Roman" w:eastAsia="宋体" w:cs="Times New Roman"/>
                <w:color w:val="auto"/>
                <w:sz w:val="24"/>
                <w:szCs w:val="24"/>
                <w:highlight w:val="none"/>
                <w:u w:val="none" w:color="auto"/>
                <w:vertAlign w:val="superscript"/>
                <w:lang w:val="en-US" w:eastAsia="zh-CN"/>
              </w:rPr>
              <w:t>3</w:t>
            </w:r>
            <w:r>
              <w:rPr>
                <w:rFonts w:hint="eastAsia" w:ascii="Times New Roman" w:hAnsi="Times New Roman" w:eastAsia="宋体" w:cs="Times New Roman"/>
                <w:color w:val="auto"/>
                <w:sz w:val="24"/>
                <w:szCs w:val="24"/>
                <w:highlight w:val="none"/>
                <w:u w:val="none" w:color="auto"/>
                <w:vertAlign w:val="baseline"/>
                <w:lang w:val="en-US" w:eastAsia="zh-CN"/>
              </w:rPr>
              <w:t>，NMHC</w:t>
            </w:r>
            <w:r>
              <w:rPr>
                <w:rFonts w:hint="eastAsia" w:cs="Times New Roman"/>
                <w:color w:val="auto"/>
                <w:sz w:val="24"/>
                <w:szCs w:val="24"/>
                <w:highlight w:val="none"/>
                <w:u w:val="none" w:color="auto"/>
                <w:vertAlign w:val="baseline"/>
                <w:lang w:val="en-US" w:eastAsia="zh-CN"/>
              </w:rPr>
              <w:t>50</w:t>
            </w:r>
            <w:r>
              <w:rPr>
                <w:rFonts w:hint="eastAsia" w:ascii="Times New Roman" w:hAnsi="Times New Roman" w:eastAsia="宋体" w:cs="Times New Roman"/>
                <w:color w:val="auto"/>
                <w:sz w:val="24"/>
                <w:szCs w:val="24"/>
                <w:highlight w:val="none"/>
                <w:u w:val="none" w:color="auto"/>
                <w:vertAlign w:val="baseline"/>
                <w:lang w:val="en-US" w:eastAsia="zh-CN"/>
              </w:rPr>
              <w:t>mg/m</w:t>
            </w:r>
            <w:r>
              <w:rPr>
                <w:rFonts w:hint="eastAsia" w:ascii="Times New Roman" w:hAnsi="Times New Roman" w:eastAsia="宋体" w:cs="Times New Roman"/>
                <w:color w:val="auto"/>
                <w:sz w:val="24"/>
                <w:szCs w:val="24"/>
                <w:highlight w:val="none"/>
                <w:u w:val="none" w:color="auto"/>
                <w:vertAlign w:val="superscript"/>
                <w:lang w:val="en-US" w:eastAsia="zh-CN"/>
              </w:rPr>
              <w:t>3</w:t>
            </w:r>
            <w:r>
              <w:rPr>
                <w:rFonts w:hint="eastAsia" w:ascii="Times New Roman" w:hAnsi="Times New Roman" w:eastAsia="宋体" w:cs="Times New Roman"/>
                <w:color w:val="auto"/>
                <w:sz w:val="24"/>
                <w:szCs w:val="24"/>
                <w:highlight w:val="none"/>
                <w:u w:val="none" w:color="auto"/>
                <w:lang w:eastAsia="zh-CN"/>
              </w:rPr>
              <w:t>）</w:t>
            </w:r>
            <w:r>
              <w:rPr>
                <w:rFonts w:hint="eastAsia" w:cs="Times New Roman"/>
                <w:color w:val="000000" w:themeColor="text1"/>
                <w:sz w:val="24"/>
                <w:szCs w:val="24"/>
                <w:u w:val="none" w:color="auto"/>
                <w:lang w:val="en-US" w:eastAsia="zh-CN"/>
                <w14:textFill>
                  <w14:solidFill>
                    <w14:schemeClr w14:val="tx1"/>
                  </w14:solidFill>
                </w14:textFill>
              </w:rPr>
              <w:t>。</w:t>
            </w:r>
          </w:p>
          <w:p w14:paraId="5E17DC37">
            <w:pPr>
              <w:spacing w:line="360" w:lineRule="auto"/>
              <w:ind w:firstLine="480" w:firstLineChars="200"/>
              <w:rPr>
                <w:rFonts w:hint="eastAsia" w:cs="Times New Roman"/>
                <w:b w:val="0"/>
                <w:bCs w:val="0"/>
                <w:color w:val="000000" w:themeColor="text1"/>
                <w:sz w:val="24"/>
                <w:szCs w:val="24"/>
                <w:u w:val="none" w:color="auto"/>
                <w:lang w:val="en-US" w:eastAsia="zh-CN"/>
                <w14:textFill>
                  <w14:solidFill>
                    <w14:schemeClr w14:val="tx1"/>
                  </w14:solidFill>
                </w14:textFill>
              </w:rPr>
            </w:pPr>
            <w:r>
              <w:rPr>
                <w:rFonts w:hint="eastAsia"/>
                <w:color w:val="000000" w:themeColor="text1"/>
                <w:sz w:val="24"/>
                <w:szCs w:val="24"/>
                <w:u w:val="none" w:color="auto"/>
                <w:lang w:val="en-US" w:eastAsia="zh-CN"/>
                <w14:textFill>
                  <w14:solidFill>
                    <w14:schemeClr w14:val="tx1"/>
                  </w14:solidFill>
                </w14:textFill>
              </w:rPr>
              <w:t>（2）本项目焊锡废气经</w:t>
            </w:r>
            <w:r>
              <w:rPr>
                <w:rFonts w:hint="eastAsia" w:cs="Times New Roman"/>
                <w:color w:val="000000" w:themeColor="text1"/>
                <w:sz w:val="24"/>
                <w:szCs w:val="24"/>
                <w:u w:val="none" w:color="auto"/>
                <w:lang w:val="en-US" w:eastAsia="zh-CN"/>
                <w14:textFill>
                  <w14:solidFill>
                    <w14:schemeClr w14:val="tx1"/>
                  </w14:solidFill>
                </w14:textFill>
              </w:rPr>
              <w:t>“集气罩+干式过滤器+二级活性炭吸附”收集</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后</w:t>
            </w:r>
            <w:r>
              <w:rPr>
                <w:rFonts w:hint="eastAsia" w:cs="Times New Roman"/>
                <w:color w:val="000000" w:themeColor="text1"/>
                <w:sz w:val="24"/>
                <w:szCs w:val="24"/>
                <w:u w:val="none" w:color="auto"/>
                <w:lang w:val="en-US" w:eastAsia="zh-CN"/>
                <w14:textFill>
                  <w14:solidFill>
                    <w14:schemeClr w14:val="tx1"/>
                  </w14:solidFill>
                </w14:textFill>
              </w:rPr>
              <w:t>+23m高排气筒DA001高空排放</w:t>
            </w:r>
            <w:r>
              <w:rPr>
                <w:rFonts w:hint="eastAsia"/>
                <w:color w:val="000000" w:themeColor="text1"/>
                <w:sz w:val="24"/>
                <w:szCs w:val="24"/>
                <w:u w:val="none" w:color="auto"/>
                <w:lang w:val="en-US" w:eastAsia="zh-CN"/>
                <w14:textFill>
                  <w14:solidFill>
                    <w14:schemeClr w14:val="tx1"/>
                  </w14:solidFill>
                </w14:textFill>
              </w:rPr>
              <w:t>，有组织排放</w:t>
            </w:r>
            <w:r>
              <w:rPr>
                <w:rFonts w:hint="eastAsia" w:cs="Times New Roman"/>
                <w:color w:val="000000" w:themeColor="text1"/>
                <w:sz w:val="24"/>
                <w:szCs w:val="24"/>
                <w:u w:val="none" w:color="auto"/>
                <w:lang w:val="en-US" w:eastAsia="zh-CN"/>
                <w14:textFill>
                  <w14:solidFill>
                    <w14:schemeClr w14:val="tx1"/>
                  </w14:solidFill>
                </w14:textFill>
              </w:rPr>
              <w:t>VOCs（以非甲烷总烃计）能够满足</w:t>
            </w:r>
            <w:r>
              <w:rPr>
                <w:rFonts w:hint="default" w:ascii="Times New Roman" w:hAnsi="Times New Roman" w:eastAsia="宋体" w:cs="Times New Roman"/>
                <w:color w:val="auto"/>
                <w:sz w:val="24"/>
                <w:szCs w:val="24"/>
                <w:highlight w:val="none"/>
                <w:u w:val="none" w:color="auto"/>
              </w:rPr>
              <w:t>湖南省</w:t>
            </w:r>
            <w:r>
              <w:rPr>
                <w:rFonts w:hint="eastAsia" w:cs="Times New Roman"/>
                <w:color w:val="auto"/>
                <w:sz w:val="24"/>
                <w:szCs w:val="24"/>
                <w:highlight w:val="none"/>
                <w:u w:val="none" w:color="auto"/>
                <w:lang w:val="en-US" w:eastAsia="zh-CN"/>
              </w:rPr>
              <w:t>地方标准</w:t>
            </w:r>
            <w:r>
              <w:rPr>
                <w:rFonts w:hint="default" w:ascii="Times New Roman" w:hAnsi="Times New Roman" w:eastAsia="宋体" w:cs="Times New Roman"/>
                <w:color w:val="auto"/>
                <w:sz w:val="24"/>
                <w:szCs w:val="24"/>
                <w:highlight w:val="none"/>
                <w:u w:val="none" w:color="auto"/>
              </w:rPr>
              <w:t>《工业企业挥发性有机物排放标准》（DB43/3550-2026）表1中</w:t>
            </w:r>
            <w:r>
              <w:rPr>
                <w:rFonts w:hint="eastAsia" w:cs="Times New Roman"/>
                <w:color w:val="auto"/>
                <w:sz w:val="24"/>
                <w:szCs w:val="24"/>
                <w:highlight w:val="none"/>
                <w:u w:val="none" w:color="auto"/>
                <w:lang w:val="en-US" w:eastAsia="zh-CN"/>
              </w:rPr>
              <w:t>计算机、通信和其他电子设备制造业</w:t>
            </w:r>
            <w:r>
              <w:rPr>
                <w:rFonts w:hint="default" w:ascii="Times New Roman" w:hAnsi="Times New Roman" w:eastAsia="宋体" w:cs="Times New Roman"/>
                <w:color w:val="auto"/>
                <w:sz w:val="24"/>
                <w:szCs w:val="24"/>
                <w:highlight w:val="none"/>
                <w:u w:val="none" w:color="auto"/>
              </w:rPr>
              <w:t>排放限值</w:t>
            </w:r>
            <w:r>
              <w:rPr>
                <w:rFonts w:hint="eastAsia" w:ascii="Times New Roman" w:hAnsi="Times New Roman" w:eastAsia="宋体" w:cs="Times New Roman"/>
                <w:color w:val="auto"/>
                <w:sz w:val="24"/>
                <w:szCs w:val="24"/>
                <w:highlight w:val="none"/>
                <w:u w:val="none" w:color="auto"/>
                <w:lang w:eastAsia="zh-CN"/>
              </w:rPr>
              <w:t>（</w:t>
            </w:r>
            <w:r>
              <w:rPr>
                <w:rFonts w:hint="eastAsia" w:ascii="Times New Roman" w:hAnsi="Times New Roman" w:eastAsia="宋体" w:cs="Times New Roman"/>
                <w:color w:val="auto"/>
                <w:sz w:val="24"/>
                <w:szCs w:val="24"/>
                <w:highlight w:val="none"/>
                <w:u w:val="none" w:color="auto"/>
                <w:vertAlign w:val="baseline"/>
                <w:lang w:val="en-US" w:eastAsia="zh-CN"/>
              </w:rPr>
              <w:t>NMHC</w:t>
            </w:r>
            <w:r>
              <w:rPr>
                <w:rFonts w:hint="eastAsia" w:cs="Times New Roman"/>
                <w:color w:val="auto"/>
                <w:sz w:val="24"/>
                <w:szCs w:val="24"/>
                <w:highlight w:val="none"/>
                <w:u w:val="none" w:color="auto"/>
                <w:vertAlign w:val="baseline"/>
                <w:lang w:val="en-US" w:eastAsia="zh-CN"/>
              </w:rPr>
              <w:t>50</w:t>
            </w:r>
            <w:r>
              <w:rPr>
                <w:rFonts w:hint="eastAsia" w:ascii="Times New Roman" w:hAnsi="Times New Roman" w:eastAsia="宋体" w:cs="Times New Roman"/>
                <w:color w:val="auto"/>
                <w:sz w:val="24"/>
                <w:szCs w:val="24"/>
                <w:highlight w:val="none"/>
                <w:u w:val="none" w:color="auto"/>
                <w:vertAlign w:val="baseline"/>
                <w:lang w:val="en-US" w:eastAsia="zh-CN"/>
              </w:rPr>
              <w:t>mg/m</w:t>
            </w:r>
            <w:r>
              <w:rPr>
                <w:rFonts w:hint="eastAsia" w:ascii="Times New Roman" w:hAnsi="Times New Roman" w:eastAsia="宋体" w:cs="Times New Roman"/>
                <w:color w:val="auto"/>
                <w:sz w:val="24"/>
                <w:szCs w:val="24"/>
                <w:highlight w:val="none"/>
                <w:u w:val="none" w:color="auto"/>
                <w:vertAlign w:val="superscript"/>
                <w:lang w:val="en-US" w:eastAsia="zh-CN"/>
              </w:rPr>
              <w:t>3</w:t>
            </w:r>
            <w:r>
              <w:rPr>
                <w:rFonts w:hint="eastAsia" w:ascii="Times New Roman" w:hAnsi="Times New Roman" w:eastAsia="宋体" w:cs="Times New Roman"/>
                <w:color w:val="auto"/>
                <w:sz w:val="24"/>
                <w:szCs w:val="24"/>
                <w:highlight w:val="none"/>
                <w:u w:val="none" w:color="auto"/>
                <w:lang w:eastAsia="zh-CN"/>
              </w:rPr>
              <w:t>）</w:t>
            </w:r>
            <w:r>
              <w:rPr>
                <w:rFonts w:hint="eastAsia" w:cs="Times New Roman"/>
                <w:color w:val="000000" w:themeColor="text1"/>
                <w:sz w:val="24"/>
                <w:szCs w:val="24"/>
                <w:u w:val="none" w:color="auto"/>
                <w:lang w:val="en-US" w:eastAsia="zh-CN"/>
                <w14:textFill>
                  <w14:solidFill>
                    <w14:schemeClr w14:val="tx1"/>
                  </w14:solidFill>
                </w14:textFill>
              </w:rPr>
              <w:t>。</w:t>
            </w:r>
            <w:r>
              <w:rPr>
                <w:rFonts w:hint="eastAsia"/>
                <w:color w:val="000000" w:themeColor="text1"/>
                <w:sz w:val="24"/>
                <w:szCs w:val="24"/>
                <w:u w:val="none" w:color="auto"/>
                <w:lang w:val="en-US" w:eastAsia="zh-CN"/>
                <w14:textFill>
                  <w14:solidFill>
                    <w14:schemeClr w14:val="tx1"/>
                  </w14:solidFill>
                </w14:textFill>
              </w:rPr>
              <w:t>颗粒物、锡及其化合物满足</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《大气污染物排放标准》（GB16297-1996）表2中标准限值，</w:t>
            </w:r>
            <w:r>
              <w:rPr>
                <w:rFonts w:hint="eastAsia" w:cs="Times New Roman"/>
                <w:color w:val="000000" w:themeColor="text1"/>
                <w:sz w:val="24"/>
                <w:szCs w:val="24"/>
                <w:u w:val="none" w:color="auto"/>
                <w:lang w:val="en-US" w:eastAsia="zh-CN"/>
                <w14:textFill>
                  <w14:solidFill>
                    <w14:schemeClr w14:val="tx1"/>
                  </w14:solidFill>
                </w14:textFill>
              </w:rPr>
              <w:t>无组织排放</w:t>
            </w:r>
            <w:r>
              <w:rPr>
                <w:rFonts w:hint="eastAsia"/>
                <w:sz w:val="24"/>
                <w:szCs w:val="24"/>
                <w:lang w:val="en-US" w:eastAsia="zh-CN"/>
              </w:rPr>
              <w:t>颗粒物、锡及其化合物</w:t>
            </w:r>
            <w:r>
              <w:rPr>
                <w:rFonts w:hint="eastAsia"/>
                <w:color w:val="000000" w:themeColor="text1"/>
                <w:sz w:val="24"/>
                <w:szCs w:val="24"/>
                <w:u w:val="none" w:color="auto"/>
                <w:lang w:val="en-US" w:eastAsia="zh-CN"/>
                <w14:textFill>
                  <w14:solidFill>
                    <w14:schemeClr w14:val="tx1"/>
                  </w14:solidFill>
                </w14:textFill>
              </w:rPr>
              <w:t>满足</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《大气污染物排放标准》（GB16297-1996）表2中无组织排放监控浓度限值</w:t>
            </w:r>
            <w:r>
              <w:rPr>
                <w:rFonts w:hint="eastAsia" w:cs="Times New Roman"/>
                <w:b w:val="0"/>
                <w:bCs w:val="0"/>
                <w:color w:val="000000" w:themeColor="text1"/>
                <w:sz w:val="24"/>
                <w:szCs w:val="24"/>
                <w:u w:val="none" w:color="auto"/>
                <w:lang w:val="en-US" w:eastAsia="zh-CN"/>
                <w14:textFill>
                  <w14:solidFill>
                    <w14:schemeClr w14:val="tx1"/>
                  </w14:solidFill>
                </w14:textFill>
              </w:rPr>
              <w:t>。</w:t>
            </w:r>
          </w:p>
          <w:p w14:paraId="02765E8C">
            <w:pPr>
              <w:spacing w:line="360" w:lineRule="auto"/>
              <w:ind w:firstLine="480" w:firstLineChars="200"/>
              <w:rPr>
                <w:rFonts w:hint="default" w:cs="Times New Roman"/>
                <w:b w:val="0"/>
                <w:bCs w:val="0"/>
                <w:color w:val="000000" w:themeColor="text1"/>
                <w:sz w:val="24"/>
                <w:szCs w:val="24"/>
                <w:u w:val="none" w:color="auto"/>
                <w:lang w:val="en-US" w:eastAsia="zh-CN"/>
                <w14:textFill>
                  <w14:solidFill>
                    <w14:schemeClr w14:val="tx1"/>
                  </w14:solidFill>
                </w14:textFill>
              </w:rPr>
            </w:pPr>
            <w:r>
              <w:rPr>
                <w:rFonts w:hint="eastAsia" w:cs="Times New Roman"/>
                <w:b w:val="0"/>
                <w:bCs w:val="0"/>
                <w:color w:val="000000" w:themeColor="text1"/>
                <w:sz w:val="24"/>
                <w:szCs w:val="24"/>
                <w:u w:val="none" w:color="auto"/>
                <w:lang w:val="en-US" w:eastAsia="zh-CN"/>
                <w14:textFill>
                  <w14:solidFill>
                    <w14:schemeClr w14:val="tx1"/>
                  </w14:solidFill>
                </w14:textFill>
              </w:rPr>
              <w:t>（3）项目厂界无组织排放非甲烷总烃、苯系物（二甲苯）满足《大气污染物综合排放标准》（GB16297-1996）表2中无组织排放限值，厂区内无组织排放非甲烷总烃湖南省《工业企业挥发性有机物排放标准》（DB43/3550-2026）表2厂区内VOCs无组织排放监控点浓度限值。</w:t>
            </w:r>
          </w:p>
          <w:p w14:paraId="6AE90694">
            <w:pPr>
              <w:spacing w:line="360" w:lineRule="auto"/>
              <w:ind w:firstLine="480" w:firstLineChars="200"/>
              <w:rPr>
                <w:rFonts w:hint="default" w:eastAsia="宋体"/>
                <w:color w:val="000000" w:themeColor="text1"/>
                <w:sz w:val="24"/>
                <w:szCs w:val="24"/>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经采取措施后，排气筒中的各污染物均能达标排放，且各污染物在厂界也均能达标排放，对环境保护目标影响较小。综上，项目建设后废气产生量少，且采用可行技术对废气进行处理，处理后的废气均可达标排放，</w:t>
            </w:r>
            <w:r>
              <w:rPr>
                <w:color w:val="000000" w:themeColor="text1"/>
                <w:kern w:val="2"/>
                <w:sz w:val="24"/>
                <w:szCs w:val="24"/>
                <w:u w:val="none" w:color="auto"/>
                <w14:textFill>
                  <w14:solidFill>
                    <w14:schemeClr w14:val="tx1"/>
                  </w14:solidFill>
                </w14:textFill>
              </w:rPr>
              <w:t>综上分析，项目大气环境影响可接受。</w:t>
            </w:r>
          </w:p>
          <w:p w14:paraId="1A9A8D0E">
            <w:pPr>
              <w:spacing w:before="0" w:after="0" w:line="360" w:lineRule="auto"/>
              <w:ind w:right="0" w:firstLine="482" w:firstLineChars="200"/>
              <w:rPr>
                <w:b/>
                <w:bCs/>
                <w:color w:val="000000" w:themeColor="text1"/>
                <w:sz w:val="24"/>
                <w:u w:val="none" w:color="auto"/>
                <w14:textFill>
                  <w14:solidFill>
                    <w14:schemeClr w14:val="tx1"/>
                  </w14:solidFill>
                </w14:textFill>
              </w:rPr>
            </w:pPr>
            <w:r>
              <w:rPr>
                <w:rFonts w:hint="eastAsia"/>
                <w:b/>
                <w:bCs/>
                <w:color w:val="000000" w:themeColor="text1"/>
                <w:sz w:val="24"/>
                <w:u w:val="none" w:color="auto"/>
                <w:lang w:val="en-US" w:eastAsia="zh-CN"/>
                <w14:textFill>
                  <w14:solidFill>
                    <w14:schemeClr w14:val="tx1"/>
                  </w14:solidFill>
                </w14:textFill>
              </w:rPr>
              <w:t>5</w:t>
            </w:r>
            <w:r>
              <w:rPr>
                <w:rFonts w:hint="eastAsia"/>
                <w:b/>
                <w:bCs/>
                <w:color w:val="000000" w:themeColor="text1"/>
                <w:sz w:val="24"/>
                <w:u w:val="none" w:color="auto"/>
                <w14:textFill>
                  <w14:solidFill>
                    <w14:schemeClr w14:val="tx1"/>
                  </w14:solidFill>
                </w14:textFill>
              </w:rPr>
              <w:t>、监测要求</w:t>
            </w:r>
          </w:p>
          <w:p w14:paraId="24459F5F">
            <w:pPr>
              <w:pStyle w:val="2"/>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jc w:val="left"/>
              <w:textAlignment w:val="auto"/>
              <w:rPr>
                <w:rFonts w:hint="eastAsia" w:ascii="Times New Roman" w:hAnsi="Times New Roman"/>
                <w:b w:val="0"/>
                <w:bCs w:val="0"/>
                <w:color w:val="000000" w:themeColor="text1"/>
                <w:sz w:val="24"/>
                <w:szCs w:val="24"/>
                <w:u w:val="none" w:color="auto"/>
                <w14:textFill>
                  <w14:solidFill>
                    <w14:schemeClr w14:val="tx1"/>
                  </w14:solidFill>
                </w14:textFill>
              </w:rPr>
            </w:pPr>
            <w:r>
              <w:rPr>
                <w:rFonts w:hint="eastAsia" w:ascii="Times New Roman" w:hAnsi="Times New Roman"/>
                <w:b w:val="0"/>
                <w:bCs w:val="0"/>
                <w:color w:val="000000" w:themeColor="text1"/>
                <w:sz w:val="24"/>
                <w:szCs w:val="24"/>
                <w:u w:val="none" w:color="auto"/>
                <w14:textFill>
                  <w14:solidFill>
                    <w14:schemeClr w14:val="tx1"/>
                  </w14:solidFill>
                </w14:textFill>
              </w:rPr>
              <w:t>根据《固定污染源排污许可分类管理名录(2019年版)》，本项目为电阻电容电感元件制造，属于登记管理，结合《排污许可证申请与核发技术规范电子工业》(HJ1031-2019)与《排污单位自行监测技术指南电子工业》(HJ1253-2022)相关要求，本项目废气监测计划见下表。</w:t>
            </w:r>
          </w:p>
          <w:p w14:paraId="04B83F6E">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b/>
                <w:bCs/>
                <w:color w:val="000000" w:themeColor="text1"/>
                <w:sz w:val="21"/>
                <w:szCs w:val="21"/>
                <w:u w:val="none" w:color="auto"/>
                <w:lang w:val="en-US" w:eastAsia="zh-CN"/>
                <w14:textFill>
                  <w14:solidFill>
                    <w14:schemeClr w14:val="tx1"/>
                  </w14:solidFill>
                </w14:textFill>
              </w:rPr>
            </w:pPr>
            <w:r>
              <w:rPr>
                <w:rFonts w:hint="eastAsia"/>
                <w:b/>
                <w:bCs/>
                <w:color w:val="000000" w:themeColor="text1"/>
                <w:sz w:val="21"/>
                <w:szCs w:val="21"/>
                <w:u w:val="none" w:color="auto"/>
                <w:lang w:val="en-US" w:eastAsia="zh-CN"/>
                <w14:textFill>
                  <w14:solidFill>
                    <w14:schemeClr w14:val="tx1"/>
                  </w14:solidFill>
                </w14:textFill>
              </w:rPr>
              <w:t>表4-10废气监测计划</w:t>
            </w:r>
          </w:p>
          <w:tbl>
            <w:tblPr>
              <w:tblStyle w:val="33"/>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717"/>
              <w:gridCol w:w="1605"/>
              <w:gridCol w:w="4173"/>
            </w:tblGrid>
            <w:tr w14:paraId="371F4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27" w:type="pct"/>
                  <w:tcBorders>
                    <w:tl2br w:val="nil"/>
                    <w:tr2bl w:val="nil"/>
                  </w:tcBorders>
                  <w:vAlign w:val="center"/>
                </w:tcPr>
                <w:p w14:paraId="2A85C4E6">
                  <w:pPr>
                    <w:pStyle w:val="77"/>
                    <w:bidi w:val="0"/>
                    <w:rPr>
                      <w:u w:val="single" w:color="auto"/>
                    </w:rPr>
                  </w:pPr>
                  <w:r>
                    <w:rPr>
                      <w:u w:val="single" w:color="auto"/>
                    </w:rPr>
                    <w:t>监测点</w:t>
                  </w:r>
                </w:p>
              </w:tc>
              <w:tc>
                <w:tcPr>
                  <w:tcW w:w="1001" w:type="pct"/>
                  <w:tcBorders>
                    <w:tl2br w:val="nil"/>
                    <w:tr2bl w:val="nil"/>
                  </w:tcBorders>
                  <w:vAlign w:val="center"/>
                </w:tcPr>
                <w:p w14:paraId="646D0994">
                  <w:pPr>
                    <w:pStyle w:val="77"/>
                    <w:bidi w:val="0"/>
                    <w:rPr>
                      <w:u w:val="single" w:color="auto"/>
                    </w:rPr>
                  </w:pPr>
                  <w:r>
                    <w:rPr>
                      <w:u w:val="single" w:color="auto"/>
                    </w:rPr>
                    <w:t>监测项目</w:t>
                  </w:r>
                </w:p>
              </w:tc>
              <w:tc>
                <w:tcPr>
                  <w:tcW w:w="936" w:type="pct"/>
                  <w:tcBorders>
                    <w:tl2br w:val="nil"/>
                    <w:tr2bl w:val="nil"/>
                  </w:tcBorders>
                  <w:vAlign w:val="center"/>
                </w:tcPr>
                <w:p w14:paraId="3E15C07A">
                  <w:pPr>
                    <w:pStyle w:val="77"/>
                    <w:bidi w:val="0"/>
                    <w:rPr>
                      <w:u w:val="single" w:color="auto"/>
                    </w:rPr>
                  </w:pPr>
                  <w:r>
                    <w:rPr>
                      <w:u w:val="single" w:color="auto"/>
                    </w:rPr>
                    <w:t>监测频次</w:t>
                  </w:r>
                </w:p>
              </w:tc>
              <w:tc>
                <w:tcPr>
                  <w:tcW w:w="2434" w:type="pct"/>
                  <w:tcBorders>
                    <w:tl2br w:val="nil"/>
                    <w:tr2bl w:val="nil"/>
                  </w:tcBorders>
                  <w:vAlign w:val="center"/>
                </w:tcPr>
                <w:p w14:paraId="7A4CB62A">
                  <w:pPr>
                    <w:pStyle w:val="77"/>
                    <w:bidi w:val="0"/>
                    <w:rPr>
                      <w:rFonts w:hint="eastAsia" w:eastAsia="宋体"/>
                      <w:u w:val="single" w:color="auto"/>
                      <w:lang w:val="en-US" w:eastAsia="zh-CN"/>
                    </w:rPr>
                  </w:pPr>
                  <w:r>
                    <w:rPr>
                      <w:rFonts w:hint="eastAsia"/>
                      <w:u w:val="single" w:color="auto"/>
                      <w:lang w:val="en-US" w:eastAsia="zh-CN"/>
                    </w:rPr>
                    <w:t>执行标准</w:t>
                  </w:r>
                </w:p>
              </w:tc>
            </w:tr>
            <w:tr w14:paraId="6C684C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27" w:type="pct"/>
                  <w:tcBorders>
                    <w:tl2br w:val="nil"/>
                    <w:tr2bl w:val="nil"/>
                  </w:tcBorders>
                  <w:vAlign w:val="center"/>
                </w:tcPr>
                <w:p w14:paraId="753AF805">
                  <w:pPr>
                    <w:pStyle w:val="77"/>
                    <w:bidi w:val="0"/>
                    <w:rPr>
                      <w:rFonts w:hint="default"/>
                      <w:u w:val="single" w:color="auto"/>
                      <w:lang w:val="en-US"/>
                    </w:rPr>
                  </w:pPr>
                  <w:r>
                    <w:rPr>
                      <w:rFonts w:hint="eastAsia"/>
                      <w:u w:val="single" w:color="auto"/>
                    </w:rPr>
                    <w:t>废</w:t>
                  </w:r>
                  <w:r>
                    <w:rPr>
                      <w:rFonts w:hint="eastAsia"/>
                      <w:u w:val="single" w:color="auto"/>
                      <w:lang w:val="en-US" w:eastAsia="zh-CN"/>
                    </w:rPr>
                    <w:t>气排放口DA001</w:t>
                  </w:r>
                </w:p>
              </w:tc>
              <w:tc>
                <w:tcPr>
                  <w:tcW w:w="1001" w:type="pct"/>
                  <w:tcBorders>
                    <w:tl2br w:val="nil"/>
                    <w:tr2bl w:val="nil"/>
                  </w:tcBorders>
                  <w:shd w:val="clear" w:color="auto" w:fill="auto"/>
                  <w:vAlign w:val="center"/>
                </w:tcPr>
                <w:p w14:paraId="5E3A5379">
                  <w:pPr>
                    <w:pStyle w:val="77"/>
                    <w:bidi w:val="0"/>
                    <w:rPr>
                      <w:rFonts w:hint="default"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r>
                    <w:rPr>
                      <w:rFonts w:hint="eastAsia"/>
                      <w:u w:val="single" w:color="auto"/>
                      <w:lang w:val="en-US" w:eastAsia="zh-CN"/>
                    </w:rPr>
                    <w:t>非甲烷总烃、苯系物、颗粒物、锡及其化合物</w:t>
                  </w:r>
                </w:p>
              </w:tc>
              <w:tc>
                <w:tcPr>
                  <w:tcW w:w="936" w:type="pct"/>
                  <w:tcBorders>
                    <w:tl2br w:val="nil"/>
                    <w:tr2bl w:val="nil"/>
                  </w:tcBorders>
                  <w:shd w:val="clear" w:color="auto" w:fill="auto"/>
                  <w:vAlign w:val="center"/>
                </w:tcPr>
                <w:p w14:paraId="5F328429">
                  <w:pPr>
                    <w:pStyle w:val="77"/>
                    <w:bidi w:val="0"/>
                    <w:rPr>
                      <w:rFonts w:hint="default"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r>
                    <w:rPr>
                      <w:rFonts w:hint="eastAsia"/>
                      <w:u w:val="single" w:color="auto"/>
                      <w:lang w:val="en-US" w:eastAsia="zh-CN"/>
                    </w:rPr>
                    <w:t>1次/年</w:t>
                  </w:r>
                </w:p>
              </w:tc>
              <w:tc>
                <w:tcPr>
                  <w:tcW w:w="2434" w:type="pct"/>
                  <w:tcBorders>
                    <w:tl2br w:val="nil"/>
                    <w:tr2bl w:val="nil"/>
                  </w:tcBorders>
                  <w:shd w:val="clear" w:color="auto" w:fill="auto"/>
                  <w:vAlign w:val="center"/>
                </w:tcPr>
                <w:p w14:paraId="17A1BD87">
                  <w:pPr>
                    <w:pStyle w:val="77"/>
                    <w:bidi w:val="0"/>
                    <w:rPr>
                      <w:rFonts w:hint="default" w:ascii="Times New Roman" w:hAnsi="Times New Roman" w:eastAsia="宋体" w:cs="Times New Roman"/>
                      <w:color w:val="000000" w:themeColor="text1"/>
                      <w:kern w:val="0"/>
                      <w:sz w:val="21"/>
                      <w:szCs w:val="18"/>
                      <w:highlight w:val="none"/>
                      <w:u w:val="singl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18"/>
                      <w:highlight w:val="none"/>
                      <w:u w:val="single" w:color="auto"/>
                      <w:lang w:val="en-US" w:eastAsia="zh-CN" w:bidi="ar-SA"/>
                      <w14:textFill>
                        <w14:solidFill>
                          <w14:schemeClr w14:val="tx1"/>
                        </w14:solidFill>
                      </w14:textFill>
                    </w:rPr>
                    <w:t>VOCs（以非甲烷总烃计）</w:t>
                  </w:r>
                  <w:r>
                    <w:rPr>
                      <w:rFonts w:hint="eastAsia" w:cs="Times New Roman"/>
                      <w:color w:val="000000" w:themeColor="text1"/>
                      <w:kern w:val="0"/>
                      <w:sz w:val="21"/>
                      <w:szCs w:val="18"/>
                      <w:highlight w:val="none"/>
                      <w:u w:val="single" w:color="auto"/>
                      <w:lang w:val="en-US" w:eastAsia="zh-CN" w:bidi="ar-SA"/>
                      <w14:textFill>
                        <w14:solidFill>
                          <w14:schemeClr w14:val="tx1"/>
                        </w14:solidFill>
                      </w14:textFill>
                    </w:rPr>
                    <w:t>、苯系物执行《工业企业挥发性有机物排放标准》（DB43/3550-2026）表1中计算机、通信和其他电子设备制造业排放限值；颗粒物、锡及其化合物执行《大气污染物排放标准》（GB16297-1996）表2中标准限值</w:t>
                  </w:r>
                </w:p>
              </w:tc>
            </w:tr>
            <w:tr w14:paraId="4654A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27" w:type="pct"/>
                  <w:tcBorders>
                    <w:tl2br w:val="nil"/>
                    <w:tr2bl w:val="nil"/>
                  </w:tcBorders>
                  <w:vAlign w:val="center"/>
                </w:tcPr>
                <w:p w14:paraId="3E490F16">
                  <w:pPr>
                    <w:pStyle w:val="77"/>
                    <w:bidi w:val="0"/>
                    <w:rPr>
                      <w:rFonts w:hint="eastAsia" w:eastAsia="宋体"/>
                      <w:u w:val="single" w:color="auto"/>
                      <w:lang w:val="en-US" w:eastAsia="zh-CN"/>
                    </w:rPr>
                  </w:pPr>
                  <w:r>
                    <w:rPr>
                      <w:rFonts w:hint="eastAsia"/>
                      <w:u w:val="single" w:color="auto"/>
                      <w:lang w:val="en-US" w:eastAsia="zh-CN"/>
                    </w:rPr>
                    <w:t>厂界</w:t>
                  </w:r>
                </w:p>
              </w:tc>
              <w:tc>
                <w:tcPr>
                  <w:tcW w:w="1001" w:type="pct"/>
                  <w:tcBorders>
                    <w:tl2br w:val="nil"/>
                    <w:tr2bl w:val="nil"/>
                  </w:tcBorders>
                  <w:vAlign w:val="center"/>
                </w:tcPr>
                <w:p w14:paraId="3E0B230D">
                  <w:pPr>
                    <w:pStyle w:val="77"/>
                    <w:bidi w:val="0"/>
                    <w:rPr>
                      <w:rFonts w:hint="default"/>
                      <w:u w:val="single" w:color="auto"/>
                      <w:lang w:val="en-US" w:eastAsia="zh-CN"/>
                    </w:rPr>
                  </w:pPr>
                  <w:r>
                    <w:rPr>
                      <w:rFonts w:hint="eastAsia"/>
                      <w:u w:val="single" w:color="auto"/>
                      <w:lang w:val="en-US" w:eastAsia="zh-CN"/>
                    </w:rPr>
                    <w:t>非甲烷总烃、苯系物、颗粒物、锡及其化合物、</w:t>
                  </w:r>
                </w:p>
              </w:tc>
              <w:tc>
                <w:tcPr>
                  <w:tcW w:w="936" w:type="pct"/>
                  <w:tcBorders>
                    <w:tl2br w:val="nil"/>
                    <w:tr2bl w:val="nil"/>
                  </w:tcBorders>
                  <w:vAlign w:val="center"/>
                </w:tcPr>
                <w:p w14:paraId="2FD2F796">
                  <w:pPr>
                    <w:pStyle w:val="77"/>
                    <w:bidi w:val="0"/>
                    <w:rPr>
                      <w:rFonts w:hint="default" w:ascii="Times New Roman" w:hAnsi="Times New Roman" w:eastAsia="宋体" w:cs="Times New Roman"/>
                      <w:color w:val="000000" w:themeColor="text1"/>
                      <w:kern w:val="0"/>
                      <w:sz w:val="21"/>
                      <w:szCs w:val="18"/>
                      <w:highlight w:val="none"/>
                      <w:u w:val="singl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18"/>
                      <w:highlight w:val="none"/>
                      <w:u w:val="single" w:color="auto"/>
                      <w:lang w:val="en-US" w:eastAsia="zh-CN" w:bidi="ar-SA"/>
                      <w14:textFill>
                        <w14:solidFill>
                          <w14:schemeClr w14:val="tx1"/>
                        </w14:solidFill>
                      </w14:textFill>
                    </w:rPr>
                    <w:t>1次/年</w:t>
                  </w:r>
                </w:p>
              </w:tc>
              <w:tc>
                <w:tcPr>
                  <w:tcW w:w="2434" w:type="pct"/>
                  <w:tcBorders>
                    <w:tl2br w:val="nil"/>
                    <w:tr2bl w:val="nil"/>
                  </w:tcBorders>
                  <w:vAlign w:val="center"/>
                </w:tcPr>
                <w:p w14:paraId="65756D29">
                  <w:pPr>
                    <w:pStyle w:val="77"/>
                    <w:bidi w:val="0"/>
                    <w:rPr>
                      <w:rFonts w:hint="default" w:eastAsia="宋体"/>
                      <w:u w:val="single" w:color="auto"/>
                      <w:lang w:val="en-US" w:eastAsia="zh-CN"/>
                    </w:rPr>
                  </w:pPr>
                  <w:r>
                    <w:rPr>
                      <w:rFonts w:hint="default" w:eastAsia="宋体"/>
                      <w:u w:val="single" w:color="auto"/>
                      <w:lang w:val="en-US" w:eastAsia="zh-CN"/>
                    </w:rPr>
                    <w:t>《大气污染物排放标准》（GB16297-1996）表2中</w:t>
                  </w:r>
                  <w:r>
                    <w:rPr>
                      <w:rFonts w:hint="eastAsia"/>
                      <w:u w:val="single" w:color="auto"/>
                      <w:lang w:val="en-US" w:eastAsia="zh-CN"/>
                    </w:rPr>
                    <w:t>无组织</w:t>
                  </w:r>
                  <w:r>
                    <w:rPr>
                      <w:rFonts w:hint="default" w:eastAsia="宋体"/>
                      <w:u w:val="single" w:color="auto"/>
                      <w:lang w:val="en-US" w:eastAsia="zh-CN"/>
                    </w:rPr>
                    <w:t>标准限值</w:t>
                  </w:r>
                </w:p>
              </w:tc>
            </w:tr>
            <w:tr w14:paraId="647C24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27" w:type="pct"/>
                  <w:tcBorders>
                    <w:tl2br w:val="nil"/>
                    <w:tr2bl w:val="nil"/>
                  </w:tcBorders>
                  <w:vAlign w:val="center"/>
                </w:tcPr>
                <w:p w14:paraId="3EB4A275">
                  <w:pPr>
                    <w:pStyle w:val="77"/>
                    <w:bidi w:val="0"/>
                    <w:rPr>
                      <w:rFonts w:hint="default"/>
                      <w:u w:val="single" w:color="auto"/>
                      <w:lang w:val="en-US" w:eastAsia="zh-CN"/>
                    </w:rPr>
                  </w:pPr>
                  <w:r>
                    <w:rPr>
                      <w:rFonts w:hint="eastAsia"/>
                      <w:u w:val="single" w:color="auto"/>
                      <w:lang w:val="en-US" w:eastAsia="zh-CN"/>
                    </w:rPr>
                    <w:t>厂房门窗外1m处</w:t>
                  </w:r>
                </w:p>
              </w:tc>
              <w:tc>
                <w:tcPr>
                  <w:tcW w:w="1001" w:type="pct"/>
                  <w:tcBorders>
                    <w:tl2br w:val="nil"/>
                    <w:tr2bl w:val="nil"/>
                  </w:tcBorders>
                  <w:vAlign w:val="center"/>
                </w:tcPr>
                <w:p w14:paraId="48343FFB">
                  <w:pPr>
                    <w:pStyle w:val="77"/>
                    <w:bidi w:val="0"/>
                    <w:rPr>
                      <w:rFonts w:hint="eastAsia"/>
                      <w:u w:val="single" w:color="auto"/>
                      <w:lang w:val="en-US" w:eastAsia="zh-CN"/>
                    </w:rPr>
                  </w:pPr>
                  <w:r>
                    <w:rPr>
                      <w:rFonts w:hint="eastAsia"/>
                      <w:u w:val="single" w:color="auto"/>
                      <w:lang w:val="en-US" w:eastAsia="zh-CN"/>
                    </w:rPr>
                    <w:t>非甲烷总烃</w:t>
                  </w:r>
                </w:p>
              </w:tc>
              <w:tc>
                <w:tcPr>
                  <w:tcW w:w="936" w:type="pct"/>
                  <w:tcBorders>
                    <w:tl2br w:val="nil"/>
                    <w:tr2bl w:val="nil"/>
                  </w:tcBorders>
                  <w:vAlign w:val="center"/>
                </w:tcPr>
                <w:p w14:paraId="1AB47909">
                  <w:pPr>
                    <w:pStyle w:val="77"/>
                    <w:bidi w:val="0"/>
                    <w:rPr>
                      <w:rFonts w:hint="eastAsia" w:ascii="Times New Roman" w:hAnsi="Times New Roman" w:eastAsia="宋体" w:cs="Times New Roman"/>
                      <w:color w:val="000000" w:themeColor="text1"/>
                      <w:kern w:val="0"/>
                      <w:sz w:val="21"/>
                      <w:szCs w:val="18"/>
                      <w:highlight w:val="none"/>
                      <w:u w:val="singl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18"/>
                      <w:highlight w:val="none"/>
                      <w:u w:val="single" w:color="auto"/>
                      <w:lang w:val="en-US" w:eastAsia="zh-CN" w:bidi="ar-SA"/>
                      <w14:textFill>
                        <w14:solidFill>
                          <w14:schemeClr w14:val="tx1"/>
                        </w14:solidFill>
                      </w14:textFill>
                    </w:rPr>
                    <w:t>1次/年</w:t>
                  </w:r>
                </w:p>
              </w:tc>
              <w:tc>
                <w:tcPr>
                  <w:tcW w:w="2434" w:type="pct"/>
                  <w:tcBorders>
                    <w:tl2br w:val="nil"/>
                    <w:tr2bl w:val="nil"/>
                  </w:tcBorders>
                  <w:vAlign w:val="center"/>
                </w:tcPr>
                <w:p w14:paraId="5DD150ED">
                  <w:pPr>
                    <w:pStyle w:val="77"/>
                    <w:bidi w:val="0"/>
                    <w:rPr>
                      <w:rFonts w:hint="eastAsia"/>
                      <w:u w:val="single" w:color="auto"/>
                      <w:lang w:eastAsia="zh-CN"/>
                    </w:rPr>
                  </w:pPr>
                  <w:r>
                    <w:rPr>
                      <w:rFonts w:hint="eastAsia"/>
                      <w:u w:val="single" w:color="auto"/>
                      <w:lang w:eastAsia="zh-CN"/>
                    </w:rPr>
                    <w:t>《工业企业挥发性有机物排放标准》（DB43/3550-2026）表2厂区内VOCs无组织排放监控点浓度限值</w:t>
                  </w:r>
                </w:p>
              </w:tc>
            </w:tr>
            <w:tr w14:paraId="36BDFF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5000" w:type="pct"/>
                  <w:gridSpan w:val="4"/>
                  <w:tcBorders>
                    <w:tl2br w:val="nil"/>
                    <w:tr2bl w:val="nil"/>
                  </w:tcBorders>
                  <w:vAlign w:val="center"/>
                </w:tcPr>
                <w:p w14:paraId="133590A6">
                  <w:pPr>
                    <w:pStyle w:val="77"/>
                    <w:bidi w:val="0"/>
                    <w:rPr>
                      <w:rFonts w:hint="default"/>
                      <w:u w:val="single" w:color="auto"/>
                      <w:lang w:val="en-US" w:eastAsia="zh-CN"/>
                    </w:rPr>
                  </w:pPr>
                  <w:r>
                    <w:rPr>
                      <w:rFonts w:hint="eastAsia"/>
                      <w:u w:val="single" w:color="auto"/>
                      <w:lang w:val="en-US" w:eastAsia="zh-CN"/>
                    </w:rPr>
                    <w:t>注：本项目为租赁标准化厂房，无单独厂区，故厂区内监测点位为厂房门窗外1m处。</w:t>
                  </w:r>
                </w:p>
              </w:tc>
            </w:tr>
          </w:tbl>
          <w:p w14:paraId="201A292D">
            <w:pPr>
              <w:spacing w:line="360" w:lineRule="auto"/>
              <w:ind w:firstLine="482" w:firstLineChars="200"/>
              <w:rPr>
                <w:rFonts w:ascii="Times New Roman" w:hAnsi="Times New Roman" w:eastAsia="宋体" w:cs="Times New Roman"/>
                <w:b/>
                <w:bCs/>
                <w:color w:val="000000" w:themeColor="text1"/>
                <w:kern w:val="0"/>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4"/>
                <w:u w:val="none" w:color="auto"/>
                <w:lang w:val="en-US" w:eastAsia="zh-CN" w:bidi="ar-SA"/>
                <w14:textFill>
                  <w14:solidFill>
                    <w14:schemeClr w14:val="tx1"/>
                  </w14:solidFill>
                </w14:textFill>
              </w:rPr>
              <w:t>二、</w:t>
            </w:r>
            <w:r>
              <w:rPr>
                <w:rFonts w:ascii="Times New Roman" w:hAnsi="Times New Roman" w:eastAsia="宋体" w:cs="Times New Roman"/>
                <w:b/>
                <w:bCs/>
                <w:color w:val="000000" w:themeColor="text1"/>
                <w:kern w:val="0"/>
                <w:sz w:val="24"/>
                <w:szCs w:val="24"/>
                <w:u w:val="none" w:color="auto"/>
                <w:lang w:val="en-US" w:eastAsia="zh-CN" w:bidi="ar-SA"/>
                <w14:textFill>
                  <w14:solidFill>
                    <w14:schemeClr w14:val="tx1"/>
                  </w14:solidFill>
                </w14:textFill>
              </w:rPr>
              <w:t>水环境影响分析</w:t>
            </w:r>
            <w:r>
              <w:rPr>
                <w:rFonts w:hint="eastAsia" w:ascii="Times New Roman" w:hAnsi="Times New Roman" w:eastAsia="宋体" w:cs="Times New Roman"/>
                <w:b/>
                <w:bCs/>
                <w:color w:val="000000" w:themeColor="text1"/>
                <w:kern w:val="0"/>
                <w:sz w:val="24"/>
                <w:szCs w:val="24"/>
                <w:u w:val="none" w:color="auto"/>
                <w:lang w:val="en-US" w:eastAsia="zh-CN" w:bidi="ar-SA"/>
                <w14:textFill>
                  <w14:solidFill>
                    <w14:schemeClr w14:val="tx1"/>
                  </w14:solidFill>
                </w14:textFill>
              </w:rPr>
              <w:t>和保护措施</w:t>
            </w:r>
          </w:p>
          <w:p w14:paraId="6E941527">
            <w:pPr>
              <w:spacing w:line="360" w:lineRule="auto"/>
              <w:ind w:firstLine="482"/>
              <w:rPr>
                <w:rFonts w:ascii="Times New Roman" w:hAnsi="Times New Roman"/>
                <w:b/>
                <w:bCs/>
                <w:color w:val="000000" w:themeColor="text1"/>
                <w:u w:val="none" w:color="auto"/>
                <w14:textFill>
                  <w14:solidFill>
                    <w14:schemeClr w14:val="tx1"/>
                  </w14:solidFill>
                </w14:textFill>
              </w:rPr>
            </w:pPr>
            <w:r>
              <w:rPr>
                <w:rFonts w:hint="eastAsia" w:ascii="Times New Roman" w:hAnsi="Times New Roman"/>
                <w:b/>
                <w:bCs/>
                <w:color w:val="000000" w:themeColor="text1"/>
                <w:u w:val="none" w:color="auto"/>
                <w14:textFill>
                  <w14:solidFill>
                    <w14:schemeClr w14:val="tx1"/>
                  </w14:solidFill>
                </w14:textFill>
              </w:rPr>
              <w:t>1、废水源强分析</w:t>
            </w:r>
          </w:p>
          <w:p w14:paraId="68DBA499">
            <w:pPr>
              <w:widowControl/>
              <w:adjustRightInd w:val="0"/>
              <w:snapToGrid w:val="0"/>
              <w:spacing w:line="360" w:lineRule="auto"/>
              <w:ind w:firstLine="480" w:firstLineChars="200"/>
              <w:rPr>
                <w:rFonts w:hint="eastAsia"/>
                <w:b w:val="0"/>
                <w:bCs w:val="0"/>
                <w:highlight w:val="none"/>
                <w:u w:val="none" w:color="auto"/>
                <w:lang w:val="en-US" w:eastAsia="zh-CN"/>
              </w:rPr>
            </w:pPr>
            <w:r>
              <w:rPr>
                <w:color w:val="000000" w:themeColor="text1"/>
                <w:kern w:val="0"/>
                <w:sz w:val="24"/>
                <w:szCs w:val="20"/>
                <w:highlight w:val="none"/>
                <w:u w:val="none" w:color="auto"/>
                <w14:textFill>
                  <w14:solidFill>
                    <w14:schemeClr w14:val="tx1"/>
                  </w14:solidFill>
                </w14:textFill>
              </w:rPr>
              <w:t>本项目</w:t>
            </w:r>
            <w:r>
              <w:rPr>
                <w:rFonts w:hint="eastAsia"/>
                <w:color w:val="000000" w:themeColor="text1"/>
                <w:kern w:val="0"/>
                <w:sz w:val="24"/>
                <w:szCs w:val="20"/>
                <w:highlight w:val="none"/>
                <w:u w:val="none" w:color="auto"/>
                <w14:textFill>
                  <w14:solidFill>
                    <w14:schemeClr w14:val="tx1"/>
                  </w14:solidFill>
                </w14:textFill>
              </w:rPr>
              <w:t>废水主要为生活</w:t>
            </w:r>
            <w:r>
              <w:rPr>
                <w:rFonts w:hint="eastAsia"/>
                <w:color w:val="000000" w:themeColor="text1"/>
                <w:kern w:val="0"/>
                <w:sz w:val="24"/>
                <w:szCs w:val="20"/>
                <w:highlight w:val="none"/>
                <w:u w:val="none" w:color="auto"/>
                <w:lang w:val="en-US" w:eastAsia="zh-CN"/>
                <w14:textFill>
                  <w14:solidFill>
                    <w14:schemeClr w14:val="tx1"/>
                  </w14:solidFill>
                </w14:textFill>
              </w:rPr>
              <w:t>污水</w:t>
            </w:r>
            <w:r>
              <w:rPr>
                <w:rFonts w:hint="eastAsia"/>
                <w:color w:val="000000" w:themeColor="text1"/>
                <w:kern w:val="0"/>
                <w:sz w:val="24"/>
                <w:szCs w:val="20"/>
                <w:highlight w:val="none"/>
                <w:u w:val="none" w:color="auto"/>
                <w14:textFill>
                  <w14:solidFill>
                    <w14:schemeClr w14:val="tx1"/>
                  </w14:solidFill>
                </w14:textFill>
              </w:rPr>
              <w:t>。</w:t>
            </w:r>
          </w:p>
          <w:p w14:paraId="03702230">
            <w:pPr>
              <w:pStyle w:val="40"/>
              <w:bidi w:val="0"/>
              <w:rPr>
                <w:rFonts w:hint="default"/>
                <w:b w:val="0"/>
                <w:bCs w:val="0"/>
                <w:u w:val="none" w:color="auto"/>
                <w:lang w:val="en-US" w:eastAsia="zh-CN"/>
              </w:rPr>
            </w:pPr>
            <w:r>
              <w:rPr>
                <w:rFonts w:hint="eastAsia"/>
                <w:b w:val="0"/>
                <w:bCs w:val="0"/>
                <w:u w:val="none" w:color="auto"/>
                <w:lang w:val="en-US" w:eastAsia="zh-CN"/>
              </w:rPr>
              <w:t>（1）生活污水</w:t>
            </w:r>
          </w:p>
          <w:p w14:paraId="43568842">
            <w:pPr>
              <w:numPr>
                <w:ilvl w:val="0"/>
                <w:numId w:val="0"/>
              </w:numPr>
              <w:spacing w:after="0" w:line="360" w:lineRule="auto"/>
              <w:ind w:firstLine="480" w:firstLineChars="200"/>
              <w:jc w:val="both"/>
              <w:rPr>
                <w:color w:val="000000" w:themeColor="text1"/>
                <w:sz w:val="32"/>
                <w:szCs w:val="32"/>
                <w:u w:val="none" w:color="auto"/>
                <w14:textFill>
                  <w14:solidFill>
                    <w14:schemeClr w14:val="tx1"/>
                  </w14:solidFill>
                </w14:textFill>
              </w:rPr>
            </w:pPr>
            <w:r>
              <w:rPr>
                <w:rFonts w:ascii="Times New Roman" w:hAnsi="Times New Roman" w:cs="Times New Roman"/>
                <w:bCs/>
                <w:color w:val="000000" w:themeColor="text1"/>
                <w:kern w:val="2"/>
                <w:sz w:val="24"/>
                <w:u w:val="none" w:color="auto"/>
                <w14:textFill>
                  <w14:solidFill>
                    <w14:schemeClr w14:val="tx1"/>
                  </w14:solidFill>
                </w14:textFill>
              </w:rPr>
              <w:t>本项目员工人数</w:t>
            </w:r>
            <w:r>
              <w:rPr>
                <w:rFonts w:hint="default" w:ascii="Times New Roman" w:hAnsi="Times New Roman" w:cs="Times New Roman"/>
                <w:bCs/>
                <w:color w:val="000000" w:themeColor="text1"/>
                <w:kern w:val="2"/>
                <w:sz w:val="24"/>
                <w:u w:val="none" w:color="auto"/>
                <w:lang w:eastAsia="zh-CN"/>
                <w14:textFill>
                  <w14:solidFill>
                    <w14:schemeClr w14:val="tx1"/>
                  </w14:solidFill>
                </w14:textFill>
              </w:rPr>
              <w:t>为</w:t>
            </w:r>
            <w:r>
              <w:rPr>
                <w:rFonts w:hint="eastAsia" w:cs="Times New Roman"/>
                <w:bCs/>
                <w:color w:val="000000" w:themeColor="text1"/>
                <w:kern w:val="2"/>
                <w:sz w:val="24"/>
                <w:u w:val="none" w:color="auto"/>
                <w:lang w:val="en-US" w:eastAsia="zh-CN"/>
                <w14:textFill>
                  <w14:solidFill>
                    <w14:schemeClr w14:val="tx1"/>
                  </w14:solidFill>
                </w14:textFill>
              </w:rPr>
              <w:t>80</w:t>
            </w:r>
            <w:r>
              <w:rPr>
                <w:rFonts w:hint="default" w:ascii="Times New Roman" w:hAnsi="Times New Roman" w:cs="Times New Roman"/>
                <w:bCs/>
                <w:color w:val="000000" w:themeColor="text1"/>
                <w:kern w:val="2"/>
                <w:sz w:val="24"/>
                <w:u w:val="none" w:color="auto"/>
                <w:lang w:val="en-US" w:eastAsia="zh-CN"/>
                <w14:textFill>
                  <w14:solidFill>
                    <w14:schemeClr w14:val="tx1"/>
                  </w14:solidFill>
                </w14:textFill>
              </w:rPr>
              <w:t>人，</w:t>
            </w:r>
            <w:r>
              <w:rPr>
                <w:rFonts w:hint="eastAsia" w:cs="Times New Roman"/>
                <w:bCs/>
                <w:color w:val="000000" w:themeColor="text1"/>
                <w:kern w:val="2"/>
                <w:sz w:val="24"/>
                <w:u w:val="none" w:color="auto"/>
                <w:lang w:val="en-US" w:eastAsia="zh-CN"/>
                <w14:textFill>
                  <w14:solidFill>
                    <w14:schemeClr w14:val="tx1"/>
                  </w14:solidFill>
                </w14:textFill>
              </w:rPr>
              <w:t>不在厂内食宿，</w:t>
            </w:r>
            <w:r>
              <w:rPr>
                <w:rFonts w:ascii="Times New Roman" w:hAnsi="Times New Roman" w:cs="Times New Roman"/>
                <w:bCs/>
                <w:color w:val="000000" w:themeColor="text1"/>
                <w:kern w:val="2"/>
                <w:sz w:val="24"/>
                <w:u w:val="none" w:color="auto"/>
                <w14:textFill>
                  <w14:solidFill>
                    <w14:schemeClr w14:val="tx1"/>
                  </w14:solidFill>
                </w14:textFill>
              </w:rPr>
              <w:t>用水定额参照湖南省地方标准《用水定额》（DB 43</w:t>
            </w:r>
            <w:r>
              <w:rPr>
                <w:rFonts w:hint="default" w:ascii="Times New Roman" w:hAnsi="Times New Roman" w:cs="Times New Roman"/>
                <w:bCs/>
                <w:color w:val="000000" w:themeColor="text1"/>
                <w:kern w:val="2"/>
                <w:sz w:val="24"/>
                <w:u w:val="none" w:color="auto"/>
                <w:lang w:val="en-US" w:eastAsia="zh-CN"/>
                <w14:textFill>
                  <w14:solidFill>
                    <w14:schemeClr w14:val="tx1"/>
                  </w14:solidFill>
                </w14:textFill>
              </w:rPr>
              <w:t>/</w:t>
            </w:r>
            <w:r>
              <w:rPr>
                <w:rFonts w:ascii="Times New Roman" w:hAnsi="Times New Roman" w:cs="Times New Roman"/>
                <w:bCs/>
                <w:color w:val="000000" w:themeColor="text1"/>
                <w:kern w:val="2"/>
                <w:sz w:val="24"/>
                <w:u w:val="none" w:color="auto"/>
                <w14:textFill>
                  <w14:solidFill>
                    <w14:schemeClr w14:val="tx1"/>
                  </w14:solidFill>
                </w14:textFill>
              </w:rPr>
              <w:t>T388-20</w:t>
            </w:r>
            <w:r>
              <w:rPr>
                <w:rFonts w:hint="default" w:ascii="Times New Roman" w:hAnsi="Times New Roman" w:cs="Times New Roman"/>
                <w:bCs/>
                <w:color w:val="000000" w:themeColor="text1"/>
                <w:kern w:val="2"/>
                <w:sz w:val="24"/>
                <w:u w:val="none" w:color="auto"/>
                <w:lang w:val="en-US" w:eastAsia="zh-CN"/>
                <w14:textFill>
                  <w14:solidFill>
                    <w14:schemeClr w14:val="tx1"/>
                  </w14:solidFill>
                </w14:textFill>
              </w:rPr>
              <w:t>2</w:t>
            </w:r>
            <w:r>
              <w:rPr>
                <w:rFonts w:hint="eastAsia" w:cs="Times New Roman"/>
                <w:bCs/>
                <w:color w:val="000000" w:themeColor="text1"/>
                <w:kern w:val="2"/>
                <w:sz w:val="24"/>
                <w:u w:val="none" w:color="auto"/>
                <w:lang w:val="en-US" w:eastAsia="zh-CN"/>
                <w14:textFill>
                  <w14:solidFill>
                    <w14:schemeClr w14:val="tx1"/>
                  </w14:solidFill>
                </w14:textFill>
              </w:rPr>
              <w:t>5</w:t>
            </w:r>
            <w:r>
              <w:rPr>
                <w:rFonts w:ascii="Times New Roman" w:hAnsi="Times New Roman" w:cs="Times New Roman"/>
                <w:bCs/>
                <w:color w:val="000000" w:themeColor="text1"/>
                <w:kern w:val="2"/>
                <w:sz w:val="24"/>
                <w:u w:val="none" w:color="auto"/>
                <w14:textFill>
                  <w14:solidFill>
                    <w14:schemeClr w14:val="tx1"/>
                  </w14:solidFill>
                </w14:textFill>
              </w:rPr>
              <w:t>），平均用水量按</w:t>
            </w:r>
            <w:r>
              <w:rPr>
                <w:rFonts w:hint="eastAsia" w:cs="Times New Roman"/>
                <w:bCs/>
                <w:color w:val="000000" w:themeColor="text1"/>
                <w:kern w:val="2"/>
                <w:sz w:val="24"/>
                <w:u w:val="none" w:color="auto"/>
                <w:lang w:val="en-US" w:eastAsia="zh-CN"/>
                <w14:textFill>
                  <w14:solidFill>
                    <w14:schemeClr w14:val="tx1"/>
                  </w14:solidFill>
                </w14:textFill>
              </w:rPr>
              <w:t>50</w:t>
            </w:r>
            <w:r>
              <w:rPr>
                <w:rFonts w:ascii="Times New Roman" w:hAnsi="Times New Roman" w:cs="Times New Roman"/>
                <w:bCs/>
                <w:color w:val="000000" w:themeColor="text1"/>
                <w:kern w:val="2"/>
                <w:sz w:val="24"/>
                <w:u w:val="none" w:color="auto"/>
                <w14:textFill>
                  <w14:solidFill>
                    <w14:schemeClr w14:val="tx1"/>
                  </w14:solidFill>
                </w14:textFill>
              </w:rPr>
              <w:t>L/人·d计算，总用水量为</w:t>
            </w:r>
            <w:r>
              <w:rPr>
                <w:rFonts w:hint="eastAsia" w:cs="Times New Roman"/>
                <w:bCs/>
                <w:color w:val="000000" w:themeColor="text1"/>
                <w:kern w:val="2"/>
                <w:sz w:val="24"/>
                <w:u w:val="none" w:color="auto"/>
                <w:lang w:val="en-US" w:eastAsia="zh-CN"/>
                <w14:textFill>
                  <w14:solidFill>
                    <w14:schemeClr w14:val="tx1"/>
                  </w14:solidFill>
                </w14:textFill>
              </w:rPr>
              <w:t>4m</w:t>
            </w:r>
            <w:r>
              <w:rPr>
                <w:rFonts w:hint="eastAsia" w:cs="Times New Roman"/>
                <w:bCs/>
                <w:color w:val="000000" w:themeColor="text1"/>
                <w:kern w:val="2"/>
                <w:sz w:val="24"/>
                <w:u w:val="none" w:color="auto"/>
                <w:vertAlign w:val="superscript"/>
                <w:lang w:val="en-US" w:eastAsia="zh-CN"/>
                <w14:textFill>
                  <w14:solidFill>
                    <w14:schemeClr w14:val="tx1"/>
                  </w14:solidFill>
                </w14:textFill>
              </w:rPr>
              <w:t>3</w:t>
            </w:r>
            <w:r>
              <w:rPr>
                <w:rFonts w:hint="eastAsia" w:cs="Times New Roman"/>
                <w:bCs/>
                <w:color w:val="000000" w:themeColor="text1"/>
                <w:kern w:val="2"/>
                <w:sz w:val="24"/>
                <w:u w:val="none" w:color="auto"/>
                <w:lang w:val="en-US" w:eastAsia="zh-CN"/>
                <w14:textFill>
                  <w14:solidFill>
                    <w14:schemeClr w14:val="tx1"/>
                  </w14:solidFill>
                </w14:textFill>
              </w:rPr>
              <w:t>/d、1200m</w:t>
            </w:r>
            <w:r>
              <w:rPr>
                <w:rFonts w:hint="eastAsia" w:cs="Times New Roman"/>
                <w:bCs/>
                <w:color w:val="000000" w:themeColor="text1"/>
                <w:kern w:val="2"/>
                <w:sz w:val="24"/>
                <w:u w:val="none" w:color="auto"/>
                <w:vertAlign w:val="superscript"/>
                <w:lang w:val="en-US" w:eastAsia="zh-CN"/>
                <w14:textFill>
                  <w14:solidFill>
                    <w14:schemeClr w14:val="tx1"/>
                  </w14:solidFill>
                </w14:textFill>
              </w:rPr>
              <w:t>3</w:t>
            </w:r>
            <w:r>
              <w:rPr>
                <w:rFonts w:ascii="Times New Roman" w:hAnsi="Times New Roman" w:cs="Times New Roman"/>
                <w:bCs/>
                <w:color w:val="000000" w:themeColor="text1"/>
                <w:kern w:val="2"/>
                <w:sz w:val="24"/>
                <w:u w:val="none" w:color="auto"/>
                <w14:textFill>
                  <w14:solidFill>
                    <w14:schemeClr w14:val="tx1"/>
                  </w14:solidFill>
                </w14:textFill>
              </w:rPr>
              <w:t>/a</w:t>
            </w:r>
            <w:r>
              <w:rPr>
                <w:rFonts w:hint="default" w:ascii="Times New Roman" w:hAnsi="Times New Roman" w:cs="Times New Roman"/>
                <w:bCs/>
                <w:color w:val="000000" w:themeColor="text1"/>
                <w:kern w:val="2"/>
                <w:sz w:val="24"/>
                <w:u w:val="none" w:color="auto"/>
                <w14:textFill>
                  <w14:solidFill>
                    <w14:schemeClr w14:val="tx1"/>
                  </w14:solidFill>
                </w14:textFill>
              </w:rPr>
              <w:t>，</w:t>
            </w:r>
            <w:r>
              <w:rPr>
                <w:rFonts w:ascii="Times New Roman" w:hAnsi="Times New Roman" w:cs="Times New Roman"/>
                <w:bCs/>
                <w:color w:val="000000" w:themeColor="text1"/>
                <w:kern w:val="2"/>
                <w:sz w:val="24"/>
                <w:u w:val="none" w:color="auto"/>
                <w14:textFill>
                  <w14:solidFill>
                    <w14:schemeClr w14:val="tx1"/>
                  </w14:solidFill>
                </w14:textFill>
              </w:rPr>
              <w:t>废水产生按其使用量80%计算，生活</w:t>
            </w:r>
            <w:r>
              <w:rPr>
                <w:rFonts w:hint="eastAsia" w:cs="Times New Roman"/>
                <w:bCs/>
                <w:color w:val="000000" w:themeColor="text1"/>
                <w:kern w:val="2"/>
                <w:sz w:val="24"/>
                <w:u w:val="none" w:color="auto"/>
                <w:lang w:val="en-US" w:eastAsia="zh-CN"/>
                <w14:textFill>
                  <w14:solidFill>
                    <w14:schemeClr w14:val="tx1"/>
                  </w14:solidFill>
                </w14:textFill>
              </w:rPr>
              <w:t>污</w:t>
            </w:r>
            <w:r>
              <w:rPr>
                <w:rFonts w:ascii="Times New Roman" w:hAnsi="Times New Roman" w:cs="Times New Roman"/>
                <w:bCs/>
                <w:color w:val="000000" w:themeColor="text1"/>
                <w:kern w:val="2"/>
                <w:sz w:val="24"/>
                <w:u w:val="none" w:color="auto"/>
                <w14:textFill>
                  <w14:solidFill>
                    <w14:schemeClr w14:val="tx1"/>
                  </w14:solidFill>
                </w14:textFill>
              </w:rPr>
              <w:t>水的排放量约为</w:t>
            </w:r>
            <w:r>
              <w:rPr>
                <w:rFonts w:hint="eastAsia" w:cs="Times New Roman"/>
                <w:bCs/>
                <w:color w:val="000000" w:themeColor="text1"/>
                <w:kern w:val="2"/>
                <w:sz w:val="24"/>
                <w:u w:val="none" w:color="auto"/>
                <w:lang w:val="en-US" w:eastAsia="zh-CN"/>
                <w14:textFill>
                  <w14:solidFill>
                    <w14:schemeClr w14:val="tx1"/>
                  </w14:solidFill>
                </w14:textFill>
              </w:rPr>
              <w:t>3.2m</w:t>
            </w:r>
            <w:r>
              <w:rPr>
                <w:rFonts w:hint="eastAsia" w:cs="Times New Roman"/>
                <w:bCs/>
                <w:color w:val="000000" w:themeColor="text1"/>
                <w:kern w:val="2"/>
                <w:sz w:val="24"/>
                <w:u w:val="none" w:color="auto"/>
                <w:vertAlign w:val="superscript"/>
                <w:lang w:val="en-US" w:eastAsia="zh-CN"/>
                <w14:textFill>
                  <w14:solidFill>
                    <w14:schemeClr w14:val="tx1"/>
                  </w14:solidFill>
                </w14:textFill>
              </w:rPr>
              <w:t>3</w:t>
            </w:r>
            <w:r>
              <w:rPr>
                <w:rFonts w:hint="eastAsia" w:cs="Times New Roman"/>
                <w:bCs/>
                <w:color w:val="000000" w:themeColor="text1"/>
                <w:kern w:val="2"/>
                <w:sz w:val="24"/>
                <w:u w:val="none" w:color="auto"/>
                <w:lang w:val="en-US" w:eastAsia="zh-CN"/>
                <w14:textFill>
                  <w14:solidFill>
                    <w14:schemeClr w14:val="tx1"/>
                  </w14:solidFill>
                </w14:textFill>
              </w:rPr>
              <w:t>/d、960m</w:t>
            </w:r>
            <w:r>
              <w:rPr>
                <w:rFonts w:hint="eastAsia" w:cs="Times New Roman"/>
                <w:bCs/>
                <w:color w:val="000000" w:themeColor="text1"/>
                <w:kern w:val="2"/>
                <w:sz w:val="24"/>
                <w:u w:val="none" w:color="auto"/>
                <w:vertAlign w:val="superscript"/>
                <w:lang w:val="en-US" w:eastAsia="zh-CN"/>
                <w14:textFill>
                  <w14:solidFill>
                    <w14:schemeClr w14:val="tx1"/>
                  </w14:solidFill>
                </w14:textFill>
              </w:rPr>
              <w:t>3</w:t>
            </w:r>
            <w:r>
              <w:rPr>
                <w:rFonts w:ascii="Times New Roman" w:hAnsi="Times New Roman" w:cs="Times New Roman"/>
                <w:bCs/>
                <w:color w:val="000000" w:themeColor="text1"/>
                <w:kern w:val="2"/>
                <w:sz w:val="24"/>
                <w:u w:val="none" w:color="auto"/>
                <w14:textFill>
                  <w14:solidFill>
                    <w14:schemeClr w14:val="tx1"/>
                  </w14:solidFill>
                </w14:textFill>
              </w:rPr>
              <w:t>/a</w:t>
            </w:r>
            <w:r>
              <w:rPr>
                <w:rFonts w:hint="default" w:ascii="Times New Roman" w:hAnsi="Times New Roman" w:cs="Times New Roman"/>
                <w:bCs/>
                <w:color w:val="000000" w:themeColor="text1"/>
                <w:kern w:val="2"/>
                <w:sz w:val="24"/>
                <w:u w:val="none" w:color="auto"/>
                <w:lang w:eastAsia="zh-CN"/>
                <w14:textFill>
                  <w14:solidFill>
                    <w14:schemeClr w14:val="tx1"/>
                  </w14:solidFill>
                </w14:textFill>
              </w:rPr>
              <w:t>。</w:t>
            </w:r>
            <w:r>
              <w:rPr>
                <w:rFonts w:hint="eastAsia" w:ascii="Times New Roman" w:hAnsi="Times New Roman" w:cs="Times New Roman"/>
                <w:bCs/>
                <w:color w:val="000000" w:themeColor="text1"/>
                <w:kern w:val="2"/>
                <w:sz w:val="24"/>
                <w:u w:val="none" w:color="auto"/>
                <w:lang w:val="en-US" w:eastAsia="zh-CN"/>
                <w14:textFill>
                  <w14:solidFill>
                    <w14:schemeClr w14:val="tx1"/>
                  </w14:solidFill>
                </w14:textFill>
              </w:rPr>
              <w:t>经</w:t>
            </w:r>
            <w:r>
              <w:rPr>
                <w:rFonts w:hint="eastAsia" w:cs="Times New Roman"/>
                <w:bCs/>
                <w:color w:val="000000" w:themeColor="text1"/>
                <w:kern w:val="2"/>
                <w:sz w:val="24"/>
                <w:u w:val="none" w:color="auto"/>
                <w:lang w:val="en-US" w:eastAsia="zh-CN"/>
                <w14:textFill>
                  <w14:solidFill>
                    <w14:schemeClr w14:val="tx1"/>
                  </w14:solidFill>
                </w14:textFill>
              </w:rPr>
              <w:t>化粪池</w:t>
            </w:r>
            <w:r>
              <w:rPr>
                <w:rFonts w:hint="eastAsia" w:ascii="Times New Roman" w:hAnsi="Times New Roman" w:cs="Times New Roman"/>
                <w:bCs/>
                <w:color w:val="000000" w:themeColor="text1"/>
                <w:kern w:val="2"/>
                <w:sz w:val="24"/>
                <w:u w:val="none" w:color="auto"/>
                <w:lang w:val="en-US" w:eastAsia="zh-CN"/>
                <w14:textFill>
                  <w14:solidFill>
                    <w14:schemeClr w14:val="tx1"/>
                  </w14:solidFill>
                </w14:textFill>
              </w:rPr>
              <w:t>处理</w:t>
            </w:r>
            <w:r>
              <w:rPr>
                <w:color w:val="000000" w:themeColor="text1"/>
                <w:sz w:val="24"/>
                <w:szCs w:val="32"/>
                <w:u w:val="none" w:color="auto"/>
                <w14:textFill>
                  <w14:solidFill>
                    <w14:schemeClr w14:val="tx1"/>
                  </w14:solidFill>
                </w14:textFill>
              </w:rPr>
              <w:t>后经</w:t>
            </w:r>
            <w:r>
              <w:rPr>
                <w:rFonts w:hint="eastAsia"/>
                <w:color w:val="000000" w:themeColor="text1"/>
                <w:sz w:val="24"/>
                <w:szCs w:val="32"/>
                <w:u w:val="none" w:color="auto"/>
                <w:lang w:val="en-US" w:eastAsia="zh-CN"/>
                <w14:textFill>
                  <w14:solidFill>
                    <w14:schemeClr w14:val="tx1"/>
                  </w14:solidFill>
                </w14:textFill>
              </w:rPr>
              <w:t>市政</w:t>
            </w:r>
            <w:r>
              <w:rPr>
                <w:color w:val="000000" w:themeColor="text1"/>
                <w:sz w:val="24"/>
                <w:szCs w:val="32"/>
                <w:u w:val="none" w:color="auto"/>
                <w14:textFill>
                  <w14:solidFill>
                    <w14:schemeClr w14:val="tx1"/>
                  </w14:solidFill>
                </w14:textFill>
              </w:rPr>
              <w:t>污水管网</w:t>
            </w:r>
            <w:r>
              <w:rPr>
                <w:rFonts w:hint="eastAsia"/>
                <w:color w:val="000000" w:themeColor="text1"/>
                <w:sz w:val="24"/>
                <w:szCs w:val="32"/>
                <w:u w:val="none" w:color="auto"/>
                <w:lang w:val="en-US" w:eastAsia="zh-CN"/>
                <w14:textFill>
                  <w14:solidFill>
                    <w14:schemeClr w14:val="tx1"/>
                  </w14:solidFill>
                </w14:textFill>
              </w:rPr>
              <w:t>排</w:t>
            </w:r>
            <w:r>
              <w:rPr>
                <w:color w:val="000000" w:themeColor="text1"/>
                <w:sz w:val="24"/>
                <w:szCs w:val="32"/>
                <w:u w:val="none" w:color="auto"/>
                <w14:textFill>
                  <w14:solidFill>
                    <w14:schemeClr w14:val="tx1"/>
                  </w14:solidFill>
                </w14:textFill>
              </w:rPr>
              <w:t>入</w:t>
            </w:r>
            <w:r>
              <w:rPr>
                <w:rFonts w:hint="eastAsia"/>
                <w:color w:val="000000" w:themeColor="text1"/>
                <w:sz w:val="24"/>
                <w:szCs w:val="32"/>
                <w:u w:val="none" w:color="auto"/>
                <w:lang w:val="en-US" w:eastAsia="zh-CN"/>
                <w14:textFill>
                  <w14:solidFill>
                    <w14:schemeClr w14:val="tx1"/>
                  </w14:solidFill>
                </w14:textFill>
              </w:rPr>
              <w:t>中方产业开发区（泸阳镇）污水处理厂深度处理。</w:t>
            </w:r>
          </w:p>
          <w:p w14:paraId="37338D35">
            <w:pPr>
              <w:spacing w:line="360" w:lineRule="auto"/>
              <w:ind w:firstLine="480" w:firstLineChars="200"/>
              <w:rPr>
                <w:rFonts w:hint="default" w:cs="Times New Roman"/>
                <w:color w:val="000000" w:themeColor="text1"/>
                <w:sz w:val="24"/>
                <w:u w:val="none" w:color="auto"/>
                <w:lang w:val="en-US" w:eastAsia="zh-CN"/>
                <w14:textFill>
                  <w14:solidFill>
                    <w14:schemeClr w14:val="tx1"/>
                  </w14:solidFill>
                </w14:textFill>
              </w:rPr>
            </w:pPr>
            <w:r>
              <w:rPr>
                <w:rFonts w:hint="eastAsia" w:cs="Times New Roman"/>
                <w:color w:val="000000" w:themeColor="text1"/>
                <w:sz w:val="24"/>
                <w:u w:val="none" w:color="auto"/>
                <w:lang w:val="en-US" w:eastAsia="zh-CN"/>
                <w14:textFill>
                  <w14:solidFill>
                    <w14:schemeClr w14:val="tx1"/>
                  </w14:solidFill>
                </w14:textFill>
              </w:rPr>
              <w:t>根据《生活污染源产排污系数手册》中城镇生活源水污染物产生系数表1-1和经验数据，本项目生活污水产生浓度详见表4-11。</w:t>
            </w:r>
          </w:p>
          <w:p w14:paraId="1D387CC6">
            <w:pPr>
              <w:pStyle w:val="42"/>
              <w:bidi w:val="0"/>
              <w:rPr>
                <w:rFonts w:hint="default" w:ascii="Times New Roman" w:hAnsi="Times New Roman" w:cs="Times New Roman"/>
              </w:rPr>
            </w:pPr>
            <w:r>
              <w:rPr>
                <w:rFonts w:hint="eastAsia" w:eastAsia="宋体" w:cs="Times New Roman"/>
                <w:spacing w:val="-2"/>
                <w:lang w:val="en-US" w:eastAsia="zh-CN"/>
              </w:rPr>
              <w:t>表4-</w:t>
            </w:r>
            <w:r>
              <w:rPr>
                <w:rFonts w:hint="eastAsia" w:cs="Times New Roman"/>
                <w:spacing w:val="-2"/>
                <w:lang w:val="en-US" w:eastAsia="zh-CN"/>
              </w:rPr>
              <w:t>11</w:t>
            </w:r>
            <w:r>
              <w:rPr>
                <w:rFonts w:hint="default" w:ascii="Times New Roman" w:hAnsi="Times New Roman" w:eastAsia="宋体" w:cs="Times New Roman"/>
                <w:spacing w:val="-10"/>
                <w:lang w:val="en-US" w:eastAsia="zh-CN"/>
              </w:rPr>
              <w:t xml:space="preserve">  </w:t>
            </w:r>
            <w:r>
              <w:rPr>
                <w:rFonts w:hint="default" w:ascii="Times New Roman" w:hAnsi="Times New Roman" w:cs="Times New Roman"/>
              </w:rPr>
              <w:t>项目</w:t>
            </w:r>
            <w:r>
              <w:rPr>
                <w:rFonts w:hint="eastAsia" w:cs="Times New Roman"/>
                <w:lang w:val="en-US" w:eastAsia="zh-CN"/>
              </w:rPr>
              <w:t>生活污水浓度</w:t>
            </w:r>
            <w:r>
              <w:rPr>
                <w:rFonts w:hint="default" w:ascii="Times New Roman" w:hAnsi="Times New Roman" w:cs="Times New Roman"/>
              </w:rPr>
              <w:t>一览</w:t>
            </w:r>
            <w:r>
              <w:rPr>
                <w:rFonts w:hint="default" w:ascii="Times New Roman" w:hAnsi="Times New Roman" w:cs="Times New Roman"/>
                <w:spacing w:val="-10"/>
              </w:rPr>
              <w:t>表</w:t>
            </w:r>
          </w:p>
          <w:tbl>
            <w:tblPr>
              <w:tblStyle w:val="33"/>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811"/>
              <w:gridCol w:w="3518"/>
              <w:gridCol w:w="3241"/>
            </w:tblGrid>
            <w:tr w14:paraId="6A33BC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56" w:type="pct"/>
                  <w:tcBorders>
                    <w:tl2br w:val="nil"/>
                    <w:tr2bl w:val="nil"/>
                  </w:tcBorders>
                  <w:vAlign w:val="center"/>
                </w:tcPr>
                <w:p w14:paraId="6CF78CC0">
                  <w:pPr>
                    <w:pStyle w:val="41"/>
                    <w:bidi w:val="0"/>
                    <w:rPr>
                      <w:rFonts w:hint="default"/>
                    </w:rPr>
                  </w:pPr>
                  <w:r>
                    <w:rPr>
                      <w:rFonts w:hint="default"/>
                    </w:rPr>
                    <w:t>序号</w:t>
                  </w:r>
                </w:p>
              </w:tc>
              <w:tc>
                <w:tcPr>
                  <w:tcW w:w="2052" w:type="pct"/>
                  <w:tcBorders>
                    <w:tl2br w:val="nil"/>
                    <w:tr2bl w:val="nil"/>
                  </w:tcBorders>
                  <w:vAlign w:val="center"/>
                </w:tcPr>
                <w:p w14:paraId="2870AB5A">
                  <w:pPr>
                    <w:pStyle w:val="41"/>
                    <w:bidi w:val="0"/>
                    <w:rPr>
                      <w:rFonts w:hint="default"/>
                    </w:rPr>
                  </w:pPr>
                  <w:r>
                    <w:rPr>
                      <w:rFonts w:hint="default"/>
                    </w:rPr>
                    <w:t>污染物</w:t>
                  </w:r>
                </w:p>
              </w:tc>
              <w:tc>
                <w:tcPr>
                  <w:tcW w:w="1890" w:type="pct"/>
                  <w:tcBorders>
                    <w:tl2br w:val="nil"/>
                    <w:tr2bl w:val="nil"/>
                  </w:tcBorders>
                  <w:vAlign w:val="center"/>
                </w:tcPr>
                <w:p w14:paraId="6C1E5C41">
                  <w:pPr>
                    <w:pStyle w:val="41"/>
                    <w:bidi w:val="0"/>
                    <w:rPr>
                      <w:rFonts w:hint="default"/>
                    </w:rPr>
                  </w:pPr>
                  <w:r>
                    <w:rPr>
                      <w:rFonts w:hint="default"/>
                    </w:rPr>
                    <w:t>浓度（mg/L）</w:t>
                  </w:r>
                </w:p>
              </w:tc>
            </w:tr>
            <w:tr w14:paraId="3B6C0F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56" w:type="pct"/>
                  <w:tcBorders>
                    <w:tl2br w:val="nil"/>
                    <w:tr2bl w:val="nil"/>
                  </w:tcBorders>
                  <w:vAlign w:val="center"/>
                </w:tcPr>
                <w:p w14:paraId="149F5715">
                  <w:pPr>
                    <w:pStyle w:val="41"/>
                    <w:bidi w:val="0"/>
                    <w:rPr>
                      <w:rFonts w:hint="default"/>
                      <w:lang w:val="en-US" w:eastAsia="zh-CN"/>
                    </w:rPr>
                  </w:pPr>
                  <w:r>
                    <w:rPr>
                      <w:rFonts w:hint="eastAsia"/>
                      <w:lang w:val="en-US" w:eastAsia="zh-CN"/>
                    </w:rPr>
                    <w:t>1</w:t>
                  </w:r>
                </w:p>
              </w:tc>
              <w:tc>
                <w:tcPr>
                  <w:tcW w:w="2052" w:type="pct"/>
                  <w:tcBorders>
                    <w:tl2br w:val="nil"/>
                    <w:tr2bl w:val="nil"/>
                  </w:tcBorders>
                  <w:vAlign w:val="center"/>
                </w:tcPr>
                <w:p w14:paraId="2A032F0D">
                  <w:pPr>
                    <w:pStyle w:val="41"/>
                    <w:bidi w:val="0"/>
                    <w:rPr>
                      <w:rFonts w:hint="default"/>
                    </w:rPr>
                  </w:pPr>
                  <w:r>
                    <w:rPr>
                      <w:rFonts w:hint="default"/>
                    </w:rPr>
                    <w:t>COD</w:t>
                  </w:r>
                </w:p>
              </w:tc>
              <w:tc>
                <w:tcPr>
                  <w:tcW w:w="1890" w:type="pct"/>
                  <w:tcBorders>
                    <w:tl2br w:val="nil"/>
                    <w:tr2bl w:val="nil"/>
                  </w:tcBorders>
                  <w:vAlign w:val="center"/>
                </w:tcPr>
                <w:p w14:paraId="0E92A98B">
                  <w:pPr>
                    <w:pStyle w:val="41"/>
                    <w:bidi w:val="0"/>
                    <w:rPr>
                      <w:rFonts w:hint="default"/>
                      <w:lang w:val="en-US" w:eastAsia="zh-CN"/>
                    </w:rPr>
                  </w:pPr>
                  <w:r>
                    <w:rPr>
                      <w:rFonts w:hint="eastAsia"/>
                      <w:lang w:val="en-US" w:eastAsia="zh-CN"/>
                    </w:rPr>
                    <w:t>285</w:t>
                  </w:r>
                </w:p>
              </w:tc>
            </w:tr>
            <w:tr w14:paraId="633B55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811" w:type="dxa"/>
                  <w:tcBorders>
                    <w:tl2br w:val="nil"/>
                    <w:tr2bl w:val="nil"/>
                  </w:tcBorders>
                  <w:vAlign w:val="center"/>
                </w:tcPr>
                <w:p w14:paraId="498B1687">
                  <w:pPr>
                    <w:pStyle w:val="41"/>
                    <w:bidi w:val="0"/>
                    <w:rPr>
                      <w:rFonts w:hint="default"/>
                    </w:rPr>
                  </w:pPr>
                  <w:r>
                    <w:rPr>
                      <w:rFonts w:hint="default"/>
                      <w:lang w:val="en-US" w:eastAsia="zh-CN"/>
                    </w:rPr>
                    <w:t>2</w:t>
                  </w:r>
                </w:p>
              </w:tc>
              <w:tc>
                <w:tcPr>
                  <w:tcW w:w="2052" w:type="pct"/>
                  <w:tcBorders>
                    <w:tl2br w:val="nil"/>
                    <w:tr2bl w:val="nil"/>
                  </w:tcBorders>
                  <w:vAlign w:val="center"/>
                </w:tcPr>
                <w:p w14:paraId="08A6ED34">
                  <w:pPr>
                    <w:pStyle w:val="41"/>
                    <w:bidi w:val="0"/>
                    <w:rPr>
                      <w:rFonts w:hint="default"/>
                    </w:rPr>
                  </w:pPr>
                  <w:r>
                    <w:rPr>
                      <w:rFonts w:hint="default"/>
                    </w:rPr>
                    <w:t>BOD</w:t>
                  </w:r>
                  <w:r>
                    <w:rPr>
                      <w:rFonts w:hint="default"/>
                      <w:vertAlign w:val="subscript"/>
                    </w:rPr>
                    <w:t>5</w:t>
                  </w:r>
                </w:p>
              </w:tc>
              <w:tc>
                <w:tcPr>
                  <w:tcW w:w="1890" w:type="pct"/>
                  <w:tcBorders>
                    <w:tl2br w:val="nil"/>
                    <w:tr2bl w:val="nil"/>
                  </w:tcBorders>
                  <w:vAlign w:val="center"/>
                </w:tcPr>
                <w:p w14:paraId="1B4306BD">
                  <w:pPr>
                    <w:pStyle w:val="41"/>
                    <w:bidi w:val="0"/>
                    <w:rPr>
                      <w:rFonts w:hint="default" w:eastAsia="宋体"/>
                      <w:lang w:val="en-US" w:eastAsia="zh-CN"/>
                    </w:rPr>
                  </w:pPr>
                  <w:r>
                    <w:rPr>
                      <w:rFonts w:hint="eastAsia"/>
                      <w:lang w:val="en-US" w:eastAsia="zh-CN"/>
                    </w:rPr>
                    <w:t>150</w:t>
                  </w:r>
                </w:p>
              </w:tc>
            </w:tr>
            <w:tr w14:paraId="03E262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811" w:type="dxa"/>
                  <w:tcBorders>
                    <w:tl2br w:val="nil"/>
                    <w:tr2bl w:val="nil"/>
                  </w:tcBorders>
                  <w:vAlign w:val="center"/>
                </w:tcPr>
                <w:p w14:paraId="7C2F792E">
                  <w:pPr>
                    <w:pStyle w:val="41"/>
                    <w:bidi w:val="0"/>
                    <w:rPr>
                      <w:rFonts w:hint="default"/>
                    </w:rPr>
                  </w:pPr>
                  <w:r>
                    <w:rPr>
                      <w:rFonts w:hint="default"/>
                    </w:rPr>
                    <w:t>3</w:t>
                  </w:r>
                </w:p>
              </w:tc>
              <w:tc>
                <w:tcPr>
                  <w:tcW w:w="2052" w:type="pct"/>
                  <w:tcBorders>
                    <w:tl2br w:val="nil"/>
                    <w:tr2bl w:val="nil"/>
                  </w:tcBorders>
                  <w:vAlign w:val="center"/>
                </w:tcPr>
                <w:p w14:paraId="565E8EBA">
                  <w:pPr>
                    <w:pStyle w:val="41"/>
                    <w:bidi w:val="0"/>
                    <w:rPr>
                      <w:rFonts w:hint="default"/>
                    </w:rPr>
                  </w:pPr>
                  <w:r>
                    <w:rPr>
                      <w:rFonts w:hint="default"/>
                    </w:rPr>
                    <w:t>氨氮</w:t>
                  </w:r>
                </w:p>
              </w:tc>
              <w:tc>
                <w:tcPr>
                  <w:tcW w:w="1890" w:type="pct"/>
                  <w:tcBorders>
                    <w:tl2br w:val="nil"/>
                    <w:tr2bl w:val="nil"/>
                  </w:tcBorders>
                  <w:vAlign w:val="center"/>
                </w:tcPr>
                <w:p w14:paraId="0C5846D0">
                  <w:pPr>
                    <w:pStyle w:val="41"/>
                    <w:bidi w:val="0"/>
                    <w:rPr>
                      <w:rFonts w:hint="default"/>
                      <w:lang w:val="en-US" w:eastAsia="zh-CN"/>
                    </w:rPr>
                  </w:pPr>
                  <w:r>
                    <w:rPr>
                      <w:rFonts w:hint="eastAsia"/>
                      <w:lang w:val="en-US" w:eastAsia="zh-CN"/>
                    </w:rPr>
                    <w:t>28.3</w:t>
                  </w:r>
                </w:p>
              </w:tc>
            </w:tr>
            <w:tr w14:paraId="536CA8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811" w:type="dxa"/>
                  <w:tcBorders>
                    <w:tl2br w:val="nil"/>
                    <w:tr2bl w:val="nil"/>
                  </w:tcBorders>
                  <w:vAlign w:val="center"/>
                </w:tcPr>
                <w:p w14:paraId="70E708C1">
                  <w:pPr>
                    <w:pStyle w:val="41"/>
                    <w:bidi w:val="0"/>
                    <w:rPr>
                      <w:rFonts w:hint="default"/>
                    </w:rPr>
                  </w:pPr>
                  <w:r>
                    <w:rPr>
                      <w:rFonts w:hint="default"/>
                    </w:rPr>
                    <w:t>4</w:t>
                  </w:r>
                </w:p>
              </w:tc>
              <w:tc>
                <w:tcPr>
                  <w:tcW w:w="2052" w:type="pct"/>
                  <w:tcBorders>
                    <w:tl2br w:val="nil"/>
                    <w:tr2bl w:val="nil"/>
                  </w:tcBorders>
                  <w:vAlign w:val="center"/>
                </w:tcPr>
                <w:p w14:paraId="5944FF0F">
                  <w:pPr>
                    <w:pStyle w:val="41"/>
                    <w:bidi w:val="0"/>
                    <w:rPr>
                      <w:rFonts w:hint="default"/>
                    </w:rPr>
                  </w:pPr>
                  <w:r>
                    <w:rPr>
                      <w:rFonts w:hint="default"/>
                    </w:rPr>
                    <w:t>总氮</w:t>
                  </w:r>
                </w:p>
              </w:tc>
              <w:tc>
                <w:tcPr>
                  <w:tcW w:w="1890" w:type="pct"/>
                  <w:tcBorders>
                    <w:tl2br w:val="nil"/>
                    <w:tr2bl w:val="nil"/>
                  </w:tcBorders>
                  <w:vAlign w:val="center"/>
                </w:tcPr>
                <w:p w14:paraId="7877B21C">
                  <w:pPr>
                    <w:pStyle w:val="41"/>
                    <w:bidi w:val="0"/>
                    <w:rPr>
                      <w:rFonts w:hint="default"/>
                      <w:lang w:val="en-US" w:eastAsia="zh-CN"/>
                    </w:rPr>
                  </w:pPr>
                  <w:r>
                    <w:rPr>
                      <w:rFonts w:hint="eastAsia"/>
                      <w:lang w:val="en-US" w:eastAsia="zh-CN"/>
                    </w:rPr>
                    <w:t>39.4</w:t>
                  </w:r>
                </w:p>
              </w:tc>
            </w:tr>
            <w:tr w14:paraId="0AC270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811" w:type="dxa"/>
                  <w:tcBorders>
                    <w:tl2br w:val="nil"/>
                    <w:tr2bl w:val="nil"/>
                  </w:tcBorders>
                  <w:vAlign w:val="center"/>
                </w:tcPr>
                <w:p w14:paraId="6D4101AC">
                  <w:pPr>
                    <w:pStyle w:val="41"/>
                    <w:bidi w:val="0"/>
                    <w:rPr>
                      <w:rFonts w:hint="default"/>
                    </w:rPr>
                  </w:pPr>
                  <w:r>
                    <w:rPr>
                      <w:rFonts w:hint="default"/>
                    </w:rPr>
                    <w:t>5</w:t>
                  </w:r>
                </w:p>
              </w:tc>
              <w:tc>
                <w:tcPr>
                  <w:tcW w:w="2052" w:type="pct"/>
                  <w:tcBorders>
                    <w:tl2br w:val="nil"/>
                    <w:tr2bl w:val="nil"/>
                  </w:tcBorders>
                  <w:vAlign w:val="center"/>
                </w:tcPr>
                <w:p w14:paraId="2F75EB0B">
                  <w:pPr>
                    <w:pStyle w:val="41"/>
                    <w:bidi w:val="0"/>
                    <w:rPr>
                      <w:rFonts w:hint="default"/>
                    </w:rPr>
                  </w:pPr>
                  <w:r>
                    <w:rPr>
                      <w:rFonts w:hint="default"/>
                    </w:rPr>
                    <w:t>总磷</w:t>
                  </w:r>
                </w:p>
              </w:tc>
              <w:tc>
                <w:tcPr>
                  <w:tcW w:w="1890" w:type="pct"/>
                  <w:tcBorders>
                    <w:tl2br w:val="nil"/>
                    <w:tr2bl w:val="nil"/>
                  </w:tcBorders>
                  <w:vAlign w:val="center"/>
                </w:tcPr>
                <w:p w14:paraId="436CC922">
                  <w:pPr>
                    <w:pStyle w:val="41"/>
                    <w:bidi w:val="0"/>
                    <w:rPr>
                      <w:rFonts w:hint="default"/>
                      <w:lang w:val="en-US" w:eastAsia="zh-CN"/>
                    </w:rPr>
                  </w:pPr>
                  <w:r>
                    <w:rPr>
                      <w:rFonts w:hint="eastAsia"/>
                      <w:lang w:val="en-US" w:eastAsia="zh-CN"/>
                    </w:rPr>
                    <w:t>4.10</w:t>
                  </w:r>
                </w:p>
              </w:tc>
            </w:tr>
            <w:tr w14:paraId="4D80AD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811" w:type="dxa"/>
                  <w:tcBorders>
                    <w:tl2br w:val="nil"/>
                    <w:tr2bl w:val="nil"/>
                  </w:tcBorders>
                  <w:vAlign w:val="center"/>
                </w:tcPr>
                <w:p w14:paraId="14C965A6">
                  <w:pPr>
                    <w:pStyle w:val="41"/>
                    <w:bidi w:val="0"/>
                    <w:rPr>
                      <w:rFonts w:hint="default"/>
                      <w:lang w:eastAsia="zh-CN"/>
                    </w:rPr>
                  </w:pPr>
                  <w:r>
                    <w:rPr>
                      <w:rFonts w:hint="default"/>
                    </w:rPr>
                    <w:t>6</w:t>
                  </w:r>
                </w:p>
              </w:tc>
              <w:tc>
                <w:tcPr>
                  <w:tcW w:w="2052" w:type="pct"/>
                  <w:tcBorders>
                    <w:tl2br w:val="nil"/>
                    <w:tr2bl w:val="nil"/>
                  </w:tcBorders>
                  <w:vAlign w:val="center"/>
                </w:tcPr>
                <w:p w14:paraId="512B4540">
                  <w:pPr>
                    <w:pStyle w:val="41"/>
                    <w:bidi w:val="0"/>
                    <w:rPr>
                      <w:rFonts w:hint="default"/>
                    </w:rPr>
                  </w:pPr>
                  <w:r>
                    <w:rPr>
                      <w:rFonts w:hint="default"/>
                    </w:rPr>
                    <w:t>SS</w:t>
                  </w:r>
                </w:p>
              </w:tc>
              <w:tc>
                <w:tcPr>
                  <w:tcW w:w="1890" w:type="pct"/>
                  <w:tcBorders>
                    <w:tl2br w:val="nil"/>
                    <w:tr2bl w:val="nil"/>
                  </w:tcBorders>
                  <w:vAlign w:val="center"/>
                </w:tcPr>
                <w:p w14:paraId="50BA2133">
                  <w:pPr>
                    <w:pStyle w:val="41"/>
                    <w:bidi w:val="0"/>
                    <w:rPr>
                      <w:rFonts w:hint="default"/>
                      <w:lang w:val="en-US" w:eastAsia="zh-CN"/>
                    </w:rPr>
                  </w:pPr>
                  <w:r>
                    <w:rPr>
                      <w:rFonts w:hint="eastAsia"/>
                      <w:lang w:val="en-US" w:eastAsia="zh-CN"/>
                    </w:rPr>
                    <w:t>150</w:t>
                  </w:r>
                </w:p>
              </w:tc>
            </w:tr>
          </w:tbl>
          <w:p w14:paraId="77152BB4">
            <w:pPr>
              <w:spacing w:line="360" w:lineRule="auto"/>
              <w:ind w:firstLine="480" w:firstLineChars="200"/>
              <w:rPr>
                <w:rFonts w:hint="eastAsia" w:cs="Times New Roman"/>
                <w:color w:val="000000" w:themeColor="text1"/>
                <w:sz w:val="24"/>
                <w:u w:val="none" w:color="auto"/>
                <w:lang w:val="en-US" w:eastAsia="zh-CN"/>
                <w14:textFill>
                  <w14:solidFill>
                    <w14:schemeClr w14:val="tx1"/>
                  </w14:solidFill>
                </w14:textFill>
              </w:rPr>
            </w:pPr>
            <w:r>
              <w:rPr>
                <w:rFonts w:hint="eastAsia" w:cs="Times New Roman"/>
                <w:color w:val="000000" w:themeColor="text1"/>
                <w:sz w:val="24"/>
                <w:u w:val="none" w:color="auto"/>
                <w:lang w:val="en-US" w:eastAsia="zh-CN"/>
                <w14:textFill>
                  <w14:solidFill>
                    <w14:schemeClr w14:val="tx1"/>
                  </w14:solidFill>
                </w14:textFill>
              </w:rPr>
              <w:t>生活污水中COD、NH</w:t>
            </w:r>
            <w:r>
              <w:rPr>
                <w:rFonts w:hint="eastAsia" w:cs="Times New Roman"/>
                <w:color w:val="000000" w:themeColor="text1"/>
                <w:sz w:val="24"/>
                <w:u w:val="none" w:color="auto"/>
                <w:vertAlign w:val="subscript"/>
                <w:lang w:val="en-US" w:eastAsia="zh-CN"/>
                <w14:textFill>
                  <w14:solidFill>
                    <w14:schemeClr w14:val="tx1"/>
                  </w14:solidFill>
                </w14:textFill>
              </w:rPr>
              <w:t>3</w:t>
            </w:r>
            <w:r>
              <w:rPr>
                <w:rFonts w:hint="eastAsia" w:cs="Times New Roman"/>
                <w:color w:val="000000" w:themeColor="text1"/>
                <w:sz w:val="24"/>
                <w:u w:val="none" w:color="auto"/>
                <w:lang w:val="en-US" w:eastAsia="zh-CN"/>
                <w14:textFill>
                  <w14:solidFill>
                    <w14:schemeClr w14:val="tx1"/>
                  </w14:solidFill>
                </w14:textFill>
              </w:rPr>
              <w:t>-N、TP、TN处理效率参照《生活污染源产排污系数手册》表2-2中湖南省污染物去除率，BOD</w:t>
            </w:r>
            <w:r>
              <w:rPr>
                <w:rFonts w:hint="eastAsia" w:cs="Times New Roman"/>
                <w:color w:val="000000" w:themeColor="text1"/>
                <w:sz w:val="24"/>
                <w:u w:val="none" w:color="auto"/>
                <w:vertAlign w:val="subscript"/>
                <w:lang w:val="en-US" w:eastAsia="zh-CN"/>
                <w14:textFill>
                  <w14:solidFill>
                    <w14:schemeClr w14:val="tx1"/>
                  </w14:solidFill>
                </w14:textFill>
              </w:rPr>
              <w:t>5</w:t>
            </w:r>
            <w:r>
              <w:rPr>
                <w:rFonts w:hint="eastAsia" w:cs="Times New Roman"/>
                <w:color w:val="000000" w:themeColor="text1"/>
                <w:sz w:val="24"/>
                <w:u w:val="none" w:color="auto"/>
                <w:lang w:val="en-US" w:eastAsia="zh-CN"/>
                <w14:textFill>
                  <w14:solidFill>
                    <w14:schemeClr w14:val="tx1"/>
                  </w14:solidFill>
                </w14:textFill>
              </w:rPr>
              <w:t>处理效率参照《城镇生活源产排污系数手册》（2008年3月），SS处理效率参照《村镇生活污染防治最佳可行技术指南（试行）》。</w:t>
            </w:r>
          </w:p>
          <w:p w14:paraId="1A1A7948">
            <w:pPr>
              <w:spacing w:line="360" w:lineRule="auto"/>
              <w:ind w:firstLine="480" w:firstLineChars="200"/>
              <w:rPr>
                <w:rFonts w:hint="default" w:cs="Times New Roman"/>
                <w:color w:val="000000" w:themeColor="text1"/>
                <w:sz w:val="24"/>
                <w:u w:val="none" w:color="auto"/>
                <w:lang w:val="en-US" w:eastAsia="zh-CN"/>
                <w14:textFill>
                  <w14:solidFill>
                    <w14:schemeClr w14:val="tx1"/>
                  </w14:solidFill>
                </w14:textFill>
              </w:rPr>
            </w:pPr>
            <w:r>
              <w:rPr>
                <w:rFonts w:hint="eastAsia" w:cs="Times New Roman"/>
                <w:color w:val="000000" w:themeColor="text1"/>
                <w:sz w:val="24"/>
                <w:u w:val="none" w:color="auto"/>
                <w:lang w:val="en-US" w:eastAsia="zh-CN"/>
                <w14:textFill>
                  <w14:solidFill>
                    <w14:schemeClr w14:val="tx1"/>
                  </w14:solidFill>
                </w14:textFill>
              </w:rPr>
              <w:t>本项目废水产排信息见下表。</w:t>
            </w:r>
          </w:p>
          <w:p w14:paraId="072770C2">
            <w:pPr>
              <w:pStyle w:val="42"/>
              <w:bidi w:val="0"/>
              <w:rPr>
                <w:rFonts w:hint="default"/>
              </w:rPr>
            </w:pPr>
            <w:r>
              <w:rPr>
                <w:rFonts w:hint="default"/>
              </w:rPr>
              <w:t>表4-</w:t>
            </w:r>
            <w:r>
              <w:rPr>
                <w:rFonts w:hint="eastAsia"/>
                <w:lang w:val="en-US" w:eastAsia="zh-CN"/>
              </w:rPr>
              <w:t>12</w:t>
            </w:r>
            <w:r>
              <w:rPr>
                <w:rFonts w:hint="default"/>
              </w:rPr>
              <w:t xml:space="preserve"> </w:t>
            </w:r>
            <w:r>
              <w:rPr>
                <w:rFonts w:hint="eastAsia"/>
                <w:lang w:val="en-US" w:eastAsia="zh-CN"/>
              </w:rPr>
              <w:t xml:space="preserve"> </w:t>
            </w:r>
            <w:r>
              <w:rPr>
                <w:rFonts w:hint="default"/>
              </w:rPr>
              <w:t>废水产排污信息表</w:t>
            </w:r>
          </w:p>
          <w:tbl>
            <w:tblPr>
              <w:tblStyle w:val="33"/>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288"/>
              <w:gridCol w:w="1560"/>
              <w:gridCol w:w="1334"/>
              <w:gridCol w:w="862"/>
              <w:gridCol w:w="1332"/>
              <w:gridCol w:w="1248"/>
            </w:tblGrid>
            <w:tr w14:paraId="449244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552" w:type="pct"/>
                  <w:vMerge w:val="restart"/>
                  <w:noWrap w:val="0"/>
                  <w:tcMar>
                    <w:left w:w="57" w:type="dxa"/>
                    <w:right w:w="57" w:type="dxa"/>
                  </w:tcMar>
                  <w:vAlign w:val="center"/>
                </w:tcPr>
                <w:p w14:paraId="55485334">
                  <w:pPr>
                    <w:pStyle w:val="41"/>
                    <w:bidi w:val="0"/>
                    <w:rPr>
                      <w:rFonts w:hint="default"/>
                      <w:lang w:val="en-US" w:eastAsia="zh-CN"/>
                    </w:rPr>
                  </w:pPr>
                  <w:r>
                    <w:rPr>
                      <w:rFonts w:hint="default"/>
                      <w:lang w:val="en-US" w:eastAsia="zh-CN"/>
                    </w:rPr>
                    <w:t>污染物</w:t>
                  </w:r>
                </w:p>
                <w:p w14:paraId="05A0375F">
                  <w:pPr>
                    <w:pStyle w:val="41"/>
                    <w:bidi w:val="0"/>
                    <w:rPr>
                      <w:rFonts w:hint="default"/>
                      <w:lang w:val="en-US" w:eastAsia="zh-CN"/>
                    </w:rPr>
                  </w:pPr>
                  <w:r>
                    <w:rPr>
                      <w:rFonts w:hint="default"/>
                      <w:lang w:val="en-US" w:eastAsia="zh-CN"/>
                    </w:rPr>
                    <w:t>种类</w:t>
                  </w:r>
                </w:p>
              </w:tc>
              <w:tc>
                <w:tcPr>
                  <w:tcW w:w="751" w:type="pct"/>
                  <w:vMerge w:val="restart"/>
                  <w:noWrap w:val="0"/>
                  <w:tcMar>
                    <w:left w:w="57" w:type="dxa"/>
                    <w:right w:w="57" w:type="dxa"/>
                  </w:tcMar>
                  <w:vAlign w:val="center"/>
                </w:tcPr>
                <w:p w14:paraId="7AC8A197">
                  <w:pPr>
                    <w:pStyle w:val="41"/>
                    <w:bidi w:val="0"/>
                    <w:rPr>
                      <w:rFonts w:hint="default"/>
                      <w:lang w:val="en-US" w:eastAsia="zh-CN"/>
                    </w:rPr>
                  </w:pPr>
                  <w:r>
                    <w:rPr>
                      <w:rFonts w:hint="default"/>
                      <w:lang w:val="en-US" w:eastAsia="zh-CN"/>
                    </w:rPr>
                    <w:t>废水种类</w:t>
                  </w:r>
                </w:p>
              </w:tc>
              <w:tc>
                <w:tcPr>
                  <w:tcW w:w="1688" w:type="pct"/>
                  <w:gridSpan w:val="2"/>
                  <w:noWrap w:val="0"/>
                  <w:tcMar>
                    <w:left w:w="57" w:type="dxa"/>
                    <w:right w:w="57" w:type="dxa"/>
                  </w:tcMar>
                  <w:vAlign w:val="center"/>
                </w:tcPr>
                <w:p w14:paraId="0563CFB4">
                  <w:pPr>
                    <w:pStyle w:val="41"/>
                    <w:bidi w:val="0"/>
                    <w:rPr>
                      <w:rFonts w:hint="default"/>
                    </w:rPr>
                  </w:pPr>
                  <w:r>
                    <w:rPr>
                      <w:rFonts w:hint="default"/>
                    </w:rPr>
                    <w:t>废水处理前</w:t>
                  </w:r>
                </w:p>
              </w:tc>
              <w:tc>
                <w:tcPr>
                  <w:tcW w:w="503" w:type="pct"/>
                  <w:vMerge w:val="restart"/>
                  <w:noWrap w:val="0"/>
                  <w:tcMar>
                    <w:left w:w="57" w:type="dxa"/>
                    <w:right w:w="57" w:type="dxa"/>
                  </w:tcMar>
                  <w:vAlign w:val="center"/>
                </w:tcPr>
                <w:p w14:paraId="6EC36397">
                  <w:pPr>
                    <w:pStyle w:val="41"/>
                    <w:bidi w:val="0"/>
                    <w:rPr>
                      <w:rFonts w:hint="default" w:eastAsia="宋体"/>
                      <w:lang w:val="en-US" w:eastAsia="zh-CN"/>
                    </w:rPr>
                  </w:pPr>
                  <w:r>
                    <w:rPr>
                      <w:rFonts w:hint="eastAsia"/>
                      <w:lang w:val="en-US" w:eastAsia="zh-CN"/>
                    </w:rPr>
                    <w:t>处理效率%</w:t>
                  </w:r>
                </w:p>
              </w:tc>
              <w:tc>
                <w:tcPr>
                  <w:tcW w:w="1504" w:type="pct"/>
                  <w:gridSpan w:val="2"/>
                  <w:noWrap w:val="0"/>
                  <w:tcMar>
                    <w:left w:w="57" w:type="dxa"/>
                    <w:right w:w="57" w:type="dxa"/>
                  </w:tcMar>
                  <w:vAlign w:val="center"/>
                </w:tcPr>
                <w:p w14:paraId="7E67D421">
                  <w:pPr>
                    <w:pStyle w:val="41"/>
                    <w:bidi w:val="0"/>
                    <w:rPr>
                      <w:rFonts w:hint="eastAsia" w:eastAsia="宋体"/>
                      <w:lang w:val="en-US" w:eastAsia="zh-CN"/>
                    </w:rPr>
                  </w:pPr>
                  <w:r>
                    <w:rPr>
                      <w:rFonts w:hint="default"/>
                    </w:rPr>
                    <w:t>废水处理</w:t>
                  </w:r>
                  <w:r>
                    <w:rPr>
                      <w:rFonts w:hint="eastAsia"/>
                      <w:lang w:val="en-US" w:eastAsia="zh-CN"/>
                    </w:rPr>
                    <w:t>后</w:t>
                  </w:r>
                </w:p>
              </w:tc>
            </w:tr>
            <w:tr w14:paraId="03EAB7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2" w:type="pct"/>
                  <w:vMerge w:val="continue"/>
                  <w:noWrap w:val="0"/>
                  <w:tcMar>
                    <w:left w:w="57" w:type="dxa"/>
                    <w:right w:w="57" w:type="dxa"/>
                  </w:tcMar>
                  <w:vAlign w:val="center"/>
                </w:tcPr>
                <w:p w14:paraId="4460412D">
                  <w:pPr>
                    <w:pStyle w:val="41"/>
                    <w:bidi w:val="0"/>
                    <w:rPr>
                      <w:rFonts w:hint="default"/>
                    </w:rPr>
                  </w:pPr>
                </w:p>
              </w:tc>
              <w:tc>
                <w:tcPr>
                  <w:tcW w:w="751" w:type="pct"/>
                  <w:vMerge w:val="continue"/>
                  <w:noWrap w:val="0"/>
                  <w:tcMar>
                    <w:left w:w="57" w:type="dxa"/>
                    <w:right w:w="57" w:type="dxa"/>
                  </w:tcMar>
                  <w:vAlign w:val="center"/>
                </w:tcPr>
                <w:p w14:paraId="00100A1C">
                  <w:pPr>
                    <w:pStyle w:val="41"/>
                    <w:bidi w:val="0"/>
                    <w:rPr>
                      <w:rFonts w:hint="default"/>
                      <w:lang w:val="en-US" w:eastAsia="zh-CN"/>
                    </w:rPr>
                  </w:pPr>
                </w:p>
              </w:tc>
              <w:tc>
                <w:tcPr>
                  <w:tcW w:w="910" w:type="pct"/>
                  <w:noWrap w:val="0"/>
                  <w:tcMar>
                    <w:left w:w="57" w:type="dxa"/>
                    <w:right w:w="57" w:type="dxa"/>
                  </w:tcMar>
                  <w:vAlign w:val="center"/>
                </w:tcPr>
                <w:p w14:paraId="544077BA">
                  <w:pPr>
                    <w:pStyle w:val="41"/>
                    <w:bidi w:val="0"/>
                    <w:rPr>
                      <w:rFonts w:hint="default"/>
                      <w:lang w:val="en-US" w:eastAsia="zh-CN"/>
                    </w:rPr>
                  </w:pPr>
                  <w:r>
                    <w:rPr>
                      <w:rFonts w:hint="default"/>
                    </w:rPr>
                    <w:t>产生浓度mg/L</w:t>
                  </w:r>
                </w:p>
              </w:tc>
              <w:tc>
                <w:tcPr>
                  <w:tcW w:w="777" w:type="pct"/>
                  <w:noWrap w:val="0"/>
                  <w:tcMar>
                    <w:left w:w="57" w:type="dxa"/>
                    <w:right w:w="57" w:type="dxa"/>
                  </w:tcMar>
                  <w:vAlign w:val="center"/>
                </w:tcPr>
                <w:p w14:paraId="4FA93BE0">
                  <w:pPr>
                    <w:pStyle w:val="41"/>
                    <w:bidi w:val="0"/>
                    <w:rPr>
                      <w:rFonts w:hint="default"/>
                      <w:lang w:val="en-US" w:eastAsia="zh-CN"/>
                    </w:rPr>
                  </w:pPr>
                  <w:r>
                    <w:rPr>
                      <w:rFonts w:hint="default"/>
                    </w:rPr>
                    <w:t>产生量t/a</w:t>
                  </w:r>
                </w:p>
              </w:tc>
              <w:tc>
                <w:tcPr>
                  <w:tcW w:w="503" w:type="pct"/>
                  <w:vMerge w:val="continue"/>
                  <w:noWrap w:val="0"/>
                  <w:tcMar>
                    <w:left w:w="57" w:type="dxa"/>
                    <w:right w:w="57" w:type="dxa"/>
                  </w:tcMar>
                  <w:vAlign w:val="center"/>
                </w:tcPr>
                <w:p w14:paraId="449E312E">
                  <w:pPr>
                    <w:pStyle w:val="41"/>
                    <w:bidi w:val="0"/>
                    <w:rPr>
                      <w:rFonts w:hint="eastAsia"/>
                      <w:lang w:val="en-US" w:eastAsia="zh-CN"/>
                    </w:rPr>
                  </w:pPr>
                </w:p>
              </w:tc>
              <w:tc>
                <w:tcPr>
                  <w:tcW w:w="777" w:type="pct"/>
                  <w:noWrap w:val="0"/>
                  <w:tcMar>
                    <w:left w:w="57" w:type="dxa"/>
                    <w:right w:w="57" w:type="dxa"/>
                  </w:tcMar>
                  <w:vAlign w:val="center"/>
                </w:tcPr>
                <w:p w14:paraId="4FFF3C3D">
                  <w:pPr>
                    <w:pStyle w:val="41"/>
                    <w:bidi w:val="0"/>
                    <w:rPr>
                      <w:rFonts w:hint="default"/>
                    </w:rPr>
                  </w:pPr>
                  <w:r>
                    <w:rPr>
                      <w:rFonts w:hint="eastAsia"/>
                      <w:lang w:val="en-US" w:eastAsia="zh-CN"/>
                    </w:rPr>
                    <w:t>排放</w:t>
                  </w:r>
                  <w:r>
                    <w:rPr>
                      <w:rFonts w:hint="default"/>
                    </w:rPr>
                    <w:t>浓度mg/L</w:t>
                  </w:r>
                </w:p>
              </w:tc>
              <w:tc>
                <w:tcPr>
                  <w:tcW w:w="726" w:type="pct"/>
                  <w:noWrap w:val="0"/>
                  <w:tcMar>
                    <w:left w:w="57" w:type="dxa"/>
                    <w:right w:w="57" w:type="dxa"/>
                  </w:tcMar>
                  <w:vAlign w:val="center"/>
                </w:tcPr>
                <w:p w14:paraId="2E2B9009">
                  <w:pPr>
                    <w:pStyle w:val="41"/>
                    <w:bidi w:val="0"/>
                    <w:rPr>
                      <w:rFonts w:hint="default"/>
                    </w:rPr>
                  </w:pPr>
                  <w:r>
                    <w:rPr>
                      <w:rFonts w:hint="eastAsia"/>
                      <w:lang w:val="en-US" w:eastAsia="zh-CN"/>
                    </w:rPr>
                    <w:t>排放</w:t>
                  </w:r>
                  <w:r>
                    <w:rPr>
                      <w:rFonts w:hint="default"/>
                    </w:rPr>
                    <w:t>量t/a</w:t>
                  </w:r>
                </w:p>
              </w:tc>
            </w:tr>
            <w:tr w14:paraId="71648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552" w:type="pct"/>
                  <w:noWrap w:val="0"/>
                  <w:tcMar>
                    <w:left w:w="57" w:type="dxa"/>
                    <w:right w:w="57" w:type="dxa"/>
                  </w:tcMar>
                  <w:vAlign w:val="center"/>
                </w:tcPr>
                <w:p w14:paraId="61669575">
                  <w:pPr>
                    <w:pStyle w:val="41"/>
                    <w:bidi w:val="0"/>
                    <w:rPr>
                      <w:rFonts w:hint="default"/>
                      <w:sz w:val="21"/>
                      <w:szCs w:val="21"/>
                      <w:lang w:val="en-US" w:eastAsia="zh-CN"/>
                    </w:rPr>
                  </w:pPr>
                  <w:r>
                    <w:rPr>
                      <w:rFonts w:hint="default"/>
                      <w:sz w:val="21"/>
                      <w:szCs w:val="21"/>
                      <w:lang w:val="en-US" w:eastAsia="zh-CN"/>
                    </w:rPr>
                    <w:t>COD</w:t>
                  </w:r>
                </w:p>
              </w:tc>
              <w:tc>
                <w:tcPr>
                  <w:tcW w:w="751" w:type="pct"/>
                  <w:vMerge w:val="restart"/>
                  <w:noWrap w:val="0"/>
                  <w:tcMar>
                    <w:left w:w="57" w:type="dxa"/>
                    <w:right w:w="57" w:type="dxa"/>
                  </w:tcMar>
                  <w:vAlign w:val="center"/>
                </w:tcPr>
                <w:p w14:paraId="7AF0BC87">
                  <w:pPr>
                    <w:pStyle w:val="41"/>
                    <w:bidi w:val="0"/>
                    <w:rPr>
                      <w:rFonts w:hint="default"/>
                      <w:sz w:val="21"/>
                      <w:szCs w:val="21"/>
                      <w:lang w:val="en-US" w:eastAsia="zh-CN"/>
                    </w:rPr>
                  </w:pPr>
                  <w:r>
                    <w:rPr>
                      <w:rFonts w:hint="eastAsia"/>
                      <w:sz w:val="21"/>
                      <w:szCs w:val="21"/>
                      <w:lang w:val="en-US" w:eastAsia="zh-CN"/>
                    </w:rPr>
                    <w:t>生活污水960</w:t>
                  </w:r>
                  <w:r>
                    <w:rPr>
                      <w:rFonts w:hint="default"/>
                      <w:sz w:val="21"/>
                      <w:szCs w:val="21"/>
                    </w:rPr>
                    <w:t>m</w:t>
                  </w:r>
                  <w:r>
                    <w:rPr>
                      <w:rFonts w:hint="default"/>
                      <w:sz w:val="21"/>
                      <w:szCs w:val="21"/>
                      <w:vertAlign w:val="superscript"/>
                    </w:rPr>
                    <w:t>3</w:t>
                  </w:r>
                  <w:r>
                    <w:rPr>
                      <w:rFonts w:hint="default"/>
                      <w:sz w:val="21"/>
                      <w:szCs w:val="21"/>
                    </w:rPr>
                    <w:t>/a</w:t>
                  </w:r>
                </w:p>
              </w:tc>
              <w:tc>
                <w:tcPr>
                  <w:tcW w:w="910" w:type="pct"/>
                  <w:noWrap w:val="0"/>
                  <w:tcMar>
                    <w:left w:w="57" w:type="dxa"/>
                    <w:right w:w="57" w:type="dxa"/>
                  </w:tcMar>
                  <w:vAlign w:val="center"/>
                </w:tcPr>
                <w:p w14:paraId="05FB5806">
                  <w:pPr>
                    <w:pStyle w:val="41"/>
                    <w:bidi w:val="0"/>
                    <w:rPr>
                      <w:rFonts w:hint="default"/>
                      <w:sz w:val="21"/>
                      <w:szCs w:val="21"/>
                      <w:lang w:val="en-US" w:eastAsia="zh-CN"/>
                    </w:rPr>
                  </w:pPr>
                  <w:r>
                    <w:rPr>
                      <w:rFonts w:hint="eastAsia"/>
                      <w:sz w:val="21"/>
                      <w:szCs w:val="21"/>
                      <w:lang w:val="en-US" w:eastAsia="zh-CN"/>
                    </w:rPr>
                    <w:t>285</w:t>
                  </w:r>
                </w:p>
              </w:tc>
              <w:tc>
                <w:tcPr>
                  <w:tcW w:w="777" w:type="pct"/>
                  <w:noWrap w:val="0"/>
                  <w:tcMar>
                    <w:left w:w="57" w:type="dxa"/>
                    <w:right w:w="57" w:type="dxa"/>
                  </w:tcMar>
                  <w:vAlign w:val="center"/>
                </w:tcPr>
                <w:p w14:paraId="31B016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0.274</w:t>
                  </w: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503" w:type="pct"/>
                  <w:noWrap w:val="0"/>
                  <w:tcMar>
                    <w:left w:w="57" w:type="dxa"/>
                    <w:right w:w="57" w:type="dxa"/>
                  </w:tcMar>
                  <w:vAlign w:val="center"/>
                </w:tcPr>
                <w:p w14:paraId="50206B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eastAsia="宋体" w:cs="Times New Roman"/>
                      <w:i w:val="0"/>
                      <w:iCs w:val="0"/>
                      <w:color w:val="000000"/>
                      <w:kern w:val="0"/>
                      <w:sz w:val="21"/>
                      <w:szCs w:val="21"/>
                      <w:u w:val="none"/>
                      <w:lang w:val="en-US" w:eastAsia="zh-CN" w:bidi="ar"/>
                    </w:rPr>
                    <w:t>64.00</w:t>
                  </w:r>
                </w:p>
              </w:tc>
              <w:tc>
                <w:tcPr>
                  <w:tcW w:w="777" w:type="pct"/>
                  <w:noWrap w:val="0"/>
                  <w:tcMar>
                    <w:left w:w="57" w:type="dxa"/>
                    <w:right w:w="57" w:type="dxa"/>
                  </w:tcMar>
                  <w:vAlign w:val="center"/>
                </w:tcPr>
                <w:p w14:paraId="75A8ED1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102.60 </w:t>
                  </w:r>
                </w:p>
              </w:tc>
              <w:tc>
                <w:tcPr>
                  <w:tcW w:w="726" w:type="pct"/>
                  <w:noWrap w:val="0"/>
                  <w:tcMar>
                    <w:left w:w="57" w:type="dxa"/>
                    <w:right w:w="57" w:type="dxa"/>
                  </w:tcMar>
                  <w:vAlign w:val="center"/>
                </w:tcPr>
                <w:p w14:paraId="4EFE08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0.098</w:t>
                  </w:r>
                </w:p>
              </w:tc>
            </w:tr>
            <w:tr w14:paraId="74D52F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552" w:type="pct"/>
                  <w:noWrap w:val="0"/>
                  <w:tcMar>
                    <w:left w:w="57" w:type="dxa"/>
                    <w:right w:w="57" w:type="dxa"/>
                  </w:tcMar>
                  <w:vAlign w:val="center"/>
                </w:tcPr>
                <w:p w14:paraId="3282349E">
                  <w:pPr>
                    <w:pStyle w:val="41"/>
                    <w:bidi w:val="0"/>
                    <w:rPr>
                      <w:rFonts w:hint="default"/>
                      <w:sz w:val="21"/>
                      <w:szCs w:val="21"/>
                      <w:lang w:val="en-US" w:eastAsia="zh-CN"/>
                    </w:rPr>
                  </w:pPr>
                  <w:r>
                    <w:rPr>
                      <w:rFonts w:hint="default"/>
                      <w:sz w:val="21"/>
                      <w:szCs w:val="21"/>
                      <w:lang w:val="en-US" w:eastAsia="zh-CN"/>
                    </w:rPr>
                    <w:t>BOD</w:t>
                  </w:r>
                  <w:r>
                    <w:rPr>
                      <w:rFonts w:hint="default"/>
                      <w:sz w:val="21"/>
                      <w:szCs w:val="21"/>
                      <w:vertAlign w:val="subscript"/>
                      <w:lang w:val="en-US" w:eastAsia="zh-CN"/>
                    </w:rPr>
                    <w:t>5</w:t>
                  </w:r>
                </w:p>
              </w:tc>
              <w:tc>
                <w:tcPr>
                  <w:tcW w:w="751" w:type="pct"/>
                  <w:vMerge w:val="continue"/>
                  <w:noWrap w:val="0"/>
                  <w:tcMar>
                    <w:left w:w="57" w:type="dxa"/>
                    <w:right w:w="57" w:type="dxa"/>
                  </w:tcMar>
                  <w:vAlign w:val="center"/>
                </w:tcPr>
                <w:p w14:paraId="56794B34">
                  <w:pPr>
                    <w:pStyle w:val="41"/>
                    <w:bidi w:val="0"/>
                    <w:rPr>
                      <w:rFonts w:hint="default"/>
                      <w:sz w:val="21"/>
                      <w:szCs w:val="21"/>
                      <w:lang w:val="en-US" w:eastAsia="zh-CN"/>
                    </w:rPr>
                  </w:pPr>
                </w:p>
              </w:tc>
              <w:tc>
                <w:tcPr>
                  <w:tcW w:w="910" w:type="pct"/>
                  <w:noWrap w:val="0"/>
                  <w:tcMar>
                    <w:left w:w="57" w:type="dxa"/>
                    <w:right w:w="57" w:type="dxa"/>
                  </w:tcMar>
                  <w:vAlign w:val="center"/>
                </w:tcPr>
                <w:p w14:paraId="446921FC">
                  <w:pPr>
                    <w:pStyle w:val="41"/>
                    <w:bidi w:val="0"/>
                    <w:rPr>
                      <w:rFonts w:hint="default"/>
                      <w:sz w:val="21"/>
                      <w:szCs w:val="21"/>
                      <w:lang w:val="en-US" w:eastAsia="zh-CN"/>
                    </w:rPr>
                  </w:pPr>
                  <w:r>
                    <w:rPr>
                      <w:rFonts w:hint="eastAsia"/>
                      <w:sz w:val="21"/>
                      <w:szCs w:val="21"/>
                      <w:lang w:val="en-US" w:eastAsia="zh-CN"/>
                    </w:rPr>
                    <w:t>150</w:t>
                  </w:r>
                </w:p>
              </w:tc>
              <w:tc>
                <w:tcPr>
                  <w:tcW w:w="777" w:type="pct"/>
                  <w:noWrap w:val="0"/>
                  <w:tcMar>
                    <w:left w:w="57" w:type="dxa"/>
                    <w:right w:w="57" w:type="dxa"/>
                  </w:tcMar>
                  <w:vAlign w:val="center"/>
                </w:tcPr>
                <w:p w14:paraId="27B11D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0.144</w:t>
                  </w: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503" w:type="pct"/>
                  <w:noWrap w:val="0"/>
                  <w:tcMar>
                    <w:left w:w="57" w:type="dxa"/>
                    <w:right w:w="57" w:type="dxa"/>
                  </w:tcMar>
                  <w:vAlign w:val="center"/>
                </w:tcPr>
                <w:p w14:paraId="1D0C80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eastAsia="宋体" w:cs="Times New Roman"/>
                      <w:i w:val="0"/>
                      <w:iCs w:val="0"/>
                      <w:color w:val="000000"/>
                      <w:kern w:val="0"/>
                      <w:sz w:val="21"/>
                      <w:szCs w:val="21"/>
                      <w:u w:val="none"/>
                      <w:lang w:val="en-US" w:eastAsia="zh-CN" w:bidi="ar"/>
                    </w:rPr>
                    <w:t>22.00</w:t>
                  </w:r>
                </w:p>
              </w:tc>
              <w:tc>
                <w:tcPr>
                  <w:tcW w:w="777" w:type="pct"/>
                  <w:noWrap w:val="0"/>
                  <w:tcMar>
                    <w:left w:w="57" w:type="dxa"/>
                    <w:right w:w="57" w:type="dxa"/>
                  </w:tcMar>
                  <w:vAlign w:val="center"/>
                </w:tcPr>
                <w:p w14:paraId="76FDEC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117.00 </w:t>
                  </w:r>
                </w:p>
              </w:tc>
              <w:tc>
                <w:tcPr>
                  <w:tcW w:w="726" w:type="pct"/>
                  <w:noWrap w:val="0"/>
                  <w:tcMar>
                    <w:left w:w="57" w:type="dxa"/>
                    <w:right w:w="57" w:type="dxa"/>
                  </w:tcMar>
                  <w:vAlign w:val="center"/>
                </w:tcPr>
                <w:p w14:paraId="016F9E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0.112</w:t>
                  </w:r>
                </w:p>
              </w:tc>
            </w:tr>
            <w:tr w14:paraId="516F75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552" w:type="pct"/>
                  <w:noWrap w:val="0"/>
                  <w:tcMar>
                    <w:left w:w="57" w:type="dxa"/>
                    <w:right w:w="57" w:type="dxa"/>
                  </w:tcMar>
                  <w:vAlign w:val="center"/>
                </w:tcPr>
                <w:p w14:paraId="2A97BD7D">
                  <w:pPr>
                    <w:pStyle w:val="41"/>
                    <w:bidi w:val="0"/>
                    <w:rPr>
                      <w:rFonts w:hint="default"/>
                      <w:sz w:val="21"/>
                      <w:szCs w:val="21"/>
                      <w:lang w:val="en-US" w:eastAsia="zh-CN"/>
                    </w:rPr>
                  </w:pPr>
                  <w:r>
                    <w:rPr>
                      <w:rFonts w:hint="default"/>
                      <w:sz w:val="21"/>
                      <w:szCs w:val="21"/>
                      <w:lang w:val="en-US" w:eastAsia="zh-CN"/>
                    </w:rPr>
                    <w:t>SS</w:t>
                  </w:r>
                </w:p>
              </w:tc>
              <w:tc>
                <w:tcPr>
                  <w:tcW w:w="751" w:type="pct"/>
                  <w:vMerge w:val="continue"/>
                  <w:noWrap w:val="0"/>
                  <w:tcMar>
                    <w:left w:w="57" w:type="dxa"/>
                    <w:right w:w="57" w:type="dxa"/>
                  </w:tcMar>
                  <w:vAlign w:val="center"/>
                </w:tcPr>
                <w:p w14:paraId="712BE8ED">
                  <w:pPr>
                    <w:pStyle w:val="41"/>
                    <w:bidi w:val="0"/>
                    <w:rPr>
                      <w:rFonts w:hint="default"/>
                      <w:sz w:val="21"/>
                      <w:szCs w:val="21"/>
                      <w:lang w:val="en-US" w:eastAsia="zh-CN"/>
                    </w:rPr>
                  </w:pPr>
                </w:p>
              </w:tc>
              <w:tc>
                <w:tcPr>
                  <w:tcW w:w="910" w:type="pct"/>
                  <w:noWrap w:val="0"/>
                  <w:tcMar>
                    <w:left w:w="57" w:type="dxa"/>
                    <w:right w:w="57" w:type="dxa"/>
                  </w:tcMar>
                  <w:vAlign w:val="center"/>
                </w:tcPr>
                <w:p w14:paraId="7E956922">
                  <w:pPr>
                    <w:pStyle w:val="41"/>
                    <w:bidi w:val="0"/>
                    <w:rPr>
                      <w:rFonts w:hint="default"/>
                      <w:sz w:val="21"/>
                      <w:szCs w:val="21"/>
                      <w:lang w:val="en-US" w:eastAsia="zh-CN"/>
                    </w:rPr>
                  </w:pPr>
                  <w:r>
                    <w:rPr>
                      <w:rFonts w:hint="eastAsia"/>
                      <w:sz w:val="21"/>
                      <w:szCs w:val="21"/>
                      <w:lang w:val="en-US" w:eastAsia="zh-CN"/>
                    </w:rPr>
                    <w:t>150</w:t>
                  </w:r>
                </w:p>
              </w:tc>
              <w:tc>
                <w:tcPr>
                  <w:tcW w:w="777" w:type="pct"/>
                  <w:noWrap w:val="0"/>
                  <w:tcMar>
                    <w:left w:w="57" w:type="dxa"/>
                    <w:right w:w="57" w:type="dxa"/>
                  </w:tcMar>
                  <w:vAlign w:val="center"/>
                </w:tcPr>
                <w:p w14:paraId="5FC40D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0.144</w:t>
                  </w:r>
                </w:p>
              </w:tc>
              <w:tc>
                <w:tcPr>
                  <w:tcW w:w="503" w:type="pct"/>
                  <w:noWrap w:val="0"/>
                  <w:tcMar>
                    <w:left w:w="57" w:type="dxa"/>
                    <w:right w:w="57" w:type="dxa"/>
                  </w:tcMar>
                  <w:vAlign w:val="center"/>
                </w:tcPr>
                <w:p w14:paraId="2F4EE6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eastAsia="宋体" w:cs="Times New Roman"/>
                      <w:i w:val="0"/>
                      <w:iCs w:val="0"/>
                      <w:color w:val="000000"/>
                      <w:kern w:val="0"/>
                      <w:sz w:val="21"/>
                      <w:szCs w:val="21"/>
                      <w:u w:val="none"/>
                      <w:lang w:val="en-US" w:eastAsia="zh-CN" w:bidi="ar"/>
                    </w:rPr>
                    <w:t>60.00</w:t>
                  </w:r>
                </w:p>
              </w:tc>
              <w:tc>
                <w:tcPr>
                  <w:tcW w:w="777" w:type="pct"/>
                  <w:noWrap w:val="0"/>
                  <w:tcMar>
                    <w:left w:w="57" w:type="dxa"/>
                    <w:right w:w="57" w:type="dxa"/>
                  </w:tcMar>
                  <w:vAlign w:val="center"/>
                </w:tcPr>
                <w:p w14:paraId="5DCC47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60.00 </w:t>
                  </w:r>
                </w:p>
              </w:tc>
              <w:tc>
                <w:tcPr>
                  <w:tcW w:w="726" w:type="pct"/>
                  <w:noWrap w:val="0"/>
                  <w:tcMar>
                    <w:left w:w="57" w:type="dxa"/>
                    <w:right w:w="57" w:type="dxa"/>
                  </w:tcMar>
                  <w:vAlign w:val="center"/>
                </w:tcPr>
                <w:p w14:paraId="71DCE3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0.058</w:t>
                  </w:r>
                  <w:r>
                    <w:rPr>
                      <w:rFonts w:hint="default" w:ascii="Times New Roman" w:hAnsi="Times New Roman" w:eastAsia="宋体" w:cs="Times New Roman"/>
                      <w:i w:val="0"/>
                      <w:iCs w:val="0"/>
                      <w:color w:val="000000"/>
                      <w:kern w:val="0"/>
                      <w:sz w:val="21"/>
                      <w:szCs w:val="21"/>
                      <w:u w:val="none"/>
                      <w:lang w:val="en-US" w:eastAsia="zh-CN" w:bidi="ar"/>
                    </w:rPr>
                    <w:t xml:space="preserve"> </w:t>
                  </w:r>
                </w:p>
              </w:tc>
            </w:tr>
            <w:tr w14:paraId="3DB5F1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552" w:type="pct"/>
                  <w:noWrap w:val="0"/>
                  <w:tcMar>
                    <w:left w:w="57" w:type="dxa"/>
                    <w:right w:w="57" w:type="dxa"/>
                  </w:tcMar>
                  <w:vAlign w:val="center"/>
                </w:tcPr>
                <w:p w14:paraId="4FC55C63">
                  <w:pPr>
                    <w:pStyle w:val="41"/>
                    <w:bidi w:val="0"/>
                    <w:rPr>
                      <w:rFonts w:hint="default"/>
                      <w:sz w:val="21"/>
                      <w:szCs w:val="21"/>
                      <w:lang w:val="en-US" w:eastAsia="zh-CN"/>
                    </w:rPr>
                  </w:pPr>
                  <w:r>
                    <w:rPr>
                      <w:rFonts w:hint="default"/>
                      <w:sz w:val="21"/>
                      <w:szCs w:val="21"/>
                      <w:lang w:val="en-US" w:eastAsia="zh-CN"/>
                    </w:rPr>
                    <w:t>NH</w:t>
                  </w:r>
                  <w:r>
                    <w:rPr>
                      <w:rFonts w:hint="default"/>
                      <w:sz w:val="21"/>
                      <w:szCs w:val="21"/>
                      <w:vertAlign w:val="subscript"/>
                      <w:lang w:val="en-US" w:eastAsia="zh-CN"/>
                    </w:rPr>
                    <w:t>3</w:t>
                  </w:r>
                  <w:r>
                    <w:rPr>
                      <w:rFonts w:hint="default"/>
                      <w:sz w:val="21"/>
                      <w:szCs w:val="21"/>
                      <w:lang w:val="en-US" w:eastAsia="zh-CN"/>
                    </w:rPr>
                    <w:t>-N</w:t>
                  </w:r>
                </w:p>
              </w:tc>
              <w:tc>
                <w:tcPr>
                  <w:tcW w:w="751" w:type="pct"/>
                  <w:vMerge w:val="continue"/>
                  <w:noWrap w:val="0"/>
                  <w:tcMar>
                    <w:left w:w="57" w:type="dxa"/>
                    <w:right w:w="57" w:type="dxa"/>
                  </w:tcMar>
                  <w:vAlign w:val="center"/>
                </w:tcPr>
                <w:p w14:paraId="7A06E202">
                  <w:pPr>
                    <w:pStyle w:val="41"/>
                    <w:bidi w:val="0"/>
                    <w:rPr>
                      <w:rFonts w:hint="default"/>
                      <w:sz w:val="21"/>
                      <w:szCs w:val="21"/>
                      <w:lang w:val="en-US" w:eastAsia="zh-CN"/>
                    </w:rPr>
                  </w:pPr>
                </w:p>
              </w:tc>
              <w:tc>
                <w:tcPr>
                  <w:tcW w:w="910" w:type="pct"/>
                  <w:noWrap w:val="0"/>
                  <w:tcMar>
                    <w:left w:w="57" w:type="dxa"/>
                    <w:right w:w="57" w:type="dxa"/>
                  </w:tcMar>
                  <w:vAlign w:val="center"/>
                </w:tcPr>
                <w:p w14:paraId="6CF67F7A">
                  <w:pPr>
                    <w:pStyle w:val="41"/>
                    <w:bidi w:val="0"/>
                    <w:rPr>
                      <w:rFonts w:hint="default"/>
                      <w:sz w:val="21"/>
                      <w:szCs w:val="21"/>
                      <w:lang w:val="en-US" w:eastAsia="zh-CN"/>
                    </w:rPr>
                  </w:pPr>
                  <w:r>
                    <w:rPr>
                      <w:rFonts w:hint="eastAsia"/>
                      <w:sz w:val="21"/>
                      <w:szCs w:val="21"/>
                      <w:lang w:val="en-US" w:eastAsia="zh-CN"/>
                    </w:rPr>
                    <w:t>28.3</w:t>
                  </w:r>
                </w:p>
              </w:tc>
              <w:tc>
                <w:tcPr>
                  <w:tcW w:w="777" w:type="pct"/>
                  <w:noWrap w:val="0"/>
                  <w:tcMar>
                    <w:left w:w="57" w:type="dxa"/>
                    <w:right w:w="57" w:type="dxa"/>
                  </w:tcMar>
                  <w:vAlign w:val="center"/>
                </w:tcPr>
                <w:p w14:paraId="76E413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0.027</w:t>
                  </w: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503" w:type="pct"/>
                  <w:noWrap w:val="0"/>
                  <w:tcMar>
                    <w:left w:w="57" w:type="dxa"/>
                    <w:right w:w="57" w:type="dxa"/>
                  </w:tcMar>
                  <w:vAlign w:val="center"/>
                </w:tcPr>
                <w:p w14:paraId="2BBB34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eastAsia="宋体" w:cs="Times New Roman"/>
                      <w:i w:val="0"/>
                      <w:iCs w:val="0"/>
                      <w:color w:val="000000"/>
                      <w:kern w:val="0"/>
                      <w:sz w:val="21"/>
                      <w:szCs w:val="21"/>
                      <w:u w:val="none"/>
                      <w:lang w:val="en-US" w:eastAsia="zh-CN" w:bidi="ar"/>
                    </w:rPr>
                    <w:t>53.00</w:t>
                  </w:r>
                </w:p>
              </w:tc>
              <w:tc>
                <w:tcPr>
                  <w:tcW w:w="777" w:type="pct"/>
                  <w:noWrap w:val="0"/>
                  <w:tcMar>
                    <w:left w:w="57" w:type="dxa"/>
                    <w:right w:w="57" w:type="dxa"/>
                  </w:tcMar>
                  <w:vAlign w:val="center"/>
                </w:tcPr>
                <w:p w14:paraId="291FF3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13.30 </w:t>
                  </w:r>
                </w:p>
              </w:tc>
              <w:tc>
                <w:tcPr>
                  <w:tcW w:w="726" w:type="pct"/>
                  <w:noWrap w:val="0"/>
                  <w:tcMar>
                    <w:left w:w="57" w:type="dxa"/>
                    <w:right w:w="57" w:type="dxa"/>
                  </w:tcMar>
                  <w:vAlign w:val="center"/>
                </w:tcPr>
                <w:p w14:paraId="1CB9B9F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0.013</w:t>
                  </w:r>
                </w:p>
              </w:tc>
            </w:tr>
            <w:tr w14:paraId="08FF2E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552" w:type="pct"/>
                  <w:noWrap w:val="0"/>
                  <w:tcMar>
                    <w:left w:w="57" w:type="dxa"/>
                    <w:right w:w="57" w:type="dxa"/>
                  </w:tcMar>
                  <w:vAlign w:val="center"/>
                </w:tcPr>
                <w:p w14:paraId="4D0F9B6F">
                  <w:pPr>
                    <w:pStyle w:val="41"/>
                    <w:bidi w:val="0"/>
                    <w:rPr>
                      <w:rFonts w:hint="default"/>
                      <w:sz w:val="21"/>
                      <w:szCs w:val="21"/>
                      <w:lang w:val="en-US" w:eastAsia="zh-CN"/>
                    </w:rPr>
                  </w:pPr>
                  <w:r>
                    <w:rPr>
                      <w:rFonts w:hint="default"/>
                      <w:sz w:val="21"/>
                      <w:szCs w:val="21"/>
                      <w:lang w:val="en-US" w:eastAsia="zh-CN"/>
                    </w:rPr>
                    <w:t>TN</w:t>
                  </w:r>
                </w:p>
              </w:tc>
              <w:tc>
                <w:tcPr>
                  <w:tcW w:w="751" w:type="pct"/>
                  <w:vMerge w:val="continue"/>
                  <w:noWrap w:val="0"/>
                  <w:tcMar>
                    <w:left w:w="57" w:type="dxa"/>
                    <w:right w:w="57" w:type="dxa"/>
                  </w:tcMar>
                  <w:vAlign w:val="center"/>
                </w:tcPr>
                <w:p w14:paraId="274B7185">
                  <w:pPr>
                    <w:pStyle w:val="41"/>
                    <w:bidi w:val="0"/>
                    <w:rPr>
                      <w:rFonts w:hint="default"/>
                      <w:sz w:val="21"/>
                      <w:szCs w:val="21"/>
                      <w:lang w:val="en-US" w:eastAsia="zh-CN"/>
                    </w:rPr>
                  </w:pPr>
                </w:p>
              </w:tc>
              <w:tc>
                <w:tcPr>
                  <w:tcW w:w="910" w:type="pct"/>
                  <w:noWrap w:val="0"/>
                  <w:tcMar>
                    <w:left w:w="57" w:type="dxa"/>
                    <w:right w:w="57" w:type="dxa"/>
                  </w:tcMar>
                  <w:vAlign w:val="center"/>
                </w:tcPr>
                <w:p w14:paraId="18EAB0E0">
                  <w:pPr>
                    <w:pStyle w:val="41"/>
                    <w:bidi w:val="0"/>
                    <w:rPr>
                      <w:rFonts w:hint="default"/>
                      <w:sz w:val="21"/>
                      <w:szCs w:val="21"/>
                      <w:lang w:val="en-US" w:eastAsia="zh-CN"/>
                    </w:rPr>
                  </w:pPr>
                  <w:r>
                    <w:rPr>
                      <w:rFonts w:hint="eastAsia"/>
                      <w:sz w:val="21"/>
                      <w:szCs w:val="21"/>
                      <w:lang w:val="en-US" w:eastAsia="zh-CN"/>
                    </w:rPr>
                    <w:t>39.4</w:t>
                  </w:r>
                </w:p>
              </w:tc>
              <w:tc>
                <w:tcPr>
                  <w:tcW w:w="777" w:type="pct"/>
                  <w:noWrap w:val="0"/>
                  <w:tcMar>
                    <w:left w:w="57" w:type="dxa"/>
                    <w:right w:w="57" w:type="dxa"/>
                  </w:tcMar>
                  <w:vAlign w:val="center"/>
                </w:tcPr>
                <w:p w14:paraId="6135D1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0.038</w:t>
                  </w: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503" w:type="pct"/>
                  <w:noWrap w:val="0"/>
                  <w:tcMar>
                    <w:left w:w="57" w:type="dxa"/>
                    <w:right w:w="57" w:type="dxa"/>
                  </w:tcMar>
                  <w:vAlign w:val="center"/>
                </w:tcPr>
                <w:p w14:paraId="3A12D5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eastAsia="宋体" w:cs="Times New Roman"/>
                      <w:i w:val="0"/>
                      <w:iCs w:val="0"/>
                      <w:color w:val="000000"/>
                      <w:kern w:val="0"/>
                      <w:sz w:val="21"/>
                      <w:szCs w:val="21"/>
                      <w:u w:val="none"/>
                      <w:lang w:val="en-US" w:eastAsia="zh-CN" w:bidi="ar"/>
                    </w:rPr>
                    <w:t>46.00</w:t>
                  </w:r>
                </w:p>
              </w:tc>
              <w:tc>
                <w:tcPr>
                  <w:tcW w:w="777" w:type="pct"/>
                  <w:noWrap w:val="0"/>
                  <w:tcMar>
                    <w:left w:w="57" w:type="dxa"/>
                    <w:right w:w="57" w:type="dxa"/>
                  </w:tcMar>
                  <w:vAlign w:val="center"/>
                </w:tcPr>
                <w:p w14:paraId="164672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21.28 </w:t>
                  </w:r>
                </w:p>
              </w:tc>
              <w:tc>
                <w:tcPr>
                  <w:tcW w:w="726" w:type="pct"/>
                  <w:noWrap w:val="0"/>
                  <w:tcMar>
                    <w:left w:w="57" w:type="dxa"/>
                    <w:right w:w="57" w:type="dxa"/>
                  </w:tcMar>
                  <w:vAlign w:val="center"/>
                </w:tcPr>
                <w:p w14:paraId="0DB757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0.02</w:t>
                  </w:r>
                </w:p>
              </w:tc>
            </w:tr>
            <w:tr w14:paraId="4B5FB1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552" w:type="pct"/>
                  <w:noWrap w:val="0"/>
                  <w:tcMar>
                    <w:left w:w="57" w:type="dxa"/>
                    <w:right w:w="57" w:type="dxa"/>
                  </w:tcMar>
                  <w:vAlign w:val="center"/>
                </w:tcPr>
                <w:p w14:paraId="3D85EB80">
                  <w:pPr>
                    <w:pStyle w:val="41"/>
                    <w:bidi w:val="0"/>
                    <w:rPr>
                      <w:rFonts w:hint="default"/>
                      <w:sz w:val="21"/>
                      <w:szCs w:val="21"/>
                      <w:lang w:val="en-US" w:eastAsia="zh-CN"/>
                    </w:rPr>
                  </w:pPr>
                  <w:r>
                    <w:rPr>
                      <w:rFonts w:hint="default"/>
                      <w:sz w:val="21"/>
                      <w:szCs w:val="21"/>
                      <w:lang w:val="en-US" w:eastAsia="zh-CN"/>
                    </w:rPr>
                    <w:t>TP</w:t>
                  </w:r>
                </w:p>
              </w:tc>
              <w:tc>
                <w:tcPr>
                  <w:tcW w:w="751" w:type="pct"/>
                  <w:vMerge w:val="continue"/>
                  <w:noWrap w:val="0"/>
                  <w:tcMar>
                    <w:left w:w="57" w:type="dxa"/>
                    <w:right w:w="57" w:type="dxa"/>
                  </w:tcMar>
                  <w:vAlign w:val="center"/>
                </w:tcPr>
                <w:p w14:paraId="50C24BE5">
                  <w:pPr>
                    <w:pStyle w:val="41"/>
                    <w:bidi w:val="0"/>
                    <w:rPr>
                      <w:rFonts w:hint="default"/>
                      <w:sz w:val="21"/>
                      <w:szCs w:val="21"/>
                      <w:lang w:val="en-US" w:eastAsia="zh-CN"/>
                    </w:rPr>
                  </w:pPr>
                </w:p>
              </w:tc>
              <w:tc>
                <w:tcPr>
                  <w:tcW w:w="910" w:type="pct"/>
                  <w:noWrap w:val="0"/>
                  <w:tcMar>
                    <w:left w:w="57" w:type="dxa"/>
                    <w:right w:w="57" w:type="dxa"/>
                  </w:tcMar>
                  <w:vAlign w:val="center"/>
                </w:tcPr>
                <w:p w14:paraId="3C53792A">
                  <w:pPr>
                    <w:pStyle w:val="41"/>
                    <w:bidi w:val="0"/>
                    <w:rPr>
                      <w:rFonts w:hint="default"/>
                      <w:sz w:val="21"/>
                      <w:szCs w:val="21"/>
                      <w:lang w:val="en-US" w:eastAsia="zh-CN"/>
                    </w:rPr>
                  </w:pPr>
                  <w:r>
                    <w:rPr>
                      <w:rFonts w:hint="eastAsia"/>
                      <w:sz w:val="21"/>
                      <w:szCs w:val="21"/>
                      <w:lang w:val="en-US" w:eastAsia="zh-CN"/>
                    </w:rPr>
                    <w:t>4.10</w:t>
                  </w:r>
                </w:p>
              </w:tc>
              <w:tc>
                <w:tcPr>
                  <w:tcW w:w="777" w:type="pct"/>
                  <w:noWrap w:val="0"/>
                  <w:tcMar>
                    <w:left w:w="57" w:type="dxa"/>
                    <w:right w:w="57" w:type="dxa"/>
                  </w:tcMar>
                  <w:vAlign w:val="center"/>
                </w:tcPr>
                <w:p w14:paraId="02D4A1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0.004</w:t>
                  </w: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503" w:type="pct"/>
                  <w:noWrap w:val="0"/>
                  <w:tcMar>
                    <w:left w:w="57" w:type="dxa"/>
                    <w:right w:w="57" w:type="dxa"/>
                  </w:tcMar>
                  <w:vAlign w:val="center"/>
                </w:tcPr>
                <w:p w14:paraId="259192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eastAsia="宋体" w:cs="Times New Roman"/>
                      <w:i w:val="0"/>
                      <w:iCs w:val="0"/>
                      <w:color w:val="000000"/>
                      <w:kern w:val="0"/>
                      <w:sz w:val="21"/>
                      <w:szCs w:val="21"/>
                      <w:u w:val="none"/>
                      <w:lang w:val="en-US" w:eastAsia="zh-CN" w:bidi="ar"/>
                    </w:rPr>
                    <w:t>48.00</w:t>
                  </w:r>
                </w:p>
              </w:tc>
              <w:tc>
                <w:tcPr>
                  <w:tcW w:w="777" w:type="pct"/>
                  <w:noWrap w:val="0"/>
                  <w:tcMar>
                    <w:left w:w="57" w:type="dxa"/>
                    <w:right w:w="57" w:type="dxa"/>
                  </w:tcMar>
                  <w:vAlign w:val="center"/>
                </w:tcPr>
                <w:p w14:paraId="0774C0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2.13 </w:t>
                  </w:r>
                </w:p>
              </w:tc>
              <w:tc>
                <w:tcPr>
                  <w:tcW w:w="726" w:type="pct"/>
                  <w:noWrap w:val="0"/>
                  <w:tcMar>
                    <w:left w:w="57" w:type="dxa"/>
                    <w:right w:w="57" w:type="dxa"/>
                  </w:tcMar>
                  <w:vAlign w:val="center"/>
                </w:tcPr>
                <w:p w14:paraId="239FBC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0.002</w:t>
                  </w:r>
                  <w:r>
                    <w:rPr>
                      <w:rFonts w:hint="default" w:ascii="Times New Roman" w:hAnsi="Times New Roman" w:eastAsia="宋体" w:cs="Times New Roman"/>
                      <w:i w:val="0"/>
                      <w:iCs w:val="0"/>
                      <w:color w:val="000000"/>
                      <w:kern w:val="0"/>
                      <w:sz w:val="21"/>
                      <w:szCs w:val="21"/>
                      <w:u w:val="none"/>
                      <w:lang w:val="en-US" w:eastAsia="zh-CN" w:bidi="ar"/>
                    </w:rPr>
                    <w:t xml:space="preserve"> </w:t>
                  </w:r>
                </w:p>
              </w:tc>
            </w:tr>
          </w:tbl>
          <w:p w14:paraId="4CCE9A28">
            <w:pPr>
              <w:pStyle w:val="40"/>
              <w:bidi w:val="0"/>
              <w:rPr>
                <w:rFonts w:hint="default"/>
                <w:b/>
                <w:bCs/>
                <w:lang w:val="en-US" w:eastAsia="zh-CN"/>
              </w:rPr>
            </w:pPr>
            <w:r>
              <w:rPr>
                <w:rFonts w:hint="eastAsia"/>
                <w:b/>
                <w:bCs/>
                <w:lang w:val="en-US" w:eastAsia="zh-CN"/>
              </w:rPr>
              <w:t>2、废水排放口信息</w:t>
            </w:r>
          </w:p>
          <w:p w14:paraId="5E7734A6">
            <w:pPr>
              <w:pStyle w:val="40"/>
              <w:bidi w:val="0"/>
              <w:rPr>
                <w:rFonts w:hint="default"/>
              </w:rPr>
            </w:pPr>
            <w:r>
              <w:rPr>
                <w:rFonts w:hint="default"/>
              </w:rPr>
              <w:t>（1）废水类别、污染物及污染治理设施信息</w:t>
            </w:r>
          </w:p>
          <w:p w14:paraId="78CEC6A8">
            <w:pPr>
              <w:pStyle w:val="40"/>
              <w:bidi w:val="0"/>
              <w:rPr>
                <w:rFonts w:hint="default"/>
              </w:rPr>
            </w:pPr>
            <w:r>
              <w:rPr>
                <w:rFonts w:hint="default"/>
              </w:rPr>
              <w:t>本项目废水类别、污染物及治理设施信息见下表。</w:t>
            </w:r>
          </w:p>
          <w:p w14:paraId="109418BD">
            <w:pPr>
              <w:pStyle w:val="42"/>
              <w:bidi w:val="0"/>
              <w:rPr>
                <w:rFonts w:hint="default"/>
              </w:rPr>
            </w:pPr>
            <w:r>
              <w:rPr>
                <w:rFonts w:hint="default"/>
              </w:rPr>
              <w:t>表4-</w:t>
            </w:r>
            <w:r>
              <w:rPr>
                <w:rFonts w:hint="default"/>
                <w:lang w:val="en-US" w:eastAsia="zh-CN"/>
              </w:rPr>
              <w:t>1</w:t>
            </w:r>
            <w:r>
              <w:rPr>
                <w:rFonts w:hint="eastAsia"/>
                <w:lang w:val="en-US" w:eastAsia="zh-CN"/>
              </w:rPr>
              <w:t>3</w:t>
            </w:r>
            <w:r>
              <w:rPr>
                <w:rFonts w:hint="default"/>
              </w:rPr>
              <w:t xml:space="preserve">  废水类别、污染物及治理设施信息表</w:t>
            </w:r>
          </w:p>
          <w:tbl>
            <w:tblPr>
              <w:tblStyle w:val="33"/>
              <w:tblW w:w="499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8"/>
              <w:gridCol w:w="687"/>
              <w:gridCol w:w="944"/>
              <w:gridCol w:w="675"/>
              <w:gridCol w:w="855"/>
              <w:gridCol w:w="665"/>
              <w:gridCol w:w="883"/>
              <w:gridCol w:w="780"/>
              <w:gridCol w:w="667"/>
              <w:gridCol w:w="745"/>
              <w:gridCol w:w="1242"/>
            </w:tblGrid>
            <w:tr w14:paraId="7F8906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 w:type="pct"/>
                  <w:noWrap w:val="0"/>
                  <w:vAlign w:val="center"/>
                </w:tcPr>
                <w:p w14:paraId="137F7AE6">
                  <w:pPr>
                    <w:pStyle w:val="41"/>
                    <w:bidi w:val="0"/>
                    <w:rPr>
                      <w:rFonts w:hint="default"/>
                    </w:rPr>
                  </w:pPr>
                  <w:bookmarkStart w:id="19" w:name="bookmark0"/>
                  <w:bookmarkEnd w:id="19"/>
                  <w:r>
                    <w:rPr>
                      <w:rFonts w:hint="default"/>
                    </w:rPr>
                    <w:t>序</w:t>
                  </w:r>
                </w:p>
                <w:p w14:paraId="631703DD">
                  <w:pPr>
                    <w:pStyle w:val="41"/>
                    <w:bidi w:val="0"/>
                    <w:rPr>
                      <w:rFonts w:hint="default"/>
                    </w:rPr>
                  </w:pPr>
                  <w:r>
                    <w:rPr>
                      <w:rFonts w:hint="default"/>
                    </w:rPr>
                    <w:t>号</w:t>
                  </w:r>
                </w:p>
              </w:tc>
              <w:tc>
                <w:tcPr>
                  <w:tcW w:w="401" w:type="pct"/>
                  <w:noWrap w:val="0"/>
                  <w:vAlign w:val="center"/>
                </w:tcPr>
                <w:p w14:paraId="61A3D890">
                  <w:pPr>
                    <w:pStyle w:val="41"/>
                    <w:bidi w:val="0"/>
                    <w:rPr>
                      <w:rFonts w:hint="default"/>
                    </w:rPr>
                  </w:pPr>
                  <w:r>
                    <w:rPr>
                      <w:rFonts w:hint="default"/>
                    </w:rPr>
                    <w:t>废水</w:t>
                  </w:r>
                </w:p>
                <w:p w14:paraId="1484B991">
                  <w:pPr>
                    <w:pStyle w:val="41"/>
                    <w:bidi w:val="0"/>
                    <w:rPr>
                      <w:rFonts w:hint="default"/>
                    </w:rPr>
                  </w:pPr>
                  <w:r>
                    <w:rPr>
                      <w:rFonts w:hint="default"/>
                    </w:rPr>
                    <w:t>类别</w:t>
                  </w:r>
                </w:p>
              </w:tc>
              <w:tc>
                <w:tcPr>
                  <w:tcW w:w="551" w:type="pct"/>
                  <w:noWrap w:val="0"/>
                  <w:vAlign w:val="center"/>
                </w:tcPr>
                <w:p w14:paraId="6C4A9051">
                  <w:pPr>
                    <w:pStyle w:val="41"/>
                    <w:bidi w:val="0"/>
                    <w:rPr>
                      <w:rFonts w:hint="default"/>
                    </w:rPr>
                  </w:pPr>
                  <w:r>
                    <w:rPr>
                      <w:rFonts w:hint="default"/>
                    </w:rPr>
                    <w:t>污染物种类</w:t>
                  </w:r>
                </w:p>
              </w:tc>
              <w:tc>
                <w:tcPr>
                  <w:tcW w:w="394" w:type="pct"/>
                  <w:noWrap w:val="0"/>
                  <w:vAlign w:val="center"/>
                </w:tcPr>
                <w:p w14:paraId="0D19F417">
                  <w:pPr>
                    <w:pStyle w:val="41"/>
                    <w:bidi w:val="0"/>
                    <w:rPr>
                      <w:rFonts w:hint="default"/>
                    </w:rPr>
                  </w:pPr>
                  <w:r>
                    <w:rPr>
                      <w:rFonts w:hint="default"/>
                    </w:rPr>
                    <w:t>排放去向</w:t>
                  </w:r>
                </w:p>
              </w:tc>
              <w:tc>
                <w:tcPr>
                  <w:tcW w:w="499" w:type="pct"/>
                  <w:noWrap w:val="0"/>
                  <w:vAlign w:val="center"/>
                </w:tcPr>
                <w:p w14:paraId="231E088A">
                  <w:pPr>
                    <w:pStyle w:val="41"/>
                    <w:bidi w:val="0"/>
                    <w:rPr>
                      <w:rFonts w:hint="default"/>
                    </w:rPr>
                  </w:pPr>
                  <w:r>
                    <w:rPr>
                      <w:rFonts w:hint="default"/>
                    </w:rPr>
                    <w:t>排放规律</w:t>
                  </w:r>
                </w:p>
              </w:tc>
              <w:tc>
                <w:tcPr>
                  <w:tcW w:w="388" w:type="pct"/>
                  <w:noWrap w:val="0"/>
                  <w:vAlign w:val="center"/>
                </w:tcPr>
                <w:p w14:paraId="3AFBAE27">
                  <w:pPr>
                    <w:pStyle w:val="41"/>
                    <w:bidi w:val="0"/>
                    <w:rPr>
                      <w:rFonts w:hint="default"/>
                    </w:rPr>
                  </w:pPr>
                  <w:r>
                    <w:rPr>
                      <w:rFonts w:hint="default"/>
                    </w:rPr>
                    <w:t>污染治理设施编号</w:t>
                  </w:r>
                </w:p>
              </w:tc>
              <w:tc>
                <w:tcPr>
                  <w:tcW w:w="515" w:type="pct"/>
                  <w:noWrap w:val="0"/>
                  <w:vAlign w:val="center"/>
                </w:tcPr>
                <w:p w14:paraId="13C4B9EA">
                  <w:pPr>
                    <w:pStyle w:val="41"/>
                    <w:bidi w:val="0"/>
                    <w:rPr>
                      <w:rFonts w:hint="default"/>
                    </w:rPr>
                  </w:pPr>
                  <w:r>
                    <w:rPr>
                      <w:rFonts w:hint="default"/>
                    </w:rPr>
                    <w:t>污染治理设施名称</w:t>
                  </w:r>
                </w:p>
              </w:tc>
              <w:tc>
                <w:tcPr>
                  <w:tcW w:w="455" w:type="pct"/>
                  <w:noWrap w:val="0"/>
                  <w:vAlign w:val="center"/>
                </w:tcPr>
                <w:p w14:paraId="07B4CCCD">
                  <w:pPr>
                    <w:pStyle w:val="41"/>
                    <w:bidi w:val="0"/>
                    <w:rPr>
                      <w:rFonts w:hint="default"/>
                    </w:rPr>
                  </w:pPr>
                  <w:r>
                    <w:rPr>
                      <w:rFonts w:hint="default"/>
                    </w:rPr>
                    <w:t>污染治理设施工艺</w:t>
                  </w:r>
                </w:p>
              </w:tc>
              <w:tc>
                <w:tcPr>
                  <w:tcW w:w="389" w:type="pct"/>
                  <w:noWrap w:val="0"/>
                  <w:vAlign w:val="center"/>
                </w:tcPr>
                <w:p w14:paraId="6171FA3E">
                  <w:pPr>
                    <w:pStyle w:val="41"/>
                    <w:bidi w:val="0"/>
                    <w:rPr>
                      <w:rFonts w:hint="default"/>
                    </w:rPr>
                  </w:pPr>
                  <w:r>
                    <w:rPr>
                      <w:rFonts w:hint="default"/>
                    </w:rPr>
                    <w:t>排放口编号</w:t>
                  </w:r>
                </w:p>
              </w:tc>
              <w:tc>
                <w:tcPr>
                  <w:tcW w:w="435" w:type="pct"/>
                  <w:noWrap w:val="0"/>
                  <w:vAlign w:val="center"/>
                </w:tcPr>
                <w:p w14:paraId="258051F2">
                  <w:pPr>
                    <w:pStyle w:val="41"/>
                    <w:bidi w:val="0"/>
                    <w:rPr>
                      <w:rFonts w:hint="default"/>
                    </w:rPr>
                  </w:pPr>
                  <w:r>
                    <w:rPr>
                      <w:rFonts w:hint="default"/>
                    </w:rPr>
                    <w:t>排放口设置是否符合要求</w:t>
                  </w:r>
                </w:p>
              </w:tc>
              <w:tc>
                <w:tcPr>
                  <w:tcW w:w="725" w:type="pct"/>
                  <w:noWrap w:val="0"/>
                  <w:vAlign w:val="center"/>
                </w:tcPr>
                <w:p w14:paraId="45A7B05B">
                  <w:pPr>
                    <w:pStyle w:val="41"/>
                    <w:bidi w:val="0"/>
                    <w:rPr>
                      <w:rFonts w:hint="default"/>
                    </w:rPr>
                  </w:pPr>
                  <w:r>
                    <w:rPr>
                      <w:rFonts w:hint="default"/>
                    </w:rPr>
                    <w:t>排放口类型</w:t>
                  </w:r>
                </w:p>
              </w:tc>
            </w:tr>
            <w:tr w14:paraId="1454B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44" w:type="pct"/>
                  <w:noWrap w:val="0"/>
                  <w:vAlign w:val="center"/>
                </w:tcPr>
                <w:p w14:paraId="4C0CB3A7">
                  <w:pPr>
                    <w:pStyle w:val="41"/>
                    <w:bidi w:val="0"/>
                    <w:rPr>
                      <w:rFonts w:hint="default"/>
                    </w:rPr>
                  </w:pPr>
                  <w:r>
                    <w:rPr>
                      <w:rFonts w:hint="default"/>
                    </w:rPr>
                    <w:t>1</w:t>
                  </w:r>
                </w:p>
              </w:tc>
              <w:tc>
                <w:tcPr>
                  <w:tcW w:w="401" w:type="pct"/>
                  <w:noWrap w:val="0"/>
                  <w:vAlign w:val="center"/>
                </w:tcPr>
                <w:p w14:paraId="5E7FD89C">
                  <w:pPr>
                    <w:pStyle w:val="41"/>
                    <w:bidi w:val="0"/>
                    <w:rPr>
                      <w:rFonts w:hint="default"/>
                      <w:lang w:val="en-US" w:eastAsia="zh-CN"/>
                    </w:rPr>
                  </w:pPr>
                  <w:r>
                    <w:rPr>
                      <w:rFonts w:hint="eastAsia"/>
                      <w:lang w:val="en-US" w:eastAsia="zh-CN"/>
                    </w:rPr>
                    <w:t>生活污水</w:t>
                  </w:r>
                </w:p>
              </w:tc>
              <w:tc>
                <w:tcPr>
                  <w:tcW w:w="551" w:type="pct"/>
                  <w:noWrap w:val="0"/>
                  <w:vAlign w:val="center"/>
                </w:tcPr>
                <w:p w14:paraId="0F9EAAB8">
                  <w:pPr>
                    <w:pStyle w:val="41"/>
                    <w:bidi w:val="0"/>
                    <w:rPr>
                      <w:rFonts w:hint="default"/>
                      <w:lang w:val="en-US" w:eastAsia="zh-CN"/>
                    </w:rPr>
                  </w:pPr>
                  <w:r>
                    <w:rPr>
                      <w:rFonts w:hint="default"/>
                      <w:lang w:val="en-US" w:eastAsia="zh-CN"/>
                    </w:rPr>
                    <w:t>pH、</w:t>
                  </w:r>
                  <w:r>
                    <w:rPr>
                      <w:rFonts w:hint="default"/>
                    </w:rPr>
                    <w:t>COD</w:t>
                  </w:r>
                  <w:r>
                    <w:rPr>
                      <w:rFonts w:hint="eastAsia"/>
                      <w:lang w:eastAsia="zh-CN"/>
                    </w:rPr>
                    <w:t>、</w:t>
                  </w:r>
                  <w:r>
                    <w:rPr>
                      <w:rFonts w:hint="default"/>
                    </w:rPr>
                    <w:t>BOD</w:t>
                  </w:r>
                  <w:r>
                    <w:rPr>
                      <w:rFonts w:hint="default"/>
                      <w:vertAlign w:val="subscript"/>
                    </w:rPr>
                    <w:t>5</w:t>
                  </w:r>
                  <w:r>
                    <w:rPr>
                      <w:rFonts w:hint="eastAsia"/>
                      <w:lang w:eastAsia="zh-CN"/>
                    </w:rPr>
                    <w:t>、</w:t>
                  </w:r>
                  <w:r>
                    <w:rPr>
                      <w:rFonts w:hint="default"/>
                    </w:rPr>
                    <w:t>SS</w:t>
                  </w:r>
                  <w:r>
                    <w:rPr>
                      <w:rFonts w:hint="eastAsia"/>
                      <w:lang w:eastAsia="zh-CN"/>
                    </w:rPr>
                    <w:t>、</w:t>
                  </w:r>
                  <w:r>
                    <w:rPr>
                      <w:rFonts w:hint="default"/>
                    </w:rPr>
                    <w:t>NH</w:t>
                  </w:r>
                  <w:r>
                    <w:rPr>
                      <w:rFonts w:hint="default"/>
                      <w:vertAlign w:val="subscript"/>
                    </w:rPr>
                    <w:t>3</w:t>
                  </w:r>
                  <w:r>
                    <w:rPr>
                      <w:rFonts w:hint="default"/>
                    </w:rPr>
                    <w:t>-N</w:t>
                  </w:r>
                  <w:r>
                    <w:rPr>
                      <w:rFonts w:hint="default"/>
                      <w:lang w:eastAsia="zh-CN"/>
                    </w:rPr>
                    <w:t>、</w:t>
                  </w:r>
                  <w:r>
                    <w:rPr>
                      <w:rFonts w:hint="default"/>
                      <w:lang w:val="en-US" w:eastAsia="zh-CN"/>
                    </w:rPr>
                    <w:t>TP、TN</w:t>
                  </w:r>
                </w:p>
              </w:tc>
              <w:tc>
                <w:tcPr>
                  <w:tcW w:w="394" w:type="pct"/>
                  <w:noWrap w:val="0"/>
                  <w:vAlign w:val="center"/>
                </w:tcPr>
                <w:p w14:paraId="696AD580">
                  <w:pPr>
                    <w:pStyle w:val="41"/>
                    <w:bidi w:val="0"/>
                    <w:rPr>
                      <w:rFonts w:hint="default"/>
                      <w:lang w:val="en-US"/>
                    </w:rPr>
                  </w:pPr>
                  <w:r>
                    <w:rPr>
                      <w:rFonts w:hint="eastAsia"/>
                      <w:lang w:val="en-US" w:eastAsia="zh-CN"/>
                    </w:rPr>
                    <w:t>中方产业开发区（泸阳镇）污水处理厂</w:t>
                  </w:r>
                </w:p>
              </w:tc>
              <w:tc>
                <w:tcPr>
                  <w:tcW w:w="499" w:type="pct"/>
                  <w:noWrap w:val="0"/>
                  <w:vAlign w:val="center"/>
                </w:tcPr>
                <w:p w14:paraId="5C483DD2">
                  <w:pPr>
                    <w:pStyle w:val="41"/>
                    <w:bidi w:val="0"/>
                    <w:rPr>
                      <w:rFonts w:hint="default"/>
                    </w:rPr>
                  </w:pPr>
                  <w:r>
                    <w:rPr>
                      <w:rFonts w:hint="default"/>
                    </w:rPr>
                    <w:t>间断排放，排放期间流量不稳定且无规律，但不属于冲击型排放</w:t>
                  </w:r>
                </w:p>
              </w:tc>
              <w:tc>
                <w:tcPr>
                  <w:tcW w:w="388" w:type="pct"/>
                  <w:noWrap w:val="0"/>
                  <w:vAlign w:val="center"/>
                </w:tcPr>
                <w:p w14:paraId="105FF5C1">
                  <w:pPr>
                    <w:pStyle w:val="41"/>
                    <w:bidi w:val="0"/>
                    <w:rPr>
                      <w:rFonts w:hint="default"/>
                    </w:rPr>
                  </w:pPr>
                  <w:r>
                    <w:rPr>
                      <w:rFonts w:hint="default"/>
                      <w:lang w:val="en-US" w:eastAsia="zh-CN"/>
                    </w:rPr>
                    <w:t>TW</w:t>
                  </w:r>
                  <w:r>
                    <w:rPr>
                      <w:rFonts w:hint="default"/>
                    </w:rPr>
                    <w:t>001</w:t>
                  </w:r>
                </w:p>
              </w:tc>
              <w:tc>
                <w:tcPr>
                  <w:tcW w:w="515" w:type="pct"/>
                  <w:noWrap w:val="0"/>
                  <w:vAlign w:val="center"/>
                </w:tcPr>
                <w:p w14:paraId="00E7F460">
                  <w:pPr>
                    <w:pStyle w:val="41"/>
                    <w:bidi w:val="0"/>
                    <w:rPr>
                      <w:rFonts w:hint="default"/>
                      <w:lang w:val="en-US" w:eastAsia="zh-CN"/>
                    </w:rPr>
                  </w:pPr>
                  <w:r>
                    <w:rPr>
                      <w:rFonts w:hint="eastAsia"/>
                      <w:lang w:val="en-US" w:eastAsia="zh-CN"/>
                    </w:rPr>
                    <w:t>化粪池</w:t>
                  </w:r>
                </w:p>
              </w:tc>
              <w:tc>
                <w:tcPr>
                  <w:tcW w:w="455" w:type="pct"/>
                  <w:noWrap w:val="0"/>
                  <w:vAlign w:val="center"/>
                </w:tcPr>
                <w:p w14:paraId="6D7707D7">
                  <w:pPr>
                    <w:pStyle w:val="41"/>
                    <w:bidi w:val="0"/>
                    <w:rPr>
                      <w:rFonts w:hint="default"/>
                      <w:lang w:val="en-US" w:eastAsia="zh-CN"/>
                    </w:rPr>
                  </w:pPr>
                  <w:r>
                    <w:rPr>
                      <w:rFonts w:hint="eastAsia"/>
                      <w:lang w:val="en-US" w:eastAsia="zh-CN"/>
                    </w:rPr>
                    <w:t>化粪池</w:t>
                  </w:r>
                </w:p>
              </w:tc>
              <w:tc>
                <w:tcPr>
                  <w:tcW w:w="389" w:type="pct"/>
                  <w:noWrap w:val="0"/>
                  <w:vAlign w:val="center"/>
                </w:tcPr>
                <w:p w14:paraId="6448C7F1">
                  <w:pPr>
                    <w:pStyle w:val="41"/>
                    <w:bidi w:val="0"/>
                    <w:rPr>
                      <w:rFonts w:hint="default"/>
                    </w:rPr>
                  </w:pPr>
                  <w:r>
                    <w:rPr>
                      <w:rFonts w:hint="default"/>
                    </w:rPr>
                    <w:t>DW001</w:t>
                  </w:r>
                </w:p>
              </w:tc>
              <w:tc>
                <w:tcPr>
                  <w:tcW w:w="435" w:type="pct"/>
                  <w:noWrap w:val="0"/>
                  <w:vAlign w:val="center"/>
                </w:tcPr>
                <w:p w14:paraId="3311760E">
                  <w:pPr>
                    <w:pStyle w:val="41"/>
                    <w:bidi w:val="0"/>
                    <w:rPr>
                      <w:rFonts w:hint="default"/>
                    </w:rPr>
                  </w:pPr>
                  <w:r>
                    <w:rPr>
                      <w:rFonts w:hint="default"/>
                    </w:rPr>
                    <w:sym w:font="Wingdings 2" w:char="0052"/>
                  </w:r>
                  <w:r>
                    <w:rPr>
                      <w:rFonts w:hint="default"/>
                    </w:rPr>
                    <w:t>是</w:t>
                  </w:r>
                </w:p>
                <w:p w14:paraId="277A5052">
                  <w:pPr>
                    <w:pStyle w:val="41"/>
                    <w:bidi w:val="0"/>
                    <w:rPr>
                      <w:rFonts w:hint="default"/>
                    </w:rPr>
                  </w:pPr>
                  <w:r>
                    <w:rPr>
                      <w:rFonts w:hint="default"/>
                    </w:rPr>
                    <w:sym w:font="Wingdings 2" w:char="00A3"/>
                  </w:r>
                  <w:r>
                    <w:rPr>
                      <w:rFonts w:hint="default"/>
                    </w:rPr>
                    <w:t>否</w:t>
                  </w:r>
                </w:p>
              </w:tc>
              <w:tc>
                <w:tcPr>
                  <w:tcW w:w="725" w:type="pct"/>
                  <w:noWrap w:val="0"/>
                  <w:vAlign w:val="center"/>
                </w:tcPr>
                <w:p w14:paraId="423A1C8C">
                  <w:pPr>
                    <w:pStyle w:val="41"/>
                    <w:bidi w:val="0"/>
                    <w:rPr>
                      <w:rFonts w:hint="default"/>
                    </w:rPr>
                  </w:pPr>
                  <w:r>
                    <w:rPr>
                      <w:rFonts w:hint="default"/>
                    </w:rPr>
                    <w:sym w:font="Wingdings 2" w:char="0052"/>
                  </w:r>
                  <w:r>
                    <w:rPr>
                      <w:rFonts w:hint="default"/>
                    </w:rPr>
                    <w:t>企业总排</w:t>
                  </w:r>
                </w:p>
                <w:p w14:paraId="0C05A158">
                  <w:pPr>
                    <w:pStyle w:val="41"/>
                    <w:bidi w:val="0"/>
                    <w:rPr>
                      <w:rFonts w:hint="default"/>
                    </w:rPr>
                  </w:pPr>
                  <w:r>
                    <w:rPr>
                      <w:rFonts w:hint="default"/>
                    </w:rPr>
                    <w:t>□雨水排放</w:t>
                  </w:r>
                </w:p>
                <w:p w14:paraId="0DD883CB">
                  <w:pPr>
                    <w:pStyle w:val="41"/>
                    <w:bidi w:val="0"/>
                    <w:rPr>
                      <w:rFonts w:hint="default"/>
                    </w:rPr>
                  </w:pPr>
                  <w:r>
                    <w:rPr>
                      <w:rFonts w:hint="default"/>
                    </w:rPr>
                    <w:t>□清净下水排放</w:t>
                  </w:r>
                </w:p>
                <w:p w14:paraId="37E36B74">
                  <w:pPr>
                    <w:pStyle w:val="41"/>
                    <w:bidi w:val="0"/>
                    <w:rPr>
                      <w:rFonts w:hint="default"/>
                    </w:rPr>
                  </w:pPr>
                  <w:r>
                    <w:rPr>
                      <w:rFonts w:hint="default"/>
                    </w:rPr>
                    <w:t>□温排水排放</w:t>
                  </w:r>
                </w:p>
                <w:p w14:paraId="26218F2E">
                  <w:pPr>
                    <w:pStyle w:val="41"/>
                    <w:bidi w:val="0"/>
                    <w:rPr>
                      <w:rFonts w:hint="default"/>
                    </w:rPr>
                  </w:pPr>
                  <w:r>
                    <w:rPr>
                      <w:rFonts w:hint="default"/>
                    </w:rPr>
                    <w:t>□车间或车间处理设施排放口</w:t>
                  </w:r>
                </w:p>
              </w:tc>
            </w:tr>
          </w:tbl>
          <w:p w14:paraId="54491BF8">
            <w:pPr>
              <w:pStyle w:val="40"/>
              <w:bidi w:val="0"/>
              <w:rPr>
                <w:rFonts w:hint="default"/>
              </w:rPr>
            </w:pPr>
            <w:r>
              <w:rPr>
                <w:rFonts w:hint="default"/>
              </w:rPr>
              <w:t>（2）废水排放口基本情况</w:t>
            </w:r>
          </w:p>
          <w:p w14:paraId="70804EA7">
            <w:pPr>
              <w:pStyle w:val="40"/>
              <w:bidi w:val="0"/>
              <w:rPr>
                <w:rFonts w:hint="default"/>
              </w:rPr>
            </w:pPr>
            <w:r>
              <w:rPr>
                <w:rFonts w:hint="default"/>
              </w:rPr>
              <w:t>项目废水排放口基本情况见下表4-</w:t>
            </w:r>
            <w:r>
              <w:rPr>
                <w:rFonts w:hint="default"/>
                <w:lang w:val="en-US" w:eastAsia="zh-CN"/>
              </w:rPr>
              <w:t>1</w:t>
            </w:r>
            <w:r>
              <w:rPr>
                <w:rFonts w:hint="eastAsia"/>
                <w:lang w:val="en-US" w:eastAsia="zh-CN"/>
              </w:rPr>
              <w:t>4</w:t>
            </w:r>
            <w:r>
              <w:rPr>
                <w:rFonts w:hint="default"/>
              </w:rPr>
              <w:t>。</w:t>
            </w:r>
          </w:p>
          <w:p w14:paraId="2FEAC316">
            <w:pPr>
              <w:pStyle w:val="42"/>
              <w:bidi w:val="0"/>
              <w:rPr>
                <w:rFonts w:hint="default"/>
              </w:rPr>
            </w:pPr>
            <w:r>
              <w:rPr>
                <w:rFonts w:hint="default"/>
              </w:rPr>
              <w:t>表4-</w:t>
            </w:r>
            <w:r>
              <w:rPr>
                <w:rFonts w:hint="eastAsia"/>
                <w:lang w:val="en-US" w:eastAsia="zh-CN"/>
              </w:rPr>
              <w:t>14</w:t>
            </w:r>
            <w:r>
              <w:rPr>
                <w:rFonts w:hint="default"/>
              </w:rPr>
              <w:t xml:space="preserve">  废水间接排放口基本情况表</w:t>
            </w:r>
          </w:p>
          <w:tbl>
            <w:tblPr>
              <w:tblStyle w:val="33"/>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83"/>
              <w:gridCol w:w="877"/>
              <w:gridCol w:w="800"/>
              <w:gridCol w:w="888"/>
              <w:gridCol w:w="712"/>
              <w:gridCol w:w="1211"/>
              <w:gridCol w:w="689"/>
              <w:gridCol w:w="908"/>
              <w:gridCol w:w="730"/>
              <w:gridCol w:w="875"/>
            </w:tblGrid>
            <w:tr w14:paraId="4DFD535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83" w:type="dxa"/>
                  <w:vMerge w:val="restart"/>
                  <w:noWrap w:val="0"/>
                  <w:vAlign w:val="center"/>
                </w:tcPr>
                <w:p w14:paraId="14B41533">
                  <w:pPr>
                    <w:pStyle w:val="41"/>
                    <w:bidi w:val="0"/>
                    <w:rPr>
                      <w:rFonts w:hint="default"/>
                    </w:rPr>
                  </w:pPr>
                  <w:r>
                    <w:rPr>
                      <w:rFonts w:hint="default"/>
                    </w:rPr>
                    <w:t>排放口编号</w:t>
                  </w:r>
                </w:p>
              </w:tc>
              <w:tc>
                <w:tcPr>
                  <w:tcW w:w="1677" w:type="dxa"/>
                  <w:gridSpan w:val="2"/>
                  <w:noWrap w:val="0"/>
                  <w:vAlign w:val="center"/>
                </w:tcPr>
                <w:p w14:paraId="6D64F6F0">
                  <w:pPr>
                    <w:pStyle w:val="41"/>
                    <w:bidi w:val="0"/>
                    <w:rPr>
                      <w:rFonts w:hint="default"/>
                    </w:rPr>
                  </w:pPr>
                  <w:r>
                    <w:rPr>
                      <w:rFonts w:hint="default"/>
                    </w:rPr>
                    <w:t>排放口地理坐标</w:t>
                  </w:r>
                </w:p>
              </w:tc>
              <w:tc>
                <w:tcPr>
                  <w:tcW w:w="888" w:type="dxa"/>
                  <w:vMerge w:val="restart"/>
                  <w:noWrap w:val="0"/>
                  <w:vAlign w:val="center"/>
                </w:tcPr>
                <w:p w14:paraId="2857CF42">
                  <w:pPr>
                    <w:pStyle w:val="41"/>
                    <w:bidi w:val="0"/>
                    <w:rPr>
                      <w:rFonts w:hint="default"/>
                    </w:rPr>
                  </w:pPr>
                  <w:r>
                    <w:rPr>
                      <w:rFonts w:hint="default"/>
                    </w:rPr>
                    <w:t>废水排放量/（万t/a）</w:t>
                  </w:r>
                </w:p>
              </w:tc>
              <w:tc>
                <w:tcPr>
                  <w:tcW w:w="712" w:type="dxa"/>
                  <w:vMerge w:val="restart"/>
                  <w:noWrap w:val="0"/>
                  <w:vAlign w:val="center"/>
                </w:tcPr>
                <w:p w14:paraId="7A6EC89E">
                  <w:pPr>
                    <w:pStyle w:val="41"/>
                    <w:bidi w:val="0"/>
                    <w:rPr>
                      <w:rFonts w:hint="default"/>
                    </w:rPr>
                  </w:pPr>
                  <w:r>
                    <w:rPr>
                      <w:rFonts w:hint="default"/>
                    </w:rPr>
                    <w:t>排放去向</w:t>
                  </w:r>
                </w:p>
              </w:tc>
              <w:tc>
                <w:tcPr>
                  <w:tcW w:w="1211" w:type="dxa"/>
                  <w:vMerge w:val="restart"/>
                  <w:noWrap w:val="0"/>
                  <w:vAlign w:val="center"/>
                </w:tcPr>
                <w:p w14:paraId="7B4B6B49">
                  <w:pPr>
                    <w:pStyle w:val="41"/>
                    <w:bidi w:val="0"/>
                    <w:rPr>
                      <w:rFonts w:hint="default"/>
                    </w:rPr>
                  </w:pPr>
                  <w:r>
                    <w:rPr>
                      <w:rFonts w:hint="default"/>
                    </w:rPr>
                    <w:t>排放规律</w:t>
                  </w:r>
                </w:p>
              </w:tc>
              <w:tc>
                <w:tcPr>
                  <w:tcW w:w="689" w:type="dxa"/>
                  <w:vMerge w:val="restart"/>
                  <w:noWrap w:val="0"/>
                  <w:vAlign w:val="center"/>
                </w:tcPr>
                <w:p w14:paraId="6ABAC01F">
                  <w:pPr>
                    <w:pStyle w:val="41"/>
                    <w:bidi w:val="0"/>
                    <w:rPr>
                      <w:rFonts w:hint="default"/>
                    </w:rPr>
                  </w:pPr>
                  <w:r>
                    <w:rPr>
                      <w:rFonts w:hint="default"/>
                    </w:rPr>
                    <w:t>间歇排放时段</w:t>
                  </w:r>
                </w:p>
              </w:tc>
              <w:tc>
                <w:tcPr>
                  <w:tcW w:w="2513" w:type="dxa"/>
                  <w:gridSpan w:val="3"/>
                  <w:noWrap w:val="0"/>
                  <w:vAlign w:val="center"/>
                </w:tcPr>
                <w:p w14:paraId="10CBC9A3">
                  <w:pPr>
                    <w:pStyle w:val="41"/>
                    <w:bidi w:val="0"/>
                    <w:rPr>
                      <w:rFonts w:hint="default"/>
                    </w:rPr>
                  </w:pPr>
                  <w:r>
                    <w:rPr>
                      <w:rFonts w:hint="default"/>
                    </w:rPr>
                    <w:t>受纳污水处理厂信息</w:t>
                  </w:r>
                </w:p>
              </w:tc>
            </w:tr>
            <w:tr w14:paraId="2DAF908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83" w:type="dxa"/>
                  <w:vMerge w:val="continue"/>
                  <w:noWrap w:val="0"/>
                  <w:vAlign w:val="center"/>
                </w:tcPr>
                <w:p w14:paraId="45842601">
                  <w:pPr>
                    <w:pStyle w:val="41"/>
                    <w:bidi w:val="0"/>
                    <w:rPr>
                      <w:rFonts w:hint="default"/>
                    </w:rPr>
                  </w:pPr>
                </w:p>
              </w:tc>
              <w:tc>
                <w:tcPr>
                  <w:tcW w:w="877" w:type="dxa"/>
                  <w:noWrap w:val="0"/>
                  <w:vAlign w:val="center"/>
                </w:tcPr>
                <w:p w14:paraId="450AD1E4">
                  <w:pPr>
                    <w:pStyle w:val="41"/>
                    <w:bidi w:val="0"/>
                    <w:rPr>
                      <w:rFonts w:hint="default"/>
                    </w:rPr>
                  </w:pPr>
                  <w:r>
                    <w:rPr>
                      <w:rFonts w:hint="default"/>
                    </w:rPr>
                    <w:t>经度</w:t>
                  </w:r>
                </w:p>
              </w:tc>
              <w:tc>
                <w:tcPr>
                  <w:tcW w:w="800" w:type="dxa"/>
                  <w:noWrap w:val="0"/>
                  <w:vAlign w:val="center"/>
                </w:tcPr>
                <w:p w14:paraId="02F8F539">
                  <w:pPr>
                    <w:pStyle w:val="41"/>
                    <w:bidi w:val="0"/>
                    <w:rPr>
                      <w:rFonts w:hint="default"/>
                    </w:rPr>
                  </w:pPr>
                  <w:r>
                    <w:rPr>
                      <w:rFonts w:hint="default"/>
                    </w:rPr>
                    <w:t>纬度</w:t>
                  </w:r>
                </w:p>
              </w:tc>
              <w:tc>
                <w:tcPr>
                  <w:tcW w:w="888" w:type="dxa"/>
                  <w:vMerge w:val="continue"/>
                  <w:noWrap w:val="0"/>
                  <w:vAlign w:val="center"/>
                </w:tcPr>
                <w:p w14:paraId="0E20AFF2">
                  <w:pPr>
                    <w:pStyle w:val="41"/>
                    <w:bidi w:val="0"/>
                    <w:rPr>
                      <w:rFonts w:hint="default"/>
                    </w:rPr>
                  </w:pPr>
                </w:p>
              </w:tc>
              <w:tc>
                <w:tcPr>
                  <w:tcW w:w="712" w:type="dxa"/>
                  <w:vMerge w:val="continue"/>
                  <w:noWrap w:val="0"/>
                  <w:vAlign w:val="center"/>
                </w:tcPr>
                <w:p w14:paraId="44A8013D">
                  <w:pPr>
                    <w:pStyle w:val="41"/>
                    <w:bidi w:val="0"/>
                    <w:rPr>
                      <w:rFonts w:hint="default"/>
                    </w:rPr>
                  </w:pPr>
                </w:p>
              </w:tc>
              <w:tc>
                <w:tcPr>
                  <w:tcW w:w="1211" w:type="dxa"/>
                  <w:vMerge w:val="continue"/>
                  <w:noWrap w:val="0"/>
                  <w:vAlign w:val="center"/>
                </w:tcPr>
                <w:p w14:paraId="35D90BC2">
                  <w:pPr>
                    <w:pStyle w:val="41"/>
                    <w:bidi w:val="0"/>
                    <w:rPr>
                      <w:rFonts w:hint="default"/>
                    </w:rPr>
                  </w:pPr>
                </w:p>
              </w:tc>
              <w:tc>
                <w:tcPr>
                  <w:tcW w:w="689" w:type="dxa"/>
                  <w:vMerge w:val="continue"/>
                  <w:noWrap w:val="0"/>
                  <w:vAlign w:val="center"/>
                </w:tcPr>
                <w:p w14:paraId="4B999676">
                  <w:pPr>
                    <w:pStyle w:val="41"/>
                    <w:bidi w:val="0"/>
                    <w:rPr>
                      <w:rFonts w:hint="default"/>
                    </w:rPr>
                  </w:pPr>
                </w:p>
              </w:tc>
              <w:tc>
                <w:tcPr>
                  <w:tcW w:w="908" w:type="dxa"/>
                  <w:noWrap w:val="0"/>
                  <w:vAlign w:val="center"/>
                </w:tcPr>
                <w:p w14:paraId="04D4E117">
                  <w:pPr>
                    <w:pStyle w:val="41"/>
                    <w:bidi w:val="0"/>
                    <w:rPr>
                      <w:rFonts w:hint="default"/>
                    </w:rPr>
                  </w:pPr>
                  <w:r>
                    <w:rPr>
                      <w:rFonts w:hint="default"/>
                    </w:rPr>
                    <w:t>名称</w:t>
                  </w:r>
                </w:p>
              </w:tc>
              <w:tc>
                <w:tcPr>
                  <w:tcW w:w="730" w:type="dxa"/>
                  <w:noWrap w:val="0"/>
                  <w:vAlign w:val="center"/>
                </w:tcPr>
                <w:p w14:paraId="2A38AE81">
                  <w:pPr>
                    <w:pStyle w:val="41"/>
                    <w:bidi w:val="0"/>
                    <w:rPr>
                      <w:rFonts w:hint="default"/>
                    </w:rPr>
                  </w:pPr>
                  <w:r>
                    <w:rPr>
                      <w:rFonts w:hint="default"/>
                    </w:rPr>
                    <w:t>污染物种类</w:t>
                  </w:r>
                </w:p>
              </w:tc>
              <w:tc>
                <w:tcPr>
                  <w:tcW w:w="875" w:type="dxa"/>
                  <w:noWrap w:val="0"/>
                  <w:vAlign w:val="center"/>
                </w:tcPr>
                <w:p w14:paraId="07186882">
                  <w:pPr>
                    <w:pStyle w:val="41"/>
                    <w:bidi w:val="0"/>
                    <w:rPr>
                      <w:rFonts w:hint="default"/>
                    </w:rPr>
                  </w:pPr>
                  <w:r>
                    <w:rPr>
                      <w:rFonts w:hint="default"/>
                    </w:rPr>
                    <w:t>国家或地方污染物排放标准浓度限值/(mg/L)</w:t>
                  </w:r>
                </w:p>
              </w:tc>
            </w:tr>
            <w:tr w14:paraId="42C4909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83" w:type="dxa"/>
                  <w:vMerge w:val="restart"/>
                  <w:noWrap w:val="0"/>
                  <w:vAlign w:val="center"/>
                </w:tcPr>
                <w:p w14:paraId="73E92D9F">
                  <w:pPr>
                    <w:pStyle w:val="41"/>
                    <w:bidi w:val="0"/>
                    <w:rPr>
                      <w:rFonts w:hint="default"/>
                    </w:rPr>
                  </w:pPr>
                  <w:r>
                    <w:rPr>
                      <w:rFonts w:hint="default"/>
                    </w:rPr>
                    <w:t>DW001</w:t>
                  </w:r>
                </w:p>
              </w:tc>
              <w:tc>
                <w:tcPr>
                  <w:tcW w:w="877" w:type="dxa"/>
                  <w:vMerge w:val="restart"/>
                  <w:noWrap w:val="0"/>
                  <w:vAlign w:val="center"/>
                </w:tcPr>
                <w:p w14:paraId="093C3041">
                  <w:pPr>
                    <w:pStyle w:val="41"/>
                    <w:bidi w:val="0"/>
                    <w:rPr>
                      <w:rFonts w:hint="eastAsia" w:eastAsia="宋体"/>
                      <w:lang w:val="en-US" w:eastAsia="zh-CN"/>
                    </w:rPr>
                  </w:pPr>
                  <w:r>
                    <w:rPr>
                      <w:rFonts w:hint="default"/>
                    </w:rPr>
                    <w:t>110.124645</w:t>
                  </w:r>
                  <w:r>
                    <w:rPr>
                      <w:rFonts w:hint="eastAsia"/>
                      <w:lang w:val="en-US" w:eastAsia="zh-CN"/>
                    </w:rPr>
                    <w:t>°E</w:t>
                  </w:r>
                </w:p>
              </w:tc>
              <w:tc>
                <w:tcPr>
                  <w:tcW w:w="800" w:type="dxa"/>
                  <w:vMerge w:val="restart"/>
                  <w:noWrap w:val="0"/>
                  <w:vAlign w:val="center"/>
                </w:tcPr>
                <w:p w14:paraId="5F631042">
                  <w:pPr>
                    <w:pStyle w:val="41"/>
                    <w:bidi w:val="0"/>
                    <w:rPr>
                      <w:rFonts w:hint="eastAsia" w:eastAsia="宋体"/>
                      <w:lang w:val="en-US" w:eastAsia="zh-CN"/>
                    </w:rPr>
                  </w:pPr>
                  <w:r>
                    <w:rPr>
                      <w:rFonts w:hint="default"/>
                    </w:rPr>
                    <w:t>27.649288</w:t>
                  </w:r>
                  <w:r>
                    <w:rPr>
                      <w:rFonts w:hint="eastAsia"/>
                      <w:lang w:val="en-US" w:eastAsia="zh-CN"/>
                    </w:rPr>
                    <w:t>°N</w:t>
                  </w:r>
                </w:p>
              </w:tc>
              <w:tc>
                <w:tcPr>
                  <w:tcW w:w="888" w:type="dxa"/>
                  <w:vMerge w:val="restart"/>
                  <w:noWrap w:val="0"/>
                  <w:vAlign w:val="center"/>
                </w:tcPr>
                <w:p w14:paraId="419D53CD">
                  <w:pPr>
                    <w:pStyle w:val="41"/>
                    <w:bidi w:val="0"/>
                    <w:rPr>
                      <w:rFonts w:hint="default"/>
                      <w:lang w:val="en-US" w:eastAsia="zh-CN"/>
                    </w:rPr>
                  </w:pPr>
                  <w:r>
                    <w:rPr>
                      <w:rFonts w:hint="eastAsia"/>
                      <w:lang w:val="en-US" w:eastAsia="zh-CN"/>
                    </w:rPr>
                    <w:t>0.096</w:t>
                  </w:r>
                </w:p>
              </w:tc>
              <w:tc>
                <w:tcPr>
                  <w:tcW w:w="712" w:type="dxa"/>
                  <w:vMerge w:val="restart"/>
                  <w:noWrap w:val="0"/>
                  <w:vAlign w:val="center"/>
                </w:tcPr>
                <w:p w14:paraId="7A365A98">
                  <w:pPr>
                    <w:pStyle w:val="41"/>
                    <w:bidi w:val="0"/>
                    <w:rPr>
                      <w:rFonts w:hint="default"/>
                      <w:lang w:val="en-US"/>
                    </w:rPr>
                  </w:pPr>
                  <w:r>
                    <w:rPr>
                      <w:rFonts w:hint="eastAsia"/>
                      <w:lang w:val="en-US" w:eastAsia="zh-CN"/>
                    </w:rPr>
                    <w:t>中方产业开发区（泸阳镇）污水处理厂</w:t>
                  </w:r>
                </w:p>
              </w:tc>
              <w:tc>
                <w:tcPr>
                  <w:tcW w:w="1211" w:type="dxa"/>
                  <w:vMerge w:val="restart"/>
                  <w:noWrap w:val="0"/>
                  <w:vAlign w:val="center"/>
                </w:tcPr>
                <w:p w14:paraId="127E469F">
                  <w:pPr>
                    <w:pStyle w:val="41"/>
                    <w:bidi w:val="0"/>
                    <w:rPr>
                      <w:rFonts w:hint="default"/>
                    </w:rPr>
                  </w:pPr>
                  <w:r>
                    <w:rPr>
                      <w:rFonts w:hint="default"/>
                    </w:rPr>
                    <w:t>间断排放，排放期间流量不稳定且无规律，但不属于冲击型排放</w:t>
                  </w:r>
                </w:p>
              </w:tc>
              <w:tc>
                <w:tcPr>
                  <w:tcW w:w="689" w:type="dxa"/>
                  <w:vMerge w:val="restart"/>
                  <w:noWrap w:val="0"/>
                  <w:vAlign w:val="center"/>
                </w:tcPr>
                <w:p w14:paraId="6E34F4FE">
                  <w:pPr>
                    <w:pStyle w:val="41"/>
                    <w:bidi w:val="0"/>
                    <w:rPr>
                      <w:rFonts w:hint="default"/>
                      <w:lang w:val="en-US" w:eastAsia="zh-CN"/>
                    </w:rPr>
                  </w:pPr>
                  <w:r>
                    <w:rPr>
                      <w:rFonts w:hint="default"/>
                      <w:lang w:val="en-US" w:eastAsia="zh-CN"/>
                    </w:rPr>
                    <w:t>昼间工作时段</w:t>
                  </w:r>
                </w:p>
              </w:tc>
              <w:tc>
                <w:tcPr>
                  <w:tcW w:w="908" w:type="dxa"/>
                  <w:vMerge w:val="restart"/>
                  <w:noWrap w:val="0"/>
                  <w:vAlign w:val="center"/>
                </w:tcPr>
                <w:p w14:paraId="6B209B27">
                  <w:pPr>
                    <w:pStyle w:val="41"/>
                    <w:bidi w:val="0"/>
                    <w:rPr>
                      <w:rFonts w:hint="default"/>
                      <w:lang w:val="en-US"/>
                    </w:rPr>
                  </w:pPr>
                  <w:r>
                    <w:rPr>
                      <w:rFonts w:hint="eastAsia"/>
                      <w:lang w:val="en-US" w:eastAsia="zh-CN"/>
                    </w:rPr>
                    <w:t>中方产业开发区（泸阳镇）污水处理厂</w:t>
                  </w:r>
                </w:p>
              </w:tc>
              <w:tc>
                <w:tcPr>
                  <w:tcW w:w="730" w:type="dxa"/>
                  <w:noWrap w:val="0"/>
                  <w:vAlign w:val="center"/>
                </w:tcPr>
                <w:p w14:paraId="5A252672">
                  <w:pPr>
                    <w:pStyle w:val="41"/>
                    <w:bidi w:val="0"/>
                    <w:rPr>
                      <w:rFonts w:hint="default"/>
                    </w:rPr>
                  </w:pPr>
                  <w:r>
                    <w:rPr>
                      <w:rFonts w:hint="default"/>
                    </w:rPr>
                    <w:t>pH</w:t>
                  </w:r>
                </w:p>
              </w:tc>
              <w:tc>
                <w:tcPr>
                  <w:tcW w:w="875" w:type="dxa"/>
                  <w:noWrap w:val="0"/>
                  <w:vAlign w:val="center"/>
                </w:tcPr>
                <w:p w14:paraId="70EFB753">
                  <w:pPr>
                    <w:pStyle w:val="41"/>
                    <w:bidi w:val="0"/>
                    <w:rPr>
                      <w:rFonts w:hint="default"/>
                    </w:rPr>
                  </w:pPr>
                  <w:r>
                    <w:rPr>
                      <w:rFonts w:hint="default"/>
                    </w:rPr>
                    <w:t>6~9</w:t>
                  </w:r>
                </w:p>
              </w:tc>
            </w:tr>
            <w:tr w14:paraId="2E470F4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83" w:type="dxa"/>
                  <w:vMerge w:val="continue"/>
                  <w:noWrap w:val="0"/>
                  <w:vAlign w:val="center"/>
                </w:tcPr>
                <w:p w14:paraId="12E9CC7D">
                  <w:pPr>
                    <w:pStyle w:val="41"/>
                    <w:bidi w:val="0"/>
                    <w:rPr>
                      <w:rFonts w:hint="default"/>
                    </w:rPr>
                  </w:pPr>
                </w:p>
              </w:tc>
              <w:tc>
                <w:tcPr>
                  <w:tcW w:w="877" w:type="dxa"/>
                  <w:vMerge w:val="continue"/>
                  <w:noWrap w:val="0"/>
                  <w:vAlign w:val="center"/>
                </w:tcPr>
                <w:p w14:paraId="4B8BEE56">
                  <w:pPr>
                    <w:pStyle w:val="41"/>
                    <w:bidi w:val="0"/>
                    <w:rPr>
                      <w:rFonts w:hint="default"/>
                    </w:rPr>
                  </w:pPr>
                </w:p>
              </w:tc>
              <w:tc>
                <w:tcPr>
                  <w:tcW w:w="800" w:type="dxa"/>
                  <w:vMerge w:val="continue"/>
                  <w:noWrap w:val="0"/>
                  <w:vAlign w:val="center"/>
                </w:tcPr>
                <w:p w14:paraId="7EDB217D">
                  <w:pPr>
                    <w:pStyle w:val="41"/>
                    <w:bidi w:val="0"/>
                    <w:rPr>
                      <w:rFonts w:hint="default"/>
                    </w:rPr>
                  </w:pPr>
                </w:p>
              </w:tc>
              <w:tc>
                <w:tcPr>
                  <w:tcW w:w="888" w:type="dxa"/>
                  <w:vMerge w:val="continue"/>
                  <w:noWrap w:val="0"/>
                  <w:vAlign w:val="center"/>
                </w:tcPr>
                <w:p w14:paraId="60534BCC">
                  <w:pPr>
                    <w:pStyle w:val="41"/>
                    <w:bidi w:val="0"/>
                    <w:rPr>
                      <w:rFonts w:hint="default"/>
                    </w:rPr>
                  </w:pPr>
                </w:p>
              </w:tc>
              <w:tc>
                <w:tcPr>
                  <w:tcW w:w="712" w:type="dxa"/>
                  <w:vMerge w:val="continue"/>
                  <w:noWrap w:val="0"/>
                  <w:vAlign w:val="center"/>
                </w:tcPr>
                <w:p w14:paraId="109E19C6">
                  <w:pPr>
                    <w:pStyle w:val="41"/>
                    <w:bidi w:val="0"/>
                    <w:rPr>
                      <w:rFonts w:hint="default"/>
                    </w:rPr>
                  </w:pPr>
                </w:p>
              </w:tc>
              <w:tc>
                <w:tcPr>
                  <w:tcW w:w="1211" w:type="dxa"/>
                  <w:vMerge w:val="continue"/>
                  <w:noWrap w:val="0"/>
                  <w:vAlign w:val="center"/>
                </w:tcPr>
                <w:p w14:paraId="701CC1AC">
                  <w:pPr>
                    <w:pStyle w:val="41"/>
                    <w:bidi w:val="0"/>
                    <w:rPr>
                      <w:rFonts w:hint="default"/>
                    </w:rPr>
                  </w:pPr>
                </w:p>
              </w:tc>
              <w:tc>
                <w:tcPr>
                  <w:tcW w:w="689" w:type="dxa"/>
                  <w:vMerge w:val="continue"/>
                  <w:noWrap w:val="0"/>
                  <w:vAlign w:val="center"/>
                </w:tcPr>
                <w:p w14:paraId="61C58361">
                  <w:pPr>
                    <w:pStyle w:val="41"/>
                    <w:bidi w:val="0"/>
                    <w:rPr>
                      <w:rFonts w:hint="default"/>
                    </w:rPr>
                  </w:pPr>
                </w:p>
              </w:tc>
              <w:tc>
                <w:tcPr>
                  <w:tcW w:w="908" w:type="dxa"/>
                  <w:vMerge w:val="continue"/>
                  <w:noWrap w:val="0"/>
                  <w:vAlign w:val="center"/>
                </w:tcPr>
                <w:p w14:paraId="37CB05DA">
                  <w:pPr>
                    <w:pStyle w:val="41"/>
                    <w:bidi w:val="0"/>
                    <w:rPr>
                      <w:rFonts w:hint="default"/>
                    </w:rPr>
                  </w:pPr>
                </w:p>
              </w:tc>
              <w:tc>
                <w:tcPr>
                  <w:tcW w:w="730" w:type="dxa"/>
                  <w:noWrap w:val="0"/>
                  <w:vAlign w:val="center"/>
                </w:tcPr>
                <w:p w14:paraId="7791ECFF">
                  <w:pPr>
                    <w:pStyle w:val="41"/>
                    <w:bidi w:val="0"/>
                    <w:rPr>
                      <w:rFonts w:hint="default"/>
                    </w:rPr>
                  </w:pPr>
                  <w:r>
                    <w:rPr>
                      <w:rFonts w:hint="default"/>
                    </w:rPr>
                    <w:t>COD</w:t>
                  </w:r>
                </w:p>
              </w:tc>
              <w:tc>
                <w:tcPr>
                  <w:tcW w:w="875" w:type="dxa"/>
                  <w:noWrap w:val="0"/>
                  <w:vAlign w:val="center"/>
                </w:tcPr>
                <w:p w14:paraId="4C3DCAE1">
                  <w:pPr>
                    <w:pStyle w:val="41"/>
                    <w:bidi w:val="0"/>
                    <w:rPr>
                      <w:rFonts w:hint="default"/>
                    </w:rPr>
                  </w:pPr>
                  <w:r>
                    <w:rPr>
                      <w:rFonts w:hint="default"/>
                    </w:rPr>
                    <w:t>50</w:t>
                  </w:r>
                </w:p>
              </w:tc>
            </w:tr>
            <w:tr w14:paraId="5928EF5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83" w:type="dxa"/>
                  <w:vMerge w:val="continue"/>
                  <w:noWrap w:val="0"/>
                  <w:vAlign w:val="center"/>
                </w:tcPr>
                <w:p w14:paraId="78F4BC6F">
                  <w:pPr>
                    <w:pStyle w:val="41"/>
                    <w:bidi w:val="0"/>
                    <w:rPr>
                      <w:rFonts w:hint="default"/>
                    </w:rPr>
                  </w:pPr>
                </w:p>
              </w:tc>
              <w:tc>
                <w:tcPr>
                  <w:tcW w:w="877" w:type="dxa"/>
                  <w:vMerge w:val="continue"/>
                  <w:noWrap w:val="0"/>
                  <w:vAlign w:val="center"/>
                </w:tcPr>
                <w:p w14:paraId="011C4333">
                  <w:pPr>
                    <w:pStyle w:val="41"/>
                    <w:bidi w:val="0"/>
                    <w:rPr>
                      <w:rFonts w:hint="default"/>
                    </w:rPr>
                  </w:pPr>
                </w:p>
              </w:tc>
              <w:tc>
                <w:tcPr>
                  <w:tcW w:w="800" w:type="dxa"/>
                  <w:vMerge w:val="continue"/>
                  <w:noWrap w:val="0"/>
                  <w:vAlign w:val="center"/>
                </w:tcPr>
                <w:p w14:paraId="1B475048">
                  <w:pPr>
                    <w:pStyle w:val="41"/>
                    <w:bidi w:val="0"/>
                    <w:rPr>
                      <w:rFonts w:hint="default"/>
                    </w:rPr>
                  </w:pPr>
                </w:p>
              </w:tc>
              <w:tc>
                <w:tcPr>
                  <w:tcW w:w="888" w:type="dxa"/>
                  <w:vMerge w:val="continue"/>
                  <w:noWrap w:val="0"/>
                  <w:vAlign w:val="center"/>
                </w:tcPr>
                <w:p w14:paraId="7E10ABC9">
                  <w:pPr>
                    <w:pStyle w:val="41"/>
                    <w:bidi w:val="0"/>
                    <w:rPr>
                      <w:rFonts w:hint="default"/>
                    </w:rPr>
                  </w:pPr>
                </w:p>
              </w:tc>
              <w:tc>
                <w:tcPr>
                  <w:tcW w:w="712" w:type="dxa"/>
                  <w:vMerge w:val="continue"/>
                  <w:noWrap w:val="0"/>
                  <w:vAlign w:val="center"/>
                </w:tcPr>
                <w:p w14:paraId="244B6966">
                  <w:pPr>
                    <w:pStyle w:val="41"/>
                    <w:bidi w:val="0"/>
                    <w:rPr>
                      <w:rFonts w:hint="default"/>
                    </w:rPr>
                  </w:pPr>
                </w:p>
              </w:tc>
              <w:tc>
                <w:tcPr>
                  <w:tcW w:w="1211" w:type="dxa"/>
                  <w:vMerge w:val="continue"/>
                  <w:noWrap w:val="0"/>
                  <w:vAlign w:val="center"/>
                </w:tcPr>
                <w:p w14:paraId="22F1CB4E">
                  <w:pPr>
                    <w:pStyle w:val="41"/>
                    <w:bidi w:val="0"/>
                    <w:rPr>
                      <w:rFonts w:hint="default"/>
                    </w:rPr>
                  </w:pPr>
                </w:p>
              </w:tc>
              <w:tc>
                <w:tcPr>
                  <w:tcW w:w="689" w:type="dxa"/>
                  <w:vMerge w:val="continue"/>
                  <w:noWrap w:val="0"/>
                  <w:vAlign w:val="center"/>
                </w:tcPr>
                <w:p w14:paraId="1F471D66">
                  <w:pPr>
                    <w:pStyle w:val="41"/>
                    <w:bidi w:val="0"/>
                    <w:rPr>
                      <w:rFonts w:hint="default"/>
                    </w:rPr>
                  </w:pPr>
                </w:p>
              </w:tc>
              <w:tc>
                <w:tcPr>
                  <w:tcW w:w="908" w:type="dxa"/>
                  <w:vMerge w:val="continue"/>
                  <w:noWrap w:val="0"/>
                  <w:vAlign w:val="center"/>
                </w:tcPr>
                <w:p w14:paraId="48D407F7">
                  <w:pPr>
                    <w:pStyle w:val="41"/>
                    <w:bidi w:val="0"/>
                    <w:rPr>
                      <w:rFonts w:hint="default"/>
                    </w:rPr>
                  </w:pPr>
                </w:p>
              </w:tc>
              <w:tc>
                <w:tcPr>
                  <w:tcW w:w="730" w:type="dxa"/>
                  <w:noWrap w:val="0"/>
                  <w:vAlign w:val="center"/>
                </w:tcPr>
                <w:p w14:paraId="3990761A">
                  <w:pPr>
                    <w:pStyle w:val="41"/>
                    <w:bidi w:val="0"/>
                    <w:rPr>
                      <w:rFonts w:hint="default"/>
                    </w:rPr>
                  </w:pPr>
                  <w:r>
                    <w:rPr>
                      <w:rFonts w:hint="default"/>
                    </w:rPr>
                    <w:t>BOD</w:t>
                  </w:r>
                  <w:r>
                    <w:rPr>
                      <w:rFonts w:hint="default"/>
                      <w:vertAlign w:val="subscript"/>
                    </w:rPr>
                    <w:t>5</w:t>
                  </w:r>
                </w:p>
              </w:tc>
              <w:tc>
                <w:tcPr>
                  <w:tcW w:w="875" w:type="dxa"/>
                  <w:noWrap w:val="0"/>
                  <w:vAlign w:val="center"/>
                </w:tcPr>
                <w:p w14:paraId="46BC18FB">
                  <w:pPr>
                    <w:pStyle w:val="41"/>
                    <w:bidi w:val="0"/>
                    <w:rPr>
                      <w:rFonts w:hint="default"/>
                    </w:rPr>
                  </w:pPr>
                  <w:r>
                    <w:rPr>
                      <w:rFonts w:hint="default"/>
                    </w:rPr>
                    <w:t>10</w:t>
                  </w:r>
                </w:p>
              </w:tc>
            </w:tr>
            <w:tr w14:paraId="31D4EF5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83" w:type="dxa"/>
                  <w:vMerge w:val="continue"/>
                  <w:noWrap w:val="0"/>
                  <w:vAlign w:val="center"/>
                </w:tcPr>
                <w:p w14:paraId="76A7CB5A">
                  <w:pPr>
                    <w:pStyle w:val="41"/>
                    <w:bidi w:val="0"/>
                    <w:rPr>
                      <w:rFonts w:hint="default"/>
                    </w:rPr>
                  </w:pPr>
                </w:p>
              </w:tc>
              <w:tc>
                <w:tcPr>
                  <w:tcW w:w="877" w:type="dxa"/>
                  <w:vMerge w:val="continue"/>
                  <w:noWrap w:val="0"/>
                  <w:vAlign w:val="center"/>
                </w:tcPr>
                <w:p w14:paraId="11BC0659">
                  <w:pPr>
                    <w:pStyle w:val="41"/>
                    <w:bidi w:val="0"/>
                    <w:rPr>
                      <w:rFonts w:hint="default"/>
                    </w:rPr>
                  </w:pPr>
                </w:p>
              </w:tc>
              <w:tc>
                <w:tcPr>
                  <w:tcW w:w="800" w:type="dxa"/>
                  <w:vMerge w:val="continue"/>
                  <w:noWrap w:val="0"/>
                  <w:vAlign w:val="center"/>
                </w:tcPr>
                <w:p w14:paraId="6037AC63">
                  <w:pPr>
                    <w:pStyle w:val="41"/>
                    <w:bidi w:val="0"/>
                    <w:rPr>
                      <w:rFonts w:hint="default"/>
                    </w:rPr>
                  </w:pPr>
                </w:p>
              </w:tc>
              <w:tc>
                <w:tcPr>
                  <w:tcW w:w="888" w:type="dxa"/>
                  <w:vMerge w:val="continue"/>
                  <w:noWrap w:val="0"/>
                  <w:vAlign w:val="center"/>
                </w:tcPr>
                <w:p w14:paraId="10FD6313">
                  <w:pPr>
                    <w:pStyle w:val="41"/>
                    <w:bidi w:val="0"/>
                    <w:rPr>
                      <w:rFonts w:hint="default"/>
                    </w:rPr>
                  </w:pPr>
                </w:p>
              </w:tc>
              <w:tc>
                <w:tcPr>
                  <w:tcW w:w="712" w:type="dxa"/>
                  <w:vMerge w:val="continue"/>
                  <w:noWrap w:val="0"/>
                  <w:vAlign w:val="center"/>
                </w:tcPr>
                <w:p w14:paraId="06B8BCF2">
                  <w:pPr>
                    <w:pStyle w:val="41"/>
                    <w:bidi w:val="0"/>
                    <w:rPr>
                      <w:rFonts w:hint="default"/>
                    </w:rPr>
                  </w:pPr>
                </w:p>
              </w:tc>
              <w:tc>
                <w:tcPr>
                  <w:tcW w:w="1211" w:type="dxa"/>
                  <w:vMerge w:val="continue"/>
                  <w:noWrap w:val="0"/>
                  <w:vAlign w:val="center"/>
                </w:tcPr>
                <w:p w14:paraId="31D0EDFD">
                  <w:pPr>
                    <w:pStyle w:val="41"/>
                    <w:bidi w:val="0"/>
                    <w:rPr>
                      <w:rFonts w:hint="default"/>
                    </w:rPr>
                  </w:pPr>
                </w:p>
              </w:tc>
              <w:tc>
                <w:tcPr>
                  <w:tcW w:w="689" w:type="dxa"/>
                  <w:vMerge w:val="continue"/>
                  <w:noWrap w:val="0"/>
                  <w:vAlign w:val="center"/>
                </w:tcPr>
                <w:p w14:paraId="39C0B2D6">
                  <w:pPr>
                    <w:pStyle w:val="41"/>
                    <w:bidi w:val="0"/>
                    <w:rPr>
                      <w:rFonts w:hint="default"/>
                    </w:rPr>
                  </w:pPr>
                </w:p>
              </w:tc>
              <w:tc>
                <w:tcPr>
                  <w:tcW w:w="908" w:type="dxa"/>
                  <w:vMerge w:val="continue"/>
                  <w:noWrap w:val="0"/>
                  <w:vAlign w:val="center"/>
                </w:tcPr>
                <w:p w14:paraId="4EFC9A62">
                  <w:pPr>
                    <w:pStyle w:val="41"/>
                    <w:bidi w:val="0"/>
                    <w:rPr>
                      <w:rFonts w:hint="default"/>
                    </w:rPr>
                  </w:pPr>
                </w:p>
              </w:tc>
              <w:tc>
                <w:tcPr>
                  <w:tcW w:w="730" w:type="dxa"/>
                  <w:noWrap w:val="0"/>
                  <w:vAlign w:val="center"/>
                </w:tcPr>
                <w:p w14:paraId="40F2C113">
                  <w:pPr>
                    <w:pStyle w:val="41"/>
                    <w:bidi w:val="0"/>
                    <w:rPr>
                      <w:rFonts w:hint="default"/>
                    </w:rPr>
                  </w:pPr>
                  <w:r>
                    <w:rPr>
                      <w:rFonts w:hint="default"/>
                    </w:rPr>
                    <w:t>SS</w:t>
                  </w:r>
                </w:p>
              </w:tc>
              <w:tc>
                <w:tcPr>
                  <w:tcW w:w="875" w:type="dxa"/>
                  <w:noWrap w:val="0"/>
                  <w:vAlign w:val="center"/>
                </w:tcPr>
                <w:p w14:paraId="512FCE66">
                  <w:pPr>
                    <w:pStyle w:val="41"/>
                    <w:bidi w:val="0"/>
                    <w:rPr>
                      <w:rFonts w:hint="default"/>
                    </w:rPr>
                  </w:pPr>
                  <w:r>
                    <w:rPr>
                      <w:rFonts w:hint="default"/>
                    </w:rPr>
                    <w:t>10</w:t>
                  </w:r>
                </w:p>
              </w:tc>
            </w:tr>
            <w:tr w14:paraId="054BA40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83" w:type="dxa"/>
                  <w:vMerge w:val="continue"/>
                  <w:noWrap w:val="0"/>
                  <w:vAlign w:val="center"/>
                </w:tcPr>
                <w:p w14:paraId="1F6E22D5">
                  <w:pPr>
                    <w:pStyle w:val="41"/>
                    <w:bidi w:val="0"/>
                    <w:rPr>
                      <w:rFonts w:hint="default"/>
                    </w:rPr>
                  </w:pPr>
                </w:p>
              </w:tc>
              <w:tc>
                <w:tcPr>
                  <w:tcW w:w="877" w:type="dxa"/>
                  <w:vMerge w:val="continue"/>
                  <w:noWrap w:val="0"/>
                  <w:vAlign w:val="center"/>
                </w:tcPr>
                <w:p w14:paraId="6E34E0AB">
                  <w:pPr>
                    <w:pStyle w:val="41"/>
                    <w:bidi w:val="0"/>
                    <w:rPr>
                      <w:rFonts w:hint="default"/>
                    </w:rPr>
                  </w:pPr>
                </w:p>
              </w:tc>
              <w:tc>
                <w:tcPr>
                  <w:tcW w:w="800" w:type="dxa"/>
                  <w:vMerge w:val="continue"/>
                  <w:noWrap w:val="0"/>
                  <w:vAlign w:val="center"/>
                </w:tcPr>
                <w:p w14:paraId="0ECC738F">
                  <w:pPr>
                    <w:pStyle w:val="41"/>
                    <w:bidi w:val="0"/>
                    <w:rPr>
                      <w:rFonts w:hint="default"/>
                    </w:rPr>
                  </w:pPr>
                </w:p>
              </w:tc>
              <w:tc>
                <w:tcPr>
                  <w:tcW w:w="888" w:type="dxa"/>
                  <w:vMerge w:val="continue"/>
                  <w:noWrap w:val="0"/>
                  <w:vAlign w:val="center"/>
                </w:tcPr>
                <w:p w14:paraId="08427BD2">
                  <w:pPr>
                    <w:pStyle w:val="41"/>
                    <w:bidi w:val="0"/>
                    <w:rPr>
                      <w:rFonts w:hint="default"/>
                    </w:rPr>
                  </w:pPr>
                </w:p>
              </w:tc>
              <w:tc>
                <w:tcPr>
                  <w:tcW w:w="712" w:type="dxa"/>
                  <w:vMerge w:val="continue"/>
                  <w:noWrap w:val="0"/>
                  <w:vAlign w:val="center"/>
                </w:tcPr>
                <w:p w14:paraId="183B90B6">
                  <w:pPr>
                    <w:pStyle w:val="41"/>
                    <w:bidi w:val="0"/>
                    <w:rPr>
                      <w:rFonts w:hint="default"/>
                    </w:rPr>
                  </w:pPr>
                </w:p>
              </w:tc>
              <w:tc>
                <w:tcPr>
                  <w:tcW w:w="1211" w:type="dxa"/>
                  <w:vMerge w:val="continue"/>
                  <w:noWrap w:val="0"/>
                  <w:vAlign w:val="center"/>
                </w:tcPr>
                <w:p w14:paraId="155B0175">
                  <w:pPr>
                    <w:pStyle w:val="41"/>
                    <w:bidi w:val="0"/>
                    <w:rPr>
                      <w:rFonts w:hint="default"/>
                    </w:rPr>
                  </w:pPr>
                </w:p>
              </w:tc>
              <w:tc>
                <w:tcPr>
                  <w:tcW w:w="689" w:type="dxa"/>
                  <w:vMerge w:val="continue"/>
                  <w:noWrap w:val="0"/>
                  <w:vAlign w:val="center"/>
                </w:tcPr>
                <w:p w14:paraId="28788A97">
                  <w:pPr>
                    <w:pStyle w:val="41"/>
                    <w:bidi w:val="0"/>
                    <w:rPr>
                      <w:rFonts w:hint="default"/>
                    </w:rPr>
                  </w:pPr>
                </w:p>
              </w:tc>
              <w:tc>
                <w:tcPr>
                  <w:tcW w:w="908" w:type="dxa"/>
                  <w:vMerge w:val="continue"/>
                  <w:noWrap w:val="0"/>
                  <w:vAlign w:val="center"/>
                </w:tcPr>
                <w:p w14:paraId="4885138F">
                  <w:pPr>
                    <w:pStyle w:val="41"/>
                    <w:bidi w:val="0"/>
                    <w:rPr>
                      <w:rFonts w:hint="default"/>
                    </w:rPr>
                  </w:pPr>
                </w:p>
              </w:tc>
              <w:tc>
                <w:tcPr>
                  <w:tcW w:w="730" w:type="dxa"/>
                  <w:noWrap w:val="0"/>
                  <w:vAlign w:val="center"/>
                </w:tcPr>
                <w:p w14:paraId="539CF2EA">
                  <w:pPr>
                    <w:pStyle w:val="41"/>
                    <w:bidi w:val="0"/>
                    <w:rPr>
                      <w:rFonts w:hint="default"/>
                    </w:rPr>
                  </w:pPr>
                  <w:r>
                    <w:rPr>
                      <w:rFonts w:hint="default"/>
                    </w:rPr>
                    <w:t>氨氮</w:t>
                  </w:r>
                </w:p>
              </w:tc>
              <w:tc>
                <w:tcPr>
                  <w:tcW w:w="875" w:type="dxa"/>
                  <w:noWrap w:val="0"/>
                  <w:vAlign w:val="center"/>
                </w:tcPr>
                <w:p w14:paraId="2C724439">
                  <w:pPr>
                    <w:pStyle w:val="41"/>
                    <w:bidi w:val="0"/>
                    <w:rPr>
                      <w:rFonts w:hint="eastAsia" w:eastAsia="宋体"/>
                      <w:lang w:eastAsia="zh-CN"/>
                    </w:rPr>
                  </w:pPr>
                  <w:r>
                    <w:rPr>
                      <w:rFonts w:hint="default"/>
                    </w:rPr>
                    <w:t>5</w:t>
                  </w:r>
                  <w:r>
                    <w:rPr>
                      <w:rFonts w:hint="eastAsia"/>
                      <w:lang w:eastAsia="zh-CN"/>
                    </w:rPr>
                    <w:t>（</w:t>
                  </w:r>
                  <w:r>
                    <w:rPr>
                      <w:rFonts w:hint="eastAsia"/>
                      <w:lang w:val="en-US" w:eastAsia="zh-CN"/>
                    </w:rPr>
                    <w:t>8</w:t>
                  </w:r>
                  <w:r>
                    <w:rPr>
                      <w:rFonts w:hint="eastAsia"/>
                      <w:lang w:eastAsia="zh-CN"/>
                    </w:rPr>
                    <w:t>）</w:t>
                  </w:r>
                </w:p>
              </w:tc>
            </w:tr>
            <w:tr w14:paraId="044BE64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83" w:type="dxa"/>
                  <w:vMerge w:val="continue"/>
                  <w:noWrap w:val="0"/>
                  <w:vAlign w:val="center"/>
                </w:tcPr>
                <w:p w14:paraId="1A8E5447">
                  <w:pPr>
                    <w:pStyle w:val="41"/>
                    <w:bidi w:val="0"/>
                    <w:rPr>
                      <w:rFonts w:hint="default"/>
                    </w:rPr>
                  </w:pPr>
                </w:p>
              </w:tc>
              <w:tc>
                <w:tcPr>
                  <w:tcW w:w="877" w:type="dxa"/>
                  <w:vMerge w:val="continue"/>
                  <w:noWrap w:val="0"/>
                  <w:vAlign w:val="center"/>
                </w:tcPr>
                <w:p w14:paraId="302CD9AF">
                  <w:pPr>
                    <w:pStyle w:val="41"/>
                    <w:bidi w:val="0"/>
                    <w:rPr>
                      <w:rFonts w:hint="default"/>
                    </w:rPr>
                  </w:pPr>
                </w:p>
              </w:tc>
              <w:tc>
                <w:tcPr>
                  <w:tcW w:w="800" w:type="dxa"/>
                  <w:vMerge w:val="continue"/>
                  <w:noWrap w:val="0"/>
                  <w:vAlign w:val="center"/>
                </w:tcPr>
                <w:p w14:paraId="54346AB7">
                  <w:pPr>
                    <w:pStyle w:val="41"/>
                    <w:bidi w:val="0"/>
                    <w:rPr>
                      <w:rFonts w:hint="default"/>
                    </w:rPr>
                  </w:pPr>
                </w:p>
              </w:tc>
              <w:tc>
                <w:tcPr>
                  <w:tcW w:w="888" w:type="dxa"/>
                  <w:vMerge w:val="continue"/>
                  <w:noWrap w:val="0"/>
                  <w:vAlign w:val="center"/>
                </w:tcPr>
                <w:p w14:paraId="3FC80DE8">
                  <w:pPr>
                    <w:pStyle w:val="41"/>
                    <w:bidi w:val="0"/>
                    <w:rPr>
                      <w:rFonts w:hint="default"/>
                    </w:rPr>
                  </w:pPr>
                </w:p>
              </w:tc>
              <w:tc>
                <w:tcPr>
                  <w:tcW w:w="712" w:type="dxa"/>
                  <w:vMerge w:val="continue"/>
                  <w:noWrap w:val="0"/>
                  <w:vAlign w:val="center"/>
                </w:tcPr>
                <w:p w14:paraId="76F37949">
                  <w:pPr>
                    <w:pStyle w:val="41"/>
                    <w:bidi w:val="0"/>
                    <w:rPr>
                      <w:rFonts w:hint="default"/>
                    </w:rPr>
                  </w:pPr>
                </w:p>
              </w:tc>
              <w:tc>
                <w:tcPr>
                  <w:tcW w:w="1211" w:type="dxa"/>
                  <w:vMerge w:val="continue"/>
                  <w:noWrap w:val="0"/>
                  <w:vAlign w:val="center"/>
                </w:tcPr>
                <w:p w14:paraId="5E27F78F">
                  <w:pPr>
                    <w:pStyle w:val="41"/>
                    <w:bidi w:val="0"/>
                    <w:rPr>
                      <w:rFonts w:hint="default"/>
                    </w:rPr>
                  </w:pPr>
                </w:p>
              </w:tc>
              <w:tc>
                <w:tcPr>
                  <w:tcW w:w="689" w:type="dxa"/>
                  <w:vMerge w:val="continue"/>
                  <w:noWrap w:val="0"/>
                  <w:vAlign w:val="center"/>
                </w:tcPr>
                <w:p w14:paraId="3F334C80">
                  <w:pPr>
                    <w:pStyle w:val="41"/>
                    <w:bidi w:val="0"/>
                    <w:rPr>
                      <w:rFonts w:hint="default"/>
                    </w:rPr>
                  </w:pPr>
                </w:p>
              </w:tc>
              <w:tc>
                <w:tcPr>
                  <w:tcW w:w="908" w:type="dxa"/>
                  <w:vMerge w:val="continue"/>
                  <w:noWrap w:val="0"/>
                  <w:vAlign w:val="center"/>
                </w:tcPr>
                <w:p w14:paraId="609D7619">
                  <w:pPr>
                    <w:pStyle w:val="41"/>
                    <w:bidi w:val="0"/>
                    <w:rPr>
                      <w:rFonts w:hint="default"/>
                    </w:rPr>
                  </w:pPr>
                </w:p>
              </w:tc>
              <w:tc>
                <w:tcPr>
                  <w:tcW w:w="730" w:type="dxa"/>
                  <w:noWrap w:val="0"/>
                  <w:vAlign w:val="center"/>
                </w:tcPr>
                <w:p w14:paraId="32670BFB">
                  <w:pPr>
                    <w:pStyle w:val="41"/>
                    <w:bidi w:val="0"/>
                    <w:rPr>
                      <w:rFonts w:hint="default"/>
                      <w:lang w:eastAsia="zh-CN"/>
                    </w:rPr>
                  </w:pPr>
                  <w:r>
                    <w:rPr>
                      <w:rFonts w:hint="default"/>
                      <w:lang w:val="en-US" w:eastAsia="zh-CN"/>
                    </w:rPr>
                    <w:t>总氮</w:t>
                  </w:r>
                </w:p>
              </w:tc>
              <w:tc>
                <w:tcPr>
                  <w:tcW w:w="875" w:type="dxa"/>
                  <w:noWrap w:val="0"/>
                  <w:vAlign w:val="center"/>
                </w:tcPr>
                <w:p w14:paraId="2A704595">
                  <w:pPr>
                    <w:pStyle w:val="41"/>
                    <w:bidi w:val="0"/>
                    <w:rPr>
                      <w:rFonts w:hint="default"/>
                      <w:lang w:val="en-US" w:eastAsia="zh-CN"/>
                    </w:rPr>
                  </w:pPr>
                  <w:r>
                    <w:rPr>
                      <w:rFonts w:hint="default"/>
                      <w:lang w:val="en-US" w:eastAsia="zh-CN"/>
                    </w:rPr>
                    <w:t>15</w:t>
                  </w:r>
                </w:p>
              </w:tc>
            </w:tr>
            <w:tr w14:paraId="6EA6E6A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883" w:type="dxa"/>
                  <w:vMerge w:val="continue"/>
                  <w:noWrap w:val="0"/>
                  <w:vAlign w:val="center"/>
                </w:tcPr>
                <w:p w14:paraId="36A1ACB3">
                  <w:pPr>
                    <w:pStyle w:val="41"/>
                    <w:bidi w:val="0"/>
                    <w:rPr>
                      <w:rFonts w:hint="default"/>
                    </w:rPr>
                  </w:pPr>
                </w:p>
              </w:tc>
              <w:tc>
                <w:tcPr>
                  <w:tcW w:w="877" w:type="dxa"/>
                  <w:vMerge w:val="continue"/>
                  <w:noWrap w:val="0"/>
                  <w:vAlign w:val="center"/>
                </w:tcPr>
                <w:p w14:paraId="534F7FF7">
                  <w:pPr>
                    <w:pStyle w:val="41"/>
                    <w:bidi w:val="0"/>
                    <w:rPr>
                      <w:rFonts w:hint="default"/>
                    </w:rPr>
                  </w:pPr>
                </w:p>
              </w:tc>
              <w:tc>
                <w:tcPr>
                  <w:tcW w:w="800" w:type="dxa"/>
                  <w:vMerge w:val="continue"/>
                  <w:noWrap w:val="0"/>
                  <w:vAlign w:val="center"/>
                </w:tcPr>
                <w:p w14:paraId="236650BF">
                  <w:pPr>
                    <w:pStyle w:val="41"/>
                    <w:bidi w:val="0"/>
                    <w:rPr>
                      <w:rFonts w:hint="default"/>
                    </w:rPr>
                  </w:pPr>
                </w:p>
              </w:tc>
              <w:tc>
                <w:tcPr>
                  <w:tcW w:w="888" w:type="dxa"/>
                  <w:vMerge w:val="continue"/>
                  <w:noWrap w:val="0"/>
                  <w:vAlign w:val="center"/>
                </w:tcPr>
                <w:p w14:paraId="75454F48">
                  <w:pPr>
                    <w:pStyle w:val="41"/>
                    <w:bidi w:val="0"/>
                    <w:rPr>
                      <w:rFonts w:hint="default"/>
                    </w:rPr>
                  </w:pPr>
                </w:p>
              </w:tc>
              <w:tc>
                <w:tcPr>
                  <w:tcW w:w="712" w:type="dxa"/>
                  <w:vMerge w:val="continue"/>
                  <w:noWrap w:val="0"/>
                  <w:vAlign w:val="center"/>
                </w:tcPr>
                <w:p w14:paraId="4205B292">
                  <w:pPr>
                    <w:pStyle w:val="41"/>
                    <w:bidi w:val="0"/>
                    <w:rPr>
                      <w:rFonts w:hint="default"/>
                    </w:rPr>
                  </w:pPr>
                </w:p>
              </w:tc>
              <w:tc>
                <w:tcPr>
                  <w:tcW w:w="1211" w:type="dxa"/>
                  <w:vMerge w:val="continue"/>
                  <w:noWrap w:val="0"/>
                  <w:vAlign w:val="center"/>
                </w:tcPr>
                <w:p w14:paraId="6BA4010A">
                  <w:pPr>
                    <w:pStyle w:val="41"/>
                    <w:bidi w:val="0"/>
                    <w:rPr>
                      <w:rFonts w:hint="default"/>
                    </w:rPr>
                  </w:pPr>
                </w:p>
              </w:tc>
              <w:tc>
                <w:tcPr>
                  <w:tcW w:w="689" w:type="dxa"/>
                  <w:vMerge w:val="continue"/>
                  <w:noWrap w:val="0"/>
                  <w:vAlign w:val="center"/>
                </w:tcPr>
                <w:p w14:paraId="7F2C222D">
                  <w:pPr>
                    <w:pStyle w:val="41"/>
                    <w:bidi w:val="0"/>
                    <w:rPr>
                      <w:rFonts w:hint="default"/>
                    </w:rPr>
                  </w:pPr>
                </w:p>
              </w:tc>
              <w:tc>
                <w:tcPr>
                  <w:tcW w:w="908" w:type="dxa"/>
                  <w:vMerge w:val="continue"/>
                  <w:noWrap w:val="0"/>
                  <w:vAlign w:val="center"/>
                </w:tcPr>
                <w:p w14:paraId="6C28B415">
                  <w:pPr>
                    <w:pStyle w:val="41"/>
                    <w:bidi w:val="0"/>
                    <w:rPr>
                      <w:rFonts w:hint="default"/>
                    </w:rPr>
                  </w:pPr>
                </w:p>
              </w:tc>
              <w:tc>
                <w:tcPr>
                  <w:tcW w:w="730" w:type="dxa"/>
                  <w:noWrap w:val="0"/>
                  <w:vAlign w:val="center"/>
                </w:tcPr>
                <w:p w14:paraId="42B9A871">
                  <w:pPr>
                    <w:pStyle w:val="41"/>
                    <w:bidi w:val="0"/>
                    <w:rPr>
                      <w:rFonts w:hint="default"/>
                      <w:lang w:val="en-US" w:eastAsia="zh-CN"/>
                    </w:rPr>
                  </w:pPr>
                  <w:r>
                    <w:rPr>
                      <w:rFonts w:hint="default"/>
                      <w:lang w:val="en-US" w:eastAsia="zh-CN"/>
                    </w:rPr>
                    <w:t>总磷</w:t>
                  </w:r>
                </w:p>
              </w:tc>
              <w:tc>
                <w:tcPr>
                  <w:tcW w:w="875" w:type="dxa"/>
                  <w:noWrap w:val="0"/>
                  <w:vAlign w:val="center"/>
                </w:tcPr>
                <w:p w14:paraId="28E6F258">
                  <w:pPr>
                    <w:pStyle w:val="41"/>
                    <w:bidi w:val="0"/>
                    <w:rPr>
                      <w:rFonts w:hint="default"/>
                      <w:lang w:val="en-US" w:eastAsia="zh-CN"/>
                    </w:rPr>
                  </w:pPr>
                  <w:r>
                    <w:rPr>
                      <w:rFonts w:hint="default"/>
                      <w:lang w:val="en-US" w:eastAsia="zh-CN"/>
                    </w:rPr>
                    <w:t>0.5</w:t>
                  </w:r>
                </w:p>
              </w:tc>
            </w:tr>
          </w:tbl>
          <w:p w14:paraId="54B47DF1">
            <w:pPr>
              <w:spacing w:line="360" w:lineRule="auto"/>
              <w:ind w:left="0" w:leftChars="0" w:firstLine="482" w:firstLineChars="200"/>
              <w:rPr>
                <w:rFonts w:hint="default" w:ascii="Times New Roman" w:hAnsi="Times New Roman" w:eastAsia="宋体"/>
                <w:b/>
                <w:bCs/>
                <w:color w:val="000000" w:themeColor="text1"/>
                <w:u w:val="none" w:color="auto"/>
                <w:lang w:val="en-US" w:eastAsia="zh-CN"/>
                <w14:textFill>
                  <w14:solidFill>
                    <w14:schemeClr w14:val="tx1"/>
                  </w14:solidFill>
                </w14:textFill>
              </w:rPr>
            </w:pPr>
            <w:r>
              <w:rPr>
                <w:rFonts w:hint="eastAsia"/>
                <w:b/>
                <w:bCs/>
                <w:color w:val="000000" w:themeColor="text1"/>
                <w:u w:val="none" w:color="auto"/>
                <w:lang w:val="en-US" w:eastAsia="zh-CN"/>
                <w14:textFill>
                  <w14:solidFill>
                    <w14:schemeClr w14:val="tx1"/>
                  </w14:solidFill>
                </w14:textFill>
              </w:rPr>
              <w:t>3、</w:t>
            </w:r>
            <w:r>
              <w:rPr>
                <w:rFonts w:hint="eastAsia" w:ascii="Times New Roman" w:hAnsi="Times New Roman"/>
                <w:b/>
                <w:bCs/>
                <w:color w:val="000000" w:themeColor="text1"/>
                <w:u w:val="none" w:color="auto"/>
                <w:lang w:val="en-US" w:eastAsia="zh-CN"/>
                <w14:textFill>
                  <w14:solidFill>
                    <w14:schemeClr w14:val="tx1"/>
                  </w14:solidFill>
                </w14:textFill>
              </w:rPr>
              <w:t>废水处理</w:t>
            </w:r>
            <w:r>
              <w:rPr>
                <w:rFonts w:hint="eastAsia"/>
                <w:b/>
                <w:bCs/>
                <w:color w:val="000000" w:themeColor="text1"/>
                <w:u w:val="none" w:color="auto"/>
                <w:lang w:val="en-US" w:eastAsia="zh-CN"/>
                <w14:textFill>
                  <w14:solidFill>
                    <w14:schemeClr w14:val="tx1"/>
                  </w14:solidFill>
                </w14:textFill>
              </w:rPr>
              <w:t>措施</w:t>
            </w:r>
            <w:r>
              <w:rPr>
                <w:rFonts w:hint="eastAsia" w:ascii="Times New Roman" w:hAnsi="Times New Roman"/>
                <w:b/>
                <w:bCs/>
                <w:color w:val="000000" w:themeColor="text1"/>
                <w:u w:val="none" w:color="auto"/>
                <w:lang w:val="en-US" w:eastAsia="zh-CN"/>
                <w14:textFill>
                  <w14:solidFill>
                    <w14:schemeClr w14:val="tx1"/>
                  </w14:solidFill>
                </w14:textFill>
              </w:rPr>
              <w:t>可行性分析</w:t>
            </w:r>
          </w:p>
          <w:p w14:paraId="18C354E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s="Times New Roman"/>
                <w:b/>
                <w:bCs/>
                <w:color w:val="000000" w:themeColor="text1"/>
                <w:sz w:val="24"/>
                <w:szCs w:val="24"/>
                <w:u w:val="none" w:color="auto"/>
                <w:lang w:val="en-US" w:eastAsia="zh-CN"/>
                <w14:textFill>
                  <w14:solidFill>
                    <w14:schemeClr w14:val="tx1"/>
                  </w14:solidFill>
                </w14:textFill>
              </w:rPr>
            </w:pPr>
            <w:r>
              <w:rPr>
                <w:rFonts w:hint="eastAsia" w:ascii="Times New Roman" w:hAnsi="Times New Roman" w:eastAsia="宋体" w:cs="Times New Roman"/>
                <w:color w:val="auto"/>
                <w:kern w:val="2"/>
                <w:sz w:val="24"/>
                <w:szCs w:val="28"/>
                <w:u w:val="none"/>
                <w:lang w:val="en-US" w:eastAsia="zh-CN" w:bidi="ar-SA"/>
              </w:rPr>
              <w:t>化粪池是利用沉淀和厌氧发酵的原理，去除生活污水中悬浮性有机物的处理设施。其原理是固化物在池底分解，上层的水化物体，进入管道流走，防止了管道堵塞，给固化物体（粪便等垃圾）有充足的时间水解。因此本项目生活污水处理工艺具有技术可行性。</w:t>
            </w:r>
          </w:p>
          <w:p w14:paraId="569F789B">
            <w:pPr>
              <w:spacing w:line="360" w:lineRule="auto"/>
              <w:ind w:left="0" w:leftChars="0" w:firstLine="482" w:firstLineChars="200"/>
              <w:rPr>
                <w:rFonts w:hint="eastAsia" w:ascii="Times New Roman" w:hAnsi="Times New Roman" w:eastAsia="宋体" w:cs="Times New Roman"/>
                <w:b/>
                <w:bCs/>
                <w:color w:val="000000" w:themeColor="text1"/>
                <w:u w:val="none" w:color="auto"/>
                <w:lang w:eastAsia="zh-CN"/>
                <w14:textFill>
                  <w14:solidFill>
                    <w14:schemeClr w14:val="tx1"/>
                  </w14:solidFill>
                </w14:textFill>
              </w:rPr>
            </w:pPr>
            <w:r>
              <w:rPr>
                <w:rFonts w:hint="eastAsia" w:cs="Times New Roman"/>
                <w:b/>
                <w:bCs/>
                <w:color w:val="000000" w:themeColor="text1"/>
                <w:u w:val="none" w:color="auto"/>
                <w:lang w:val="en-US" w:eastAsia="zh-CN"/>
                <w14:textFill>
                  <w14:solidFill>
                    <w14:schemeClr w14:val="tx1"/>
                  </w14:solidFill>
                </w14:textFill>
              </w:rPr>
              <w:t>4、中方产业开发区（泸阳镇）污水处理厂</w:t>
            </w:r>
            <w:r>
              <w:rPr>
                <w:rFonts w:hint="eastAsia" w:ascii="Times New Roman" w:hAnsi="Times New Roman" w:eastAsia="宋体" w:cs="Times New Roman"/>
                <w:b/>
                <w:bCs/>
                <w:color w:val="000000" w:themeColor="text1"/>
                <w:u w:val="none" w:color="auto"/>
                <w14:textFill>
                  <w14:solidFill>
                    <w14:schemeClr w14:val="tx1"/>
                  </w14:solidFill>
                </w14:textFill>
              </w:rPr>
              <w:t>依托可行性分析</w:t>
            </w:r>
          </w:p>
          <w:p w14:paraId="321FF9D1">
            <w:pPr>
              <w:pStyle w:val="40"/>
              <w:bidi w:val="0"/>
              <w:rPr>
                <w:rFonts w:hint="eastAsia" w:cs="Times New Roman"/>
                <w:color w:val="000000" w:themeColor="text1"/>
                <w:highlight w:val="none"/>
                <w:u w:val="none" w:color="auto"/>
                <w:lang w:eastAsia="zh-CN"/>
                <w14:textFill>
                  <w14:solidFill>
                    <w14:schemeClr w14:val="tx1"/>
                  </w14:solidFill>
                </w14:textFill>
              </w:rPr>
            </w:pPr>
            <w:r>
              <w:rPr>
                <w:rFonts w:hint="eastAsia" w:cs="Times New Roman"/>
                <w:color w:val="000000" w:themeColor="text1"/>
                <w:highlight w:val="none"/>
                <w:u w:val="none" w:color="auto"/>
                <w:lang w:eastAsia="zh-CN"/>
                <w14:textFill>
                  <w14:solidFill>
                    <w14:schemeClr w14:val="tx1"/>
                  </w14:solidFill>
                </w14:textFill>
              </w:rPr>
              <w:t>根据《中方县工业园(泸阳镇)污水处理厂扩建工程项目环境影响报告书》可知，中方产业开发区(泸阳镇)污水处理厂一期污水处理规模为10000m</w:t>
            </w:r>
            <w:r>
              <w:rPr>
                <w:rFonts w:hint="eastAsia" w:cs="Times New Roman"/>
                <w:color w:val="000000" w:themeColor="text1"/>
                <w:highlight w:val="none"/>
                <w:u w:val="none" w:color="auto"/>
                <w:vertAlign w:val="superscript"/>
                <w:lang w:val="en-US" w:eastAsia="zh-CN"/>
                <w14:textFill>
                  <w14:solidFill>
                    <w14:schemeClr w14:val="tx1"/>
                  </w14:solidFill>
                </w14:textFill>
              </w:rPr>
              <w:t>3</w:t>
            </w:r>
            <w:r>
              <w:rPr>
                <w:rFonts w:hint="eastAsia" w:cs="Times New Roman"/>
                <w:color w:val="000000" w:themeColor="text1"/>
                <w:highlight w:val="none"/>
                <w:u w:val="none" w:color="auto"/>
                <w:lang w:eastAsia="zh-CN"/>
                <w14:textFill>
                  <w14:solidFill>
                    <w14:schemeClr w14:val="tx1"/>
                  </w14:solidFill>
                </w14:textFill>
              </w:rPr>
              <w:t>/d，分两期建设，其中一期工程5000m</w:t>
            </w:r>
            <w:r>
              <w:rPr>
                <w:rFonts w:hint="eastAsia" w:cs="Times New Roman"/>
                <w:color w:val="000000" w:themeColor="text1"/>
                <w:highlight w:val="none"/>
                <w:u w:val="none" w:color="auto"/>
                <w:vertAlign w:val="superscript"/>
                <w:lang w:eastAsia="zh-CN"/>
                <w14:textFill>
                  <w14:solidFill>
                    <w14:schemeClr w14:val="tx1"/>
                  </w14:solidFill>
                </w14:textFill>
              </w:rPr>
              <w:t>3</w:t>
            </w:r>
            <w:r>
              <w:rPr>
                <w:rFonts w:hint="eastAsia" w:cs="Times New Roman"/>
                <w:color w:val="000000" w:themeColor="text1"/>
                <w:highlight w:val="none"/>
                <w:u w:val="none" w:color="auto"/>
                <w:lang w:eastAsia="zh-CN"/>
                <w14:textFill>
                  <w14:solidFill>
                    <w14:schemeClr w14:val="tx1"/>
                  </w14:solidFill>
                </w14:textFill>
              </w:rPr>
              <w:t>/d的污水处理规模于2019年12月通过验收，污水处理厂采用“预处理+A2/O+MBR膜法+二氧化氯消毒”处理工艺，出水达到《城镇污水处理厂污染物排放标准》(GB18918-2002)一级A标准后，经太平溪支流排入太平溪。</w:t>
            </w:r>
          </w:p>
          <w:p w14:paraId="1CB1BDAF">
            <w:pPr>
              <w:pStyle w:val="40"/>
              <w:bidi w:val="0"/>
              <w:rPr>
                <w:rFonts w:hint="eastAsia" w:cs="Times New Roman"/>
                <w:color w:val="000000" w:themeColor="text1"/>
                <w:highlight w:val="none"/>
                <w:u w:val="none" w:color="auto"/>
                <w:lang w:eastAsia="zh-CN"/>
                <w14:textFill>
                  <w14:solidFill>
                    <w14:schemeClr w14:val="tx1"/>
                  </w14:solidFill>
                </w14:textFill>
              </w:rPr>
            </w:pPr>
            <w:r>
              <w:rPr>
                <w:rFonts w:hint="eastAsia" w:cs="Times New Roman"/>
                <w:color w:val="000000" w:themeColor="text1"/>
                <w:highlight w:val="none"/>
                <w:u w:val="none" w:color="auto"/>
                <w:lang w:eastAsia="zh-CN"/>
                <w14:textFill>
                  <w14:solidFill>
                    <w14:schemeClr w14:val="tx1"/>
                  </w14:solidFill>
                </w14:textFill>
              </w:rPr>
              <w:t>目前，中方产业开发区(泸阳镇)污水处理厂日处理水量规模为800m</w:t>
            </w:r>
            <w:r>
              <w:rPr>
                <w:rFonts w:hint="eastAsia" w:cs="Times New Roman"/>
                <w:color w:val="000000" w:themeColor="text1"/>
                <w:highlight w:val="none"/>
                <w:u w:val="none" w:color="auto"/>
                <w:vertAlign w:val="superscript"/>
                <w:lang w:eastAsia="zh-CN"/>
                <w14:textFill>
                  <w14:solidFill>
                    <w14:schemeClr w14:val="tx1"/>
                  </w14:solidFill>
                </w14:textFill>
              </w:rPr>
              <w:t>3</w:t>
            </w:r>
            <w:r>
              <w:rPr>
                <w:rFonts w:hint="eastAsia" w:cs="Times New Roman"/>
                <w:color w:val="000000" w:themeColor="text1"/>
                <w:highlight w:val="none"/>
                <w:u w:val="none" w:color="auto"/>
                <w:lang w:eastAsia="zh-CN"/>
                <w14:textFill>
                  <w14:solidFill>
                    <w14:schemeClr w14:val="tx1"/>
                  </w14:solidFill>
                </w14:textFill>
              </w:rPr>
              <w:t>/d，剩余纳污能力为4200m</w:t>
            </w:r>
            <w:r>
              <w:rPr>
                <w:rFonts w:hint="eastAsia" w:cs="Times New Roman"/>
                <w:color w:val="000000" w:themeColor="text1"/>
                <w:highlight w:val="none"/>
                <w:u w:val="none" w:color="auto"/>
                <w:vertAlign w:val="superscript"/>
                <w:lang w:eastAsia="zh-CN"/>
                <w14:textFill>
                  <w14:solidFill>
                    <w14:schemeClr w14:val="tx1"/>
                  </w14:solidFill>
                </w14:textFill>
              </w:rPr>
              <w:t>3</w:t>
            </w:r>
            <w:r>
              <w:rPr>
                <w:rFonts w:hint="eastAsia" w:cs="Times New Roman"/>
                <w:color w:val="000000" w:themeColor="text1"/>
                <w:highlight w:val="none"/>
                <w:u w:val="none" w:color="auto"/>
                <w:lang w:eastAsia="zh-CN"/>
                <w14:textFill>
                  <w14:solidFill>
                    <w14:schemeClr w14:val="tx1"/>
                  </w14:solidFill>
                </w14:textFill>
              </w:rPr>
              <w:t>/d:本项目生活污水排放量为</w:t>
            </w:r>
            <w:r>
              <w:rPr>
                <w:rFonts w:hint="eastAsia" w:cs="Times New Roman"/>
                <w:color w:val="000000" w:themeColor="text1"/>
                <w:highlight w:val="none"/>
                <w:u w:val="none" w:color="auto"/>
                <w:lang w:val="en-US" w:eastAsia="zh-CN"/>
                <w14:textFill>
                  <w14:solidFill>
                    <w14:schemeClr w14:val="tx1"/>
                  </w14:solidFill>
                </w14:textFill>
              </w:rPr>
              <w:t>3.2</w:t>
            </w:r>
            <w:r>
              <w:rPr>
                <w:rFonts w:hint="eastAsia" w:cs="Times New Roman"/>
                <w:color w:val="000000" w:themeColor="text1"/>
                <w:highlight w:val="none"/>
                <w:u w:val="none" w:color="auto"/>
                <w:lang w:eastAsia="zh-CN"/>
                <w14:textFill>
                  <w14:solidFill>
                    <w14:schemeClr w14:val="tx1"/>
                  </w14:solidFill>
                </w14:textFill>
              </w:rPr>
              <w:t>m</w:t>
            </w:r>
            <w:r>
              <w:rPr>
                <w:rFonts w:hint="eastAsia" w:cs="Times New Roman"/>
                <w:color w:val="000000" w:themeColor="text1"/>
                <w:highlight w:val="none"/>
                <w:u w:val="none" w:color="auto"/>
                <w:vertAlign w:val="superscript"/>
                <w:lang w:eastAsia="zh-CN"/>
                <w14:textFill>
                  <w14:solidFill>
                    <w14:schemeClr w14:val="tx1"/>
                  </w14:solidFill>
                </w14:textFill>
              </w:rPr>
              <w:t>2</w:t>
            </w:r>
            <w:r>
              <w:rPr>
                <w:rFonts w:hint="eastAsia" w:cs="Times New Roman"/>
                <w:color w:val="000000" w:themeColor="text1"/>
                <w:highlight w:val="none"/>
                <w:u w:val="none" w:color="auto"/>
                <w:lang w:eastAsia="zh-CN"/>
                <w14:textFill>
                  <w14:solidFill>
                    <w14:schemeClr w14:val="tx1"/>
                  </w14:solidFill>
                </w14:textFill>
              </w:rPr>
              <w:t>/d，仅占中方产业开发区(泸阳镇)污水处理厂剩余纳污能力的</w:t>
            </w:r>
            <w:r>
              <w:rPr>
                <w:rFonts w:hint="eastAsia" w:cs="Times New Roman"/>
                <w:color w:val="000000" w:themeColor="text1"/>
                <w:highlight w:val="none"/>
                <w:u w:val="none" w:color="auto"/>
                <w:lang w:val="en-US" w:eastAsia="zh-CN"/>
                <w14:textFill>
                  <w14:solidFill>
                    <w14:schemeClr w14:val="tx1"/>
                  </w14:solidFill>
                </w14:textFill>
              </w:rPr>
              <w:t>0.076</w:t>
            </w:r>
            <w:r>
              <w:rPr>
                <w:rFonts w:hint="eastAsia" w:cs="Times New Roman"/>
                <w:color w:val="000000" w:themeColor="text1"/>
                <w:highlight w:val="none"/>
                <w:u w:val="none" w:color="auto"/>
                <w:lang w:eastAsia="zh-CN"/>
                <w14:textFill>
                  <w14:solidFill>
                    <w14:schemeClr w14:val="tx1"/>
                  </w14:solidFill>
                </w14:textFill>
              </w:rPr>
              <w:t>%，中方产业开发区(泸阳镇)污水处理厂有能力接纳本项目污水量。</w:t>
            </w:r>
          </w:p>
          <w:p w14:paraId="2EF24A89">
            <w:pPr>
              <w:pStyle w:val="40"/>
              <w:bidi w:val="0"/>
              <w:rPr>
                <w:rFonts w:hint="eastAsia" w:cs="Times New Roman"/>
                <w:color w:val="000000" w:themeColor="text1"/>
                <w:highlight w:val="none"/>
                <w:u w:val="none" w:color="auto"/>
                <w:lang w:eastAsia="zh-CN"/>
                <w14:textFill>
                  <w14:solidFill>
                    <w14:schemeClr w14:val="tx1"/>
                  </w14:solidFill>
                </w14:textFill>
              </w:rPr>
            </w:pPr>
            <w:r>
              <w:rPr>
                <w:rFonts w:hint="eastAsia" w:cs="Times New Roman"/>
                <w:color w:val="000000" w:themeColor="text1"/>
                <w:highlight w:val="none"/>
                <w:u w:val="none" w:color="auto"/>
                <w:lang w:eastAsia="zh-CN"/>
                <w14:textFill>
                  <w14:solidFill>
                    <w14:schemeClr w14:val="tx1"/>
                  </w14:solidFill>
                </w14:textFill>
              </w:rPr>
              <w:t>因此，本项目废水纳入中方产业开发区(泸阳镇)污水处理厂可行。</w:t>
            </w:r>
          </w:p>
          <w:p w14:paraId="35DF05D6">
            <w:pPr>
              <w:pStyle w:val="40"/>
              <w:bidi w:val="0"/>
              <w:rPr>
                <w:b/>
                <w:bCs/>
              </w:rPr>
            </w:pPr>
            <w:r>
              <w:rPr>
                <w:rFonts w:hint="eastAsia"/>
                <w:b/>
                <w:bCs/>
                <w:lang w:val="en-US" w:eastAsia="zh-CN"/>
              </w:rPr>
              <w:t>5</w:t>
            </w:r>
            <w:r>
              <w:rPr>
                <w:rFonts w:hint="eastAsia"/>
                <w:b/>
                <w:bCs/>
              </w:rPr>
              <w:t>、监测要求</w:t>
            </w:r>
          </w:p>
          <w:p w14:paraId="77761CAE">
            <w:pPr>
              <w:spacing w:line="360" w:lineRule="auto"/>
              <w:ind w:firstLine="480" w:firstLineChars="200"/>
              <w:rPr>
                <w:rFonts w:ascii="Times New Roman" w:hAnsi="Times New Roman"/>
                <w:b w:val="0"/>
                <w:bCs w:val="0"/>
                <w:color w:val="000000" w:themeColor="text1"/>
                <w:sz w:val="24"/>
                <w:szCs w:val="24"/>
                <w:u w:val="single" w:color="auto"/>
                <w14:textFill>
                  <w14:solidFill>
                    <w14:schemeClr w14:val="tx1"/>
                  </w14:solidFill>
                </w14:textFill>
              </w:rPr>
            </w:pPr>
            <w:r>
              <w:rPr>
                <w:rFonts w:hint="eastAsia" w:ascii="Times New Roman" w:hAnsi="Times New Roman"/>
                <w:b w:val="0"/>
                <w:bCs w:val="0"/>
                <w:color w:val="000000" w:themeColor="text1"/>
                <w:sz w:val="24"/>
                <w:szCs w:val="24"/>
                <w:u w:val="single" w:color="auto"/>
                <w14:textFill>
                  <w14:solidFill>
                    <w14:schemeClr w14:val="tx1"/>
                  </w14:solidFill>
                </w14:textFill>
              </w:rPr>
              <w:t>根据《固定污染源排污许可分类管理名录(2019年版)》中内容，本项目属于登记管理，本项目废水为间接排放，废水</w:t>
            </w:r>
            <w:r>
              <w:rPr>
                <w:rFonts w:hint="eastAsia"/>
                <w:b w:val="0"/>
                <w:bCs w:val="0"/>
                <w:color w:val="000000" w:themeColor="text1"/>
                <w:sz w:val="24"/>
                <w:szCs w:val="24"/>
                <w:u w:val="single" w:color="auto"/>
                <w:lang w:val="en-US" w:eastAsia="zh-CN"/>
                <w14:textFill>
                  <w14:solidFill>
                    <w14:schemeClr w14:val="tx1"/>
                  </w14:solidFill>
                </w14:textFill>
              </w:rPr>
              <w:t>经化粪池处理后排入中方产业开发区（泸阳镇）污水处理厂</w:t>
            </w:r>
            <w:r>
              <w:rPr>
                <w:rFonts w:hint="eastAsia" w:ascii="Times New Roman" w:hAnsi="Times New Roman"/>
                <w:b w:val="0"/>
                <w:bCs w:val="0"/>
                <w:color w:val="000000" w:themeColor="text1"/>
                <w:sz w:val="24"/>
                <w:szCs w:val="24"/>
                <w:u w:val="single" w:color="auto"/>
                <w14:textFill>
                  <w14:solidFill>
                    <w14:schemeClr w14:val="tx1"/>
                  </w14:solidFill>
                </w14:textFill>
              </w:rPr>
              <w:t>处理，</w:t>
            </w:r>
            <w:r>
              <w:rPr>
                <w:rFonts w:hint="eastAsia"/>
                <w:b w:val="0"/>
                <w:bCs w:val="0"/>
                <w:color w:val="000000" w:themeColor="text1"/>
                <w:sz w:val="24"/>
                <w:szCs w:val="24"/>
                <w:u w:val="single" w:color="auto"/>
                <w:lang w:val="en-US" w:eastAsia="zh-CN"/>
                <w14:textFill>
                  <w14:solidFill>
                    <w14:schemeClr w14:val="tx1"/>
                  </w14:solidFill>
                </w14:textFill>
              </w:rPr>
              <w:t>根据《排污许可证申请与核发技术规范电子工业》（HJ 1031-2019）</w:t>
            </w:r>
            <w:r>
              <w:rPr>
                <w:rFonts w:hint="eastAsia" w:ascii="Times New Roman" w:hAnsi="Times New Roman"/>
                <w:b w:val="0"/>
                <w:bCs w:val="0"/>
                <w:color w:val="000000" w:themeColor="text1"/>
                <w:sz w:val="24"/>
                <w:szCs w:val="24"/>
                <w:u w:val="single" w:color="auto"/>
                <w14:textFill>
                  <w14:solidFill>
                    <w14:schemeClr w14:val="tx1"/>
                  </w14:solidFill>
                </w14:textFill>
              </w:rPr>
              <w:t>单独排向市政污水处理厂的生活污水不要求开展自行监测</w:t>
            </w:r>
            <w:r>
              <w:rPr>
                <w:rFonts w:hint="eastAsia"/>
                <w:b w:val="0"/>
                <w:bCs w:val="0"/>
                <w:color w:val="000000" w:themeColor="text1"/>
                <w:sz w:val="24"/>
                <w:szCs w:val="24"/>
                <w:u w:val="single" w:color="auto"/>
                <w:lang w:eastAsia="zh-CN"/>
                <w14:textFill>
                  <w14:solidFill>
                    <w14:schemeClr w14:val="tx1"/>
                  </w14:solidFill>
                </w14:textFill>
              </w:rPr>
              <w:t>。</w:t>
            </w:r>
          </w:p>
          <w:p w14:paraId="21F58447">
            <w:pPr>
              <w:pStyle w:val="40"/>
              <w:bidi w:val="0"/>
              <w:rPr>
                <w:b/>
                <w:bCs/>
              </w:rPr>
            </w:pPr>
            <w:r>
              <w:rPr>
                <w:rFonts w:hint="eastAsia"/>
                <w:b/>
                <w:bCs/>
              </w:rPr>
              <w:t>三、</w:t>
            </w:r>
            <w:r>
              <w:rPr>
                <w:b/>
                <w:bCs/>
              </w:rPr>
              <w:t>声环境影响分析</w:t>
            </w:r>
            <w:r>
              <w:rPr>
                <w:rFonts w:hint="eastAsia"/>
                <w:b/>
                <w:bCs/>
              </w:rPr>
              <w:t>和保护措施</w:t>
            </w:r>
          </w:p>
          <w:p w14:paraId="79C6B409">
            <w:pPr>
              <w:pStyle w:val="40"/>
              <w:bidi w:val="0"/>
              <w:rPr>
                <w:b/>
                <w:bCs/>
              </w:rPr>
            </w:pPr>
            <w:r>
              <w:rPr>
                <w:rFonts w:hint="eastAsia"/>
                <w:b/>
                <w:bCs/>
              </w:rPr>
              <w:t>1、噪声源强分析</w:t>
            </w:r>
          </w:p>
          <w:p w14:paraId="5E86414D">
            <w:pPr>
              <w:pStyle w:val="40"/>
              <w:bidi w:val="0"/>
              <w:rPr>
                <w:u w:val="none" w:color="auto"/>
                <w:vertAlign w:val="baseline"/>
              </w:rPr>
            </w:pPr>
            <w:r>
              <w:rPr>
                <w:rFonts w:hint="eastAsia"/>
                <w:lang w:val="en-US" w:eastAsia="zh-CN"/>
              </w:rPr>
              <w:t>本项目噪声主要来源于设备运行的噪声，本项目虽然设备较多，但多为小噪声设备，噪声值约为50~60dB(A)，大噪声设备主要为绕线机、包胶机、无铅熔锡炉、真空含浸机、隧道式烘箱、切脚机、空压机、风机等生产设备，建设单位拟对</w:t>
            </w:r>
            <w:r>
              <w:rPr>
                <w:rFonts w:hint="eastAsia"/>
                <w:highlight w:val="none"/>
                <w:lang w:val="en-US" w:eastAsia="zh-CN"/>
              </w:rPr>
              <w:t>各主要产噪设备采用基础减振、消声、墙体隔声、设备定期保养等措施进行降噪处理，可有效降低约10</w:t>
            </w:r>
            <w:r>
              <w:rPr>
                <w:rFonts w:hint="default"/>
                <w:highlight w:val="none"/>
                <w:lang w:val="en-US" w:eastAsia="zh-CN"/>
              </w:rPr>
              <w:t>dB</w:t>
            </w:r>
            <w:r>
              <w:rPr>
                <w:rFonts w:hint="eastAsia"/>
                <w:highlight w:val="none"/>
                <w:lang w:val="en-US" w:eastAsia="zh-CN"/>
              </w:rPr>
              <w:t>（</w:t>
            </w:r>
            <w:r>
              <w:rPr>
                <w:rFonts w:hint="default"/>
                <w:highlight w:val="none"/>
                <w:lang w:val="en-US" w:eastAsia="zh-CN"/>
              </w:rPr>
              <w:t>A</w:t>
            </w:r>
            <w:r>
              <w:rPr>
                <w:rFonts w:hint="eastAsia"/>
                <w:highlight w:val="none"/>
                <w:lang w:val="en-US" w:eastAsia="zh-CN"/>
              </w:rPr>
              <w:t>）。参考《噪声与振动控制工程手册》（马大猷，机械工业出版社</w:t>
            </w:r>
            <w:r>
              <w:rPr>
                <w:rFonts w:hint="default"/>
                <w:highlight w:val="none"/>
                <w:lang w:val="en-US" w:eastAsia="zh-CN"/>
              </w:rPr>
              <w:t>2002.</w:t>
            </w:r>
            <w:r>
              <w:rPr>
                <w:rFonts w:hint="default"/>
                <w:lang w:val="en-US" w:eastAsia="zh-CN"/>
              </w:rPr>
              <w:t>9</w:t>
            </w:r>
            <w:r>
              <w:rPr>
                <w:rFonts w:hint="eastAsia"/>
                <w:lang w:val="en-US" w:eastAsia="zh-CN"/>
              </w:rPr>
              <w:t>）、《环境噪声与振动控制工程技术导则》（</w:t>
            </w:r>
            <w:r>
              <w:rPr>
                <w:rFonts w:hint="default"/>
                <w:lang w:val="en-US" w:eastAsia="zh-CN"/>
              </w:rPr>
              <w:t>HJ2034-2013</w:t>
            </w:r>
            <w:r>
              <w:rPr>
                <w:rFonts w:hint="eastAsia"/>
                <w:lang w:val="en-US" w:eastAsia="zh-CN"/>
              </w:rPr>
              <w:t>）以及类比同行业同类设备噪声源强分析，本项目噪声污染源源强核算结果及相关参数见下表：</w:t>
            </w:r>
          </w:p>
        </w:tc>
      </w:tr>
    </w:tbl>
    <w:p w14:paraId="086E1142">
      <w:pPr>
        <w:rPr>
          <w:u w:val="none" w:color="auto"/>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4"/>
        <w:tblW w:w="0" w:type="auto"/>
        <w:tblInd w:w="-1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3156"/>
      </w:tblGrid>
      <w:tr w14:paraId="2EA5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6" w:hRule="atLeast"/>
        </w:trPr>
        <w:tc>
          <w:tcPr>
            <w:tcW w:w="687" w:type="dxa"/>
            <w:vAlign w:val="center"/>
          </w:tcPr>
          <w:p w14:paraId="3DECE97A">
            <w:pPr>
              <w:bidi w:val="0"/>
              <w:jc w:val="center"/>
              <w:rPr>
                <w:u w:val="none" w:color="auto"/>
              </w:rPr>
            </w:pPr>
            <w:r>
              <w:rPr>
                <w:u w:val="none" w:color="auto"/>
              </w:rPr>
              <w:t>营运期环境影响和保护措施</w:t>
            </w:r>
          </w:p>
        </w:tc>
        <w:tc>
          <w:tcPr>
            <w:tcW w:w="13156" w:type="dxa"/>
          </w:tcPr>
          <w:p w14:paraId="37B6472B">
            <w:pPr>
              <w:widowControl/>
              <w:spacing w:before="0" w:beforeAutospacing="0" w:after="0" w:afterAutospacing="0"/>
              <w:jc w:val="center"/>
              <w:rPr>
                <w:rFonts w:hint="eastAsia" w:ascii="Times New Roman" w:hAnsi="Times New Roman" w:eastAsia="宋体" w:cs="Times New Roman"/>
                <w:b/>
                <w:bCs/>
                <w:color w:val="000000" w:themeColor="text1"/>
                <w:kern w:val="2"/>
                <w:sz w:val="21"/>
                <w:szCs w:val="21"/>
                <w:u w:val="none" w:color="auto"/>
                <w:lang w:eastAsia="zh-CN"/>
                <w14:textFill>
                  <w14:solidFill>
                    <w14:schemeClr w14:val="tx1"/>
                  </w14:solidFill>
                </w14:textFill>
              </w:rPr>
            </w:pPr>
            <w:r>
              <w:rPr>
                <w:rFonts w:hint="eastAsia" w:ascii="Times New Roman" w:hAnsi="Times New Roman" w:eastAsia="宋体" w:cs="Times New Roman"/>
                <w:b/>
                <w:bCs/>
                <w:color w:val="000000" w:themeColor="text1"/>
                <w:kern w:val="2"/>
                <w:sz w:val="21"/>
                <w:szCs w:val="21"/>
                <w:u w:val="none" w:color="auto"/>
                <w14:textFill>
                  <w14:solidFill>
                    <w14:schemeClr w14:val="tx1"/>
                  </w14:solidFill>
                </w14:textFill>
              </w:rPr>
              <w:t>表4-</w:t>
            </w:r>
            <w:r>
              <w:rPr>
                <w:rFonts w:hint="eastAsia" w:cs="Times New Roman"/>
                <w:b/>
                <w:bCs/>
                <w:color w:val="000000" w:themeColor="text1"/>
                <w:kern w:val="2"/>
                <w:sz w:val="21"/>
                <w:szCs w:val="21"/>
                <w:u w:val="none" w:color="auto"/>
                <w:lang w:val="en-US" w:eastAsia="zh-CN"/>
                <w14:textFill>
                  <w14:solidFill>
                    <w14:schemeClr w14:val="tx1"/>
                  </w14:solidFill>
                </w14:textFill>
              </w:rPr>
              <w:t>15</w:t>
            </w:r>
            <w:r>
              <w:rPr>
                <w:rFonts w:hint="eastAsia" w:ascii="Times New Roman" w:hAnsi="Times New Roman" w:cs="Times New Roman"/>
                <w:b/>
                <w:bCs/>
                <w:color w:val="000000" w:themeColor="text1"/>
                <w:kern w:val="2"/>
                <w:sz w:val="21"/>
                <w:szCs w:val="21"/>
                <w:u w:val="none" w:color="auto"/>
                <w:lang w:val="en-US" w:eastAsia="zh-CN"/>
                <w14:textFill>
                  <w14:solidFill>
                    <w14:schemeClr w14:val="tx1"/>
                  </w14:solidFill>
                </w14:textFill>
              </w:rPr>
              <w:t xml:space="preserve"> </w:t>
            </w:r>
            <w:r>
              <w:rPr>
                <w:rFonts w:hint="eastAsia" w:ascii="Times New Roman" w:hAnsi="Times New Roman" w:eastAsia="宋体" w:cs="Times New Roman"/>
                <w:b/>
                <w:bCs/>
                <w:color w:val="000000" w:themeColor="text1"/>
                <w:kern w:val="2"/>
                <w:sz w:val="21"/>
                <w:szCs w:val="21"/>
                <w:u w:val="none" w:color="auto"/>
                <w14:textFill>
                  <w14:solidFill>
                    <w14:schemeClr w14:val="tx1"/>
                  </w14:solidFill>
                </w14:textFill>
              </w:rPr>
              <w:t xml:space="preserve"> 工业企业噪声源强调查清单</w:t>
            </w:r>
            <w:r>
              <w:rPr>
                <w:rFonts w:hint="eastAsia" w:ascii="Times New Roman" w:hAnsi="Times New Roman" w:cs="Times New Roman"/>
                <w:b/>
                <w:bCs/>
                <w:color w:val="000000" w:themeColor="text1"/>
                <w:kern w:val="2"/>
                <w:sz w:val="21"/>
                <w:szCs w:val="21"/>
                <w:u w:val="none" w:color="auto"/>
                <w:lang w:eastAsia="zh-CN"/>
                <w14:textFill>
                  <w14:solidFill>
                    <w14:schemeClr w14:val="tx1"/>
                  </w14:solidFill>
                </w14:textFill>
              </w:rPr>
              <w:t>（</w:t>
            </w:r>
            <w:r>
              <w:rPr>
                <w:rFonts w:hint="eastAsia" w:ascii="Times New Roman" w:hAnsi="Times New Roman" w:cs="Times New Roman"/>
                <w:b/>
                <w:bCs/>
                <w:color w:val="000000" w:themeColor="text1"/>
                <w:kern w:val="2"/>
                <w:sz w:val="21"/>
                <w:szCs w:val="21"/>
                <w:u w:val="none" w:color="auto"/>
                <w:lang w:val="en-US" w:eastAsia="zh-CN"/>
                <w14:textFill>
                  <w14:solidFill>
                    <w14:schemeClr w14:val="tx1"/>
                  </w14:solidFill>
                </w14:textFill>
              </w:rPr>
              <w:t>室内声源</w:t>
            </w:r>
            <w:r>
              <w:rPr>
                <w:rFonts w:hint="eastAsia" w:ascii="Times New Roman" w:hAnsi="Times New Roman" w:cs="Times New Roman"/>
                <w:b/>
                <w:bCs/>
                <w:color w:val="000000" w:themeColor="text1"/>
                <w:kern w:val="2"/>
                <w:sz w:val="21"/>
                <w:szCs w:val="21"/>
                <w:u w:val="none" w:color="auto"/>
                <w:lang w:eastAsia="zh-CN"/>
                <w14:textFill>
                  <w14:solidFill>
                    <w14:schemeClr w14:val="tx1"/>
                  </w14:solidFill>
                </w14:textFill>
              </w:rPr>
              <w:t>）</w:t>
            </w:r>
          </w:p>
          <w:tbl>
            <w:tblPr>
              <w:tblStyle w:val="33"/>
              <w:tblW w:w="5000" w:type="pct"/>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autofit"/>
              <w:tblCellMar>
                <w:top w:w="0" w:type="dxa"/>
                <w:left w:w="108" w:type="dxa"/>
                <w:bottom w:w="0" w:type="dxa"/>
                <w:right w:w="108" w:type="dxa"/>
              </w:tblCellMar>
            </w:tblPr>
            <w:tblGrid>
              <w:gridCol w:w="447"/>
              <w:gridCol w:w="708"/>
              <w:gridCol w:w="687"/>
              <w:gridCol w:w="483"/>
              <w:gridCol w:w="860"/>
              <w:gridCol w:w="729"/>
              <w:gridCol w:w="933"/>
              <w:gridCol w:w="770"/>
              <w:gridCol w:w="757"/>
              <w:gridCol w:w="703"/>
              <w:gridCol w:w="979"/>
              <w:gridCol w:w="786"/>
              <w:gridCol w:w="891"/>
              <w:gridCol w:w="561"/>
              <w:gridCol w:w="964"/>
              <w:gridCol w:w="899"/>
              <w:gridCol w:w="753"/>
            </w:tblGrid>
            <w:tr w14:paraId="1DC7F54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498" w:hRule="atLeast"/>
                <w:jc w:val="center"/>
              </w:trPr>
              <w:tc>
                <w:tcPr>
                  <w:tcW w:w="173" w:type="pct"/>
                  <w:vMerge w:val="restart"/>
                  <w:noWrap w:val="0"/>
                  <w:vAlign w:val="center"/>
                </w:tcPr>
                <w:p w14:paraId="03831EA4">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序号</w:t>
                  </w:r>
                </w:p>
              </w:tc>
              <w:tc>
                <w:tcPr>
                  <w:tcW w:w="274" w:type="pct"/>
                  <w:vMerge w:val="restart"/>
                  <w:noWrap w:val="0"/>
                  <w:vAlign w:val="center"/>
                </w:tcPr>
                <w:p w14:paraId="50530E4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建筑物名称</w:t>
                  </w:r>
                </w:p>
              </w:tc>
              <w:tc>
                <w:tcPr>
                  <w:tcW w:w="266" w:type="pct"/>
                  <w:vMerge w:val="restart"/>
                  <w:noWrap w:val="0"/>
                  <w:vAlign w:val="center"/>
                </w:tcPr>
                <w:p w14:paraId="2A759539">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声源名称</w:t>
                  </w:r>
                </w:p>
              </w:tc>
              <w:tc>
                <w:tcPr>
                  <w:tcW w:w="187" w:type="pct"/>
                  <w:vMerge w:val="restart"/>
                  <w:noWrap w:val="0"/>
                  <w:vAlign w:val="center"/>
                </w:tcPr>
                <w:p w14:paraId="5ADAD77D">
                  <w:pPr>
                    <w:keepNext w:val="0"/>
                    <w:keepLines w:val="0"/>
                    <w:pageBreakBefore w:val="0"/>
                    <w:widowControl/>
                    <w:kinsoku/>
                    <w:wordWrap/>
                    <w:overflowPunct/>
                    <w:topLinePunct w:val="0"/>
                    <w:autoSpaceDE/>
                    <w:autoSpaceDN/>
                    <w:bidi w:val="0"/>
                    <w:spacing w:line="240" w:lineRule="auto"/>
                    <w:jc w:val="center"/>
                    <w:textAlignment w:val="center"/>
                    <w:rPr>
                      <w:rFonts w:hint="eastAsia" w:ascii="Times New Roman" w:hAnsi="Times New Roman" w:eastAsia="宋体" w:cs="Times New Roman"/>
                      <w:b w:val="0"/>
                      <w:b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color w:val="000000" w:themeColor="text1"/>
                      <w:kern w:val="0"/>
                      <w:sz w:val="21"/>
                      <w:szCs w:val="21"/>
                      <w:u w:val="none" w:color="auto"/>
                      <w:lang w:val="en-US" w:eastAsia="zh-CN" w:bidi="ar"/>
                      <w14:textFill>
                        <w14:solidFill>
                          <w14:schemeClr w14:val="tx1"/>
                        </w14:solidFill>
                      </w14:textFill>
                    </w:rPr>
                    <w:t>数量</w:t>
                  </w:r>
                </w:p>
              </w:tc>
              <w:tc>
                <w:tcPr>
                  <w:tcW w:w="615" w:type="pct"/>
                  <w:gridSpan w:val="2"/>
                  <w:noWrap w:val="0"/>
                  <w:vAlign w:val="center"/>
                </w:tcPr>
                <w:p w14:paraId="4DEC0098">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声源源强</w:t>
                  </w:r>
                </w:p>
              </w:tc>
              <w:tc>
                <w:tcPr>
                  <w:tcW w:w="361" w:type="pct"/>
                  <w:vMerge w:val="restart"/>
                  <w:noWrap w:val="0"/>
                  <w:vAlign w:val="center"/>
                </w:tcPr>
                <w:p w14:paraId="274AA5A7">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声源控制措施</w:t>
                  </w:r>
                </w:p>
              </w:tc>
              <w:tc>
                <w:tcPr>
                  <w:tcW w:w="863" w:type="pct"/>
                  <w:gridSpan w:val="3"/>
                  <w:noWrap w:val="0"/>
                  <w:vAlign w:val="center"/>
                </w:tcPr>
                <w:p w14:paraId="78F3DE1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空间相对位置/m</w:t>
                  </w:r>
                </w:p>
              </w:tc>
              <w:tc>
                <w:tcPr>
                  <w:tcW w:w="683" w:type="pct"/>
                  <w:gridSpan w:val="2"/>
                  <w:vMerge w:val="restart"/>
                  <w:noWrap w:val="0"/>
                  <w:vAlign w:val="center"/>
                </w:tcPr>
                <w:p w14:paraId="542CB26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距室内边界距离/m</w:t>
                  </w:r>
                </w:p>
              </w:tc>
              <w:tc>
                <w:tcPr>
                  <w:tcW w:w="345" w:type="pct"/>
                  <w:vMerge w:val="restart"/>
                  <w:noWrap w:val="0"/>
                  <w:vAlign w:val="center"/>
                </w:tcPr>
                <w:p w14:paraId="14678174">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室内边界声级/dB(A)</w:t>
                  </w:r>
                </w:p>
              </w:tc>
              <w:tc>
                <w:tcPr>
                  <w:tcW w:w="217" w:type="pct"/>
                  <w:vMerge w:val="restart"/>
                  <w:noWrap w:val="0"/>
                  <w:vAlign w:val="center"/>
                </w:tcPr>
                <w:p w14:paraId="175D5D7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运行时段</w:t>
                  </w:r>
                </w:p>
              </w:tc>
              <w:tc>
                <w:tcPr>
                  <w:tcW w:w="373" w:type="pct"/>
                  <w:vMerge w:val="restart"/>
                  <w:noWrap w:val="0"/>
                  <w:vAlign w:val="center"/>
                </w:tcPr>
                <w:p w14:paraId="2A56907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建筑物插入损失/dB(A</w:t>
                  </w:r>
                </w:p>
              </w:tc>
              <w:tc>
                <w:tcPr>
                  <w:tcW w:w="639" w:type="pct"/>
                  <w:gridSpan w:val="2"/>
                  <w:noWrap w:val="0"/>
                  <w:vAlign w:val="center"/>
                </w:tcPr>
                <w:p w14:paraId="2F6E22C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建筑物外噪声</w:t>
                  </w:r>
                </w:p>
              </w:tc>
            </w:tr>
            <w:tr w14:paraId="11F1341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128" w:hRule="atLeast"/>
                <w:jc w:val="center"/>
              </w:trPr>
              <w:tc>
                <w:tcPr>
                  <w:tcW w:w="173" w:type="pct"/>
                  <w:vMerge w:val="continue"/>
                  <w:noWrap w:val="0"/>
                  <w:vAlign w:val="center"/>
                </w:tcPr>
                <w:p w14:paraId="456B4A15">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p>
              </w:tc>
              <w:tc>
                <w:tcPr>
                  <w:tcW w:w="274" w:type="pct"/>
                  <w:vMerge w:val="continue"/>
                  <w:noWrap w:val="0"/>
                  <w:vAlign w:val="center"/>
                </w:tcPr>
                <w:p w14:paraId="5BE73017">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p>
              </w:tc>
              <w:tc>
                <w:tcPr>
                  <w:tcW w:w="266" w:type="pct"/>
                  <w:vMerge w:val="continue"/>
                  <w:noWrap w:val="0"/>
                  <w:vAlign w:val="center"/>
                </w:tcPr>
                <w:p w14:paraId="677B7EF5">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p>
              </w:tc>
              <w:tc>
                <w:tcPr>
                  <w:tcW w:w="187" w:type="pct"/>
                  <w:vMerge w:val="continue"/>
                  <w:noWrap w:val="0"/>
                  <w:vAlign w:val="center"/>
                </w:tcPr>
                <w:p w14:paraId="2A2DF523">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p>
              </w:tc>
              <w:tc>
                <w:tcPr>
                  <w:tcW w:w="333" w:type="pct"/>
                  <w:noWrap w:val="0"/>
                  <w:vAlign w:val="center"/>
                </w:tcPr>
                <w:p w14:paraId="0F12D9EA">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声压级/dB(A)</w:t>
                  </w:r>
                </w:p>
              </w:tc>
              <w:tc>
                <w:tcPr>
                  <w:tcW w:w="282" w:type="pct"/>
                  <w:noWrap w:val="0"/>
                  <w:vAlign w:val="center"/>
                </w:tcPr>
                <w:p w14:paraId="56310CE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距声源距离/m</w:t>
                  </w:r>
                </w:p>
              </w:tc>
              <w:tc>
                <w:tcPr>
                  <w:tcW w:w="361" w:type="pct"/>
                  <w:vMerge w:val="continue"/>
                  <w:noWrap w:val="0"/>
                  <w:vAlign w:val="center"/>
                </w:tcPr>
                <w:p w14:paraId="2DF04D10">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p>
              </w:tc>
              <w:tc>
                <w:tcPr>
                  <w:tcW w:w="298" w:type="pct"/>
                  <w:noWrap w:val="0"/>
                  <w:vAlign w:val="center"/>
                </w:tcPr>
                <w:p w14:paraId="7E79E43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X</w:t>
                  </w:r>
                </w:p>
              </w:tc>
              <w:tc>
                <w:tcPr>
                  <w:tcW w:w="293" w:type="pct"/>
                  <w:noWrap w:val="0"/>
                  <w:vAlign w:val="center"/>
                </w:tcPr>
                <w:p w14:paraId="2E3EE95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Y</w:t>
                  </w:r>
                </w:p>
              </w:tc>
              <w:tc>
                <w:tcPr>
                  <w:tcW w:w="272" w:type="pct"/>
                  <w:noWrap w:val="0"/>
                  <w:vAlign w:val="center"/>
                </w:tcPr>
                <w:p w14:paraId="2A67887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Z</w:t>
                  </w:r>
                </w:p>
              </w:tc>
              <w:tc>
                <w:tcPr>
                  <w:tcW w:w="683" w:type="pct"/>
                  <w:gridSpan w:val="2"/>
                  <w:vMerge w:val="continue"/>
                  <w:noWrap w:val="0"/>
                  <w:vAlign w:val="center"/>
                </w:tcPr>
                <w:p w14:paraId="281B5306">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p>
              </w:tc>
              <w:tc>
                <w:tcPr>
                  <w:tcW w:w="345" w:type="pct"/>
                  <w:vMerge w:val="continue"/>
                  <w:noWrap w:val="0"/>
                  <w:vAlign w:val="center"/>
                </w:tcPr>
                <w:p w14:paraId="1B51B9ED">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p>
              </w:tc>
              <w:tc>
                <w:tcPr>
                  <w:tcW w:w="217" w:type="pct"/>
                  <w:vMerge w:val="continue"/>
                  <w:noWrap w:val="0"/>
                  <w:vAlign w:val="center"/>
                </w:tcPr>
                <w:p w14:paraId="6A52AD0C">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p>
              </w:tc>
              <w:tc>
                <w:tcPr>
                  <w:tcW w:w="373" w:type="pct"/>
                  <w:vMerge w:val="continue"/>
                  <w:noWrap w:val="0"/>
                  <w:vAlign w:val="center"/>
                </w:tcPr>
                <w:p w14:paraId="0A1DB3E8">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p>
              </w:tc>
              <w:tc>
                <w:tcPr>
                  <w:tcW w:w="348" w:type="pct"/>
                  <w:noWrap w:val="0"/>
                  <w:vAlign w:val="center"/>
                </w:tcPr>
                <w:p w14:paraId="1848DC74">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声压级/dB(A)</w:t>
                  </w:r>
                </w:p>
              </w:tc>
              <w:tc>
                <w:tcPr>
                  <w:tcW w:w="291" w:type="pct"/>
                  <w:noWrap w:val="0"/>
                  <w:vAlign w:val="center"/>
                </w:tcPr>
                <w:p w14:paraId="21C0E5A0">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sz w:val="21"/>
                      <w:szCs w:val="21"/>
                      <w:u w:val="none" w:color="auto"/>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建筑物外距离</w:t>
                  </w:r>
                </w:p>
              </w:tc>
            </w:tr>
            <w:tr w14:paraId="3D87041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173" w:type="pct"/>
                  <w:vMerge w:val="restart"/>
                  <w:noWrap w:val="0"/>
                  <w:vAlign w:val="center"/>
                </w:tcPr>
                <w:p w14:paraId="7989DDD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1</w:t>
                  </w:r>
                </w:p>
              </w:tc>
              <w:tc>
                <w:tcPr>
                  <w:tcW w:w="274" w:type="pct"/>
                  <w:vMerge w:val="restart"/>
                  <w:noWrap w:val="0"/>
                  <w:vAlign w:val="center"/>
                </w:tcPr>
                <w:p w14:paraId="2AFAD1AF">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color w:val="000000" w:themeColor="text1"/>
                      <w:kern w:val="0"/>
                      <w:sz w:val="21"/>
                      <w:szCs w:val="21"/>
                      <w:u w:val="none" w:color="auto"/>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u w:val="none" w:color="auto"/>
                      <w:lang w:val="en-US" w:eastAsia="zh-CN" w:bidi="ar"/>
                      <w14:textFill>
                        <w14:solidFill>
                          <w14:schemeClr w14:val="tx1"/>
                        </w14:solidFill>
                      </w14:textFill>
                    </w:rPr>
                    <w:t>生产车间</w:t>
                  </w:r>
                </w:p>
              </w:tc>
              <w:tc>
                <w:tcPr>
                  <w:tcW w:w="266" w:type="pct"/>
                  <w:vMerge w:val="restart"/>
                  <w:noWrap w:val="0"/>
                  <w:vAlign w:val="center"/>
                </w:tcPr>
                <w:p w14:paraId="47AF3C5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b w:val="0"/>
                      <w:color w:val="auto"/>
                      <w:kern w:val="0"/>
                      <w:sz w:val="21"/>
                      <w:szCs w:val="21"/>
                      <w:lang w:val="en-US" w:eastAsia="zh-CN" w:bidi="ar-SA"/>
                    </w:rPr>
                    <w:t>绕线机</w:t>
                  </w:r>
                </w:p>
              </w:tc>
              <w:tc>
                <w:tcPr>
                  <w:tcW w:w="187" w:type="pct"/>
                  <w:vMerge w:val="restart"/>
                  <w:noWrap w:val="0"/>
                  <w:vAlign w:val="center"/>
                </w:tcPr>
                <w:p w14:paraId="38AF868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Segoe UI" w:hAnsi="Segoe UI" w:eastAsia="Segoe UI" w:cs="Segoe UI"/>
                      <w:i w:val="0"/>
                      <w:iCs w:val="0"/>
                      <w:caps w:val="0"/>
                      <w:spacing w:val="0"/>
                      <w:kern w:val="0"/>
                      <w:sz w:val="21"/>
                      <w:szCs w:val="21"/>
                      <w:lang w:val="en-US" w:eastAsia="zh-CN" w:bidi="ar"/>
                    </w:rPr>
                  </w:pPr>
                  <w:r>
                    <w:rPr>
                      <w:rFonts w:hint="default" w:ascii="Times New Roman" w:hAnsi="Times New Roman" w:eastAsia="Segoe UI" w:cs="Times New Roman"/>
                      <w:i w:val="0"/>
                      <w:iCs w:val="0"/>
                      <w:caps w:val="0"/>
                      <w:spacing w:val="0"/>
                      <w:kern w:val="0"/>
                      <w:sz w:val="21"/>
                      <w:szCs w:val="21"/>
                      <w:lang w:val="en-US" w:eastAsia="zh-CN" w:bidi="ar"/>
                    </w:rPr>
                    <w:t>25</w:t>
                  </w:r>
                </w:p>
              </w:tc>
              <w:tc>
                <w:tcPr>
                  <w:tcW w:w="333" w:type="pct"/>
                  <w:vMerge w:val="restart"/>
                  <w:noWrap w:val="0"/>
                  <w:vAlign w:val="center"/>
                </w:tcPr>
                <w:p w14:paraId="5549318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75</w:t>
                  </w:r>
                </w:p>
              </w:tc>
              <w:tc>
                <w:tcPr>
                  <w:tcW w:w="282" w:type="pct"/>
                  <w:vMerge w:val="restart"/>
                  <w:noWrap w:val="0"/>
                  <w:vAlign w:val="center"/>
                </w:tcPr>
                <w:p w14:paraId="3FA8D9A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t>1</w:t>
                  </w:r>
                </w:p>
              </w:tc>
              <w:tc>
                <w:tcPr>
                  <w:tcW w:w="361" w:type="pct"/>
                  <w:vMerge w:val="restart"/>
                  <w:noWrap w:val="0"/>
                  <w:vAlign w:val="center"/>
                </w:tcPr>
                <w:p w14:paraId="40317E9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t>选择低噪声设备，安装减振基础</w:t>
                  </w:r>
                </w:p>
              </w:tc>
              <w:tc>
                <w:tcPr>
                  <w:tcW w:w="298" w:type="pct"/>
                  <w:vMerge w:val="restart"/>
                  <w:noWrap w:val="0"/>
                  <w:vAlign w:val="center"/>
                </w:tcPr>
                <w:p w14:paraId="044EB52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52</w:t>
                  </w:r>
                </w:p>
              </w:tc>
              <w:tc>
                <w:tcPr>
                  <w:tcW w:w="293" w:type="pct"/>
                  <w:vMerge w:val="restart"/>
                  <w:noWrap w:val="0"/>
                  <w:vAlign w:val="center"/>
                </w:tcPr>
                <w:p w14:paraId="0B63857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-8</w:t>
                  </w:r>
                </w:p>
              </w:tc>
              <w:tc>
                <w:tcPr>
                  <w:tcW w:w="272" w:type="pct"/>
                  <w:vMerge w:val="restart"/>
                  <w:noWrap w:val="0"/>
                  <w:vAlign w:val="center"/>
                </w:tcPr>
                <w:p w14:paraId="70997AD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color w:val="auto"/>
                      <w:kern w:val="2"/>
                      <w:sz w:val="21"/>
                      <w:szCs w:val="21"/>
                      <w:u w:val="none" w:color="auto"/>
                      <w:lang w:val="en-US" w:eastAsia="zh-CN" w:bidi="ar-SA"/>
                    </w:rPr>
                    <w:t>1</w:t>
                  </w:r>
                </w:p>
              </w:tc>
              <w:tc>
                <w:tcPr>
                  <w:tcW w:w="379" w:type="pct"/>
                  <w:noWrap w:val="0"/>
                  <w:vAlign w:val="center"/>
                </w:tcPr>
                <w:p w14:paraId="1719E60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t>东</w:t>
                  </w:r>
                </w:p>
              </w:tc>
              <w:tc>
                <w:tcPr>
                  <w:tcW w:w="304" w:type="pct"/>
                  <w:noWrap w:val="0"/>
                  <w:vAlign w:val="center"/>
                </w:tcPr>
                <w:p w14:paraId="2098FDA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15</w:t>
                  </w:r>
                </w:p>
              </w:tc>
              <w:tc>
                <w:tcPr>
                  <w:tcW w:w="345" w:type="pct"/>
                  <w:shd w:val="clear" w:color="auto" w:fill="auto"/>
                  <w:noWrap w:val="0"/>
                  <w:vAlign w:val="center"/>
                </w:tcPr>
                <w:p w14:paraId="609D9C9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51.48</w:t>
                  </w:r>
                </w:p>
              </w:tc>
              <w:tc>
                <w:tcPr>
                  <w:tcW w:w="217" w:type="pct"/>
                  <w:vMerge w:val="restart"/>
                  <w:shd w:val="clear" w:color="auto" w:fill="auto"/>
                  <w:noWrap w:val="0"/>
                  <w:vAlign w:val="center"/>
                </w:tcPr>
                <w:p w14:paraId="290BBE8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昼间</w:t>
                  </w:r>
                </w:p>
              </w:tc>
              <w:tc>
                <w:tcPr>
                  <w:tcW w:w="373" w:type="pct"/>
                  <w:vMerge w:val="restart"/>
                  <w:shd w:val="clear" w:color="auto" w:fill="auto"/>
                  <w:noWrap w:val="0"/>
                  <w:vAlign w:val="center"/>
                </w:tcPr>
                <w:p w14:paraId="7C3B008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t>10</w:t>
                  </w:r>
                </w:p>
              </w:tc>
              <w:tc>
                <w:tcPr>
                  <w:tcW w:w="348" w:type="pct"/>
                  <w:shd w:val="clear" w:color="auto" w:fill="auto"/>
                  <w:noWrap w:val="0"/>
                  <w:vAlign w:val="center"/>
                </w:tcPr>
                <w:p w14:paraId="2BF2614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41.48</w:t>
                  </w:r>
                </w:p>
              </w:tc>
              <w:tc>
                <w:tcPr>
                  <w:tcW w:w="291" w:type="pct"/>
                  <w:vMerge w:val="restart"/>
                  <w:noWrap w:val="0"/>
                  <w:vAlign w:val="center"/>
                </w:tcPr>
                <w:p w14:paraId="0484D24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t>1</w:t>
                  </w:r>
                </w:p>
              </w:tc>
            </w:tr>
            <w:tr w14:paraId="4CB7406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37" w:hRule="atLeast"/>
                <w:jc w:val="center"/>
              </w:trPr>
              <w:tc>
                <w:tcPr>
                  <w:tcW w:w="173" w:type="pct"/>
                  <w:vMerge w:val="continue"/>
                  <w:noWrap w:val="0"/>
                  <w:vAlign w:val="center"/>
                </w:tcPr>
                <w:p w14:paraId="5CE455A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416BBB3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5E15C58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0571F3A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40FAA6D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18036A7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0ACEAEA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23C8EF6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3" w:type="pct"/>
                  <w:vMerge w:val="continue"/>
                  <w:noWrap w:val="0"/>
                  <w:vAlign w:val="center"/>
                </w:tcPr>
                <w:p w14:paraId="2143860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72" w:type="pct"/>
                  <w:vMerge w:val="continue"/>
                  <w:noWrap w:val="0"/>
                  <w:vAlign w:val="center"/>
                </w:tcPr>
                <w:p w14:paraId="0341708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9" w:type="pct"/>
                  <w:noWrap w:val="0"/>
                  <w:vAlign w:val="center"/>
                </w:tcPr>
                <w:p w14:paraId="11156E3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南</w:t>
                  </w:r>
                </w:p>
              </w:tc>
              <w:tc>
                <w:tcPr>
                  <w:tcW w:w="304" w:type="pct"/>
                  <w:noWrap w:val="0"/>
                  <w:vAlign w:val="center"/>
                </w:tcPr>
                <w:p w14:paraId="0D39A57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15</w:t>
                  </w:r>
                </w:p>
              </w:tc>
              <w:tc>
                <w:tcPr>
                  <w:tcW w:w="345" w:type="pct"/>
                  <w:shd w:val="clear" w:color="auto" w:fill="auto"/>
                  <w:noWrap w:val="0"/>
                  <w:vAlign w:val="center"/>
                </w:tcPr>
                <w:p w14:paraId="11122CD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51.48</w:t>
                  </w:r>
                </w:p>
              </w:tc>
              <w:tc>
                <w:tcPr>
                  <w:tcW w:w="217" w:type="pct"/>
                  <w:vMerge w:val="continue"/>
                  <w:shd w:val="clear" w:color="auto" w:fill="auto"/>
                  <w:noWrap w:val="0"/>
                  <w:vAlign w:val="center"/>
                </w:tcPr>
                <w:p w14:paraId="75D3D2C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0188BC8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11B51CA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41.48</w:t>
                  </w:r>
                </w:p>
              </w:tc>
              <w:tc>
                <w:tcPr>
                  <w:tcW w:w="291" w:type="pct"/>
                  <w:vMerge w:val="continue"/>
                  <w:noWrap w:val="0"/>
                  <w:vAlign w:val="center"/>
                </w:tcPr>
                <w:p w14:paraId="5116BD8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60E5504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3" w:hRule="atLeast"/>
                <w:jc w:val="center"/>
              </w:trPr>
              <w:tc>
                <w:tcPr>
                  <w:tcW w:w="173" w:type="pct"/>
                  <w:vMerge w:val="continue"/>
                  <w:noWrap w:val="0"/>
                  <w:vAlign w:val="center"/>
                </w:tcPr>
                <w:p w14:paraId="47A3280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209F3F8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18912A1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7AF870C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684B626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7003DF3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28BD6D4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2877ACD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3" w:type="pct"/>
                  <w:vMerge w:val="continue"/>
                  <w:noWrap w:val="0"/>
                  <w:vAlign w:val="center"/>
                </w:tcPr>
                <w:p w14:paraId="163D7C1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72" w:type="pct"/>
                  <w:vMerge w:val="continue"/>
                  <w:noWrap w:val="0"/>
                  <w:vAlign w:val="center"/>
                </w:tcPr>
                <w:p w14:paraId="4227876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9" w:type="pct"/>
                  <w:noWrap w:val="0"/>
                  <w:vAlign w:val="center"/>
                </w:tcPr>
                <w:p w14:paraId="4103373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西</w:t>
                  </w:r>
                </w:p>
              </w:tc>
              <w:tc>
                <w:tcPr>
                  <w:tcW w:w="304" w:type="pct"/>
                  <w:noWrap w:val="0"/>
                  <w:vAlign w:val="center"/>
                </w:tcPr>
                <w:p w14:paraId="712C0CF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43</w:t>
                  </w:r>
                </w:p>
              </w:tc>
              <w:tc>
                <w:tcPr>
                  <w:tcW w:w="345" w:type="pct"/>
                  <w:shd w:val="clear" w:color="auto" w:fill="auto"/>
                  <w:noWrap w:val="0"/>
                  <w:vAlign w:val="center"/>
                </w:tcPr>
                <w:p w14:paraId="4422A63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42.33</w:t>
                  </w:r>
                </w:p>
              </w:tc>
              <w:tc>
                <w:tcPr>
                  <w:tcW w:w="217" w:type="pct"/>
                  <w:vMerge w:val="continue"/>
                  <w:shd w:val="clear" w:color="auto" w:fill="auto"/>
                  <w:noWrap w:val="0"/>
                  <w:vAlign w:val="center"/>
                </w:tcPr>
                <w:p w14:paraId="4A5DC24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42EA5E6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44F09D0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32.33</w:t>
                  </w:r>
                </w:p>
              </w:tc>
              <w:tc>
                <w:tcPr>
                  <w:tcW w:w="291" w:type="pct"/>
                  <w:vMerge w:val="continue"/>
                  <w:noWrap w:val="0"/>
                  <w:vAlign w:val="center"/>
                </w:tcPr>
                <w:p w14:paraId="73E4E4D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460D03A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23" w:hRule="atLeast"/>
                <w:jc w:val="center"/>
              </w:trPr>
              <w:tc>
                <w:tcPr>
                  <w:tcW w:w="173" w:type="pct"/>
                  <w:vMerge w:val="continue"/>
                  <w:noWrap w:val="0"/>
                  <w:vAlign w:val="center"/>
                </w:tcPr>
                <w:p w14:paraId="01C00A9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6F21CD9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1404E66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733BAA7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796C130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28FE43E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3F289B2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34B6A56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3" w:type="pct"/>
                  <w:vMerge w:val="continue"/>
                  <w:noWrap w:val="0"/>
                  <w:vAlign w:val="center"/>
                </w:tcPr>
                <w:p w14:paraId="233257E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72" w:type="pct"/>
                  <w:vMerge w:val="continue"/>
                  <w:noWrap w:val="0"/>
                  <w:vAlign w:val="center"/>
                </w:tcPr>
                <w:p w14:paraId="24271E6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9" w:type="pct"/>
                  <w:noWrap w:val="0"/>
                  <w:vAlign w:val="center"/>
                </w:tcPr>
                <w:p w14:paraId="32019C6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北</w:t>
                  </w:r>
                </w:p>
              </w:tc>
              <w:tc>
                <w:tcPr>
                  <w:tcW w:w="304" w:type="pct"/>
                  <w:noWrap w:val="0"/>
                  <w:vAlign w:val="center"/>
                </w:tcPr>
                <w:p w14:paraId="65C8991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10</w:t>
                  </w:r>
                </w:p>
              </w:tc>
              <w:tc>
                <w:tcPr>
                  <w:tcW w:w="345" w:type="pct"/>
                  <w:shd w:val="clear" w:color="auto" w:fill="auto"/>
                  <w:noWrap w:val="0"/>
                  <w:vAlign w:val="center"/>
                </w:tcPr>
                <w:p w14:paraId="2C47ED5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55.00</w:t>
                  </w:r>
                </w:p>
              </w:tc>
              <w:tc>
                <w:tcPr>
                  <w:tcW w:w="217" w:type="pct"/>
                  <w:vMerge w:val="continue"/>
                  <w:shd w:val="clear" w:color="auto" w:fill="auto"/>
                  <w:noWrap w:val="0"/>
                  <w:vAlign w:val="center"/>
                </w:tcPr>
                <w:p w14:paraId="629C4EA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7B82A57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0056838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45.00</w:t>
                  </w:r>
                </w:p>
              </w:tc>
              <w:tc>
                <w:tcPr>
                  <w:tcW w:w="291" w:type="pct"/>
                  <w:vMerge w:val="continue"/>
                  <w:noWrap w:val="0"/>
                  <w:vAlign w:val="center"/>
                </w:tcPr>
                <w:p w14:paraId="0FCFD1F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5DFC39A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09" w:hRule="atLeast"/>
                <w:jc w:val="center"/>
              </w:trPr>
              <w:tc>
                <w:tcPr>
                  <w:tcW w:w="173" w:type="pct"/>
                  <w:vMerge w:val="restart"/>
                  <w:noWrap w:val="0"/>
                  <w:vAlign w:val="center"/>
                </w:tcPr>
                <w:p w14:paraId="13A8D7B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2</w:t>
                  </w:r>
                </w:p>
              </w:tc>
              <w:tc>
                <w:tcPr>
                  <w:tcW w:w="274" w:type="pct"/>
                  <w:vMerge w:val="continue"/>
                  <w:noWrap w:val="0"/>
                  <w:vAlign w:val="center"/>
                </w:tcPr>
                <w:p w14:paraId="1CA4DDC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pPr>
                </w:p>
              </w:tc>
              <w:tc>
                <w:tcPr>
                  <w:tcW w:w="266" w:type="pct"/>
                  <w:vMerge w:val="restart"/>
                  <w:noWrap w:val="0"/>
                  <w:vAlign w:val="center"/>
                </w:tcPr>
                <w:p w14:paraId="754850D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b w:val="0"/>
                      <w:color w:val="auto"/>
                      <w:kern w:val="0"/>
                      <w:sz w:val="21"/>
                      <w:szCs w:val="21"/>
                      <w:lang w:val="en-US" w:eastAsia="zh-CN" w:bidi="ar-SA"/>
                    </w:rPr>
                    <w:t>包胶机</w:t>
                  </w:r>
                </w:p>
              </w:tc>
              <w:tc>
                <w:tcPr>
                  <w:tcW w:w="187" w:type="pct"/>
                  <w:vMerge w:val="restart"/>
                  <w:noWrap w:val="0"/>
                  <w:vAlign w:val="center"/>
                </w:tcPr>
                <w:p w14:paraId="28213C6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color="auto"/>
                      <w:lang w:val="en-US" w:eastAsia="zh-CN" w:bidi="ar-SA"/>
                      <w14:textFill>
                        <w14:solidFill>
                          <w14:schemeClr w14:val="tx1"/>
                        </w14:solidFill>
                      </w14:textFill>
                    </w:rPr>
                  </w:pPr>
                  <w:r>
                    <w:rPr>
                      <w:rFonts w:hint="eastAsia" w:cs="Times New Roman"/>
                      <w:b w:val="0"/>
                      <w:bCs w:val="0"/>
                      <w:i w:val="0"/>
                      <w:iCs w:val="0"/>
                      <w:color w:val="000000" w:themeColor="text1"/>
                      <w:kern w:val="2"/>
                      <w:sz w:val="21"/>
                      <w:szCs w:val="21"/>
                      <w:u w:val="none" w:color="auto"/>
                      <w:lang w:val="en-US" w:eastAsia="zh-CN" w:bidi="ar-SA"/>
                      <w14:textFill>
                        <w14:solidFill>
                          <w14:schemeClr w14:val="tx1"/>
                        </w14:solidFill>
                      </w14:textFill>
                    </w:rPr>
                    <w:t>3</w:t>
                  </w:r>
                </w:p>
              </w:tc>
              <w:tc>
                <w:tcPr>
                  <w:tcW w:w="333" w:type="pct"/>
                  <w:vMerge w:val="restart"/>
                  <w:noWrap w:val="0"/>
                  <w:vAlign w:val="center"/>
                </w:tcPr>
                <w:p w14:paraId="19897B4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70</w:t>
                  </w:r>
                </w:p>
              </w:tc>
              <w:tc>
                <w:tcPr>
                  <w:tcW w:w="282" w:type="pct"/>
                  <w:vMerge w:val="restart"/>
                  <w:noWrap w:val="0"/>
                  <w:vAlign w:val="center"/>
                </w:tcPr>
                <w:p w14:paraId="08B3C28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t>1</w:t>
                  </w:r>
                </w:p>
              </w:tc>
              <w:tc>
                <w:tcPr>
                  <w:tcW w:w="361" w:type="pct"/>
                  <w:vMerge w:val="continue"/>
                  <w:noWrap w:val="0"/>
                  <w:vAlign w:val="center"/>
                </w:tcPr>
                <w:p w14:paraId="3FF788C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8" w:type="pct"/>
                  <w:vMerge w:val="restart"/>
                  <w:noWrap w:val="0"/>
                  <w:vAlign w:val="center"/>
                </w:tcPr>
                <w:p w14:paraId="5870C49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42</w:t>
                  </w:r>
                </w:p>
              </w:tc>
              <w:tc>
                <w:tcPr>
                  <w:tcW w:w="293" w:type="pct"/>
                  <w:vMerge w:val="restart"/>
                  <w:noWrap w:val="0"/>
                  <w:vAlign w:val="center"/>
                </w:tcPr>
                <w:p w14:paraId="738A340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w:t>
                  </w:r>
                </w:p>
              </w:tc>
              <w:tc>
                <w:tcPr>
                  <w:tcW w:w="272" w:type="pct"/>
                  <w:vMerge w:val="restart"/>
                  <w:noWrap w:val="0"/>
                  <w:vAlign w:val="center"/>
                </w:tcPr>
                <w:p w14:paraId="6C4DB2F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1</w:t>
                  </w:r>
                </w:p>
              </w:tc>
              <w:tc>
                <w:tcPr>
                  <w:tcW w:w="379" w:type="pct"/>
                  <w:noWrap w:val="0"/>
                  <w:vAlign w:val="center"/>
                </w:tcPr>
                <w:p w14:paraId="0A3A2D8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t>东</w:t>
                  </w:r>
                </w:p>
              </w:tc>
              <w:tc>
                <w:tcPr>
                  <w:tcW w:w="304" w:type="pct"/>
                  <w:noWrap w:val="0"/>
                  <w:vAlign w:val="center"/>
                </w:tcPr>
                <w:p w14:paraId="3E3BA16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23</w:t>
                  </w:r>
                </w:p>
              </w:tc>
              <w:tc>
                <w:tcPr>
                  <w:tcW w:w="345" w:type="pct"/>
                  <w:shd w:val="clear" w:color="auto" w:fill="auto"/>
                  <w:noWrap w:val="0"/>
                  <w:vAlign w:val="center"/>
                </w:tcPr>
                <w:p w14:paraId="18AB79A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42.77</w:t>
                  </w:r>
                </w:p>
              </w:tc>
              <w:tc>
                <w:tcPr>
                  <w:tcW w:w="217" w:type="pct"/>
                  <w:vMerge w:val="restart"/>
                  <w:shd w:val="clear" w:color="auto" w:fill="auto"/>
                  <w:noWrap w:val="0"/>
                  <w:vAlign w:val="center"/>
                </w:tcPr>
                <w:p w14:paraId="1B41FA8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昼间</w:t>
                  </w:r>
                </w:p>
              </w:tc>
              <w:tc>
                <w:tcPr>
                  <w:tcW w:w="373" w:type="pct"/>
                  <w:vMerge w:val="restart"/>
                  <w:shd w:val="clear" w:color="auto" w:fill="auto"/>
                  <w:noWrap w:val="0"/>
                  <w:vAlign w:val="center"/>
                </w:tcPr>
                <w:p w14:paraId="4D58D68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t>10</w:t>
                  </w:r>
                </w:p>
              </w:tc>
              <w:tc>
                <w:tcPr>
                  <w:tcW w:w="348" w:type="pct"/>
                  <w:shd w:val="clear" w:color="auto" w:fill="auto"/>
                  <w:noWrap w:val="0"/>
                  <w:vAlign w:val="center"/>
                </w:tcPr>
                <w:p w14:paraId="2A05A58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32.77</w:t>
                  </w:r>
                </w:p>
              </w:tc>
              <w:tc>
                <w:tcPr>
                  <w:tcW w:w="291" w:type="pct"/>
                  <w:vMerge w:val="restart"/>
                  <w:noWrap w:val="0"/>
                  <w:vAlign w:val="center"/>
                </w:tcPr>
                <w:p w14:paraId="15B7448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t>1</w:t>
                  </w:r>
                </w:p>
              </w:tc>
            </w:tr>
            <w:tr w14:paraId="1924AF6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37" w:hRule="atLeast"/>
                <w:jc w:val="center"/>
              </w:trPr>
              <w:tc>
                <w:tcPr>
                  <w:tcW w:w="173" w:type="pct"/>
                  <w:vMerge w:val="continue"/>
                  <w:noWrap w:val="0"/>
                  <w:vAlign w:val="center"/>
                </w:tcPr>
                <w:p w14:paraId="69BDF80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44E7222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345B80D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488DFDE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4D2C843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1E32642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21689F5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63FC760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3" w:type="pct"/>
                  <w:vMerge w:val="continue"/>
                  <w:noWrap w:val="0"/>
                  <w:vAlign w:val="center"/>
                </w:tcPr>
                <w:p w14:paraId="4073761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72" w:type="pct"/>
                  <w:vMerge w:val="continue"/>
                  <w:noWrap w:val="0"/>
                  <w:vAlign w:val="center"/>
                </w:tcPr>
                <w:p w14:paraId="0B9D59D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9" w:type="pct"/>
                  <w:noWrap w:val="0"/>
                  <w:vAlign w:val="center"/>
                </w:tcPr>
                <w:p w14:paraId="4B86DFB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lang w:val="en-US" w:eastAsia="zh-CN"/>
                    </w:rPr>
                    <w:t>南</w:t>
                  </w:r>
                </w:p>
              </w:tc>
              <w:tc>
                <w:tcPr>
                  <w:tcW w:w="304" w:type="pct"/>
                  <w:noWrap w:val="0"/>
                  <w:vAlign w:val="center"/>
                </w:tcPr>
                <w:p w14:paraId="515925D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15</w:t>
                  </w:r>
                </w:p>
              </w:tc>
              <w:tc>
                <w:tcPr>
                  <w:tcW w:w="345" w:type="pct"/>
                  <w:shd w:val="clear" w:color="auto" w:fill="auto"/>
                  <w:noWrap w:val="0"/>
                  <w:vAlign w:val="center"/>
                </w:tcPr>
                <w:p w14:paraId="380979C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46.48</w:t>
                  </w:r>
                </w:p>
              </w:tc>
              <w:tc>
                <w:tcPr>
                  <w:tcW w:w="217" w:type="pct"/>
                  <w:vMerge w:val="continue"/>
                  <w:shd w:val="clear" w:color="auto" w:fill="auto"/>
                  <w:noWrap w:val="0"/>
                  <w:vAlign w:val="center"/>
                </w:tcPr>
                <w:p w14:paraId="5CBC0E9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3CC82BB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24DC8DD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36.48</w:t>
                  </w:r>
                </w:p>
              </w:tc>
              <w:tc>
                <w:tcPr>
                  <w:tcW w:w="291" w:type="pct"/>
                  <w:vMerge w:val="continue"/>
                  <w:noWrap w:val="0"/>
                  <w:vAlign w:val="center"/>
                </w:tcPr>
                <w:p w14:paraId="4745023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6F1F8E3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2" w:hRule="atLeast"/>
                <w:jc w:val="center"/>
              </w:trPr>
              <w:tc>
                <w:tcPr>
                  <w:tcW w:w="173" w:type="pct"/>
                  <w:vMerge w:val="continue"/>
                  <w:noWrap w:val="0"/>
                  <w:vAlign w:val="center"/>
                </w:tcPr>
                <w:p w14:paraId="444684E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72B5498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126643D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702682E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26D53EE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58132B1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16ADBA2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690D673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3" w:type="pct"/>
                  <w:vMerge w:val="continue"/>
                  <w:noWrap w:val="0"/>
                  <w:vAlign w:val="center"/>
                </w:tcPr>
                <w:p w14:paraId="1B52082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72" w:type="pct"/>
                  <w:vMerge w:val="continue"/>
                  <w:noWrap w:val="0"/>
                  <w:vAlign w:val="center"/>
                </w:tcPr>
                <w:p w14:paraId="1FFF3CA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9" w:type="pct"/>
                  <w:noWrap w:val="0"/>
                  <w:vAlign w:val="center"/>
                </w:tcPr>
                <w:p w14:paraId="0B7A6EF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lang w:val="en-US" w:eastAsia="zh-CN"/>
                    </w:rPr>
                    <w:t>西</w:t>
                  </w:r>
                </w:p>
              </w:tc>
              <w:tc>
                <w:tcPr>
                  <w:tcW w:w="304" w:type="pct"/>
                  <w:noWrap w:val="0"/>
                  <w:vAlign w:val="center"/>
                </w:tcPr>
                <w:p w14:paraId="4C4939D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35</w:t>
                  </w:r>
                </w:p>
              </w:tc>
              <w:tc>
                <w:tcPr>
                  <w:tcW w:w="345" w:type="pct"/>
                  <w:shd w:val="clear" w:color="auto" w:fill="auto"/>
                  <w:noWrap w:val="0"/>
                  <w:vAlign w:val="center"/>
                </w:tcPr>
                <w:p w14:paraId="0AE116B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39.12</w:t>
                  </w:r>
                </w:p>
              </w:tc>
              <w:tc>
                <w:tcPr>
                  <w:tcW w:w="217" w:type="pct"/>
                  <w:vMerge w:val="continue"/>
                  <w:shd w:val="clear" w:color="auto" w:fill="auto"/>
                  <w:noWrap w:val="0"/>
                  <w:vAlign w:val="center"/>
                </w:tcPr>
                <w:p w14:paraId="7C3745B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01970E5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161B98F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29.12</w:t>
                  </w:r>
                </w:p>
              </w:tc>
              <w:tc>
                <w:tcPr>
                  <w:tcW w:w="291" w:type="pct"/>
                  <w:vMerge w:val="continue"/>
                  <w:noWrap w:val="0"/>
                  <w:vAlign w:val="center"/>
                </w:tcPr>
                <w:p w14:paraId="5F697ED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349C432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82" w:hRule="atLeast"/>
                <w:jc w:val="center"/>
              </w:trPr>
              <w:tc>
                <w:tcPr>
                  <w:tcW w:w="173" w:type="pct"/>
                  <w:vMerge w:val="continue"/>
                  <w:noWrap w:val="0"/>
                  <w:vAlign w:val="center"/>
                </w:tcPr>
                <w:p w14:paraId="699A94D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3AAB020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13069BE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25E7252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679FE05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1F3D94F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37C0DE4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26435B0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3" w:type="pct"/>
                  <w:vMerge w:val="continue"/>
                  <w:noWrap w:val="0"/>
                  <w:vAlign w:val="center"/>
                </w:tcPr>
                <w:p w14:paraId="2CF5453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72" w:type="pct"/>
                  <w:vMerge w:val="continue"/>
                  <w:noWrap w:val="0"/>
                  <w:vAlign w:val="center"/>
                </w:tcPr>
                <w:p w14:paraId="6CFBE24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9" w:type="pct"/>
                  <w:noWrap w:val="0"/>
                  <w:vAlign w:val="center"/>
                </w:tcPr>
                <w:p w14:paraId="462E9C4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lang w:val="en-US" w:eastAsia="zh-CN"/>
                    </w:rPr>
                    <w:t>北</w:t>
                  </w:r>
                </w:p>
              </w:tc>
              <w:tc>
                <w:tcPr>
                  <w:tcW w:w="304" w:type="pct"/>
                  <w:noWrap w:val="0"/>
                  <w:vAlign w:val="center"/>
                </w:tcPr>
                <w:p w14:paraId="39191E6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10</w:t>
                  </w:r>
                </w:p>
              </w:tc>
              <w:tc>
                <w:tcPr>
                  <w:tcW w:w="345" w:type="pct"/>
                  <w:shd w:val="clear" w:color="auto" w:fill="auto"/>
                  <w:noWrap w:val="0"/>
                  <w:vAlign w:val="center"/>
                </w:tcPr>
                <w:p w14:paraId="17F9281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50.00</w:t>
                  </w:r>
                </w:p>
              </w:tc>
              <w:tc>
                <w:tcPr>
                  <w:tcW w:w="217" w:type="pct"/>
                  <w:vMerge w:val="continue"/>
                  <w:shd w:val="clear" w:color="auto" w:fill="auto"/>
                  <w:noWrap w:val="0"/>
                  <w:vAlign w:val="center"/>
                </w:tcPr>
                <w:p w14:paraId="7864B01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48B7ECA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3AC4038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40.00</w:t>
                  </w:r>
                </w:p>
              </w:tc>
              <w:tc>
                <w:tcPr>
                  <w:tcW w:w="291" w:type="pct"/>
                  <w:vMerge w:val="continue"/>
                  <w:noWrap w:val="0"/>
                  <w:vAlign w:val="center"/>
                </w:tcPr>
                <w:p w14:paraId="257AD85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6CB3750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23" w:hRule="atLeast"/>
                <w:jc w:val="center"/>
              </w:trPr>
              <w:tc>
                <w:tcPr>
                  <w:tcW w:w="173" w:type="pct"/>
                  <w:vMerge w:val="restart"/>
                  <w:noWrap w:val="0"/>
                  <w:vAlign w:val="center"/>
                </w:tcPr>
                <w:p w14:paraId="10D75CF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3</w:t>
                  </w:r>
                </w:p>
              </w:tc>
              <w:tc>
                <w:tcPr>
                  <w:tcW w:w="274" w:type="pct"/>
                  <w:vMerge w:val="continue"/>
                  <w:noWrap w:val="0"/>
                  <w:vAlign w:val="center"/>
                </w:tcPr>
                <w:p w14:paraId="3F7A15E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pPr>
                </w:p>
              </w:tc>
              <w:tc>
                <w:tcPr>
                  <w:tcW w:w="266" w:type="pct"/>
                  <w:vMerge w:val="restart"/>
                  <w:noWrap w:val="0"/>
                  <w:vAlign w:val="center"/>
                </w:tcPr>
                <w:p w14:paraId="48D8E8E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color="auto"/>
                      <w:lang w:val="en-US" w:eastAsia="zh-CN" w:bidi="ar-SA"/>
                      <w14:textFill>
                        <w14:solidFill>
                          <w14:schemeClr w14:val="tx1"/>
                        </w14:solidFill>
                      </w14:textFill>
                    </w:rPr>
                  </w:pPr>
                  <w:r>
                    <w:rPr>
                      <w:rFonts w:hint="eastAsia"/>
                      <w:b w:val="0"/>
                      <w:color w:val="auto"/>
                      <w:sz w:val="21"/>
                      <w:szCs w:val="21"/>
                      <w:lang w:val="en-US" w:eastAsia="zh-CN"/>
                    </w:rPr>
                    <w:t>无铅熔锡炉</w:t>
                  </w:r>
                </w:p>
              </w:tc>
              <w:tc>
                <w:tcPr>
                  <w:tcW w:w="187" w:type="pct"/>
                  <w:vMerge w:val="restart"/>
                  <w:noWrap w:val="0"/>
                  <w:vAlign w:val="center"/>
                </w:tcPr>
                <w:p w14:paraId="11CB300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color="auto"/>
                      <w:lang w:val="en-US" w:eastAsia="zh-CN" w:bidi="ar-SA"/>
                      <w14:textFill>
                        <w14:solidFill>
                          <w14:schemeClr w14:val="tx1"/>
                        </w14:solidFill>
                      </w14:textFill>
                    </w:rPr>
                  </w:pPr>
                  <w:r>
                    <w:rPr>
                      <w:rFonts w:hint="eastAsia" w:cs="Times New Roman"/>
                      <w:b w:val="0"/>
                      <w:bCs w:val="0"/>
                      <w:i w:val="0"/>
                      <w:iCs w:val="0"/>
                      <w:color w:val="000000" w:themeColor="text1"/>
                      <w:kern w:val="2"/>
                      <w:sz w:val="21"/>
                      <w:szCs w:val="21"/>
                      <w:u w:val="none" w:color="auto"/>
                      <w:lang w:val="en-US" w:eastAsia="zh-CN" w:bidi="ar-SA"/>
                      <w14:textFill>
                        <w14:solidFill>
                          <w14:schemeClr w14:val="tx1"/>
                        </w14:solidFill>
                      </w14:textFill>
                    </w:rPr>
                    <w:t>2</w:t>
                  </w:r>
                </w:p>
              </w:tc>
              <w:tc>
                <w:tcPr>
                  <w:tcW w:w="333" w:type="pct"/>
                  <w:vMerge w:val="restart"/>
                  <w:noWrap w:val="0"/>
                  <w:vAlign w:val="center"/>
                </w:tcPr>
                <w:p w14:paraId="7CD36F8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70</w:t>
                  </w:r>
                </w:p>
              </w:tc>
              <w:tc>
                <w:tcPr>
                  <w:tcW w:w="282" w:type="pct"/>
                  <w:vMerge w:val="restart"/>
                  <w:noWrap w:val="0"/>
                  <w:vAlign w:val="center"/>
                </w:tcPr>
                <w:p w14:paraId="1120810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t>1</w:t>
                  </w:r>
                </w:p>
              </w:tc>
              <w:tc>
                <w:tcPr>
                  <w:tcW w:w="361" w:type="pct"/>
                  <w:vMerge w:val="continue"/>
                  <w:noWrap w:val="0"/>
                  <w:vAlign w:val="center"/>
                </w:tcPr>
                <w:p w14:paraId="4411599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8" w:type="pct"/>
                  <w:vMerge w:val="restart"/>
                  <w:noWrap w:val="0"/>
                  <w:vAlign w:val="center"/>
                </w:tcPr>
                <w:p w14:paraId="28F397E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57</w:t>
                  </w:r>
                </w:p>
              </w:tc>
              <w:tc>
                <w:tcPr>
                  <w:tcW w:w="293" w:type="pct"/>
                  <w:vMerge w:val="restart"/>
                  <w:noWrap w:val="0"/>
                  <w:vAlign w:val="center"/>
                </w:tcPr>
                <w:p w14:paraId="67F04E1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-14</w:t>
                  </w:r>
                </w:p>
              </w:tc>
              <w:tc>
                <w:tcPr>
                  <w:tcW w:w="272" w:type="pct"/>
                  <w:vMerge w:val="restart"/>
                  <w:noWrap w:val="0"/>
                  <w:vAlign w:val="center"/>
                </w:tcPr>
                <w:p w14:paraId="0648C04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1</w:t>
                  </w:r>
                </w:p>
              </w:tc>
              <w:tc>
                <w:tcPr>
                  <w:tcW w:w="379" w:type="pct"/>
                  <w:noWrap w:val="0"/>
                  <w:vAlign w:val="center"/>
                </w:tcPr>
                <w:p w14:paraId="4E749B8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t>东</w:t>
                  </w:r>
                </w:p>
              </w:tc>
              <w:tc>
                <w:tcPr>
                  <w:tcW w:w="304" w:type="pct"/>
                  <w:noWrap w:val="0"/>
                  <w:vAlign w:val="center"/>
                </w:tcPr>
                <w:p w14:paraId="7E0270B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6</w:t>
                  </w:r>
                </w:p>
              </w:tc>
              <w:tc>
                <w:tcPr>
                  <w:tcW w:w="345" w:type="pct"/>
                  <w:shd w:val="clear" w:color="auto" w:fill="auto"/>
                  <w:noWrap w:val="0"/>
                  <w:vAlign w:val="center"/>
                </w:tcPr>
                <w:p w14:paraId="6F8BD6F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54.44</w:t>
                  </w:r>
                </w:p>
              </w:tc>
              <w:tc>
                <w:tcPr>
                  <w:tcW w:w="217" w:type="pct"/>
                  <w:vMerge w:val="restart"/>
                  <w:shd w:val="clear" w:color="auto" w:fill="auto"/>
                  <w:noWrap w:val="0"/>
                  <w:vAlign w:val="center"/>
                </w:tcPr>
                <w:p w14:paraId="7909479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昼间</w:t>
                  </w:r>
                </w:p>
              </w:tc>
              <w:tc>
                <w:tcPr>
                  <w:tcW w:w="373" w:type="pct"/>
                  <w:vMerge w:val="restart"/>
                  <w:shd w:val="clear" w:color="auto" w:fill="auto"/>
                  <w:noWrap w:val="0"/>
                  <w:vAlign w:val="center"/>
                </w:tcPr>
                <w:p w14:paraId="260CA07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t>10</w:t>
                  </w:r>
                </w:p>
              </w:tc>
              <w:tc>
                <w:tcPr>
                  <w:tcW w:w="348" w:type="pct"/>
                  <w:shd w:val="clear" w:color="auto" w:fill="auto"/>
                  <w:noWrap w:val="0"/>
                  <w:vAlign w:val="center"/>
                </w:tcPr>
                <w:p w14:paraId="3D493E2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44.44</w:t>
                  </w:r>
                </w:p>
              </w:tc>
              <w:tc>
                <w:tcPr>
                  <w:tcW w:w="291" w:type="pct"/>
                  <w:vMerge w:val="restart"/>
                  <w:noWrap w:val="0"/>
                  <w:vAlign w:val="center"/>
                </w:tcPr>
                <w:p w14:paraId="71D69ED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t>1</w:t>
                  </w:r>
                </w:p>
              </w:tc>
            </w:tr>
            <w:tr w14:paraId="6B193D6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54" w:hRule="atLeast"/>
                <w:jc w:val="center"/>
              </w:trPr>
              <w:tc>
                <w:tcPr>
                  <w:tcW w:w="173" w:type="pct"/>
                  <w:vMerge w:val="continue"/>
                  <w:noWrap w:val="0"/>
                  <w:vAlign w:val="center"/>
                </w:tcPr>
                <w:p w14:paraId="69F1BD1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2D8CE37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3864C3C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6F80722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47994C0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3E8F0E1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590A083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3CFC3F5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3" w:type="pct"/>
                  <w:vMerge w:val="continue"/>
                  <w:noWrap w:val="0"/>
                  <w:vAlign w:val="center"/>
                </w:tcPr>
                <w:p w14:paraId="6242D0B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72" w:type="pct"/>
                  <w:vMerge w:val="continue"/>
                  <w:noWrap w:val="0"/>
                  <w:vAlign w:val="center"/>
                </w:tcPr>
                <w:p w14:paraId="4E0EB51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9" w:type="pct"/>
                  <w:noWrap w:val="0"/>
                  <w:vAlign w:val="center"/>
                </w:tcPr>
                <w:p w14:paraId="6F6CA0F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lang w:val="en-US" w:eastAsia="zh-CN"/>
                    </w:rPr>
                    <w:t>南</w:t>
                  </w:r>
                </w:p>
              </w:tc>
              <w:tc>
                <w:tcPr>
                  <w:tcW w:w="304" w:type="pct"/>
                  <w:noWrap w:val="0"/>
                  <w:vAlign w:val="center"/>
                </w:tcPr>
                <w:p w14:paraId="56444D2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13</w:t>
                  </w:r>
                </w:p>
              </w:tc>
              <w:tc>
                <w:tcPr>
                  <w:tcW w:w="345" w:type="pct"/>
                  <w:shd w:val="clear" w:color="auto" w:fill="auto"/>
                  <w:noWrap w:val="0"/>
                  <w:vAlign w:val="center"/>
                </w:tcPr>
                <w:p w14:paraId="25BFD64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47.72</w:t>
                  </w:r>
                </w:p>
              </w:tc>
              <w:tc>
                <w:tcPr>
                  <w:tcW w:w="217" w:type="pct"/>
                  <w:vMerge w:val="continue"/>
                  <w:shd w:val="clear" w:color="auto" w:fill="auto"/>
                  <w:noWrap w:val="0"/>
                  <w:vAlign w:val="center"/>
                </w:tcPr>
                <w:p w14:paraId="18241F2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420522A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66E8018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37.72</w:t>
                  </w:r>
                </w:p>
              </w:tc>
              <w:tc>
                <w:tcPr>
                  <w:tcW w:w="291" w:type="pct"/>
                  <w:vMerge w:val="continue"/>
                  <w:noWrap w:val="0"/>
                  <w:vAlign w:val="center"/>
                </w:tcPr>
                <w:p w14:paraId="2CBB042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6CBE2D6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36" w:hRule="atLeast"/>
                <w:jc w:val="center"/>
              </w:trPr>
              <w:tc>
                <w:tcPr>
                  <w:tcW w:w="173" w:type="pct"/>
                  <w:vMerge w:val="continue"/>
                  <w:noWrap w:val="0"/>
                  <w:vAlign w:val="center"/>
                </w:tcPr>
                <w:p w14:paraId="2E9B693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2EBB469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4FB989D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61DA13F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120DEC2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502CDFB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45CDCF4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6BF7ED6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3" w:type="pct"/>
                  <w:vMerge w:val="continue"/>
                  <w:noWrap w:val="0"/>
                  <w:vAlign w:val="center"/>
                </w:tcPr>
                <w:p w14:paraId="5B2E8A3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72" w:type="pct"/>
                  <w:vMerge w:val="continue"/>
                  <w:noWrap w:val="0"/>
                  <w:vAlign w:val="center"/>
                </w:tcPr>
                <w:p w14:paraId="6E4C1C2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9" w:type="pct"/>
                  <w:noWrap w:val="0"/>
                  <w:vAlign w:val="center"/>
                </w:tcPr>
                <w:p w14:paraId="3F61045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lang w:val="en-US" w:eastAsia="zh-CN"/>
                    </w:rPr>
                    <w:t>西</w:t>
                  </w:r>
                </w:p>
              </w:tc>
              <w:tc>
                <w:tcPr>
                  <w:tcW w:w="304" w:type="pct"/>
                  <w:noWrap w:val="0"/>
                  <w:vAlign w:val="center"/>
                </w:tcPr>
                <w:p w14:paraId="18415F7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50</w:t>
                  </w:r>
                </w:p>
              </w:tc>
              <w:tc>
                <w:tcPr>
                  <w:tcW w:w="345" w:type="pct"/>
                  <w:shd w:val="clear" w:color="auto" w:fill="auto"/>
                  <w:noWrap w:val="0"/>
                  <w:vAlign w:val="center"/>
                </w:tcPr>
                <w:p w14:paraId="2D3C803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36.02</w:t>
                  </w:r>
                </w:p>
              </w:tc>
              <w:tc>
                <w:tcPr>
                  <w:tcW w:w="217" w:type="pct"/>
                  <w:vMerge w:val="continue"/>
                  <w:shd w:val="clear" w:color="auto" w:fill="auto"/>
                  <w:noWrap w:val="0"/>
                  <w:vAlign w:val="center"/>
                </w:tcPr>
                <w:p w14:paraId="10A8887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22ED92E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625F199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26.02</w:t>
                  </w:r>
                </w:p>
              </w:tc>
              <w:tc>
                <w:tcPr>
                  <w:tcW w:w="291" w:type="pct"/>
                  <w:vMerge w:val="continue"/>
                  <w:noWrap w:val="0"/>
                  <w:vAlign w:val="center"/>
                </w:tcPr>
                <w:p w14:paraId="632BA60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008E348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64" w:hRule="atLeast"/>
                <w:jc w:val="center"/>
              </w:trPr>
              <w:tc>
                <w:tcPr>
                  <w:tcW w:w="173" w:type="pct"/>
                  <w:vMerge w:val="continue"/>
                  <w:noWrap w:val="0"/>
                  <w:vAlign w:val="center"/>
                </w:tcPr>
                <w:p w14:paraId="542893B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55662D3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2C50C3A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2EA5435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546DDE1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62E9468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29E310E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7FD348A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3" w:type="pct"/>
                  <w:vMerge w:val="continue"/>
                  <w:noWrap w:val="0"/>
                  <w:vAlign w:val="center"/>
                </w:tcPr>
                <w:p w14:paraId="080B82E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72" w:type="pct"/>
                  <w:vMerge w:val="continue"/>
                  <w:noWrap w:val="0"/>
                  <w:vAlign w:val="center"/>
                </w:tcPr>
                <w:p w14:paraId="3F2B879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9" w:type="pct"/>
                  <w:noWrap w:val="0"/>
                  <w:vAlign w:val="center"/>
                </w:tcPr>
                <w:p w14:paraId="4D3A307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lang w:val="en-US" w:eastAsia="zh-CN"/>
                    </w:rPr>
                    <w:t>北</w:t>
                  </w:r>
                </w:p>
              </w:tc>
              <w:tc>
                <w:tcPr>
                  <w:tcW w:w="304" w:type="pct"/>
                  <w:noWrap w:val="0"/>
                  <w:vAlign w:val="center"/>
                </w:tcPr>
                <w:p w14:paraId="7B756AF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12</w:t>
                  </w:r>
                </w:p>
              </w:tc>
              <w:tc>
                <w:tcPr>
                  <w:tcW w:w="345" w:type="pct"/>
                  <w:shd w:val="clear" w:color="auto" w:fill="auto"/>
                  <w:noWrap w:val="0"/>
                  <w:vAlign w:val="center"/>
                </w:tcPr>
                <w:p w14:paraId="522ADA1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48.42</w:t>
                  </w:r>
                </w:p>
              </w:tc>
              <w:tc>
                <w:tcPr>
                  <w:tcW w:w="217" w:type="pct"/>
                  <w:vMerge w:val="continue"/>
                  <w:shd w:val="clear" w:color="auto" w:fill="auto"/>
                  <w:noWrap w:val="0"/>
                  <w:vAlign w:val="center"/>
                </w:tcPr>
                <w:p w14:paraId="7967A4E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2DB058B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640CC56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38.42</w:t>
                  </w:r>
                </w:p>
              </w:tc>
              <w:tc>
                <w:tcPr>
                  <w:tcW w:w="291" w:type="pct"/>
                  <w:vMerge w:val="continue"/>
                  <w:noWrap w:val="0"/>
                  <w:vAlign w:val="center"/>
                </w:tcPr>
                <w:p w14:paraId="169630F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010C3DC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41" w:hRule="atLeast"/>
                <w:jc w:val="center"/>
              </w:trPr>
              <w:tc>
                <w:tcPr>
                  <w:tcW w:w="173" w:type="pct"/>
                  <w:vMerge w:val="restart"/>
                  <w:noWrap w:val="0"/>
                  <w:vAlign w:val="center"/>
                </w:tcPr>
                <w:p w14:paraId="2F5CF639">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color="auto"/>
                      <w:lang w:bidi="ar"/>
                      <w14:textFill>
                        <w14:solidFill>
                          <w14:schemeClr w14:val="tx1"/>
                        </w14:solidFill>
                      </w14:textFill>
                    </w:rPr>
                    <w:t>4</w:t>
                  </w:r>
                </w:p>
              </w:tc>
              <w:tc>
                <w:tcPr>
                  <w:tcW w:w="274" w:type="pct"/>
                  <w:vMerge w:val="continue"/>
                  <w:noWrap w:val="0"/>
                  <w:vAlign w:val="center"/>
                </w:tcPr>
                <w:p w14:paraId="3A219DF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color w:val="000000" w:themeColor="text1"/>
                      <w:kern w:val="0"/>
                      <w:sz w:val="21"/>
                      <w:szCs w:val="21"/>
                      <w:u w:val="none" w:color="auto"/>
                      <w:lang w:val="en-US" w:eastAsia="zh-CN" w:bidi="ar"/>
                      <w14:textFill>
                        <w14:solidFill>
                          <w14:schemeClr w14:val="tx1"/>
                        </w14:solidFill>
                      </w14:textFill>
                    </w:rPr>
                  </w:pPr>
                </w:p>
              </w:tc>
              <w:tc>
                <w:tcPr>
                  <w:tcW w:w="266" w:type="pct"/>
                  <w:vMerge w:val="restart"/>
                  <w:noWrap w:val="0"/>
                  <w:vAlign w:val="center"/>
                </w:tcPr>
                <w:p w14:paraId="559E7B5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color="auto"/>
                      <w:lang w:val="en-US" w:eastAsia="zh-CN" w:bidi="ar-SA"/>
                      <w14:textFill>
                        <w14:solidFill>
                          <w14:schemeClr w14:val="tx1"/>
                        </w14:solidFill>
                      </w14:textFill>
                    </w:rPr>
                  </w:pPr>
                  <w:r>
                    <w:rPr>
                      <w:rFonts w:hint="eastAsia"/>
                      <w:b w:val="0"/>
                      <w:color w:val="auto"/>
                      <w:sz w:val="21"/>
                      <w:szCs w:val="21"/>
                      <w:lang w:val="en-US" w:eastAsia="zh-CN"/>
                    </w:rPr>
                    <w:t>真空含浸机</w:t>
                  </w:r>
                </w:p>
              </w:tc>
              <w:tc>
                <w:tcPr>
                  <w:tcW w:w="187" w:type="pct"/>
                  <w:vMerge w:val="restart"/>
                  <w:noWrap w:val="0"/>
                  <w:vAlign w:val="center"/>
                </w:tcPr>
                <w:p w14:paraId="28D5C80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2"/>
                      <w:sz w:val="21"/>
                      <w:szCs w:val="21"/>
                      <w:u w:val="none" w:color="auto"/>
                      <w:lang w:val="en-US" w:eastAsia="zh-CN" w:bidi="ar-SA"/>
                      <w14:textFill>
                        <w14:solidFill>
                          <w14:schemeClr w14:val="tx1"/>
                        </w14:solidFill>
                      </w14:textFill>
                    </w:rPr>
                  </w:pPr>
                  <w:r>
                    <w:rPr>
                      <w:rFonts w:hint="eastAsia" w:cs="Times New Roman"/>
                      <w:b w:val="0"/>
                      <w:bCs w:val="0"/>
                      <w:i w:val="0"/>
                      <w:iCs w:val="0"/>
                      <w:color w:val="000000" w:themeColor="text1"/>
                      <w:kern w:val="2"/>
                      <w:sz w:val="21"/>
                      <w:szCs w:val="21"/>
                      <w:u w:val="none" w:color="auto"/>
                      <w:lang w:val="en-US" w:eastAsia="zh-CN" w:bidi="ar-SA"/>
                      <w14:textFill>
                        <w14:solidFill>
                          <w14:schemeClr w14:val="tx1"/>
                        </w14:solidFill>
                      </w14:textFill>
                    </w:rPr>
                    <w:t>1</w:t>
                  </w:r>
                </w:p>
              </w:tc>
              <w:tc>
                <w:tcPr>
                  <w:tcW w:w="333" w:type="pct"/>
                  <w:vMerge w:val="restart"/>
                  <w:noWrap w:val="0"/>
                  <w:vAlign w:val="center"/>
                </w:tcPr>
                <w:p w14:paraId="14BEF1C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75</w:t>
                  </w:r>
                </w:p>
              </w:tc>
              <w:tc>
                <w:tcPr>
                  <w:tcW w:w="282" w:type="pct"/>
                  <w:vMerge w:val="restart"/>
                  <w:noWrap w:val="0"/>
                  <w:vAlign w:val="center"/>
                </w:tcPr>
                <w:p w14:paraId="15F63ED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t>1</w:t>
                  </w:r>
                </w:p>
              </w:tc>
              <w:tc>
                <w:tcPr>
                  <w:tcW w:w="361" w:type="pct"/>
                  <w:vMerge w:val="continue"/>
                  <w:noWrap w:val="0"/>
                  <w:vAlign w:val="center"/>
                </w:tcPr>
                <w:p w14:paraId="128DFCD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298" w:type="pct"/>
                  <w:vMerge w:val="restart"/>
                  <w:noWrap w:val="0"/>
                  <w:vAlign w:val="center"/>
                </w:tcPr>
                <w:p w14:paraId="090EA07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20</w:t>
                  </w:r>
                </w:p>
              </w:tc>
              <w:tc>
                <w:tcPr>
                  <w:tcW w:w="293" w:type="pct"/>
                  <w:vMerge w:val="restart"/>
                  <w:noWrap w:val="0"/>
                  <w:vAlign w:val="center"/>
                </w:tcPr>
                <w:p w14:paraId="5D11A17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13</w:t>
                  </w:r>
                </w:p>
              </w:tc>
              <w:tc>
                <w:tcPr>
                  <w:tcW w:w="272" w:type="pct"/>
                  <w:vMerge w:val="restart"/>
                  <w:noWrap w:val="0"/>
                  <w:vAlign w:val="center"/>
                </w:tcPr>
                <w:p w14:paraId="600B779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1</w:t>
                  </w:r>
                </w:p>
              </w:tc>
              <w:tc>
                <w:tcPr>
                  <w:tcW w:w="379" w:type="pct"/>
                  <w:noWrap w:val="0"/>
                  <w:vAlign w:val="center"/>
                </w:tcPr>
                <w:p w14:paraId="408C26B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t>东</w:t>
                  </w:r>
                </w:p>
              </w:tc>
              <w:tc>
                <w:tcPr>
                  <w:tcW w:w="304" w:type="pct"/>
                  <w:noWrap w:val="0"/>
                  <w:vAlign w:val="center"/>
                </w:tcPr>
                <w:p w14:paraId="4D9C4A5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48</w:t>
                  </w:r>
                </w:p>
              </w:tc>
              <w:tc>
                <w:tcPr>
                  <w:tcW w:w="345" w:type="pct"/>
                  <w:shd w:val="clear" w:color="auto" w:fill="auto"/>
                  <w:noWrap w:val="0"/>
                  <w:vAlign w:val="center"/>
                </w:tcPr>
                <w:p w14:paraId="0E0BE05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41.38</w:t>
                  </w:r>
                </w:p>
              </w:tc>
              <w:tc>
                <w:tcPr>
                  <w:tcW w:w="217" w:type="pct"/>
                  <w:vMerge w:val="restart"/>
                  <w:shd w:val="clear" w:color="auto" w:fill="auto"/>
                  <w:noWrap w:val="0"/>
                  <w:vAlign w:val="center"/>
                </w:tcPr>
                <w:p w14:paraId="2637EEA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昼间</w:t>
                  </w:r>
                </w:p>
              </w:tc>
              <w:tc>
                <w:tcPr>
                  <w:tcW w:w="373" w:type="pct"/>
                  <w:vMerge w:val="restart"/>
                  <w:shd w:val="clear" w:color="auto" w:fill="auto"/>
                  <w:noWrap w:val="0"/>
                  <w:vAlign w:val="center"/>
                </w:tcPr>
                <w:p w14:paraId="485ED99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t>10</w:t>
                  </w:r>
                </w:p>
              </w:tc>
              <w:tc>
                <w:tcPr>
                  <w:tcW w:w="348" w:type="pct"/>
                  <w:shd w:val="clear" w:color="auto" w:fill="auto"/>
                  <w:noWrap w:val="0"/>
                  <w:vAlign w:val="center"/>
                </w:tcPr>
                <w:p w14:paraId="4F61603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31.38</w:t>
                  </w:r>
                </w:p>
              </w:tc>
              <w:tc>
                <w:tcPr>
                  <w:tcW w:w="291" w:type="pct"/>
                  <w:vMerge w:val="restart"/>
                  <w:noWrap w:val="0"/>
                  <w:vAlign w:val="center"/>
                </w:tcPr>
                <w:p w14:paraId="1155E6A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t>1</w:t>
                  </w:r>
                </w:p>
              </w:tc>
            </w:tr>
            <w:tr w14:paraId="759ED6E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68" w:hRule="atLeast"/>
                <w:jc w:val="center"/>
              </w:trPr>
              <w:tc>
                <w:tcPr>
                  <w:tcW w:w="173" w:type="pct"/>
                  <w:vMerge w:val="continue"/>
                  <w:noWrap w:val="0"/>
                  <w:vAlign w:val="center"/>
                </w:tcPr>
                <w:p w14:paraId="7131878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549088F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32E923E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3B91913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125405F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2E8A31B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400E390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59FAFA29">
                  <w:pPr>
                    <w:pStyle w:val="41"/>
                    <w:keepNext w:val="0"/>
                    <w:keepLines w:val="0"/>
                    <w:pageBreakBefore w:val="0"/>
                    <w:kinsoku/>
                    <w:wordWrap/>
                    <w:overflowPunct/>
                    <w:topLinePunct w:val="0"/>
                    <w:autoSpaceDE/>
                    <w:autoSpaceDN/>
                    <w:bidi w:val="0"/>
                    <w:spacing w:line="240" w:lineRule="auto"/>
                    <w:rPr>
                      <w:rFonts w:hint="default"/>
                    </w:rPr>
                  </w:pPr>
                </w:p>
              </w:tc>
              <w:tc>
                <w:tcPr>
                  <w:tcW w:w="293" w:type="pct"/>
                  <w:vMerge w:val="continue"/>
                  <w:noWrap w:val="0"/>
                  <w:vAlign w:val="center"/>
                </w:tcPr>
                <w:p w14:paraId="2CC59CF3">
                  <w:pPr>
                    <w:pStyle w:val="41"/>
                    <w:keepNext w:val="0"/>
                    <w:keepLines w:val="0"/>
                    <w:pageBreakBefore w:val="0"/>
                    <w:kinsoku/>
                    <w:wordWrap/>
                    <w:overflowPunct/>
                    <w:topLinePunct w:val="0"/>
                    <w:autoSpaceDE/>
                    <w:autoSpaceDN/>
                    <w:bidi w:val="0"/>
                    <w:spacing w:line="240" w:lineRule="auto"/>
                    <w:rPr>
                      <w:rFonts w:hint="default"/>
                    </w:rPr>
                  </w:pPr>
                </w:p>
              </w:tc>
              <w:tc>
                <w:tcPr>
                  <w:tcW w:w="272" w:type="pct"/>
                  <w:vMerge w:val="continue"/>
                  <w:noWrap w:val="0"/>
                  <w:vAlign w:val="center"/>
                </w:tcPr>
                <w:p w14:paraId="5C6C31E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79" w:type="pct"/>
                  <w:noWrap w:val="0"/>
                  <w:vAlign w:val="center"/>
                </w:tcPr>
                <w:p w14:paraId="65D887F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lang w:val="en-US" w:eastAsia="zh-CN"/>
                    </w:rPr>
                    <w:t>南</w:t>
                  </w:r>
                </w:p>
              </w:tc>
              <w:tc>
                <w:tcPr>
                  <w:tcW w:w="304" w:type="pct"/>
                  <w:noWrap w:val="0"/>
                  <w:vAlign w:val="center"/>
                </w:tcPr>
                <w:p w14:paraId="2450061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20</w:t>
                  </w:r>
                </w:p>
              </w:tc>
              <w:tc>
                <w:tcPr>
                  <w:tcW w:w="345" w:type="pct"/>
                  <w:shd w:val="clear" w:color="auto" w:fill="auto"/>
                  <w:noWrap w:val="0"/>
                  <w:vAlign w:val="center"/>
                </w:tcPr>
                <w:p w14:paraId="1284C75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48.98</w:t>
                  </w:r>
                </w:p>
              </w:tc>
              <w:tc>
                <w:tcPr>
                  <w:tcW w:w="217" w:type="pct"/>
                  <w:vMerge w:val="continue"/>
                  <w:shd w:val="clear" w:color="auto" w:fill="auto"/>
                  <w:noWrap w:val="0"/>
                  <w:vAlign w:val="center"/>
                </w:tcPr>
                <w:p w14:paraId="491E563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5500B92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6DFA6FB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38.98</w:t>
                  </w:r>
                </w:p>
              </w:tc>
              <w:tc>
                <w:tcPr>
                  <w:tcW w:w="291" w:type="pct"/>
                  <w:vMerge w:val="continue"/>
                  <w:noWrap w:val="0"/>
                  <w:vAlign w:val="center"/>
                </w:tcPr>
                <w:p w14:paraId="3D56BDF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075E76F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23" w:hRule="atLeast"/>
                <w:jc w:val="center"/>
              </w:trPr>
              <w:tc>
                <w:tcPr>
                  <w:tcW w:w="173" w:type="pct"/>
                  <w:vMerge w:val="continue"/>
                  <w:noWrap w:val="0"/>
                  <w:vAlign w:val="center"/>
                </w:tcPr>
                <w:p w14:paraId="51C5FA4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6C5A81C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7CB000B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1944CF7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4D21A07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0BB708B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1637537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078119C1">
                  <w:pPr>
                    <w:pStyle w:val="41"/>
                    <w:keepNext w:val="0"/>
                    <w:keepLines w:val="0"/>
                    <w:pageBreakBefore w:val="0"/>
                    <w:kinsoku/>
                    <w:wordWrap/>
                    <w:overflowPunct/>
                    <w:topLinePunct w:val="0"/>
                    <w:autoSpaceDE/>
                    <w:autoSpaceDN/>
                    <w:bidi w:val="0"/>
                    <w:spacing w:line="240" w:lineRule="auto"/>
                    <w:rPr>
                      <w:rFonts w:hint="default"/>
                    </w:rPr>
                  </w:pPr>
                </w:p>
              </w:tc>
              <w:tc>
                <w:tcPr>
                  <w:tcW w:w="293" w:type="pct"/>
                  <w:vMerge w:val="continue"/>
                  <w:noWrap w:val="0"/>
                  <w:vAlign w:val="center"/>
                </w:tcPr>
                <w:p w14:paraId="00BCAF04">
                  <w:pPr>
                    <w:pStyle w:val="41"/>
                    <w:keepNext w:val="0"/>
                    <w:keepLines w:val="0"/>
                    <w:pageBreakBefore w:val="0"/>
                    <w:kinsoku/>
                    <w:wordWrap/>
                    <w:overflowPunct/>
                    <w:topLinePunct w:val="0"/>
                    <w:autoSpaceDE/>
                    <w:autoSpaceDN/>
                    <w:bidi w:val="0"/>
                    <w:spacing w:line="240" w:lineRule="auto"/>
                    <w:rPr>
                      <w:rFonts w:hint="default"/>
                    </w:rPr>
                  </w:pPr>
                </w:p>
              </w:tc>
              <w:tc>
                <w:tcPr>
                  <w:tcW w:w="272" w:type="pct"/>
                  <w:vMerge w:val="continue"/>
                  <w:noWrap w:val="0"/>
                  <w:vAlign w:val="center"/>
                </w:tcPr>
                <w:p w14:paraId="011F5A6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79" w:type="pct"/>
                  <w:noWrap w:val="0"/>
                  <w:vAlign w:val="center"/>
                </w:tcPr>
                <w:p w14:paraId="4F0511D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lang w:val="en-US" w:eastAsia="zh-CN"/>
                    </w:rPr>
                    <w:t>西</w:t>
                  </w:r>
                </w:p>
              </w:tc>
              <w:tc>
                <w:tcPr>
                  <w:tcW w:w="304" w:type="pct"/>
                  <w:noWrap w:val="0"/>
                  <w:vAlign w:val="center"/>
                </w:tcPr>
                <w:p w14:paraId="1C7FE1A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5</w:t>
                  </w:r>
                </w:p>
              </w:tc>
              <w:tc>
                <w:tcPr>
                  <w:tcW w:w="345" w:type="pct"/>
                  <w:shd w:val="clear" w:color="auto" w:fill="auto"/>
                  <w:noWrap w:val="0"/>
                  <w:vAlign w:val="center"/>
                </w:tcPr>
                <w:p w14:paraId="314E996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61.02</w:t>
                  </w:r>
                </w:p>
              </w:tc>
              <w:tc>
                <w:tcPr>
                  <w:tcW w:w="217" w:type="pct"/>
                  <w:vMerge w:val="continue"/>
                  <w:shd w:val="clear" w:color="auto" w:fill="auto"/>
                  <w:noWrap w:val="0"/>
                  <w:vAlign w:val="center"/>
                </w:tcPr>
                <w:p w14:paraId="49D6EA9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1603E58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1075295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51.02</w:t>
                  </w:r>
                </w:p>
              </w:tc>
              <w:tc>
                <w:tcPr>
                  <w:tcW w:w="291" w:type="pct"/>
                  <w:vMerge w:val="continue"/>
                  <w:noWrap w:val="0"/>
                  <w:vAlign w:val="center"/>
                </w:tcPr>
                <w:p w14:paraId="502726E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721DB1F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78" w:hRule="atLeast"/>
                <w:jc w:val="center"/>
              </w:trPr>
              <w:tc>
                <w:tcPr>
                  <w:tcW w:w="173" w:type="pct"/>
                  <w:vMerge w:val="continue"/>
                  <w:noWrap w:val="0"/>
                  <w:vAlign w:val="center"/>
                </w:tcPr>
                <w:p w14:paraId="35A4C4F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74" w:type="pct"/>
                  <w:vMerge w:val="continue"/>
                  <w:noWrap w:val="0"/>
                  <w:vAlign w:val="center"/>
                </w:tcPr>
                <w:p w14:paraId="76BCD41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66" w:type="pct"/>
                  <w:vMerge w:val="continue"/>
                  <w:noWrap w:val="0"/>
                  <w:vAlign w:val="center"/>
                </w:tcPr>
                <w:p w14:paraId="4023C3C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187" w:type="pct"/>
                  <w:vMerge w:val="continue"/>
                  <w:noWrap w:val="0"/>
                  <w:vAlign w:val="center"/>
                </w:tcPr>
                <w:p w14:paraId="56E04A5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33" w:type="pct"/>
                  <w:vMerge w:val="continue"/>
                  <w:noWrap w:val="0"/>
                  <w:vAlign w:val="center"/>
                </w:tcPr>
                <w:p w14:paraId="34443FE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82" w:type="pct"/>
                  <w:vMerge w:val="continue"/>
                  <w:noWrap w:val="0"/>
                  <w:vAlign w:val="center"/>
                </w:tcPr>
                <w:p w14:paraId="46B1E28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61" w:type="pct"/>
                  <w:vMerge w:val="continue"/>
                  <w:noWrap w:val="0"/>
                  <w:vAlign w:val="center"/>
                </w:tcPr>
                <w:p w14:paraId="7A8CD35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continue"/>
                  <w:noWrap w:val="0"/>
                  <w:vAlign w:val="center"/>
                </w:tcPr>
                <w:p w14:paraId="5BB2B16E">
                  <w:pPr>
                    <w:pStyle w:val="41"/>
                    <w:keepNext w:val="0"/>
                    <w:keepLines w:val="0"/>
                    <w:pageBreakBefore w:val="0"/>
                    <w:kinsoku/>
                    <w:wordWrap/>
                    <w:overflowPunct/>
                    <w:topLinePunct w:val="0"/>
                    <w:autoSpaceDE/>
                    <w:autoSpaceDN/>
                    <w:bidi w:val="0"/>
                    <w:spacing w:line="240" w:lineRule="auto"/>
                    <w:rPr>
                      <w:rFonts w:hint="default"/>
                    </w:rPr>
                  </w:pPr>
                </w:p>
              </w:tc>
              <w:tc>
                <w:tcPr>
                  <w:tcW w:w="293" w:type="pct"/>
                  <w:vMerge w:val="continue"/>
                  <w:noWrap w:val="0"/>
                  <w:vAlign w:val="center"/>
                </w:tcPr>
                <w:p w14:paraId="0BF53839">
                  <w:pPr>
                    <w:pStyle w:val="41"/>
                    <w:keepNext w:val="0"/>
                    <w:keepLines w:val="0"/>
                    <w:pageBreakBefore w:val="0"/>
                    <w:kinsoku/>
                    <w:wordWrap/>
                    <w:overflowPunct/>
                    <w:topLinePunct w:val="0"/>
                    <w:autoSpaceDE/>
                    <w:autoSpaceDN/>
                    <w:bidi w:val="0"/>
                    <w:spacing w:line="240" w:lineRule="auto"/>
                    <w:rPr>
                      <w:rFonts w:hint="default"/>
                    </w:rPr>
                  </w:pPr>
                </w:p>
              </w:tc>
              <w:tc>
                <w:tcPr>
                  <w:tcW w:w="272" w:type="pct"/>
                  <w:vMerge w:val="continue"/>
                  <w:noWrap w:val="0"/>
                  <w:vAlign w:val="center"/>
                </w:tcPr>
                <w:p w14:paraId="063162E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379" w:type="pct"/>
                  <w:noWrap w:val="0"/>
                  <w:vAlign w:val="center"/>
                </w:tcPr>
                <w:p w14:paraId="5BA163B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r>
                    <w:rPr>
                      <w:rFonts w:hint="default" w:ascii="Times New Roman" w:hAnsi="Times New Roman" w:cs="Times New Roman"/>
                      <w:sz w:val="21"/>
                      <w:szCs w:val="21"/>
                      <w:u w:val="none" w:color="auto"/>
                      <w:lang w:val="en-US" w:eastAsia="zh-CN"/>
                    </w:rPr>
                    <w:t>北</w:t>
                  </w:r>
                </w:p>
              </w:tc>
              <w:tc>
                <w:tcPr>
                  <w:tcW w:w="304" w:type="pct"/>
                  <w:noWrap w:val="0"/>
                  <w:vAlign w:val="center"/>
                </w:tcPr>
                <w:p w14:paraId="4DB075A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5</w:t>
                  </w:r>
                </w:p>
              </w:tc>
              <w:tc>
                <w:tcPr>
                  <w:tcW w:w="345" w:type="pct"/>
                  <w:shd w:val="clear" w:color="auto" w:fill="auto"/>
                  <w:noWrap w:val="0"/>
                  <w:vAlign w:val="center"/>
                </w:tcPr>
                <w:p w14:paraId="2DDDED5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61.02</w:t>
                  </w:r>
                </w:p>
              </w:tc>
              <w:tc>
                <w:tcPr>
                  <w:tcW w:w="217" w:type="pct"/>
                  <w:vMerge w:val="continue"/>
                  <w:shd w:val="clear" w:color="auto" w:fill="auto"/>
                  <w:noWrap w:val="0"/>
                  <w:vAlign w:val="center"/>
                </w:tcPr>
                <w:p w14:paraId="4CAD8B8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73" w:type="pct"/>
                  <w:vMerge w:val="continue"/>
                  <w:shd w:val="clear" w:color="auto" w:fill="auto"/>
                  <w:noWrap w:val="0"/>
                  <w:vAlign w:val="center"/>
                </w:tcPr>
                <w:p w14:paraId="53D14CE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348" w:type="pct"/>
                  <w:shd w:val="clear" w:color="auto" w:fill="auto"/>
                  <w:noWrap w:val="0"/>
                  <w:vAlign w:val="center"/>
                </w:tcPr>
                <w:p w14:paraId="37DA887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51.02</w:t>
                  </w:r>
                </w:p>
              </w:tc>
              <w:tc>
                <w:tcPr>
                  <w:tcW w:w="291" w:type="pct"/>
                  <w:vMerge w:val="continue"/>
                  <w:noWrap w:val="0"/>
                  <w:vAlign w:val="center"/>
                </w:tcPr>
                <w:p w14:paraId="4B7FF30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r>
            <w:tr w14:paraId="239C61E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173" w:type="pct"/>
                  <w:vMerge w:val="restart"/>
                  <w:noWrap w:val="0"/>
                  <w:vAlign w:val="center"/>
                </w:tcPr>
                <w:p w14:paraId="27D3B34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imes New Roman" w:hAnsi="Times New Roman" w:eastAsia="宋体"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5</w:t>
                  </w:r>
                </w:p>
              </w:tc>
              <w:tc>
                <w:tcPr>
                  <w:tcW w:w="274" w:type="pct"/>
                  <w:vMerge w:val="continue"/>
                  <w:noWrap w:val="0"/>
                  <w:vAlign w:val="center"/>
                </w:tcPr>
                <w:p w14:paraId="45A32B5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p>
              </w:tc>
              <w:tc>
                <w:tcPr>
                  <w:tcW w:w="266" w:type="pct"/>
                  <w:vMerge w:val="restart"/>
                  <w:noWrap w:val="0"/>
                  <w:vAlign w:val="center"/>
                </w:tcPr>
                <w:p w14:paraId="4F76062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eastAsia="宋体"/>
                      <w:b w:val="0"/>
                      <w:color w:val="auto"/>
                      <w:sz w:val="21"/>
                      <w:szCs w:val="21"/>
                      <w:lang w:val="en-US" w:eastAsia="zh-CN"/>
                    </w:rPr>
                    <w:t>隧道式烘箱</w:t>
                  </w:r>
                </w:p>
              </w:tc>
              <w:tc>
                <w:tcPr>
                  <w:tcW w:w="187" w:type="pct"/>
                  <w:vMerge w:val="restart"/>
                  <w:noWrap w:val="0"/>
                  <w:vAlign w:val="center"/>
                </w:tcPr>
                <w:p w14:paraId="01A0ECA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1</w:t>
                  </w:r>
                </w:p>
              </w:tc>
              <w:tc>
                <w:tcPr>
                  <w:tcW w:w="333" w:type="pct"/>
                  <w:vMerge w:val="restart"/>
                  <w:noWrap w:val="0"/>
                  <w:vAlign w:val="center"/>
                </w:tcPr>
                <w:p w14:paraId="00D7409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70</w:t>
                  </w:r>
                </w:p>
              </w:tc>
              <w:tc>
                <w:tcPr>
                  <w:tcW w:w="282" w:type="pct"/>
                  <w:vMerge w:val="restart"/>
                  <w:noWrap w:val="0"/>
                  <w:vAlign w:val="center"/>
                </w:tcPr>
                <w:p w14:paraId="0DA8F6A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imes New Roman" w:hAnsi="Times New Roman" w:eastAsia="宋体"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1</w:t>
                  </w:r>
                </w:p>
              </w:tc>
              <w:tc>
                <w:tcPr>
                  <w:tcW w:w="361" w:type="pct"/>
                  <w:vMerge w:val="continue"/>
                  <w:noWrap w:val="0"/>
                  <w:vAlign w:val="center"/>
                </w:tcPr>
                <w:p w14:paraId="1817EF3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rPr>
                  </w:pPr>
                </w:p>
              </w:tc>
              <w:tc>
                <w:tcPr>
                  <w:tcW w:w="298" w:type="pct"/>
                  <w:vMerge w:val="restart"/>
                  <w:noWrap w:val="0"/>
                  <w:vAlign w:val="center"/>
                </w:tcPr>
                <w:p w14:paraId="525F3892">
                  <w:pPr>
                    <w:pStyle w:val="41"/>
                    <w:keepNext w:val="0"/>
                    <w:keepLines w:val="0"/>
                    <w:pageBreakBefore w:val="0"/>
                    <w:kinsoku/>
                    <w:wordWrap/>
                    <w:overflowPunct/>
                    <w:topLinePunct w:val="0"/>
                    <w:autoSpaceDE/>
                    <w:autoSpaceDN/>
                    <w:bidi w:val="0"/>
                    <w:spacing w:line="240" w:lineRule="auto"/>
                    <w:rPr>
                      <w:rFonts w:hint="default" w:eastAsia="宋体"/>
                      <w:lang w:val="en-US" w:eastAsia="zh-CN"/>
                    </w:rPr>
                  </w:pPr>
                  <w:r>
                    <w:rPr>
                      <w:rFonts w:hint="eastAsia"/>
                      <w:lang w:val="en-US" w:eastAsia="zh-CN"/>
                    </w:rPr>
                    <w:t>24</w:t>
                  </w:r>
                </w:p>
              </w:tc>
              <w:tc>
                <w:tcPr>
                  <w:tcW w:w="293" w:type="pct"/>
                  <w:vMerge w:val="restart"/>
                  <w:noWrap w:val="0"/>
                  <w:vAlign w:val="center"/>
                </w:tcPr>
                <w:p w14:paraId="01F9CFAE">
                  <w:pPr>
                    <w:pStyle w:val="41"/>
                    <w:keepNext w:val="0"/>
                    <w:keepLines w:val="0"/>
                    <w:pageBreakBefore w:val="0"/>
                    <w:kinsoku/>
                    <w:wordWrap/>
                    <w:overflowPunct/>
                    <w:topLinePunct w:val="0"/>
                    <w:autoSpaceDE/>
                    <w:autoSpaceDN/>
                    <w:bidi w:val="0"/>
                    <w:spacing w:line="240" w:lineRule="auto"/>
                    <w:jc w:val="center"/>
                    <w:rPr>
                      <w:rFonts w:hint="default" w:eastAsia="宋体"/>
                      <w:lang w:val="en-US" w:eastAsia="zh-CN"/>
                    </w:rPr>
                  </w:pPr>
                  <w:r>
                    <w:rPr>
                      <w:rFonts w:hint="eastAsia"/>
                      <w:lang w:val="en-US" w:eastAsia="zh-CN"/>
                    </w:rPr>
                    <w:t>11</w:t>
                  </w:r>
                </w:p>
              </w:tc>
              <w:tc>
                <w:tcPr>
                  <w:tcW w:w="272" w:type="pct"/>
                  <w:vMerge w:val="restart"/>
                  <w:noWrap w:val="0"/>
                  <w:vAlign w:val="center"/>
                </w:tcPr>
                <w:p w14:paraId="4313212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imes New Roman" w:hAnsi="Times New Roman" w:eastAsia="宋体"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1</w:t>
                  </w:r>
                </w:p>
              </w:tc>
              <w:tc>
                <w:tcPr>
                  <w:tcW w:w="379" w:type="pct"/>
                  <w:noWrap w:val="0"/>
                  <w:vAlign w:val="center"/>
                </w:tcPr>
                <w:p w14:paraId="4AEA256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t>东</w:t>
                  </w:r>
                </w:p>
              </w:tc>
              <w:tc>
                <w:tcPr>
                  <w:tcW w:w="304" w:type="pct"/>
                  <w:noWrap w:val="0"/>
                  <w:vAlign w:val="center"/>
                </w:tcPr>
                <w:p w14:paraId="1A84821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45</w:t>
                  </w:r>
                </w:p>
              </w:tc>
              <w:tc>
                <w:tcPr>
                  <w:tcW w:w="345" w:type="pct"/>
                  <w:shd w:val="clear" w:color="auto" w:fill="auto"/>
                  <w:noWrap w:val="0"/>
                  <w:vAlign w:val="center"/>
                </w:tcPr>
                <w:p w14:paraId="2852502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36.94</w:t>
                  </w:r>
                </w:p>
              </w:tc>
              <w:tc>
                <w:tcPr>
                  <w:tcW w:w="217" w:type="pct"/>
                  <w:vMerge w:val="restart"/>
                  <w:shd w:val="clear" w:color="auto" w:fill="auto"/>
                  <w:noWrap w:val="0"/>
                  <w:vAlign w:val="center"/>
                </w:tcPr>
                <w:p w14:paraId="04316DA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昼间</w:t>
                  </w:r>
                </w:p>
              </w:tc>
              <w:tc>
                <w:tcPr>
                  <w:tcW w:w="373" w:type="pct"/>
                  <w:vMerge w:val="restart"/>
                  <w:shd w:val="clear" w:color="auto" w:fill="auto"/>
                  <w:noWrap w:val="0"/>
                  <w:vAlign w:val="center"/>
                </w:tcPr>
                <w:p w14:paraId="681A031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10</w:t>
                  </w:r>
                </w:p>
              </w:tc>
              <w:tc>
                <w:tcPr>
                  <w:tcW w:w="348" w:type="pct"/>
                  <w:shd w:val="clear" w:color="auto" w:fill="auto"/>
                  <w:noWrap w:val="0"/>
                  <w:vAlign w:val="center"/>
                </w:tcPr>
                <w:p w14:paraId="50E175C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ascii="Times New Roman" w:hAnsi="Times New Roman" w:cs="Times New Roman"/>
                      <w:sz w:val="21"/>
                      <w:szCs w:val="21"/>
                      <w:u w:val="none" w:color="auto"/>
                      <w:lang w:val="en-US" w:eastAsia="zh-CN"/>
                    </w:rPr>
                    <w:t>26.94</w:t>
                  </w:r>
                </w:p>
              </w:tc>
              <w:tc>
                <w:tcPr>
                  <w:tcW w:w="291" w:type="pct"/>
                  <w:vMerge w:val="restart"/>
                  <w:noWrap w:val="0"/>
                  <w:vAlign w:val="center"/>
                </w:tcPr>
                <w:p w14:paraId="7E16796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imes New Roman" w:hAnsi="Times New Roman" w:eastAsia="宋体"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1</w:t>
                  </w:r>
                </w:p>
              </w:tc>
            </w:tr>
            <w:tr w14:paraId="1677900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36" w:hRule="atLeast"/>
                <w:jc w:val="center"/>
              </w:trPr>
              <w:tc>
                <w:tcPr>
                  <w:tcW w:w="173" w:type="pct"/>
                  <w:vMerge w:val="continue"/>
                  <w:noWrap w:val="0"/>
                  <w:vAlign w:val="center"/>
                </w:tcPr>
                <w:p w14:paraId="354984AE">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74" w:type="pct"/>
                  <w:vMerge w:val="continue"/>
                  <w:noWrap w:val="0"/>
                  <w:vAlign w:val="center"/>
                </w:tcPr>
                <w:p w14:paraId="788D1F77">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66" w:type="pct"/>
                  <w:vMerge w:val="continue"/>
                  <w:noWrap w:val="0"/>
                  <w:vAlign w:val="center"/>
                </w:tcPr>
                <w:p w14:paraId="236406D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rPr>
                  </w:pPr>
                </w:p>
              </w:tc>
              <w:tc>
                <w:tcPr>
                  <w:tcW w:w="187" w:type="pct"/>
                  <w:vMerge w:val="continue"/>
                  <w:noWrap w:val="0"/>
                  <w:vAlign w:val="center"/>
                </w:tcPr>
                <w:p w14:paraId="27D3CFEF">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333" w:type="pct"/>
                  <w:vMerge w:val="continue"/>
                  <w:noWrap w:val="0"/>
                  <w:vAlign w:val="center"/>
                </w:tcPr>
                <w:p w14:paraId="44BC20D6">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82" w:type="pct"/>
                  <w:vMerge w:val="continue"/>
                  <w:noWrap w:val="0"/>
                  <w:vAlign w:val="center"/>
                </w:tcPr>
                <w:p w14:paraId="3B887A54">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361" w:type="pct"/>
                  <w:vMerge w:val="continue"/>
                  <w:noWrap w:val="0"/>
                  <w:vAlign w:val="center"/>
                </w:tcPr>
                <w:p w14:paraId="40957C89">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98" w:type="pct"/>
                  <w:vMerge w:val="continue"/>
                  <w:noWrap w:val="0"/>
                  <w:vAlign w:val="center"/>
                </w:tcPr>
                <w:p w14:paraId="690A708E">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93" w:type="pct"/>
                  <w:vMerge w:val="continue"/>
                  <w:noWrap w:val="0"/>
                  <w:vAlign w:val="center"/>
                </w:tcPr>
                <w:p w14:paraId="47FAE324">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72" w:type="pct"/>
                  <w:vMerge w:val="continue"/>
                  <w:noWrap w:val="0"/>
                  <w:vAlign w:val="center"/>
                </w:tcPr>
                <w:p w14:paraId="44C2F494">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379" w:type="pct"/>
                  <w:noWrap w:val="0"/>
                  <w:vAlign w:val="center"/>
                </w:tcPr>
                <w:p w14:paraId="164AEEF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南</w:t>
                  </w:r>
                </w:p>
              </w:tc>
              <w:tc>
                <w:tcPr>
                  <w:tcW w:w="304" w:type="pct"/>
                  <w:noWrap w:val="0"/>
                  <w:vAlign w:val="center"/>
                </w:tcPr>
                <w:p w14:paraId="7EEBD37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20</w:t>
                  </w:r>
                </w:p>
              </w:tc>
              <w:tc>
                <w:tcPr>
                  <w:tcW w:w="345" w:type="pct"/>
                  <w:shd w:val="clear" w:color="auto" w:fill="auto"/>
                  <w:noWrap w:val="0"/>
                  <w:vAlign w:val="center"/>
                </w:tcPr>
                <w:p w14:paraId="2C05265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43.98</w:t>
                  </w:r>
                </w:p>
              </w:tc>
              <w:tc>
                <w:tcPr>
                  <w:tcW w:w="217" w:type="pct"/>
                  <w:vMerge w:val="continue"/>
                  <w:shd w:val="clear" w:color="auto" w:fill="auto"/>
                  <w:noWrap w:val="0"/>
                  <w:vAlign w:val="center"/>
                </w:tcPr>
                <w:p w14:paraId="22C2F42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3" w:type="pct"/>
                  <w:vMerge w:val="continue"/>
                  <w:shd w:val="clear" w:color="auto" w:fill="auto"/>
                  <w:noWrap w:val="0"/>
                  <w:vAlign w:val="center"/>
                </w:tcPr>
                <w:p w14:paraId="6B000EA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48" w:type="pct"/>
                  <w:shd w:val="clear" w:color="auto" w:fill="auto"/>
                  <w:noWrap w:val="0"/>
                  <w:vAlign w:val="center"/>
                </w:tcPr>
                <w:p w14:paraId="0B4A4F9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33.98</w:t>
                  </w:r>
                </w:p>
              </w:tc>
              <w:tc>
                <w:tcPr>
                  <w:tcW w:w="291" w:type="pct"/>
                  <w:vMerge w:val="continue"/>
                  <w:noWrap w:val="0"/>
                  <w:vAlign w:val="center"/>
                </w:tcPr>
                <w:p w14:paraId="38C43BC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r>
            <w:tr w14:paraId="2330C4E6">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136" w:hRule="atLeast"/>
                <w:jc w:val="center"/>
              </w:trPr>
              <w:tc>
                <w:tcPr>
                  <w:tcW w:w="173" w:type="pct"/>
                  <w:vMerge w:val="continue"/>
                  <w:noWrap w:val="0"/>
                  <w:vAlign w:val="center"/>
                </w:tcPr>
                <w:p w14:paraId="41786BA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4" w:type="pct"/>
                  <w:vMerge w:val="continue"/>
                  <w:noWrap w:val="0"/>
                  <w:vAlign w:val="center"/>
                </w:tcPr>
                <w:p w14:paraId="424E81E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66" w:type="pct"/>
                  <w:vMerge w:val="continue"/>
                  <w:noWrap w:val="0"/>
                  <w:vAlign w:val="center"/>
                </w:tcPr>
                <w:p w14:paraId="1C3D819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187" w:type="pct"/>
                  <w:vMerge w:val="continue"/>
                  <w:noWrap w:val="0"/>
                  <w:vAlign w:val="center"/>
                </w:tcPr>
                <w:p w14:paraId="4699DA3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33" w:type="pct"/>
                  <w:vMerge w:val="continue"/>
                  <w:noWrap w:val="0"/>
                  <w:vAlign w:val="center"/>
                </w:tcPr>
                <w:p w14:paraId="7B19767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82" w:type="pct"/>
                  <w:vMerge w:val="continue"/>
                  <w:noWrap w:val="0"/>
                  <w:vAlign w:val="center"/>
                </w:tcPr>
                <w:p w14:paraId="3CCB909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61" w:type="pct"/>
                  <w:vMerge w:val="continue"/>
                  <w:noWrap w:val="0"/>
                  <w:vAlign w:val="center"/>
                </w:tcPr>
                <w:p w14:paraId="0FFAF6F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8" w:type="pct"/>
                  <w:vMerge w:val="continue"/>
                  <w:noWrap w:val="0"/>
                  <w:vAlign w:val="center"/>
                </w:tcPr>
                <w:p w14:paraId="32C6C82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3" w:type="pct"/>
                  <w:vMerge w:val="continue"/>
                  <w:noWrap w:val="0"/>
                  <w:vAlign w:val="center"/>
                </w:tcPr>
                <w:p w14:paraId="3978DCE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2" w:type="pct"/>
                  <w:vMerge w:val="continue"/>
                  <w:noWrap w:val="0"/>
                  <w:vAlign w:val="center"/>
                </w:tcPr>
                <w:p w14:paraId="49A318F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9" w:type="pct"/>
                  <w:noWrap w:val="0"/>
                  <w:vAlign w:val="center"/>
                </w:tcPr>
                <w:p w14:paraId="5E00D30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西</w:t>
                  </w:r>
                </w:p>
              </w:tc>
              <w:tc>
                <w:tcPr>
                  <w:tcW w:w="304" w:type="pct"/>
                  <w:noWrap w:val="0"/>
                  <w:vAlign w:val="center"/>
                </w:tcPr>
                <w:p w14:paraId="31E6F9E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7</w:t>
                  </w:r>
                </w:p>
              </w:tc>
              <w:tc>
                <w:tcPr>
                  <w:tcW w:w="345" w:type="pct"/>
                  <w:shd w:val="clear" w:color="auto" w:fill="auto"/>
                  <w:noWrap w:val="0"/>
                  <w:vAlign w:val="center"/>
                </w:tcPr>
                <w:p w14:paraId="3A29E35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53.10</w:t>
                  </w:r>
                </w:p>
              </w:tc>
              <w:tc>
                <w:tcPr>
                  <w:tcW w:w="217" w:type="pct"/>
                  <w:vMerge w:val="continue"/>
                  <w:shd w:val="clear" w:color="auto" w:fill="auto"/>
                  <w:noWrap w:val="0"/>
                  <w:vAlign w:val="center"/>
                </w:tcPr>
                <w:p w14:paraId="7000606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3" w:type="pct"/>
                  <w:vMerge w:val="continue"/>
                  <w:shd w:val="clear" w:color="auto" w:fill="auto"/>
                  <w:noWrap w:val="0"/>
                  <w:vAlign w:val="center"/>
                </w:tcPr>
                <w:p w14:paraId="6AFD0D5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48" w:type="pct"/>
                  <w:shd w:val="clear" w:color="auto" w:fill="auto"/>
                  <w:noWrap w:val="0"/>
                  <w:vAlign w:val="center"/>
                </w:tcPr>
                <w:p w14:paraId="7E50B2D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43.10</w:t>
                  </w:r>
                </w:p>
              </w:tc>
              <w:tc>
                <w:tcPr>
                  <w:tcW w:w="291" w:type="pct"/>
                  <w:vMerge w:val="continue"/>
                  <w:noWrap w:val="0"/>
                  <w:vAlign w:val="center"/>
                </w:tcPr>
                <w:p w14:paraId="4540987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r>
            <w:tr w14:paraId="6B3582E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173" w:type="pct"/>
                  <w:vMerge w:val="continue"/>
                  <w:noWrap w:val="0"/>
                  <w:vAlign w:val="center"/>
                </w:tcPr>
                <w:p w14:paraId="620ED08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4" w:type="pct"/>
                  <w:vMerge w:val="continue"/>
                  <w:noWrap w:val="0"/>
                  <w:vAlign w:val="center"/>
                </w:tcPr>
                <w:p w14:paraId="2768528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66" w:type="pct"/>
                  <w:vMerge w:val="continue"/>
                  <w:noWrap w:val="0"/>
                  <w:vAlign w:val="center"/>
                </w:tcPr>
                <w:p w14:paraId="332DA52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187" w:type="pct"/>
                  <w:vMerge w:val="continue"/>
                  <w:noWrap w:val="0"/>
                  <w:vAlign w:val="center"/>
                </w:tcPr>
                <w:p w14:paraId="7C8FA73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33" w:type="pct"/>
                  <w:vMerge w:val="continue"/>
                  <w:noWrap w:val="0"/>
                  <w:vAlign w:val="center"/>
                </w:tcPr>
                <w:p w14:paraId="37B6B89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82" w:type="pct"/>
                  <w:vMerge w:val="continue"/>
                  <w:noWrap w:val="0"/>
                  <w:vAlign w:val="center"/>
                </w:tcPr>
                <w:p w14:paraId="18B6B2D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61" w:type="pct"/>
                  <w:vMerge w:val="continue"/>
                  <w:noWrap w:val="0"/>
                  <w:vAlign w:val="center"/>
                </w:tcPr>
                <w:p w14:paraId="2808637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8" w:type="pct"/>
                  <w:vMerge w:val="continue"/>
                  <w:noWrap w:val="0"/>
                  <w:vAlign w:val="center"/>
                </w:tcPr>
                <w:p w14:paraId="000CCD2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3" w:type="pct"/>
                  <w:vMerge w:val="continue"/>
                  <w:noWrap w:val="0"/>
                  <w:vAlign w:val="center"/>
                </w:tcPr>
                <w:p w14:paraId="33BA4DD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2" w:type="pct"/>
                  <w:vMerge w:val="continue"/>
                  <w:noWrap w:val="0"/>
                  <w:vAlign w:val="center"/>
                </w:tcPr>
                <w:p w14:paraId="586FECC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9" w:type="pct"/>
                  <w:noWrap w:val="0"/>
                  <w:vAlign w:val="center"/>
                </w:tcPr>
                <w:p w14:paraId="24D6E26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北</w:t>
                  </w:r>
                </w:p>
              </w:tc>
              <w:tc>
                <w:tcPr>
                  <w:tcW w:w="304" w:type="pct"/>
                  <w:noWrap w:val="0"/>
                  <w:vAlign w:val="center"/>
                </w:tcPr>
                <w:p w14:paraId="0A37C6A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5</w:t>
                  </w:r>
                </w:p>
              </w:tc>
              <w:tc>
                <w:tcPr>
                  <w:tcW w:w="345" w:type="pct"/>
                  <w:shd w:val="clear" w:color="auto" w:fill="auto"/>
                  <w:noWrap w:val="0"/>
                  <w:vAlign w:val="center"/>
                </w:tcPr>
                <w:p w14:paraId="4AAEF77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56.02</w:t>
                  </w:r>
                </w:p>
              </w:tc>
              <w:tc>
                <w:tcPr>
                  <w:tcW w:w="217" w:type="pct"/>
                  <w:vMerge w:val="continue"/>
                  <w:shd w:val="clear" w:color="auto" w:fill="auto"/>
                  <w:noWrap w:val="0"/>
                  <w:vAlign w:val="center"/>
                </w:tcPr>
                <w:p w14:paraId="3278764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3" w:type="pct"/>
                  <w:vMerge w:val="continue"/>
                  <w:shd w:val="clear" w:color="auto" w:fill="auto"/>
                  <w:noWrap w:val="0"/>
                  <w:vAlign w:val="center"/>
                </w:tcPr>
                <w:p w14:paraId="3CD76CE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48" w:type="pct"/>
                  <w:shd w:val="clear" w:color="auto" w:fill="auto"/>
                  <w:noWrap w:val="0"/>
                  <w:vAlign w:val="center"/>
                </w:tcPr>
                <w:p w14:paraId="6308ADF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46.02</w:t>
                  </w:r>
                </w:p>
              </w:tc>
              <w:tc>
                <w:tcPr>
                  <w:tcW w:w="291" w:type="pct"/>
                  <w:vMerge w:val="continue"/>
                  <w:noWrap w:val="0"/>
                  <w:vAlign w:val="center"/>
                </w:tcPr>
                <w:p w14:paraId="59FD5E3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r>
            <w:tr w14:paraId="430437F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85" w:hRule="atLeast"/>
                <w:jc w:val="center"/>
              </w:trPr>
              <w:tc>
                <w:tcPr>
                  <w:tcW w:w="173" w:type="pct"/>
                  <w:vMerge w:val="restart"/>
                  <w:noWrap w:val="0"/>
                  <w:vAlign w:val="center"/>
                </w:tcPr>
                <w:p w14:paraId="2CD0E97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6</w:t>
                  </w:r>
                </w:p>
              </w:tc>
              <w:tc>
                <w:tcPr>
                  <w:tcW w:w="274" w:type="pct"/>
                  <w:vMerge w:val="continue"/>
                  <w:noWrap w:val="0"/>
                  <w:vAlign w:val="center"/>
                </w:tcPr>
                <w:p w14:paraId="71D3CC5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66" w:type="pct"/>
                  <w:vMerge w:val="restart"/>
                  <w:noWrap w:val="0"/>
                  <w:vAlign w:val="center"/>
                </w:tcPr>
                <w:p w14:paraId="636E6F49">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z w:val="21"/>
                      <w:szCs w:val="21"/>
                      <w:u w:val="none" w:color="auto"/>
                      <w:lang w:val="en-US" w:eastAsia="zh-CN"/>
                    </w:rPr>
                  </w:pPr>
                  <w:r>
                    <w:rPr>
                      <w:rFonts w:hint="eastAsia" w:cs="Times New Roman"/>
                      <w:i w:val="0"/>
                      <w:iCs w:val="0"/>
                      <w:caps w:val="0"/>
                      <w:spacing w:val="0"/>
                      <w:sz w:val="21"/>
                      <w:szCs w:val="21"/>
                      <w:shd w:val="clear" w:fill="FAFAFA"/>
                      <w:lang w:val="en-US" w:eastAsia="zh-CN"/>
                    </w:rPr>
                    <w:t>切脚机</w:t>
                  </w:r>
                </w:p>
              </w:tc>
              <w:tc>
                <w:tcPr>
                  <w:tcW w:w="187" w:type="pct"/>
                  <w:vMerge w:val="restart"/>
                  <w:noWrap w:val="0"/>
                  <w:vAlign w:val="center"/>
                </w:tcPr>
                <w:p w14:paraId="585E432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2</w:t>
                  </w:r>
                </w:p>
              </w:tc>
              <w:tc>
                <w:tcPr>
                  <w:tcW w:w="333" w:type="pct"/>
                  <w:vMerge w:val="restart"/>
                  <w:noWrap w:val="0"/>
                  <w:vAlign w:val="center"/>
                </w:tcPr>
                <w:p w14:paraId="70786A6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75</w:t>
                  </w:r>
                </w:p>
              </w:tc>
              <w:tc>
                <w:tcPr>
                  <w:tcW w:w="282" w:type="pct"/>
                  <w:vMerge w:val="restart"/>
                  <w:noWrap w:val="0"/>
                  <w:vAlign w:val="center"/>
                </w:tcPr>
                <w:p w14:paraId="43FAAE9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w:t>
                  </w:r>
                </w:p>
              </w:tc>
              <w:tc>
                <w:tcPr>
                  <w:tcW w:w="361" w:type="pct"/>
                  <w:vMerge w:val="continue"/>
                  <w:noWrap w:val="0"/>
                  <w:vAlign w:val="center"/>
                </w:tcPr>
                <w:p w14:paraId="3B51EE6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8" w:type="pct"/>
                  <w:vMerge w:val="restart"/>
                  <w:noWrap w:val="0"/>
                  <w:vAlign w:val="center"/>
                </w:tcPr>
                <w:p w14:paraId="676F77E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19</w:t>
                  </w:r>
                </w:p>
              </w:tc>
              <w:tc>
                <w:tcPr>
                  <w:tcW w:w="293" w:type="pct"/>
                  <w:vMerge w:val="restart"/>
                  <w:noWrap w:val="0"/>
                  <w:vAlign w:val="center"/>
                </w:tcPr>
                <w:p w14:paraId="491AADE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5</w:t>
                  </w:r>
                </w:p>
              </w:tc>
              <w:tc>
                <w:tcPr>
                  <w:tcW w:w="272" w:type="pct"/>
                  <w:vMerge w:val="restart"/>
                  <w:noWrap w:val="0"/>
                  <w:vAlign w:val="center"/>
                </w:tcPr>
                <w:p w14:paraId="09634C2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w:t>
                  </w:r>
                </w:p>
              </w:tc>
              <w:tc>
                <w:tcPr>
                  <w:tcW w:w="379" w:type="pct"/>
                  <w:noWrap w:val="0"/>
                  <w:vAlign w:val="center"/>
                </w:tcPr>
                <w:p w14:paraId="1E3B779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t>东</w:t>
                  </w:r>
                </w:p>
              </w:tc>
              <w:tc>
                <w:tcPr>
                  <w:tcW w:w="304" w:type="pct"/>
                  <w:noWrap w:val="0"/>
                  <w:vAlign w:val="center"/>
                </w:tcPr>
                <w:p w14:paraId="63520EB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45</w:t>
                  </w:r>
                </w:p>
              </w:tc>
              <w:tc>
                <w:tcPr>
                  <w:tcW w:w="345" w:type="pct"/>
                  <w:shd w:val="clear" w:color="auto" w:fill="auto"/>
                  <w:noWrap w:val="0"/>
                  <w:vAlign w:val="center"/>
                </w:tcPr>
                <w:p w14:paraId="5D9028E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41.94</w:t>
                  </w:r>
                </w:p>
              </w:tc>
              <w:tc>
                <w:tcPr>
                  <w:tcW w:w="217" w:type="pct"/>
                  <w:vMerge w:val="restart"/>
                  <w:shd w:val="clear" w:color="auto" w:fill="auto"/>
                  <w:noWrap w:val="0"/>
                  <w:vAlign w:val="center"/>
                </w:tcPr>
                <w:p w14:paraId="13A5250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昼间</w:t>
                  </w:r>
                </w:p>
              </w:tc>
              <w:tc>
                <w:tcPr>
                  <w:tcW w:w="373" w:type="pct"/>
                  <w:vMerge w:val="restart"/>
                  <w:shd w:val="clear" w:color="auto" w:fill="auto"/>
                  <w:noWrap w:val="0"/>
                  <w:vAlign w:val="center"/>
                </w:tcPr>
                <w:p w14:paraId="236BDF7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10</w:t>
                  </w:r>
                </w:p>
              </w:tc>
              <w:tc>
                <w:tcPr>
                  <w:tcW w:w="348" w:type="pct"/>
                  <w:shd w:val="clear" w:color="auto" w:fill="auto"/>
                  <w:noWrap w:val="0"/>
                  <w:vAlign w:val="center"/>
                </w:tcPr>
                <w:p w14:paraId="1D8CBF4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31.94</w:t>
                  </w:r>
                </w:p>
              </w:tc>
              <w:tc>
                <w:tcPr>
                  <w:tcW w:w="291" w:type="pct"/>
                  <w:vMerge w:val="restart"/>
                  <w:noWrap w:val="0"/>
                  <w:vAlign w:val="center"/>
                </w:tcPr>
                <w:p w14:paraId="0480DBB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w:t>
                  </w:r>
                </w:p>
              </w:tc>
            </w:tr>
            <w:tr w14:paraId="5671548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84" w:hRule="atLeast"/>
                <w:jc w:val="center"/>
              </w:trPr>
              <w:tc>
                <w:tcPr>
                  <w:tcW w:w="173" w:type="pct"/>
                  <w:vMerge w:val="continue"/>
                  <w:noWrap w:val="0"/>
                  <w:vAlign w:val="center"/>
                </w:tcPr>
                <w:p w14:paraId="43F9604B">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74" w:type="pct"/>
                  <w:vMerge w:val="continue"/>
                  <w:noWrap w:val="0"/>
                  <w:vAlign w:val="center"/>
                </w:tcPr>
                <w:p w14:paraId="4377E24F">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66" w:type="pct"/>
                  <w:vMerge w:val="continue"/>
                  <w:noWrap w:val="0"/>
                  <w:vAlign w:val="center"/>
                </w:tcPr>
                <w:p w14:paraId="16E57F8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rPr>
                  </w:pPr>
                </w:p>
              </w:tc>
              <w:tc>
                <w:tcPr>
                  <w:tcW w:w="187" w:type="pct"/>
                  <w:vMerge w:val="continue"/>
                  <w:noWrap w:val="0"/>
                  <w:vAlign w:val="center"/>
                </w:tcPr>
                <w:p w14:paraId="2B61A3E5">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333" w:type="pct"/>
                  <w:vMerge w:val="continue"/>
                  <w:noWrap w:val="0"/>
                  <w:vAlign w:val="center"/>
                </w:tcPr>
                <w:p w14:paraId="017FDD96">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82" w:type="pct"/>
                  <w:vMerge w:val="continue"/>
                  <w:noWrap w:val="0"/>
                  <w:vAlign w:val="center"/>
                </w:tcPr>
                <w:p w14:paraId="3E819905">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361" w:type="pct"/>
                  <w:vMerge w:val="continue"/>
                  <w:noWrap w:val="0"/>
                  <w:vAlign w:val="center"/>
                </w:tcPr>
                <w:p w14:paraId="34530794">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98" w:type="pct"/>
                  <w:vMerge w:val="continue"/>
                  <w:noWrap w:val="0"/>
                  <w:vAlign w:val="center"/>
                </w:tcPr>
                <w:p w14:paraId="042F9FC2">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93" w:type="pct"/>
                  <w:vMerge w:val="continue"/>
                  <w:noWrap w:val="0"/>
                  <w:vAlign w:val="center"/>
                </w:tcPr>
                <w:p w14:paraId="72AEFE08">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72" w:type="pct"/>
                  <w:vMerge w:val="continue"/>
                  <w:noWrap w:val="0"/>
                  <w:vAlign w:val="center"/>
                </w:tcPr>
                <w:p w14:paraId="03DAFCF7">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379" w:type="pct"/>
                  <w:noWrap w:val="0"/>
                  <w:vAlign w:val="center"/>
                </w:tcPr>
                <w:p w14:paraId="5C3942B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南</w:t>
                  </w:r>
                </w:p>
              </w:tc>
              <w:tc>
                <w:tcPr>
                  <w:tcW w:w="304" w:type="pct"/>
                  <w:noWrap w:val="0"/>
                  <w:vAlign w:val="center"/>
                </w:tcPr>
                <w:p w14:paraId="4995868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15</w:t>
                  </w:r>
                </w:p>
              </w:tc>
              <w:tc>
                <w:tcPr>
                  <w:tcW w:w="345" w:type="pct"/>
                  <w:shd w:val="clear" w:color="auto" w:fill="auto"/>
                  <w:noWrap w:val="0"/>
                  <w:vAlign w:val="center"/>
                </w:tcPr>
                <w:p w14:paraId="6318589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cs="Times New Roman"/>
                      <w:sz w:val="21"/>
                      <w:szCs w:val="21"/>
                      <w:u w:val="none" w:color="auto"/>
                      <w:lang w:val="en-US" w:eastAsia="zh-CN"/>
                    </w:rPr>
                  </w:pPr>
                  <w:r>
                    <w:rPr>
                      <w:rFonts w:hint="eastAsia" w:cs="Times New Roman"/>
                      <w:sz w:val="21"/>
                      <w:szCs w:val="21"/>
                      <w:u w:val="none" w:color="auto"/>
                      <w:lang w:val="en-US" w:eastAsia="zh-CN"/>
                    </w:rPr>
                    <w:t>51.48</w:t>
                  </w:r>
                </w:p>
              </w:tc>
              <w:tc>
                <w:tcPr>
                  <w:tcW w:w="217" w:type="pct"/>
                  <w:vMerge w:val="continue"/>
                  <w:shd w:val="clear" w:color="auto" w:fill="auto"/>
                  <w:noWrap w:val="0"/>
                  <w:vAlign w:val="center"/>
                </w:tcPr>
                <w:p w14:paraId="2558080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3" w:type="pct"/>
                  <w:vMerge w:val="continue"/>
                  <w:shd w:val="clear" w:color="auto" w:fill="auto"/>
                  <w:noWrap w:val="0"/>
                  <w:vAlign w:val="center"/>
                </w:tcPr>
                <w:p w14:paraId="23290D7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48" w:type="pct"/>
                  <w:shd w:val="clear" w:color="auto" w:fill="auto"/>
                  <w:noWrap w:val="0"/>
                  <w:vAlign w:val="center"/>
                </w:tcPr>
                <w:p w14:paraId="0D8EFB2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41.48</w:t>
                  </w:r>
                </w:p>
              </w:tc>
              <w:tc>
                <w:tcPr>
                  <w:tcW w:w="291" w:type="pct"/>
                  <w:vMerge w:val="continue"/>
                  <w:noWrap w:val="0"/>
                  <w:vAlign w:val="center"/>
                </w:tcPr>
                <w:p w14:paraId="74042F4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r>
            <w:tr w14:paraId="7CBEB86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84" w:hRule="atLeast"/>
                <w:jc w:val="center"/>
              </w:trPr>
              <w:tc>
                <w:tcPr>
                  <w:tcW w:w="173" w:type="pct"/>
                  <w:vMerge w:val="continue"/>
                  <w:noWrap w:val="0"/>
                  <w:vAlign w:val="center"/>
                </w:tcPr>
                <w:p w14:paraId="4243A2D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4" w:type="pct"/>
                  <w:vMerge w:val="continue"/>
                  <w:noWrap w:val="0"/>
                  <w:vAlign w:val="center"/>
                </w:tcPr>
                <w:p w14:paraId="46A70CB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66" w:type="pct"/>
                  <w:vMerge w:val="continue"/>
                  <w:noWrap w:val="0"/>
                  <w:vAlign w:val="center"/>
                </w:tcPr>
                <w:p w14:paraId="08E073E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187" w:type="pct"/>
                  <w:vMerge w:val="continue"/>
                  <w:noWrap w:val="0"/>
                  <w:vAlign w:val="center"/>
                </w:tcPr>
                <w:p w14:paraId="5210146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33" w:type="pct"/>
                  <w:vMerge w:val="continue"/>
                  <w:noWrap w:val="0"/>
                  <w:vAlign w:val="center"/>
                </w:tcPr>
                <w:p w14:paraId="1E9466F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82" w:type="pct"/>
                  <w:vMerge w:val="continue"/>
                  <w:noWrap w:val="0"/>
                  <w:vAlign w:val="center"/>
                </w:tcPr>
                <w:p w14:paraId="6E6C68E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61" w:type="pct"/>
                  <w:vMerge w:val="continue"/>
                  <w:noWrap w:val="0"/>
                  <w:vAlign w:val="center"/>
                </w:tcPr>
                <w:p w14:paraId="6213940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8" w:type="pct"/>
                  <w:vMerge w:val="continue"/>
                  <w:noWrap w:val="0"/>
                  <w:vAlign w:val="center"/>
                </w:tcPr>
                <w:p w14:paraId="7FF60B2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3" w:type="pct"/>
                  <w:vMerge w:val="continue"/>
                  <w:noWrap w:val="0"/>
                  <w:vAlign w:val="center"/>
                </w:tcPr>
                <w:p w14:paraId="1A104FA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2" w:type="pct"/>
                  <w:vMerge w:val="continue"/>
                  <w:noWrap w:val="0"/>
                  <w:vAlign w:val="center"/>
                </w:tcPr>
                <w:p w14:paraId="68F6ECA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9" w:type="pct"/>
                  <w:noWrap w:val="0"/>
                  <w:vAlign w:val="center"/>
                </w:tcPr>
                <w:p w14:paraId="4159ED1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西</w:t>
                  </w:r>
                </w:p>
              </w:tc>
              <w:tc>
                <w:tcPr>
                  <w:tcW w:w="304" w:type="pct"/>
                  <w:noWrap w:val="0"/>
                  <w:vAlign w:val="center"/>
                </w:tcPr>
                <w:p w14:paraId="01544F3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10</w:t>
                  </w:r>
                </w:p>
              </w:tc>
              <w:tc>
                <w:tcPr>
                  <w:tcW w:w="345" w:type="pct"/>
                  <w:shd w:val="clear" w:color="auto" w:fill="auto"/>
                  <w:noWrap w:val="0"/>
                  <w:vAlign w:val="center"/>
                </w:tcPr>
                <w:p w14:paraId="084832E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55.00</w:t>
                  </w:r>
                </w:p>
              </w:tc>
              <w:tc>
                <w:tcPr>
                  <w:tcW w:w="217" w:type="pct"/>
                  <w:vMerge w:val="continue"/>
                  <w:shd w:val="clear" w:color="auto" w:fill="auto"/>
                  <w:noWrap w:val="0"/>
                  <w:vAlign w:val="center"/>
                </w:tcPr>
                <w:p w14:paraId="017BE4B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3" w:type="pct"/>
                  <w:vMerge w:val="continue"/>
                  <w:shd w:val="clear" w:color="auto" w:fill="auto"/>
                  <w:noWrap w:val="0"/>
                  <w:vAlign w:val="center"/>
                </w:tcPr>
                <w:p w14:paraId="1200C14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48" w:type="pct"/>
                  <w:shd w:val="clear" w:color="auto" w:fill="auto"/>
                  <w:noWrap w:val="0"/>
                  <w:vAlign w:val="center"/>
                </w:tcPr>
                <w:p w14:paraId="30407F9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45.00</w:t>
                  </w:r>
                </w:p>
              </w:tc>
              <w:tc>
                <w:tcPr>
                  <w:tcW w:w="291" w:type="pct"/>
                  <w:vMerge w:val="continue"/>
                  <w:noWrap w:val="0"/>
                  <w:vAlign w:val="center"/>
                </w:tcPr>
                <w:p w14:paraId="35B1F4C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r>
            <w:tr w14:paraId="1543F99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230" w:hRule="atLeast"/>
                <w:jc w:val="center"/>
              </w:trPr>
              <w:tc>
                <w:tcPr>
                  <w:tcW w:w="173" w:type="pct"/>
                  <w:vMerge w:val="continue"/>
                  <w:noWrap w:val="0"/>
                  <w:vAlign w:val="center"/>
                </w:tcPr>
                <w:p w14:paraId="57F1881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4" w:type="pct"/>
                  <w:vMerge w:val="continue"/>
                  <w:noWrap w:val="0"/>
                  <w:vAlign w:val="center"/>
                </w:tcPr>
                <w:p w14:paraId="76DC20F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66" w:type="pct"/>
                  <w:vMerge w:val="continue"/>
                  <w:noWrap w:val="0"/>
                  <w:vAlign w:val="center"/>
                </w:tcPr>
                <w:p w14:paraId="21E577D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187" w:type="pct"/>
                  <w:vMerge w:val="continue"/>
                  <w:noWrap w:val="0"/>
                  <w:vAlign w:val="center"/>
                </w:tcPr>
                <w:p w14:paraId="76BDC84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33" w:type="pct"/>
                  <w:vMerge w:val="continue"/>
                  <w:noWrap w:val="0"/>
                  <w:vAlign w:val="center"/>
                </w:tcPr>
                <w:p w14:paraId="27AFAE2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82" w:type="pct"/>
                  <w:vMerge w:val="continue"/>
                  <w:noWrap w:val="0"/>
                  <w:vAlign w:val="center"/>
                </w:tcPr>
                <w:p w14:paraId="24E3B64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61" w:type="pct"/>
                  <w:vMerge w:val="continue"/>
                  <w:noWrap w:val="0"/>
                  <w:vAlign w:val="center"/>
                </w:tcPr>
                <w:p w14:paraId="612B792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8" w:type="pct"/>
                  <w:vMerge w:val="continue"/>
                  <w:noWrap w:val="0"/>
                  <w:vAlign w:val="center"/>
                </w:tcPr>
                <w:p w14:paraId="03E2AA4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3" w:type="pct"/>
                  <w:vMerge w:val="continue"/>
                  <w:noWrap w:val="0"/>
                  <w:vAlign w:val="center"/>
                </w:tcPr>
                <w:p w14:paraId="73B6E69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2" w:type="pct"/>
                  <w:vMerge w:val="continue"/>
                  <w:noWrap w:val="0"/>
                  <w:vAlign w:val="center"/>
                </w:tcPr>
                <w:p w14:paraId="2D329F0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9" w:type="pct"/>
                  <w:noWrap w:val="0"/>
                  <w:vAlign w:val="center"/>
                </w:tcPr>
                <w:p w14:paraId="01AF69E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北</w:t>
                  </w:r>
                </w:p>
              </w:tc>
              <w:tc>
                <w:tcPr>
                  <w:tcW w:w="304" w:type="pct"/>
                  <w:noWrap w:val="0"/>
                  <w:vAlign w:val="center"/>
                </w:tcPr>
                <w:p w14:paraId="73D26ED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10</w:t>
                  </w:r>
                </w:p>
              </w:tc>
              <w:tc>
                <w:tcPr>
                  <w:tcW w:w="345" w:type="pct"/>
                  <w:shd w:val="clear" w:color="auto" w:fill="auto"/>
                  <w:noWrap w:val="0"/>
                  <w:vAlign w:val="center"/>
                </w:tcPr>
                <w:p w14:paraId="5404216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55.00</w:t>
                  </w:r>
                </w:p>
              </w:tc>
              <w:tc>
                <w:tcPr>
                  <w:tcW w:w="217" w:type="pct"/>
                  <w:vMerge w:val="continue"/>
                  <w:shd w:val="clear" w:color="auto" w:fill="auto"/>
                  <w:noWrap w:val="0"/>
                  <w:vAlign w:val="center"/>
                </w:tcPr>
                <w:p w14:paraId="0D83398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3" w:type="pct"/>
                  <w:vMerge w:val="continue"/>
                  <w:shd w:val="clear" w:color="auto" w:fill="auto"/>
                  <w:noWrap w:val="0"/>
                  <w:vAlign w:val="center"/>
                </w:tcPr>
                <w:p w14:paraId="4582292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48" w:type="pct"/>
                  <w:shd w:val="clear" w:color="auto" w:fill="auto"/>
                  <w:noWrap w:val="0"/>
                  <w:vAlign w:val="center"/>
                </w:tcPr>
                <w:p w14:paraId="7A9AD6C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45.00</w:t>
                  </w:r>
                </w:p>
              </w:tc>
              <w:tc>
                <w:tcPr>
                  <w:tcW w:w="291" w:type="pct"/>
                  <w:vMerge w:val="continue"/>
                  <w:noWrap w:val="0"/>
                  <w:vAlign w:val="center"/>
                </w:tcPr>
                <w:p w14:paraId="44AD921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r>
            <w:tr w14:paraId="2AC79F6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55" w:hRule="atLeast"/>
                <w:jc w:val="center"/>
              </w:trPr>
              <w:tc>
                <w:tcPr>
                  <w:tcW w:w="173" w:type="pct"/>
                  <w:vMerge w:val="restart"/>
                  <w:noWrap w:val="0"/>
                  <w:vAlign w:val="center"/>
                </w:tcPr>
                <w:p w14:paraId="64B5F3E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7</w:t>
                  </w:r>
                </w:p>
              </w:tc>
              <w:tc>
                <w:tcPr>
                  <w:tcW w:w="274" w:type="pct"/>
                  <w:vMerge w:val="continue"/>
                  <w:noWrap w:val="0"/>
                  <w:vAlign w:val="center"/>
                </w:tcPr>
                <w:p w14:paraId="4EAF9C9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66" w:type="pct"/>
                  <w:vMerge w:val="restart"/>
                  <w:noWrap w:val="0"/>
                  <w:vAlign w:val="center"/>
                </w:tcPr>
                <w:p w14:paraId="087F2F63">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sz w:val="21"/>
                      <w:szCs w:val="21"/>
                      <w:u w:val="none" w:color="auto"/>
                      <w:lang w:val="en-US" w:eastAsia="zh-CN"/>
                    </w:rPr>
                  </w:pPr>
                  <w:r>
                    <w:rPr>
                      <w:rFonts w:hint="eastAsia" w:cs="Times New Roman"/>
                      <w:i w:val="0"/>
                      <w:iCs w:val="0"/>
                      <w:caps w:val="0"/>
                      <w:spacing w:val="0"/>
                      <w:sz w:val="21"/>
                      <w:szCs w:val="21"/>
                      <w:shd w:val="clear" w:fill="FAFAFA"/>
                      <w:lang w:val="en-US" w:eastAsia="zh-CN"/>
                    </w:rPr>
                    <w:t>空压机</w:t>
                  </w:r>
                </w:p>
              </w:tc>
              <w:tc>
                <w:tcPr>
                  <w:tcW w:w="187" w:type="pct"/>
                  <w:vMerge w:val="restart"/>
                  <w:noWrap w:val="0"/>
                  <w:vAlign w:val="center"/>
                </w:tcPr>
                <w:p w14:paraId="39EAFFB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w:t>
                  </w:r>
                </w:p>
              </w:tc>
              <w:tc>
                <w:tcPr>
                  <w:tcW w:w="333" w:type="pct"/>
                  <w:vMerge w:val="restart"/>
                  <w:noWrap w:val="0"/>
                  <w:vAlign w:val="center"/>
                </w:tcPr>
                <w:p w14:paraId="108A174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80</w:t>
                  </w:r>
                </w:p>
              </w:tc>
              <w:tc>
                <w:tcPr>
                  <w:tcW w:w="282" w:type="pct"/>
                  <w:vMerge w:val="restart"/>
                  <w:noWrap w:val="0"/>
                  <w:vAlign w:val="center"/>
                </w:tcPr>
                <w:p w14:paraId="3B40AF0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w:t>
                  </w:r>
                </w:p>
              </w:tc>
              <w:tc>
                <w:tcPr>
                  <w:tcW w:w="361" w:type="pct"/>
                  <w:vMerge w:val="continue"/>
                  <w:noWrap w:val="0"/>
                  <w:vAlign w:val="center"/>
                </w:tcPr>
                <w:p w14:paraId="440909F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8" w:type="pct"/>
                  <w:vMerge w:val="restart"/>
                  <w:noWrap w:val="0"/>
                  <w:vAlign w:val="center"/>
                </w:tcPr>
                <w:p w14:paraId="749B8AD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50</w:t>
                  </w:r>
                </w:p>
              </w:tc>
              <w:tc>
                <w:tcPr>
                  <w:tcW w:w="293" w:type="pct"/>
                  <w:vMerge w:val="restart"/>
                  <w:noWrap w:val="0"/>
                  <w:vAlign w:val="center"/>
                </w:tcPr>
                <w:p w14:paraId="3E36665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-22</w:t>
                  </w:r>
                </w:p>
              </w:tc>
              <w:tc>
                <w:tcPr>
                  <w:tcW w:w="272" w:type="pct"/>
                  <w:vMerge w:val="restart"/>
                  <w:noWrap w:val="0"/>
                  <w:vAlign w:val="center"/>
                </w:tcPr>
                <w:p w14:paraId="4A0A7DC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w:t>
                  </w:r>
                </w:p>
              </w:tc>
              <w:tc>
                <w:tcPr>
                  <w:tcW w:w="379" w:type="pct"/>
                  <w:noWrap w:val="0"/>
                  <w:vAlign w:val="center"/>
                </w:tcPr>
                <w:p w14:paraId="6A87BEE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t>东</w:t>
                  </w:r>
                </w:p>
              </w:tc>
              <w:tc>
                <w:tcPr>
                  <w:tcW w:w="304" w:type="pct"/>
                  <w:noWrap w:val="0"/>
                  <w:vAlign w:val="center"/>
                </w:tcPr>
                <w:p w14:paraId="2F24F46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10</w:t>
                  </w:r>
                </w:p>
              </w:tc>
              <w:tc>
                <w:tcPr>
                  <w:tcW w:w="345" w:type="pct"/>
                  <w:shd w:val="clear" w:color="auto" w:fill="auto"/>
                  <w:noWrap w:val="0"/>
                  <w:vAlign w:val="center"/>
                </w:tcPr>
                <w:p w14:paraId="418721B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60.00</w:t>
                  </w:r>
                </w:p>
              </w:tc>
              <w:tc>
                <w:tcPr>
                  <w:tcW w:w="217" w:type="pct"/>
                  <w:vMerge w:val="restart"/>
                  <w:shd w:val="clear" w:color="auto" w:fill="auto"/>
                  <w:noWrap w:val="0"/>
                  <w:vAlign w:val="center"/>
                </w:tcPr>
                <w:p w14:paraId="51568A4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昼间</w:t>
                  </w:r>
                </w:p>
              </w:tc>
              <w:tc>
                <w:tcPr>
                  <w:tcW w:w="373" w:type="pct"/>
                  <w:vMerge w:val="restart"/>
                  <w:shd w:val="clear" w:color="auto" w:fill="auto"/>
                  <w:noWrap w:val="0"/>
                  <w:vAlign w:val="center"/>
                </w:tcPr>
                <w:p w14:paraId="7232A6D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10</w:t>
                  </w:r>
                </w:p>
              </w:tc>
              <w:tc>
                <w:tcPr>
                  <w:tcW w:w="348" w:type="pct"/>
                  <w:shd w:val="clear" w:color="auto" w:fill="auto"/>
                  <w:noWrap w:val="0"/>
                  <w:vAlign w:val="center"/>
                </w:tcPr>
                <w:p w14:paraId="25B863F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50.00</w:t>
                  </w:r>
                </w:p>
              </w:tc>
              <w:tc>
                <w:tcPr>
                  <w:tcW w:w="291" w:type="pct"/>
                  <w:vMerge w:val="restart"/>
                  <w:noWrap w:val="0"/>
                  <w:vAlign w:val="center"/>
                </w:tcPr>
                <w:p w14:paraId="2C835AD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r>
            <w:tr w14:paraId="1EF49B1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55" w:hRule="atLeast"/>
                <w:jc w:val="center"/>
              </w:trPr>
              <w:tc>
                <w:tcPr>
                  <w:tcW w:w="173" w:type="pct"/>
                  <w:vMerge w:val="continue"/>
                  <w:noWrap w:val="0"/>
                  <w:vAlign w:val="center"/>
                </w:tcPr>
                <w:p w14:paraId="1E20C592">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74" w:type="pct"/>
                  <w:vMerge w:val="continue"/>
                  <w:noWrap w:val="0"/>
                  <w:vAlign w:val="center"/>
                </w:tcPr>
                <w:p w14:paraId="342FB92B">
                  <w:pPr>
                    <w:keepNext w:val="0"/>
                    <w:keepLines w:val="0"/>
                    <w:pageBreakBefore w:val="0"/>
                    <w:widowControl/>
                    <w:suppressLineNumbers w:val="0"/>
                    <w:kinsoku/>
                    <w:wordWrap/>
                    <w:overflowPunct/>
                    <w:topLinePunct w:val="0"/>
                    <w:autoSpaceDE/>
                    <w:autoSpaceDN/>
                    <w:bidi w:val="0"/>
                    <w:spacing w:line="240" w:lineRule="auto"/>
                    <w:jc w:val="center"/>
                    <w:textAlignment w:val="center"/>
                  </w:pPr>
                </w:p>
              </w:tc>
              <w:tc>
                <w:tcPr>
                  <w:tcW w:w="266" w:type="pct"/>
                  <w:vMerge w:val="continue"/>
                  <w:noWrap w:val="0"/>
                  <w:vAlign w:val="center"/>
                </w:tcPr>
                <w:p w14:paraId="34E6098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rPr>
                  </w:pPr>
                </w:p>
              </w:tc>
              <w:tc>
                <w:tcPr>
                  <w:tcW w:w="187" w:type="pct"/>
                  <w:vMerge w:val="continue"/>
                  <w:noWrap w:val="0"/>
                  <w:vAlign w:val="center"/>
                </w:tcPr>
                <w:p w14:paraId="356E31C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33" w:type="pct"/>
                  <w:vMerge w:val="continue"/>
                  <w:noWrap w:val="0"/>
                  <w:vAlign w:val="center"/>
                </w:tcPr>
                <w:p w14:paraId="6219EF6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82" w:type="pct"/>
                  <w:vMerge w:val="continue"/>
                  <w:noWrap w:val="0"/>
                  <w:vAlign w:val="center"/>
                </w:tcPr>
                <w:p w14:paraId="32C99BA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61" w:type="pct"/>
                  <w:vMerge w:val="continue"/>
                  <w:noWrap w:val="0"/>
                  <w:vAlign w:val="center"/>
                </w:tcPr>
                <w:p w14:paraId="0F87A7F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8" w:type="pct"/>
                  <w:vMerge w:val="continue"/>
                  <w:noWrap w:val="0"/>
                  <w:vAlign w:val="center"/>
                </w:tcPr>
                <w:p w14:paraId="1CFCFC7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3" w:type="pct"/>
                  <w:vMerge w:val="continue"/>
                  <w:noWrap w:val="0"/>
                  <w:vAlign w:val="center"/>
                </w:tcPr>
                <w:p w14:paraId="306B06B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2" w:type="pct"/>
                  <w:vMerge w:val="continue"/>
                  <w:noWrap w:val="0"/>
                  <w:vAlign w:val="center"/>
                </w:tcPr>
                <w:p w14:paraId="3865670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9" w:type="pct"/>
                  <w:noWrap w:val="0"/>
                  <w:vAlign w:val="center"/>
                </w:tcPr>
                <w:p w14:paraId="53FC6CF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南</w:t>
                  </w:r>
                </w:p>
              </w:tc>
              <w:tc>
                <w:tcPr>
                  <w:tcW w:w="304" w:type="pct"/>
                  <w:noWrap w:val="0"/>
                  <w:vAlign w:val="center"/>
                </w:tcPr>
                <w:p w14:paraId="46EBF28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5</w:t>
                  </w:r>
                </w:p>
              </w:tc>
              <w:tc>
                <w:tcPr>
                  <w:tcW w:w="345" w:type="pct"/>
                  <w:shd w:val="clear" w:color="auto" w:fill="auto"/>
                  <w:noWrap w:val="0"/>
                  <w:vAlign w:val="center"/>
                </w:tcPr>
                <w:p w14:paraId="279D11D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66.02</w:t>
                  </w:r>
                </w:p>
              </w:tc>
              <w:tc>
                <w:tcPr>
                  <w:tcW w:w="217" w:type="pct"/>
                  <w:vMerge w:val="continue"/>
                  <w:shd w:val="clear" w:color="auto" w:fill="auto"/>
                  <w:noWrap w:val="0"/>
                  <w:vAlign w:val="center"/>
                </w:tcPr>
                <w:p w14:paraId="36B4782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3" w:type="pct"/>
                  <w:vMerge w:val="continue"/>
                  <w:shd w:val="clear" w:color="auto" w:fill="auto"/>
                  <w:noWrap w:val="0"/>
                  <w:vAlign w:val="center"/>
                </w:tcPr>
                <w:p w14:paraId="46741E0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48" w:type="pct"/>
                  <w:shd w:val="clear" w:color="auto" w:fill="auto"/>
                  <w:noWrap w:val="0"/>
                  <w:vAlign w:val="center"/>
                </w:tcPr>
                <w:p w14:paraId="5A3D480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56.02</w:t>
                  </w:r>
                </w:p>
              </w:tc>
              <w:tc>
                <w:tcPr>
                  <w:tcW w:w="291" w:type="pct"/>
                  <w:vMerge w:val="continue"/>
                  <w:noWrap w:val="0"/>
                  <w:vAlign w:val="center"/>
                </w:tcPr>
                <w:p w14:paraId="4AA2C1B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r>
            <w:tr w14:paraId="4F54F24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55" w:hRule="atLeast"/>
                <w:jc w:val="center"/>
              </w:trPr>
              <w:tc>
                <w:tcPr>
                  <w:tcW w:w="173" w:type="pct"/>
                  <w:vMerge w:val="continue"/>
                  <w:noWrap w:val="0"/>
                  <w:vAlign w:val="center"/>
                </w:tcPr>
                <w:p w14:paraId="265FD9F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4" w:type="pct"/>
                  <w:vMerge w:val="continue"/>
                  <w:noWrap w:val="0"/>
                  <w:vAlign w:val="center"/>
                </w:tcPr>
                <w:p w14:paraId="59B5140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66" w:type="pct"/>
                  <w:vMerge w:val="continue"/>
                  <w:noWrap w:val="0"/>
                  <w:vAlign w:val="center"/>
                </w:tcPr>
                <w:p w14:paraId="47728FA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187" w:type="pct"/>
                  <w:vMerge w:val="continue"/>
                  <w:noWrap w:val="0"/>
                  <w:vAlign w:val="center"/>
                </w:tcPr>
                <w:p w14:paraId="2364B7A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33" w:type="pct"/>
                  <w:vMerge w:val="continue"/>
                  <w:noWrap w:val="0"/>
                  <w:vAlign w:val="center"/>
                </w:tcPr>
                <w:p w14:paraId="4F7A12C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82" w:type="pct"/>
                  <w:vMerge w:val="continue"/>
                  <w:noWrap w:val="0"/>
                  <w:vAlign w:val="center"/>
                </w:tcPr>
                <w:p w14:paraId="6175641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61" w:type="pct"/>
                  <w:vMerge w:val="continue"/>
                  <w:noWrap w:val="0"/>
                  <w:vAlign w:val="center"/>
                </w:tcPr>
                <w:p w14:paraId="716657C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8" w:type="pct"/>
                  <w:vMerge w:val="continue"/>
                  <w:noWrap w:val="0"/>
                  <w:vAlign w:val="center"/>
                </w:tcPr>
                <w:p w14:paraId="2A52CC9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3" w:type="pct"/>
                  <w:vMerge w:val="continue"/>
                  <w:noWrap w:val="0"/>
                  <w:vAlign w:val="center"/>
                </w:tcPr>
                <w:p w14:paraId="54F3759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2" w:type="pct"/>
                  <w:vMerge w:val="continue"/>
                  <w:noWrap w:val="0"/>
                  <w:vAlign w:val="center"/>
                </w:tcPr>
                <w:p w14:paraId="416DB9E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9" w:type="pct"/>
                  <w:noWrap w:val="0"/>
                  <w:vAlign w:val="center"/>
                </w:tcPr>
                <w:p w14:paraId="7287F82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西</w:t>
                  </w:r>
                </w:p>
              </w:tc>
              <w:tc>
                <w:tcPr>
                  <w:tcW w:w="304" w:type="pct"/>
                  <w:noWrap w:val="0"/>
                  <w:vAlign w:val="center"/>
                </w:tcPr>
                <w:p w14:paraId="1514744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50</w:t>
                  </w:r>
                </w:p>
              </w:tc>
              <w:tc>
                <w:tcPr>
                  <w:tcW w:w="345" w:type="pct"/>
                  <w:shd w:val="clear" w:color="auto" w:fill="auto"/>
                  <w:noWrap w:val="0"/>
                  <w:vAlign w:val="center"/>
                </w:tcPr>
                <w:p w14:paraId="4DFF96D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46.02</w:t>
                  </w:r>
                </w:p>
              </w:tc>
              <w:tc>
                <w:tcPr>
                  <w:tcW w:w="217" w:type="pct"/>
                  <w:vMerge w:val="continue"/>
                  <w:shd w:val="clear" w:color="auto" w:fill="auto"/>
                  <w:noWrap w:val="0"/>
                  <w:vAlign w:val="center"/>
                </w:tcPr>
                <w:p w14:paraId="2407DAE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3" w:type="pct"/>
                  <w:vMerge w:val="continue"/>
                  <w:shd w:val="clear" w:color="auto" w:fill="auto"/>
                  <w:noWrap w:val="0"/>
                  <w:vAlign w:val="center"/>
                </w:tcPr>
                <w:p w14:paraId="4860402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48" w:type="pct"/>
                  <w:shd w:val="clear" w:color="auto" w:fill="auto"/>
                  <w:noWrap w:val="0"/>
                  <w:vAlign w:val="center"/>
                </w:tcPr>
                <w:p w14:paraId="4C354A2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36.02</w:t>
                  </w:r>
                </w:p>
              </w:tc>
              <w:tc>
                <w:tcPr>
                  <w:tcW w:w="291" w:type="pct"/>
                  <w:vMerge w:val="continue"/>
                  <w:noWrap w:val="0"/>
                  <w:vAlign w:val="center"/>
                </w:tcPr>
                <w:p w14:paraId="70AED91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r>
            <w:tr w14:paraId="67B2DD7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108" w:type="dxa"/>
                  <w:bottom w:w="0" w:type="dxa"/>
                  <w:right w:w="108" w:type="dxa"/>
                </w:tblCellMar>
              </w:tblPrEx>
              <w:trPr>
                <w:trHeight w:val="55" w:hRule="atLeast"/>
                <w:jc w:val="center"/>
              </w:trPr>
              <w:tc>
                <w:tcPr>
                  <w:tcW w:w="173" w:type="pct"/>
                  <w:vMerge w:val="continue"/>
                  <w:noWrap w:val="0"/>
                  <w:vAlign w:val="center"/>
                </w:tcPr>
                <w:p w14:paraId="065DAC8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4" w:type="pct"/>
                  <w:vMerge w:val="continue"/>
                  <w:noWrap w:val="0"/>
                  <w:vAlign w:val="center"/>
                </w:tcPr>
                <w:p w14:paraId="03AC7FC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66" w:type="pct"/>
                  <w:vMerge w:val="continue"/>
                  <w:noWrap w:val="0"/>
                  <w:vAlign w:val="center"/>
                </w:tcPr>
                <w:p w14:paraId="2332EFE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187" w:type="pct"/>
                  <w:vMerge w:val="continue"/>
                  <w:noWrap w:val="0"/>
                  <w:vAlign w:val="center"/>
                </w:tcPr>
                <w:p w14:paraId="27C2BB6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33" w:type="pct"/>
                  <w:vMerge w:val="continue"/>
                  <w:noWrap w:val="0"/>
                  <w:vAlign w:val="center"/>
                </w:tcPr>
                <w:p w14:paraId="2010D7E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82" w:type="pct"/>
                  <w:vMerge w:val="continue"/>
                  <w:noWrap w:val="0"/>
                  <w:vAlign w:val="center"/>
                </w:tcPr>
                <w:p w14:paraId="0BF10CA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61" w:type="pct"/>
                  <w:vMerge w:val="continue"/>
                  <w:noWrap w:val="0"/>
                  <w:vAlign w:val="center"/>
                </w:tcPr>
                <w:p w14:paraId="091385E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8" w:type="pct"/>
                  <w:vMerge w:val="continue"/>
                  <w:noWrap w:val="0"/>
                  <w:vAlign w:val="center"/>
                </w:tcPr>
                <w:p w14:paraId="78D179D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93" w:type="pct"/>
                  <w:vMerge w:val="continue"/>
                  <w:noWrap w:val="0"/>
                  <w:vAlign w:val="center"/>
                </w:tcPr>
                <w:p w14:paraId="669891E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272" w:type="pct"/>
                  <w:vMerge w:val="continue"/>
                  <w:noWrap w:val="0"/>
                  <w:vAlign w:val="center"/>
                </w:tcPr>
                <w:p w14:paraId="64FCB79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9" w:type="pct"/>
                  <w:noWrap w:val="0"/>
                  <w:vAlign w:val="center"/>
                </w:tcPr>
                <w:p w14:paraId="01810EE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北</w:t>
                  </w:r>
                </w:p>
              </w:tc>
              <w:tc>
                <w:tcPr>
                  <w:tcW w:w="304" w:type="pct"/>
                  <w:noWrap w:val="0"/>
                  <w:vAlign w:val="center"/>
                </w:tcPr>
                <w:p w14:paraId="3CF0245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20</w:t>
                  </w:r>
                </w:p>
              </w:tc>
              <w:tc>
                <w:tcPr>
                  <w:tcW w:w="345" w:type="pct"/>
                  <w:shd w:val="clear" w:color="auto" w:fill="auto"/>
                  <w:noWrap w:val="0"/>
                  <w:vAlign w:val="center"/>
                </w:tcPr>
                <w:p w14:paraId="74B4FF8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cs="Times New Roman"/>
                      <w:sz w:val="21"/>
                      <w:szCs w:val="21"/>
                      <w:u w:val="none" w:color="auto"/>
                      <w:lang w:val="en-US" w:eastAsia="zh-CN"/>
                    </w:rPr>
                    <w:t>53.98</w:t>
                  </w:r>
                </w:p>
              </w:tc>
              <w:tc>
                <w:tcPr>
                  <w:tcW w:w="217" w:type="pct"/>
                  <w:vMerge w:val="continue"/>
                  <w:shd w:val="clear" w:color="auto" w:fill="auto"/>
                  <w:noWrap w:val="0"/>
                  <w:vAlign w:val="center"/>
                </w:tcPr>
                <w:p w14:paraId="62A14AC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73" w:type="pct"/>
                  <w:vMerge w:val="continue"/>
                  <w:shd w:val="clear" w:color="auto" w:fill="auto"/>
                  <w:noWrap w:val="0"/>
                  <w:vAlign w:val="center"/>
                </w:tcPr>
                <w:p w14:paraId="114D051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c>
                <w:tcPr>
                  <w:tcW w:w="348" w:type="pct"/>
                  <w:shd w:val="clear" w:color="auto" w:fill="auto"/>
                  <w:noWrap w:val="0"/>
                  <w:vAlign w:val="center"/>
                </w:tcPr>
                <w:p w14:paraId="7BC057C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43.98</w:t>
                  </w:r>
                </w:p>
              </w:tc>
              <w:tc>
                <w:tcPr>
                  <w:tcW w:w="291" w:type="pct"/>
                  <w:vMerge w:val="continue"/>
                  <w:noWrap w:val="0"/>
                  <w:vAlign w:val="center"/>
                </w:tcPr>
                <w:p w14:paraId="4199206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imes New Roman" w:hAnsi="Times New Roman" w:cs="Times New Roman"/>
                      <w:sz w:val="21"/>
                      <w:szCs w:val="21"/>
                      <w:u w:val="none" w:color="auto"/>
                      <w:lang w:val="en-US" w:eastAsia="zh-CN"/>
                    </w:rPr>
                  </w:pPr>
                </w:p>
              </w:tc>
            </w:tr>
          </w:tbl>
          <w:p w14:paraId="13ABD793">
            <w:pPr>
              <w:pStyle w:val="42"/>
              <w:bidi w:val="0"/>
              <w:rPr>
                <w:rFonts w:hint="eastAsia"/>
                <w:u w:val="none" w:color="auto"/>
                <w:lang w:eastAsia="zh-CN"/>
              </w:rPr>
            </w:pPr>
            <w:r>
              <w:rPr>
                <w:rFonts w:hint="eastAsia"/>
                <w:u w:val="none" w:color="auto"/>
              </w:rPr>
              <w:t>表4-</w:t>
            </w:r>
            <w:r>
              <w:rPr>
                <w:rFonts w:hint="eastAsia"/>
                <w:u w:val="none" w:color="auto"/>
                <w:lang w:val="en-US" w:eastAsia="zh-CN"/>
              </w:rPr>
              <w:t xml:space="preserve">16 </w:t>
            </w:r>
            <w:r>
              <w:rPr>
                <w:rFonts w:hint="eastAsia"/>
                <w:u w:val="none" w:color="auto"/>
              </w:rPr>
              <w:t xml:space="preserve"> 工业企业噪声源强调查清单</w:t>
            </w:r>
            <w:r>
              <w:rPr>
                <w:rFonts w:hint="eastAsia"/>
                <w:u w:val="none" w:color="auto"/>
                <w:lang w:eastAsia="zh-CN"/>
              </w:rPr>
              <w:t>（</w:t>
            </w:r>
            <w:r>
              <w:rPr>
                <w:rFonts w:hint="eastAsia"/>
                <w:u w:val="none" w:color="auto"/>
                <w:lang w:val="en-US" w:eastAsia="zh-CN"/>
              </w:rPr>
              <w:t>室外声源</w:t>
            </w:r>
            <w:r>
              <w:rPr>
                <w:rFonts w:hint="eastAsia"/>
                <w:u w:val="none" w:color="auto"/>
                <w:lang w:eastAsia="zh-CN"/>
              </w:rPr>
              <w:t>）</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807"/>
              <w:gridCol w:w="1319"/>
              <w:gridCol w:w="862"/>
              <w:gridCol w:w="720"/>
              <w:gridCol w:w="1177"/>
              <w:gridCol w:w="1825"/>
              <w:gridCol w:w="2553"/>
              <w:gridCol w:w="1319"/>
              <w:gridCol w:w="2323"/>
            </w:tblGrid>
            <w:tr w14:paraId="3D9083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313" w:type="pct"/>
                  <w:vMerge w:val="restart"/>
                  <w:tcBorders>
                    <w:tl2br w:val="nil"/>
                    <w:tr2bl w:val="nil"/>
                  </w:tcBorders>
                  <w:vAlign w:val="center"/>
                </w:tcPr>
                <w:p w14:paraId="7B3CCA6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t>序号</w:t>
                  </w:r>
                </w:p>
              </w:tc>
              <w:tc>
                <w:tcPr>
                  <w:tcW w:w="511" w:type="pct"/>
                  <w:vMerge w:val="restart"/>
                  <w:tcBorders>
                    <w:tl2br w:val="nil"/>
                    <w:tr2bl w:val="nil"/>
                  </w:tcBorders>
                  <w:vAlign w:val="center"/>
                </w:tcPr>
                <w:p w14:paraId="257202D3">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t>声源名称</w:t>
                  </w:r>
                </w:p>
              </w:tc>
              <w:tc>
                <w:tcPr>
                  <w:tcW w:w="1069" w:type="pct"/>
                  <w:gridSpan w:val="3"/>
                  <w:tcBorders>
                    <w:tl2br w:val="nil"/>
                    <w:tr2bl w:val="nil"/>
                  </w:tcBorders>
                  <w:vAlign w:val="center"/>
                </w:tcPr>
                <w:p w14:paraId="520F12FC">
                  <w:pPr>
                    <w:widowControl/>
                    <w:jc w:val="center"/>
                    <w:textAlignment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b w:val="0"/>
                      <w:bCs w:val="0"/>
                      <w:color w:val="000000" w:themeColor="text1"/>
                      <w:kern w:val="0"/>
                      <w:sz w:val="21"/>
                      <w:szCs w:val="21"/>
                      <w:u w:val="none" w:color="auto"/>
                      <w:lang w:bidi="ar"/>
                      <w14:textFill>
                        <w14:solidFill>
                          <w14:schemeClr w14:val="tx1"/>
                        </w14:solidFill>
                      </w14:textFill>
                    </w:rPr>
                    <w:t>空间相对位置/m</w:t>
                  </w:r>
                </w:p>
              </w:tc>
              <w:tc>
                <w:tcPr>
                  <w:tcW w:w="707" w:type="pct"/>
                  <w:tcBorders>
                    <w:tl2br w:val="nil"/>
                    <w:tr2bl w:val="nil"/>
                  </w:tcBorders>
                  <w:vAlign w:val="center"/>
                </w:tcPr>
                <w:p w14:paraId="2468C67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b w:val="0"/>
                      <w:bCs w:val="0"/>
                      <w:color w:val="000000" w:themeColor="text1"/>
                      <w:kern w:val="0"/>
                      <w:sz w:val="21"/>
                      <w:szCs w:val="21"/>
                      <w:u w:val="none" w:color="auto"/>
                      <w:lang w:bidi="ar"/>
                      <w14:textFill>
                        <w14:solidFill>
                          <w14:schemeClr w14:val="tx1"/>
                        </w14:solidFill>
                      </w14:textFill>
                    </w:rPr>
                    <w:t>声源源强</w:t>
                  </w:r>
                </w:p>
              </w:tc>
              <w:tc>
                <w:tcPr>
                  <w:tcW w:w="989" w:type="pct"/>
                  <w:vMerge w:val="restart"/>
                  <w:tcBorders>
                    <w:tl2br w:val="nil"/>
                    <w:tr2bl w:val="nil"/>
                  </w:tcBorders>
                  <w:vAlign w:val="center"/>
                </w:tcPr>
                <w:p w14:paraId="6B42AD39">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b w:val="0"/>
                      <w:bCs w:val="0"/>
                      <w:color w:val="000000" w:themeColor="text1"/>
                      <w:kern w:val="0"/>
                      <w:sz w:val="21"/>
                      <w:szCs w:val="21"/>
                      <w:u w:val="none" w:color="auto"/>
                      <w:lang w:bidi="ar"/>
                      <w14:textFill>
                        <w14:solidFill>
                          <w14:schemeClr w14:val="tx1"/>
                        </w14:solidFill>
                      </w14:textFill>
                    </w:rPr>
                    <w:t>声源控制措施</w:t>
                  </w:r>
                </w:p>
              </w:tc>
              <w:tc>
                <w:tcPr>
                  <w:tcW w:w="511" w:type="pct"/>
                  <w:vMerge w:val="restart"/>
                  <w:tcBorders>
                    <w:tl2br w:val="nil"/>
                    <w:tr2bl w:val="nil"/>
                  </w:tcBorders>
                  <w:vAlign w:val="center"/>
                </w:tcPr>
                <w:p w14:paraId="475569DE">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t>运行时段</w:t>
                  </w:r>
                </w:p>
              </w:tc>
              <w:tc>
                <w:tcPr>
                  <w:tcW w:w="896" w:type="pct"/>
                  <w:vMerge w:val="restart"/>
                  <w:tcBorders>
                    <w:tl2br w:val="nil"/>
                    <w:tr2bl w:val="nil"/>
                  </w:tcBorders>
                  <w:vAlign w:val="center"/>
                </w:tcPr>
                <w:p w14:paraId="0D0A3363">
                  <w:pPr>
                    <w:pStyle w:val="41"/>
                    <w:bidi w:val="0"/>
                    <w:rPr>
                      <w:rFonts w:hint="eastAsia"/>
                      <w:u w:val="none" w:color="auto"/>
                      <w:lang w:val="en-US" w:eastAsia="zh-CN"/>
                    </w:rPr>
                  </w:pPr>
                  <w:r>
                    <w:rPr>
                      <w:rFonts w:hint="default"/>
                      <w:u w:val="none" w:color="auto"/>
                      <w:lang w:val="en-US" w:eastAsia="zh-CN"/>
                    </w:rPr>
                    <w:t>降噪后源强dB(A)/m</w:t>
                  </w:r>
                </w:p>
              </w:tc>
            </w:tr>
            <w:tr w14:paraId="77D8BC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313" w:type="pct"/>
                  <w:vMerge w:val="continue"/>
                  <w:tcBorders>
                    <w:tl2br w:val="nil"/>
                    <w:tr2bl w:val="nil"/>
                  </w:tcBorders>
                  <w:vAlign w:val="center"/>
                </w:tcPr>
                <w:p w14:paraId="339EAA9C">
                  <w:pPr>
                    <w:keepNext w:val="0"/>
                    <w:keepLines w:val="0"/>
                    <w:widowControl/>
                    <w:suppressLineNumbers w:val="0"/>
                    <w:jc w:val="center"/>
                    <w:textAlignment w:val="center"/>
                    <w:rPr>
                      <w:b w:val="0"/>
                      <w:bCs w:val="0"/>
                      <w:color w:val="000000" w:themeColor="text1"/>
                      <w:u w:val="none" w:color="auto"/>
                      <w14:textFill>
                        <w14:solidFill>
                          <w14:schemeClr w14:val="tx1"/>
                        </w14:solidFill>
                      </w14:textFill>
                    </w:rPr>
                  </w:pPr>
                </w:p>
              </w:tc>
              <w:tc>
                <w:tcPr>
                  <w:tcW w:w="511" w:type="pct"/>
                  <w:vMerge w:val="continue"/>
                  <w:tcBorders>
                    <w:tl2br w:val="nil"/>
                    <w:tr2bl w:val="nil"/>
                  </w:tcBorders>
                  <w:vAlign w:val="center"/>
                </w:tcPr>
                <w:p w14:paraId="446BD4E2">
                  <w:pPr>
                    <w:keepNext w:val="0"/>
                    <w:keepLines w:val="0"/>
                    <w:widowControl/>
                    <w:suppressLineNumbers w:val="0"/>
                    <w:jc w:val="center"/>
                    <w:textAlignment w:val="center"/>
                    <w:rPr>
                      <w:b w:val="0"/>
                      <w:bCs w:val="0"/>
                      <w:color w:val="000000" w:themeColor="text1"/>
                      <w:u w:val="none" w:color="auto"/>
                      <w14:textFill>
                        <w14:solidFill>
                          <w14:schemeClr w14:val="tx1"/>
                        </w14:solidFill>
                      </w14:textFill>
                    </w:rPr>
                  </w:pPr>
                </w:p>
              </w:tc>
              <w:tc>
                <w:tcPr>
                  <w:tcW w:w="334" w:type="pct"/>
                  <w:tcBorders>
                    <w:tl2br w:val="nil"/>
                    <w:tr2bl w:val="nil"/>
                  </w:tcBorders>
                  <w:vAlign w:val="center"/>
                </w:tcPr>
                <w:p w14:paraId="2C49EFE6">
                  <w:pPr>
                    <w:widowControl/>
                    <w:jc w:val="center"/>
                    <w:textAlignment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b w:val="0"/>
                      <w:bCs w:val="0"/>
                      <w:color w:val="000000" w:themeColor="text1"/>
                      <w:kern w:val="0"/>
                      <w:sz w:val="21"/>
                      <w:szCs w:val="21"/>
                      <w:u w:val="none" w:color="auto"/>
                      <w:lang w:bidi="ar"/>
                      <w14:textFill>
                        <w14:solidFill>
                          <w14:schemeClr w14:val="tx1"/>
                        </w14:solidFill>
                      </w14:textFill>
                    </w:rPr>
                    <w:t>X</w:t>
                  </w:r>
                </w:p>
              </w:tc>
              <w:tc>
                <w:tcPr>
                  <w:tcW w:w="279" w:type="pct"/>
                  <w:tcBorders>
                    <w:tl2br w:val="nil"/>
                    <w:tr2bl w:val="nil"/>
                  </w:tcBorders>
                  <w:vAlign w:val="center"/>
                </w:tcPr>
                <w:p w14:paraId="3ED20CE9">
                  <w:pPr>
                    <w:widowControl/>
                    <w:jc w:val="center"/>
                    <w:textAlignment w:val="center"/>
                    <w:rPr>
                      <w:rFonts w:hint="default" w:ascii="Times New Roman" w:hAnsi="Times New Roman" w:eastAsia="宋体" w:cs="Times New Roman"/>
                      <w:b w:val="0"/>
                      <w:bCs w:val="0"/>
                      <w:color w:val="000000" w:themeColor="text1"/>
                      <w:kern w:val="0"/>
                      <w:sz w:val="21"/>
                      <w:szCs w:val="21"/>
                      <w:u w:val="none" w:color="auto"/>
                      <w:lang w:val="en-US" w:eastAsia="zh-CN" w:bidi="ar"/>
                      <w14:textFill>
                        <w14:solidFill>
                          <w14:schemeClr w14:val="tx1"/>
                        </w14:solidFill>
                      </w14:textFill>
                    </w:rPr>
                  </w:pPr>
                  <w:r>
                    <w:rPr>
                      <w:b w:val="0"/>
                      <w:bCs w:val="0"/>
                      <w:color w:val="000000" w:themeColor="text1"/>
                      <w:kern w:val="0"/>
                      <w:sz w:val="21"/>
                      <w:szCs w:val="21"/>
                      <w:u w:val="none" w:color="auto"/>
                      <w:lang w:bidi="ar"/>
                      <w14:textFill>
                        <w14:solidFill>
                          <w14:schemeClr w14:val="tx1"/>
                        </w14:solidFill>
                      </w14:textFill>
                    </w:rPr>
                    <w:t>Y</w:t>
                  </w:r>
                </w:p>
              </w:tc>
              <w:tc>
                <w:tcPr>
                  <w:tcW w:w="455" w:type="pct"/>
                  <w:tcBorders>
                    <w:tl2br w:val="nil"/>
                    <w:tr2bl w:val="nil"/>
                  </w:tcBorders>
                  <w:vAlign w:val="center"/>
                </w:tcPr>
                <w:p w14:paraId="6E4D0F74">
                  <w:pPr>
                    <w:widowControl/>
                    <w:jc w:val="center"/>
                    <w:textAlignment w:val="center"/>
                    <w:rPr>
                      <w:rFonts w:hint="default" w:ascii="Times New Roman" w:hAnsi="Times New Roman" w:eastAsia="宋体" w:cs="Times New Roman"/>
                      <w:b w:val="0"/>
                      <w:bCs w:val="0"/>
                      <w:color w:val="000000" w:themeColor="text1"/>
                      <w:kern w:val="0"/>
                      <w:sz w:val="21"/>
                      <w:szCs w:val="21"/>
                      <w:u w:val="none" w:color="auto"/>
                      <w:lang w:val="en-US" w:eastAsia="zh-CN" w:bidi="ar"/>
                      <w14:textFill>
                        <w14:solidFill>
                          <w14:schemeClr w14:val="tx1"/>
                        </w14:solidFill>
                      </w14:textFill>
                    </w:rPr>
                  </w:pPr>
                  <w:r>
                    <w:rPr>
                      <w:b w:val="0"/>
                      <w:bCs w:val="0"/>
                      <w:color w:val="000000" w:themeColor="text1"/>
                      <w:kern w:val="0"/>
                      <w:sz w:val="21"/>
                      <w:szCs w:val="21"/>
                      <w:u w:val="none" w:color="auto"/>
                      <w:lang w:bidi="ar"/>
                      <w14:textFill>
                        <w14:solidFill>
                          <w14:schemeClr w14:val="tx1"/>
                        </w14:solidFill>
                      </w14:textFill>
                    </w:rPr>
                    <w:t>Z</w:t>
                  </w:r>
                </w:p>
              </w:tc>
              <w:tc>
                <w:tcPr>
                  <w:tcW w:w="707" w:type="pct"/>
                  <w:tcBorders>
                    <w:tl2br w:val="nil"/>
                    <w:tr2bl w:val="nil"/>
                  </w:tcBorders>
                  <w:vAlign w:val="center"/>
                </w:tcPr>
                <w:p w14:paraId="1DE8BD65">
                  <w:pPr>
                    <w:widowControl/>
                    <w:jc w:val="center"/>
                    <w:textAlignment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b w:val="0"/>
                      <w:bCs w:val="0"/>
                      <w:color w:val="000000" w:themeColor="text1"/>
                      <w:kern w:val="0"/>
                      <w:sz w:val="21"/>
                      <w:szCs w:val="21"/>
                      <w:u w:val="none" w:color="auto"/>
                      <w:lang w:bidi="ar"/>
                      <w14:textFill>
                        <w14:solidFill>
                          <w14:schemeClr w14:val="tx1"/>
                        </w14:solidFill>
                      </w14:textFill>
                    </w:rPr>
                    <w:t>声压级/dB(A)</w:t>
                  </w:r>
                </w:p>
              </w:tc>
              <w:tc>
                <w:tcPr>
                  <w:tcW w:w="989" w:type="pct"/>
                  <w:vMerge w:val="continue"/>
                  <w:tcBorders>
                    <w:tl2br w:val="nil"/>
                    <w:tr2bl w:val="nil"/>
                  </w:tcBorders>
                  <w:vAlign w:val="center"/>
                </w:tcPr>
                <w:p w14:paraId="2EE086A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511" w:type="pct"/>
                  <w:vMerge w:val="continue"/>
                  <w:tcBorders>
                    <w:tl2br w:val="nil"/>
                    <w:tr2bl w:val="nil"/>
                  </w:tcBorders>
                  <w:vAlign w:val="center"/>
                </w:tcPr>
                <w:p w14:paraId="5615A8B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c>
                <w:tcPr>
                  <w:tcW w:w="896" w:type="pct"/>
                  <w:vMerge w:val="continue"/>
                  <w:tcBorders>
                    <w:tl2br w:val="nil"/>
                    <w:tr2bl w:val="nil"/>
                  </w:tcBorders>
                  <w:vAlign w:val="center"/>
                </w:tcPr>
                <w:p w14:paraId="44476E9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p>
              </w:tc>
            </w:tr>
            <w:tr w14:paraId="531A48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313" w:type="pct"/>
                  <w:tcBorders>
                    <w:tl2br w:val="nil"/>
                    <w:tr2bl w:val="nil"/>
                  </w:tcBorders>
                  <w:vAlign w:val="center"/>
                </w:tcPr>
                <w:p w14:paraId="350F5BAE">
                  <w:pPr>
                    <w:pStyle w:val="41"/>
                    <w:bidi w:val="0"/>
                    <w:rPr>
                      <w:rFonts w:hint="default"/>
                      <w:lang w:val="en-US" w:eastAsia="zh-CN"/>
                    </w:rPr>
                  </w:pPr>
                  <w:r>
                    <w:rPr>
                      <w:rFonts w:hint="default"/>
                      <w:lang w:val="en-US" w:eastAsia="zh-CN"/>
                    </w:rPr>
                    <w:t>1</w:t>
                  </w:r>
                </w:p>
              </w:tc>
              <w:tc>
                <w:tcPr>
                  <w:tcW w:w="511" w:type="pct"/>
                  <w:tcBorders>
                    <w:tl2br w:val="nil"/>
                    <w:tr2bl w:val="nil"/>
                  </w:tcBorders>
                  <w:vAlign w:val="center"/>
                </w:tcPr>
                <w:p w14:paraId="45445982">
                  <w:pPr>
                    <w:pStyle w:val="41"/>
                    <w:bidi w:val="0"/>
                    <w:rPr>
                      <w:rFonts w:hint="default"/>
                      <w:lang w:val="en-US" w:eastAsia="zh-CN"/>
                    </w:rPr>
                  </w:pPr>
                  <w:r>
                    <w:rPr>
                      <w:rFonts w:hint="eastAsia"/>
                      <w:lang w:val="en-US" w:eastAsia="zh-CN"/>
                    </w:rPr>
                    <w:t>DA001风机</w:t>
                  </w:r>
                </w:p>
              </w:tc>
              <w:tc>
                <w:tcPr>
                  <w:tcW w:w="334" w:type="pct"/>
                  <w:tcBorders>
                    <w:tl2br w:val="nil"/>
                    <w:tr2bl w:val="nil"/>
                  </w:tcBorders>
                  <w:vAlign w:val="center"/>
                </w:tcPr>
                <w:p w14:paraId="2B994247">
                  <w:pPr>
                    <w:pStyle w:val="41"/>
                    <w:bidi w:val="0"/>
                    <w:rPr>
                      <w:rFonts w:hint="default" w:eastAsia="宋体"/>
                      <w:lang w:val="en-US" w:eastAsia="zh-CN"/>
                    </w:rPr>
                  </w:pPr>
                  <w:r>
                    <w:rPr>
                      <w:rFonts w:hint="eastAsia"/>
                      <w:lang w:val="en-US" w:eastAsia="zh-CN"/>
                    </w:rPr>
                    <w:t>20</w:t>
                  </w:r>
                </w:p>
              </w:tc>
              <w:tc>
                <w:tcPr>
                  <w:tcW w:w="279" w:type="pct"/>
                  <w:tcBorders>
                    <w:tl2br w:val="nil"/>
                    <w:tr2bl w:val="nil"/>
                  </w:tcBorders>
                  <w:vAlign w:val="center"/>
                </w:tcPr>
                <w:p w14:paraId="6A9BE0FF">
                  <w:pPr>
                    <w:pStyle w:val="41"/>
                    <w:bidi w:val="0"/>
                    <w:rPr>
                      <w:rFonts w:hint="default" w:eastAsia="宋体"/>
                      <w:lang w:val="en-US" w:eastAsia="zh-CN"/>
                    </w:rPr>
                  </w:pPr>
                  <w:r>
                    <w:rPr>
                      <w:rFonts w:hint="eastAsia"/>
                      <w:lang w:val="en-US" w:eastAsia="zh-CN"/>
                    </w:rPr>
                    <w:t>18</w:t>
                  </w:r>
                </w:p>
              </w:tc>
              <w:tc>
                <w:tcPr>
                  <w:tcW w:w="455" w:type="pct"/>
                  <w:tcBorders>
                    <w:tl2br w:val="nil"/>
                    <w:tr2bl w:val="nil"/>
                  </w:tcBorders>
                  <w:vAlign w:val="center"/>
                </w:tcPr>
                <w:p w14:paraId="2EBE1ECF">
                  <w:pPr>
                    <w:pStyle w:val="41"/>
                    <w:bidi w:val="0"/>
                    <w:rPr>
                      <w:rFonts w:hint="default"/>
                      <w:lang w:val="en-US" w:eastAsia="zh-CN"/>
                    </w:rPr>
                  </w:pPr>
                  <w:r>
                    <w:rPr>
                      <w:rFonts w:hint="eastAsia"/>
                      <w:lang w:val="en-US" w:eastAsia="zh-CN"/>
                    </w:rPr>
                    <w:t>1</w:t>
                  </w:r>
                </w:p>
              </w:tc>
              <w:tc>
                <w:tcPr>
                  <w:tcW w:w="707" w:type="pct"/>
                  <w:tcBorders>
                    <w:tl2br w:val="nil"/>
                    <w:tr2bl w:val="nil"/>
                  </w:tcBorders>
                  <w:vAlign w:val="center"/>
                </w:tcPr>
                <w:p w14:paraId="7A01594F">
                  <w:pPr>
                    <w:pStyle w:val="41"/>
                    <w:bidi w:val="0"/>
                    <w:rPr>
                      <w:rFonts w:hint="default"/>
                      <w:lang w:val="en-US" w:eastAsia="zh-CN"/>
                    </w:rPr>
                  </w:pPr>
                  <w:r>
                    <w:rPr>
                      <w:rFonts w:hint="eastAsia"/>
                      <w:lang w:val="en-US" w:eastAsia="zh-CN"/>
                    </w:rPr>
                    <w:t>80</w:t>
                  </w:r>
                </w:p>
              </w:tc>
              <w:tc>
                <w:tcPr>
                  <w:tcW w:w="989" w:type="pct"/>
                  <w:tcBorders>
                    <w:tl2br w:val="nil"/>
                    <w:tr2bl w:val="nil"/>
                  </w:tcBorders>
                  <w:vAlign w:val="center"/>
                </w:tcPr>
                <w:p w14:paraId="06A746D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t>安装减振基础</w:t>
                  </w:r>
                  <w:r>
                    <w:rPr>
                      <w:rFonts w:hint="eastAsia" w:cs="Times New Roman"/>
                      <w:b w:val="0"/>
                      <w:bCs w:val="0"/>
                      <w:i w:val="0"/>
                      <w:iCs w:val="0"/>
                      <w:color w:val="000000" w:themeColor="text1"/>
                      <w:kern w:val="0"/>
                      <w:sz w:val="21"/>
                      <w:szCs w:val="21"/>
                      <w:u w:val="none" w:color="auto"/>
                      <w:lang w:val="en-US" w:eastAsia="zh-CN" w:bidi="ar"/>
                      <w14:textFill>
                        <w14:solidFill>
                          <w14:schemeClr w14:val="tx1"/>
                        </w14:solidFill>
                      </w14:textFill>
                    </w:rPr>
                    <w:t>，设置隔声屏障</w:t>
                  </w:r>
                </w:p>
              </w:tc>
              <w:tc>
                <w:tcPr>
                  <w:tcW w:w="511" w:type="pct"/>
                  <w:tcBorders>
                    <w:tl2br w:val="nil"/>
                    <w:tr2bl w:val="nil"/>
                  </w:tcBorders>
                  <w:vAlign w:val="center"/>
                </w:tcPr>
                <w:p w14:paraId="11ECD56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t>昼间</w:t>
                  </w:r>
                </w:p>
              </w:tc>
              <w:tc>
                <w:tcPr>
                  <w:tcW w:w="896" w:type="pct"/>
                  <w:tcBorders>
                    <w:tl2br w:val="nil"/>
                    <w:tr2bl w:val="nil"/>
                  </w:tcBorders>
                  <w:vAlign w:val="center"/>
                </w:tcPr>
                <w:p w14:paraId="1647AE72">
                  <w:pPr>
                    <w:keepNext w:val="0"/>
                    <w:keepLines w:val="0"/>
                    <w:widowControl/>
                    <w:suppressLineNumbers w:val="0"/>
                    <w:spacing w:line="240" w:lineRule="auto"/>
                    <w:jc w:val="center"/>
                    <w:textAlignment w:val="center"/>
                    <w:rPr>
                      <w:rFonts w:hint="default" w:ascii="Times New Roman" w:hAnsi="Times New Roman" w:cs="Times New Roman"/>
                      <w:b w:val="0"/>
                      <w:bCs w:val="0"/>
                      <w:i w:val="0"/>
                      <w:iCs w:val="0"/>
                      <w:color w:val="000000" w:themeColor="text1"/>
                      <w:kern w:val="0"/>
                      <w:sz w:val="21"/>
                      <w:szCs w:val="21"/>
                      <w:u w:val="none" w:color="auto"/>
                      <w:lang w:val="en-US" w:eastAsia="zh-CN" w:bidi="ar"/>
                      <w14:textFill>
                        <w14:solidFill>
                          <w14:schemeClr w14:val="tx1"/>
                        </w14:solidFill>
                      </w14:textFill>
                    </w:rPr>
                  </w:pPr>
                  <w:r>
                    <w:rPr>
                      <w:rFonts w:hint="eastAsia" w:cs="Times New Roman"/>
                      <w:i w:val="0"/>
                      <w:iCs w:val="0"/>
                      <w:color w:val="auto"/>
                      <w:kern w:val="0"/>
                      <w:sz w:val="21"/>
                      <w:szCs w:val="21"/>
                      <w:u w:val="none" w:color="auto"/>
                      <w:lang w:val="en-US" w:eastAsia="zh-CN" w:bidi="ar"/>
                    </w:rPr>
                    <w:t>70</w:t>
                  </w:r>
                </w:p>
              </w:tc>
            </w:tr>
            <w:tr w14:paraId="5FC69E2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5000" w:type="pct"/>
                  <w:gridSpan w:val="9"/>
                  <w:tcBorders>
                    <w:tl2br w:val="nil"/>
                    <w:tr2bl w:val="nil"/>
                  </w:tcBorders>
                  <w:vAlign w:val="center"/>
                </w:tcPr>
                <w:p w14:paraId="3D03F276">
                  <w:pPr>
                    <w:keepNext w:val="0"/>
                    <w:keepLines w:val="0"/>
                    <w:widowControl/>
                    <w:suppressLineNumbers w:val="0"/>
                    <w:jc w:val="left"/>
                    <w:textAlignment w:val="center"/>
                    <w:rPr>
                      <w:rFonts w:hint="eastAsia"/>
                      <w:highlight w:val="none"/>
                      <w:u w:val="none" w:color="auto"/>
                      <w:lang w:val="en-US" w:eastAsia="zh-CN"/>
                    </w:rPr>
                  </w:pPr>
                  <w:r>
                    <w:rPr>
                      <w:rFonts w:hint="eastAsia"/>
                      <w:sz w:val="21"/>
                      <w:szCs w:val="21"/>
                      <w:highlight w:val="none"/>
                      <w:u w:val="none" w:color="auto"/>
                      <w:lang w:val="en-US" w:eastAsia="zh-CN"/>
                    </w:rPr>
                    <w:t>备注</w:t>
                  </w:r>
                  <w:r>
                    <w:rPr>
                      <w:rFonts w:hint="default" w:ascii="Times New Roman" w:hAnsi="Times New Roman" w:cs="Times New Roman"/>
                      <w:sz w:val="21"/>
                      <w:szCs w:val="21"/>
                      <w:highlight w:val="none"/>
                      <w:u w:val="none" w:color="auto"/>
                      <w:lang w:val="en-US" w:eastAsia="zh-CN"/>
                    </w:rPr>
                    <w:t>：以</w:t>
                  </w:r>
                  <w:r>
                    <w:rPr>
                      <w:rFonts w:hint="eastAsia" w:cs="Times New Roman"/>
                      <w:sz w:val="21"/>
                      <w:szCs w:val="21"/>
                      <w:highlight w:val="none"/>
                      <w:u w:val="none" w:color="auto"/>
                      <w:lang w:val="en-US" w:eastAsia="zh-CN"/>
                    </w:rPr>
                    <w:t>厂界</w:t>
                  </w:r>
                  <w:r>
                    <w:rPr>
                      <w:rFonts w:hint="default" w:ascii="Times New Roman" w:hAnsi="Times New Roman" w:cs="Times New Roman"/>
                      <w:sz w:val="21"/>
                      <w:szCs w:val="21"/>
                      <w:highlight w:val="none"/>
                      <w:u w:val="none" w:color="auto"/>
                      <w:lang w:val="en-US" w:eastAsia="zh-CN"/>
                    </w:rPr>
                    <w:t>西南角为原点（0，0，0）点，坐标：</w:t>
                  </w:r>
                  <w:r>
                    <w:rPr>
                      <w:rFonts w:hint="default" w:ascii="Times New Roman" w:hAnsi="Times New Roman" w:cs="Times New Roman"/>
                      <w:sz w:val="21"/>
                      <w:szCs w:val="21"/>
                      <w:highlight w:val="none"/>
                      <w:u w:val="none" w:color="auto"/>
                    </w:rPr>
                    <w:t>110.124516839</w:t>
                  </w:r>
                  <w:r>
                    <w:rPr>
                      <w:rFonts w:hint="default" w:ascii="Times New Roman" w:hAnsi="Times New Roman" w:cs="Times New Roman"/>
                      <w:sz w:val="21"/>
                      <w:szCs w:val="21"/>
                      <w:highlight w:val="none"/>
                      <w:u w:val="none" w:color="auto"/>
                      <w:lang w:val="en-US" w:eastAsia="zh-CN"/>
                    </w:rPr>
                    <w:t>°E</w:t>
                  </w:r>
                  <w:r>
                    <w:rPr>
                      <w:rFonts w:hint="default" w:ascii="Times New Roman" w:hAnsi="Times New Roman" w:cs="Times New Roman"/>
                      <w:sz w:val="21"/>
                      <w:szCs w:val="21"/>
                      <w:highlight w:val="none"/>
                      <w:u w:val="none" w:color="auto"/>
                      <w:lang w:eastAsia="zh-CN"/>
                    </w:rPr>
                    <w:t>，</w:t>
                  </w:r>
                  <w:r>
                    <w:rPr>
                      <w:rFonts w:hint="default" w:ascii="Times New Roman" w:hAnsi="Times New Roman" w:cs="Times New Roman"/>
                      <w:sz w:val="21"/>
                      <w:szCs w:val="21"/>
                      <w:highlight w:val="none"/>
                      <w:u w:val="none" w:color="auto"/>
                    </w:rPr>
                    <w:t>27.649143457</w:t>
                  </w:r>
                  <w:r>
                    <w:rPr>
                      <w:rFonts w:hint="default" w:ascii="Times New Roman" w:hAnsi="Times New Roman" w:cs="Times New Roman"/>
                      <w:sz w:val="21"/>
                      <w:szCs w:val="21"/>
                      <w:highlight w:val="none"/>
                      <w:u w:val="none" w:color="auto"/>
                      <w:lang w:val="en-US" w:eastAsia="zh-CN"/>
                    </w:rPr>
                    <w:t>°N</w:t>
                  </w:r>
                </w:p>
              </w:tc>
            </w:tr>
          </w:tbl>
          <w:p w14:paraId="585102DC">
            <w:pPr>
              <w:rPr>
                <w:b/>
                <w:bCs/>
                <w:color w:val="000000" w:themeColor="text1"/>
                <w:u w:val="none" w:color="auto"/>
                <w14:textFill>
                  <w14:solidFill>
                    <w14:schemeClr w14:val="tx1"/>
                  </w14:solidFill>
                </w14:textFill>
              </w:rPr>
            </w:pPr>
          </w:p>
        </w:tc>
      </w:tr>
    </w:tbl>
    <w:p w14:paraId="3BB29897">
      <w:pPr>
        <w:rPr>
          <w:color w:val="000000" w:themeColor="text1"/>
          <w:u w:val="none" w:color="auto"/>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3"/>
        <w:tblW w:w="0" w:type="auto"/>
        <w:tblInd w:w="-12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58"/>
        <w:gridCol w:w="8522"/>
      </w:tblGrid>
      <w:tr w14:paraId="37C6AB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991" w:hRule="atLeast"/>
        </w:trPr>
        <w:tc>
          <w:tcPr>
            <w:tcW w:w="670" w:type="dxa"/>
            <w:tcBorders>
              <w:tl2br w:val="nil"/>
              <w:tr2bl w:val="nil"/>
            </w:tcBorders>
            <w:noWrap w:val="0"/>
            <w:vAlign w:val="center"/>
          </w:tcPr>
          <w:p w14:paraId="609D87B1">
            <w:pPr>
              <w:jc w:val="center"/>
              <w:rPr>
                <w:rFonts w:hint="eastAsia"/>
                <w:color w:val="000000" w:themeColor="text1"/>
                <w:u w:val="none" w:color="auto"/>
                <w14:textFill>
                  <w14:solidFill>
                    <w14:schemeClr w14:val="tx1"/>
                  </w14:solidFill>
                </w14:textFill>
              </w:rPr>
            </w:pPr>
            <w:r>
              <w:rPr>
                <w:bCs/>
                <w:color w:val="000000" w:themeColor="text1"/>
                <w:szCs w:val="21"/>
                <w:u w:val="none" w:color="auto"/>
                <w14:textFill>
                  <w14:solidFill>
                    <w14:schemeClr w14:val="tx1"/>
                  </w14:solidFill>
                </w14:textFill>
              </w:rPr>
              <w:t>营运期环境影响和保护措施</w:t>
            </w:r>
          </w:p>
        </w:tc>
        <w:tc>
          <w:tcPr>
            <w:tcW w:w="8194" w:type="dxa"/>
            <w:tcBorders>
              <w:tl2br w:val="nil"/>
              <w:tr2bl w:val="nil"/>
            </w:tcBorders>
            <w:noWrap w:val="0"/>
            <w:vAlign w:val="top"/>
          </w:tcPr>
          <w:p w14:paraId="727B0E47">
            <w:pPr>
              <w:pStyle w:val="40"/>
              <w:bidi w:val="0"/>
              <w:rPr>
                <w:b/>
                <w:bCs/>
                <w:u w:val="none" w:color="auto"/>
              </w:rPr>
            </w:pPr>
            <w:r>
              <w:rPr>
                <w:b/>
                <w:bCs/>
                <w:u w:val="none" w:color="auto"/>
              </w:rPr>
              <w:t>2、噪声治理措施</w:t>
            </w:r>
          </w:p>
          <w:p w14:paraId="3B9318AD">
            <w:pPr>
              <w:pStyle w:val="40"/>
              <w:bidi w:val="0"/>
              <w:rPr>
                <w:u w:val="none" w:color="auto"/>
              </w:rPr>
            </w:pPr>
            <w:r>
              <w:rPr>
                <w:rFonts w:hint="eastAsia"/>
                <w:u w:val="none" w:color="auto"/>
                <w:lang w:eastAsia="zh-CN"/>
              </w:rPr>
              <w:t>（</w:t>
            </w:r>
            <w:r>
              <w:rPr>
                <w:rFonts w:hint="eastAsia"/>
                <w:u w:val="none" w:color="auto"/>
                <w:lang w:val="en-US" w:eastAsia="zh-CN"/>
              </w:rPr>
              <w:t>1</w:t>
            </w:r>
            <w:r>
              <w:rPr>
                <w:rFonts w:hint="eastAsia"/>
                <w:u w:val="none" w:color="auto"/>
                <w:lang w:eastAsia="zh-CN"/>
              </w:rPr>
              <w:t>）</w:t>
            </w:r>
            <w:r>
              <w:rPr>
                <w:u w:val="none" w:color="auto"/>
              </w:rPr>
              <w:t>采用先进的低噪声设备，并加强防振、消声措施</w:t>
            </w:r>
            <w:r>
              <w:rPr>
                <w:rFonts w:hint="eastAsia"/>
                <w:u w:val="none" w:color="auto"/>
                <w:lang w:eastAsia="zh-CN"/>
              </w:rPr>
              <w:t>，</w:t>
            </w:r>
            <w:r>
              <w:rPr>
                <w:u w:val="none" w:color="auto"/>
              </w:rPr>
              <w:t>在设备选型方面，在满足工艺生产的前提下，选用精度高、装配质量好、噪声低的设备；对于某些设备运行时由振动产生的噪声，对设备基础进行隔振、减振，以此减少噪声。</w:t>
            </w:r>
          </w:p>
          <w:p w14:paraId="0DB705A0">
            <w:pPr>
              <w:pStyle w:val="40"/>
              <w:bidi w:val="0"/>
              <w:rPr>
                <w:u w:val="none" w:color="auto"/>
              </w:rPr>
            </w:pPr>
            <w:r>
              <w:rPr>
                <w:rFonts w:hint="eastAsia"/>
                <w:u w:val="none" w:color="auto"/>
                <w:lang w:eastAsia="zh-CN"/>
              </w:rPr>
              <w:t>（</w:t>
            </w:r>
            <w:r>
              <w:rPr>
                <w:rFonts w:hint="eastAsia"/>
                <w:u w:val="none" w:color="auto"/>
                <w:lang w:val="en-US" w:eastAsia="zh-CN"/>
              </w:rPr>
              <w:t>2</w:t>
            </w:r>
            <w:r>
              <w:rPr>
                <w:rFonts w:hint="eastAsia"/>
                <w:u w:val="none" w:color="auto"/>
                <w:lang w:eastAsia="zh-CN"/>
              </w:rPr>
              <w:t>）</w:t>
            </w:r>
            <w:r>
              <w:rPr>
                <w:u w:val="none" w:color="auto"/>
              </w:rPr>
              <w:t>对噪声设备进行合理布局，重视总平面布置</w:t>
            </w:r>
            <w:r>
              <w:rPr>
                <w:rFonts w:hint="eastAsia"/>
                <w:u w:val="none" w:color="auto"/>
                <w:lang w:eastAsia="zh-CN"/>
              </w:rPr>
              <w:t>，</w:t>
            </w:r>
            <w:r>
              <w:rPr>
                <w:u w:val="none" w:color="auto"/>
              </w:rPr>
              <w:t>尽量将高噪声设备布置在厂房中间。远离厂界的同时选择距离项目附近敏感点最远的位置；对有强噪声的车间，考虑利用建筑物、构筑物来阻隔声波的传播，减少对周围环境的影响。</w:t>
            </w:r>
          </w:p>
          <w:p w14:paraId="2C25CF25">
            <w:pPr>
              <w:pStyle w:val="40"/>
              <w:bidi w:val="0"/>
              <w:rPr>
                <w:u w:val="none" w:color="auto"/>
              </w:rPr>
            </w:pPr>
            <w:r>
              <w:rPr>
                <w:rFonts w:hint="eastAsia"/>
                <w:u w:val="none" w:color="auto"/>
                <w:lang w:eastAsia="zh-CN"/>
              </w:rPr>
              <w:t>（</w:t>
            </w:r>
            <w:r>
              <w:rPr>
                <w:rFonts w:hint="eastAsia"/>
                <w:u w:val="none" w:color="auto"/>
                <w:lang w:val="en-US" w:eastAsia="zh-CN"/>
              </w:rPr>
              <w:t>3</w:t>
            </w:r>
            <w:r>
              <w:rPr>
                <w:rFonts w:hint="eastAsia"/>
                <w:u w:val="none" w:color="auto"/>
                <w:lang w:eastAsia="zh-CN"/>
              </w:rPr>
              <w:t>）</w:t>
            </w:r>
            <w:r>
              <w:rPr>
                <w:u w:val="none" w:color="auto"/>
              </w:rPr>
              <w:t>加强管理，建立设备定期维护、保养的管理制度，以防止设备故障形成的非生产噪声，同时确保环保措施发挥最有效的功能。</w:t>
            </w:r>
          </w:p>
          <w:p w14:paraId="517E0822">
            <w:pPr>
              <w:pStyle w:val="40"/>
              <w:bidi w:val="0"/>
              <w:rPr>
                <w:b/>
                <w:bCs/>
                <w:u w:val="none" w:color="auto"/>
              </w:rPr>
            </w:pPr>
            <w:r>
              <w:rPr>
                <w:b/>
                <w:bCs/>
                <w:u w:val="none" w:color="auto"/>
              </w:rPr>
              <w:t>3、噪声预测</w:t>
            </w:r>
          </w:p>
          <w:p w14:paraId="74DF5AC0">
            <w:pPr>
              <w:pStyle w:val="40"/>
              <w:bidi w:val="0"/>
              <w:rPr>
                <w:u w:val="none" w:color="auto"/>
              </w:rPr>
            </w:pPr>
            <w:r>
              <w:rPr>
                <w:u w:val="none" w:color="auto"/>
              </w:rPr>
              <w:t>（1）预测模式</w:t>
            </w:r>
          </w:p>
          <w:p w14:paraId="021137D2">
            <w:pPr>
              <w:pStyle w:val="40"/>
              <w:bidi w:val="0"/>
              <w:rPr>
                <w:rFonts w:hint="eastAsia"/>
                <w:u w:val="none" w:color="auto"/>
                <w:lang w:val="en-US" w:eastAsia="zh-CN"/>
              </w:rPr>
            </w:pPr>
            <w:r>
              <w:rPr>
                <w:rFonts w:hint="eastAsia"/>
                <w:u w:val="none" w:color="auto"/>
                <w:lang w:val="en-US" w:eastAsia="zh-CN"/>
              </w:rPr>
              <w:t>结合项目噪声源的特征及排放特点，根据《环境影响评价技术导则 声环境》（</w:t>
            </w:r>
            <w:r>
              <w:rPr>
                <w:rFonts w:hint="default"/>
                <w:u w:val="none" w:color="auto"/>
                <w:lang w:val="en-US" w:eastAsia="zh-CN"/>
              </w:rPr>
              <w:t>HJ2.4-2021</w:t>
            </w:r>
            <w:r>
              <w:rPr>
                <w:rFonts w:hint="eastAsia"/>
                <w:u w:val="none" w:color="auto"/>
                <w:lang w:val="en-US" w:eastAsia="zh-CN"/>
              </w:rPr>
              <w:t>）推荐的工业噪声预测计算模式，本项目声源在室内和室外均有分布，室内声源可采用等效室外声源声功率级法进行计算。</w:t>
            </w:r>
          </w:p>
          <w:p w14:paraId="184BB59E">
            <w:pPr>
              <w:pStyle w:val="40"/>
              <w:bidi w:val="0"/>
              <w:rPr>
                <w:u w:val="none" w:color="auto"/>
              </w:rPr>
            </w:pPr>
            <w:r>
              <w:rPr>
                <w:rFonts w:hint="eastAsia"/>
                <w:u w:val="none" w:color="auto"/>
                <w:lang w:val="en-US" w:eastAsia="zh-CN"/>
              </w:rPr>
              <w:t>①对室外噪声源主要考虑噪声的几何发散衰减及环境因素衰减：</w:t>
            </w:r>
          </w:p>
          <w:p w14:paraId="44B7EACE">
            <w:pPr>
              <w:ind w:firstLine="48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114300" distR="114300">
                  <wp:extent cx="2738120" cy="384175"/>
                  <wp:effectExtent l="0" t="0" r="5080" b="15875"/>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29"/>
                          <a:stretch>
                            <a:fillRect/>
                          </a:stretch>
                        </pic:blipFill>
                        <pic:spPr>
                          <a:xfrm>
                            <a:off x="0" y="0"/>
                            <a:ext cx="2738120" cy="384175"/>
                          </a:xfrm>
                          <a:prstGeom prst="rect">
                            <a:avLst/>
                          </a:prstGeom>
                          <a:noFill/>
                          <a:ln>
                            <a:noFill/>
                          </a:ln>
                        </pic:spPr>
                      </pic:pic>
                    </a:graphicData>
                  </a:graphic>
                </wp:inline>
              </w:drawing>
            </w:r>
          </w:p>
          <w:p w14:paraId="590DD2B2">
            <w:pPr>
              <w:pStyle w:val="40"/>
              <w:bidi w:val="0"/>
              <w:rPr>
                <w:rFonts w:hint="eastAsia"/>
                <w:u w:val="none" w:color="auto"/>
                <w:lang w:val="en-US" w:eastAsia="zh-CN"/>
              </w:rPr>
            </w:pPr>
            <w:r>
              <w:rPr>
                <w:rFonts w:hint="eastAsia"/>
                <w:u w:val="none" w:color="auto"/>
                <w:lang w:val="en-US" w:eastAsia="zh-CN"/>
              </w:rPr>
              <w:t>式中：</w:t>
            </w:r>
            <w:r>
              <w:rPr>
                <w:rFonts w:hint="default"/>
                <w:u w:val="none" w:color="auto"/>
                <w:lang w:val="en-US" w:eastAsia="zh-CN"/>
              </w:rPr>
              <w:t>Lp</w:t>
            </w:r>
            <w:r>
              <w:rPr>
                <w:rFonts w:hint="eastAsia"/>
                <w:u w:val="none" w:color="auto"/>
                <w:lang w:val="en-US" w:eastAsia="zh-CN"/>
              </w:rPr>
              <w:t>（</w:t>
            </w:r>
            <w:r>
              <w:rPr>
                <w:rFonts w:hint="default"/>
                <w:u w:val="none" w:color="auto"/>
                <w:lang w:val="en-US" w:eastAsia="zh-CN"/>
              </w:rPr>
              <w:t>r</w:t>
            </w:r>
            <w:r>
              <w:rPr>
                <w:rFonts w:hint="eastAsia"/>
                <w:u w:val="none" w:color="auto"/>
                <w:lang w:val="en-US" w:eastAsia="zh-CN"/>
              </w:rPr>
              <w:t>）</w:t>
            </w:r>
            <w:r>
              <w:rPr>
                <w:rFonts w:hint="default"/>
                <w:u w:val="none" w:color="auto"/>
                <w:lang w:val="en-US" w:eastAsia="zh-CN"/>
              </w:rPr>
              <w:t>——</w:t>
            </w:r>
            <w:r>
              <w:rPr>
                <w:rFonts w:hint="eastAsia"/>
                <w:u w:val="none" w:color="auto"/>
                <w:lang w:val="en-US" w:eastAsia="zh-CN"/>
              </w:rPr>
              <w:t>点声源在预测点产生的声压级，</w:t>
            </w:r>
            <w:r>
              <w:rPr>
                <w:rFonts w:hint="default"/>
                <w:u w:val="none" w:color="auto"/>
                <w:lang w:val="en-US" w:eastAsia="zh-CN"/>
              </w:rPr>
              <w:t>dB</w:t>
            </w:r>
            <w:r>
              <w:rPr>
                <w:rFonts w:hint="eastAsia"/>
                <w:u w:val="none" w:color="auto"/>
                <w:lang w:val="en-US" w:eastAsia="zh-CN"/>
              </w:rPr>
              <w:t>（</w:t>
            </w:r>
            <w:r>
              <w:rPr>
                <w:rFonts w:hint="default"/>
                <w:u w:val="none" w:color="auto"/>
                <w:lang w:val="en-US" w:eastAsia="zh-CN"/>
              </w:rPr>
              <w:t>A</w:t>
            </w:r>
            <w:r>
              <w:rPr>
                <w:rFonts w:hint="eastAsia"/>
                <w:u w:val="none" w:color="auto"/>
                <w:lang w:val="en-US" w:eastAsia="zh-CN"/>
              </w:rPr>
              <w:t>）；</w:t>
            </w:r>
          </w:p>
          <w:p w14:paraId="55B41C8C">
            <w:pPr>
              <w:pStyle w:val="40"/>
              <w:bidi w:val="0"/>
              <w:ind w:firstLine="1200" w:firstLineChars="500"/>
              <w:rPr>
                <w:rFonts w:hint="eastAsia"/>
                <w:u w:val="none" w:color="auto"/>
                <w:lang w:val="en-US" w:eastAsia="zh-CN"/>
              </w:rPr>
            </w:pPr>
            <w:r>
              <w:rPr>
                <w:rFonts w:hint="default"/>
                <w:u w:val="none" w:color="auto"/>
                <w:lang w:val="en-US" w:eastAsia="zh-CN"/>
              </w:rPr>
              <w:t>Lp</w:t>
            </w:r>
            <w:r>
              <w:rPr>
                <w:rFonts w:hint="eastAsia"/>
                <w:u w:val="none" w:color="auto"/>
                <w:lang w:val="en-US" w:eastAsia="zh-CN"/>
              </w:rPr>
              <w:t>（</w:t>
            </w:r>
            <w:r>
              <w:rPr>
                <w:rFonts w:hint="default"/>
                <w:u w:val="none" w:color="auto"/>
                <w:lang w:val="en-US" w:eastAsia="zh-CN"/>
              </w:rPr>
              <w:t>r0</w:t>
            </w:r>
            <w:r>
              <w:rPr>
                <w:rFonts w:hint="eastAsia"/>
                <w:u w:val="none" w:color="auto"/>
                <w:lang w:val="en-US" w:eastAsia="zh-CN"/>
              </w:rPr>
              <w:t>）</w:t>
            </w:r>
            <w:r>
              <w:rPr>
                <w:rFonts w:hint="default"/>
                <w:u w:val="none" w:color="auto"/>
                <w:lang w:val="en-US" w:eastAsia="zh-CN"/>
              </w:rPr>
              <w:t>——</w:t>
            </w:r>
            <w:r>
              <w:rPr>
                <w:rFonts w:hint="eastAsia"/>
                <w:u w:val="none" w:color="auto"/>
                <w:lang w:val="en-US" w:eastAsia="zh-CN"/>
              </w:rPr>
              <w:t xml:space="preserve">点声源在参考点 </w:t>
            </w:r>
            <w:r>
              <w:rPr>
                <w:rFonts w:hint="default"/>
                <w:u w:val="none" w:color="auto"/>
                <w:lang w:val="en-US" w:eastAsia="zh-CN"/>
              </w:rPr>
              <w:t xml:space="preserve">r0 </w:t>
            </w:r>
            <w:r>
              <w:rPr>
                <w:rFonts w:hint="eastAsia"/>
                <w:u w:val="none" w:color="auto"/>
                <w:lang w:val="en-US" w:eastAsia="zh-CN"/>
              </w:rPr>
              <w:t>产生的声压级，</w:t>
            </w:r>
            <w:r>
              <w:rPr>
                <w:rFonts w:hint="default"/>
                <w:u w:val="none" w:color="auto"/>
                <w:lang w:val="en-US" w:eastAsia="zh-CN"/>
              </w:rPr>
              <w:t>dB</w:t>
            </w:r>
            <w:r>
              <w:rPr>
                <w:rFonts w:hint="eastAsia"/>
                <w:u w:val="none" w:color="auto"/>
                <w:lang w:val="en-US" w:eastAsia="zh-CN"/>
              </w:rPr>
              <w:t>（</w:t>
            </w:r>
            <w:r>
              <w:rPr>
                <w:rFonts w:hint="default"/>
                <w:u w:val="none" w:color="auto"/>
                <w:lang w:val="en-US" w:eastAsia="zh-CN"/>
              </w:rPr>
              <w:t>A</w:t>
            </w:r>
            <w:r>
              <w:rPr>
                <w:rFonts w:hint="eastAsia"/>
                <w:u w:val="none" w:color="auto"/>
                <w:lang w:val="en-US" w:eastAsia="zh-CN"/>
              </w:rPr>
              <w:t>）；</w:t>
            </w:r>
          </w:p>
          <w:p w14:paraId="26D08DB1">
            <w:pPr>
              <w:pStyle w:val="40"/>
              <w:bidi w:val="0"/>
              <w:ind w:firstLine="1200" w:firstLineChars="500"/>
              <w:rPr>
                <w:rFonts w:hint="eastAsia"/>
                <w:u w:val="none" w:color="auto"/>
                <w:lang w:val="en-US" w:eastAsia="zh-CN"/>
              </w:rPr>
            </w:pPr>
            <w:r>
              <w:rPr>
                <w:rFonts w:hint="default"/>
                <w:u w:val="none" w:color="auto"/>
                <w:lang w:val="en-US" w:eastAsia="zh-CN"/>
              </w:rPr>
              <w:t>r——</w:t>
            </w:r>
            <w:r>
              <w:rPr>
                <w:rFonts w:hint="eastAsia"/>
                <w:u w:val="none" w:color="auto"/>
                <w:lang w:val="en-US" w:eastAsia="zh-CN"/>
              </w:rPr>
              <w:t>预测点距声源的距离，</w:t>
            </w:r>
            <w:r>
              <w:rPr>
                <w:rFonts w:hint="default"/>
                <w:u w:val="none" w:color="auto"/>
                <w:lang w:val="en-US" w:eastAsia="zh-CN"/>
              </w:rPr>
              <w:t>m</w:t>
            </w:r>
            <w:r>
              <w:rPr>
                <w:rFonts w:hint="eastAsia"/>
                <w:u w:val="none" w:color="auto"/>
                <w:lang w:val="en-US" w:eastAsia="zh-CN"/>
              </w:rPr>
              <w:t>；</w:t>
            </w:r>
          </w:p>
          <w:p w14:paraId="486B0770">
            <w:pPr>
              <w:pStyle w:val="40"/>
              <w:bidi w:val="0"/>
              <w:ind w:firstLine="1200" w:firstLineChars="500"/>
              <w:rPr>
                <w:rFonts w:hint="eastAsia"/>
                <w:u w:val="none" w:color="auto"/>
                <w:lang w:val="en-US" w:eastAsia="zh-CN"/>
              </w:rPr>
            </w:pPr>
            <w:r>
              <w:rPr>
                <w:rFonts w:hint="default"/>
                <w:u w:val="none" w:color="auto"/>
                <w:lang w:val="en-US" w:eastAsia="zh-CN"/>
              </w:rPr>
              <w:t>r0——</w:t>
            </w:r>
            <w:r>
              <w:rPr>
                <w:rFonts w:hint="eastAsia"/>
                <w:u w:val="none" w:color="auto"/>
                <w:lang w:val="en-US" w:eastAsia="zh-CN"/>
              </w:rPr>
              <w:t>参考位置距声源的距离，</w:t>
            </w:r>
            <w:r>
              <w:rPr>
                <w:rFonts w:hint="default"/>
                <w:u w:val="none" w:color="auto"/>
                <w:lang w:val="en-US" w:eastAsia="zh-CN"/>
              </w:rPr>
              <w:t>m</w:t>
            </w:r>
            <w:r>
              <w:rPr>
                <w:rFonts w:hint="eastAsia"/>
                <w:u w:val="none" w:color="auto"/>
                <w:lang w:val="en-US" w:eastAsia="zh-CN"/>
              </w:rPr>
              <w:t>；</w:t>
            </w:r>
          </w:p>
          <w:p w14:paraId="4AC9618F">
            <w:pPr>
              <w:pStyle w:val="40"/>
              <w:bidi w:val="0"/>
              <w:ind w:firstLine="1200" w:firstLineChars="500"/>
              <w:rPr>
                <w:rFonts w:hint="eastAsia"/>
                <w:u w:val="none" w:color="auto"/>
                <w:lang w:val="en-US" w:eastAsia="zh-CN"/>
              </w:rPr>
            </w:pPr>
            <w:r>
              <w:rPr>
                <w:rFonts w:hint="default"/>
                <w:u w:val="none" w:color="auto"/>
                <w:lang w:val="en-US" w:eastAsia="zh-CN"/>
              </w:rPr>
              <w:t>ΔL——</w:t>
            </w:r>
            <w:r>
              <w:rPr>
                <w:rFonts w:hint="eastAsia"/>
                <w:u w:val="none" w:color="auto"/>
                <w:lang w:val="en-US" w:eastAsia="zh-CN"/>
              </w:rPr>
              <w:t>各种因素引起的衰减量（包括声屏障、空气吸收等引起的衰减量），</w:t>
            </w:r>
            <w:r>
              <w:rPr>
                <w:rFonts w:hint="default"/>
                <w:u w:val="none" w:color="auto"/>
                <w:lang w:val="en-US" w:eastAsia="zh-CN"/>
              </w:rPr>
              <w:t>dB</w:t>
            </w:r>
            <w:r>
              <w:rPr>
                <w:rFonts w:hint="eastAsia"/>
                <w:u w:val="none" w:color="auto"/>
                <w:lang w:val="en-US" w:eastAsia="zh-CN"/>
              </w:rPr>
              <w:t>（</w:t>
            </w:r>
            <w:r>
              <w:rPr>
                <w:rFonts w:hint="default"/>
                <w:u w:val="none" w:color="auto"/>
                <w:lang w:val="en-US" w:eastAsia="zh-CN"/>
              </w:rPr>
              <w:t>A</w:t>
            </w:r>
            <w:r>
              <w:rPr>
                <w:rFonts w:hint="eastAsia"/>
                <w:u w:val="none" w:color="auto"/>
                <w:lang w:val="en-US" w:eastAsia="zh-CN"/>
              </w:rPr>
              <w:t>）。</w:t>
            </w:r>
          </w:p>
          <w:p w14:paraId="5E4B52F3">
            <w:pPr>
              <w:pStyle w:val="40"/>
              <w:bidi w:val="0"/>
              <w:rPr>
                <w:rFonts w:hint="eastAsia"/>
                <w:u w:val="none" w:color="auto"/>
                <w:lang w:val="en-US" w:eastAsia="zh-CN"/>
              </w:rPr>
            </w:pPr>
            <w:r>
              <w:rPr>
                <w:rFonts w:hint="eastAsia"/>
                <w:u w:val="none" w:color="auto"/>
                <w:lang w:val="en-US" w:eastAsia="zh-CN"/>
              </w:rPr>
              <w:t>②对室内噪声源采用室内声源噪声模式并换算成等效的室外声源：</w:t>
            </w:r>
          </w:p>
          <w:p w14:paraId="64B1E422">
            <w:pPr>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114300" distR="114300">
                  <wp:extent cx="2877185" cy="593725"/>
                  <wp:effectExtent l="0" t="0" r="18415" b="15875"/>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30"/>
                          <a:stretch>
                            <a:fillRect/>
                          </a:stretch>
                        </pic:blipFill>
                        <pic:spPr>
                          <a:xfrm>
                            <a:off x="0" y="0"/>
                            <a:ext cx="2877185" cy="593725"/>
                          </a:xfrm>
                          <a:prstGeom prst="rect">
                            <a:avLst/>
                          </a:prstGeom>
                          <a:noFill/>
                          <a:ln>
                            <a:noFill/>
                          </a:ln>
                        </pic:spPr>
                      </pic:pic>
                    </a:graphicData>
                  </a:graphic>
                </wp:inline>
              </w:drawing>
            </w:r>
          </w:p>
          <w:p w14:paraId="456BFE55">
            <w:pPr>
              <w:pStyle w:val="40"/>
              <w:bidi w:val="0"/>
              <w:rPr>
                <w:rFonts w:hint="eastAsia"/>
                <w:u w:val="none" w:color="auto"/>
                <w:lang w:val="en-US" w:eastAsia="zh-CN"/>
              </w:rPr>
            </w:pPr>
            <w:r>
              <w:rPr>
                <w:rFonts w:hint="eastAsia"/>
                <w:u w:val="none" w:color="auto"/>
                <w:lang w:val="en-US" w:eastAsia="zh-CN"/>
              </w:rPr>
              <w:t>式中：</w:t>
            </w:r>
            <w:r>
              <w:rPr>
                <w:rFonts w:hint="default"/>
                <w:u w:val="none" w:color="auto"/>
                <w:lang w:val="en-US" w:eastAsia="zh-CN"/>
              </w:rPr>
              <w:t>Lp1—</w:t>
            </w:r>
            <w:r>
              <w:rPr>
                <w:rFonts w:hint="eastAsia"/>
                <w:u w:val="none" w:color="auto"/>
                <w:lang w:val="en-US" w:eastAsia="zh-CN"/>
              </w:rPr>
              <w:t>靠近开口处（或窗户）室内某倍频带的声压级或</w:t>
            </w:r>
            <w:r>
              <w:rPr>
                <w:rFonts w:hint="default"/>
                <w:u w:val="none" w:color="auto"/>
                <w:lang w:val="en-US" w:eastAsia="zh-CN"/>
              </w:rPr>
              <w:t>A</w:t>
            </w:r>
            <w:r>
              <w:rPr>
                <w:rFonts w:hint="eastAsia"/>
                <w:u w:val="none" w:color="auto"/>
                <w:lang w:val="en-US" w:eastAsia="zh-CN"/>
              </w:rPr>
              <w:t>声级，</w:t>
            </w:r>
            <w:r>
              <w:rPr>
                <w:rFonts w:hint="default"/>
                <w:u w:val="none" w:color="auto"/>
                <w:lang w:val="en-US" w:eastAsia="zh-CN"/>
              </w:rPr>
              <w:t>dB</w:t>
            </w:r>
            <w:r>
              <w:rPr>
                <w:rFonts w:hint="eastAsia"/>
                <w:u w:val="none" w:color="auto"/>
                <w:lang w:val="en-US" w:eastAsia="zh-CN"/>
              </w:rPr>
              <w:t>；</w:t>
            </w:r>
          </w:p>
          <w:p w14:paraId="3FA3C377">
            <w:pPr>
              <w:pStyle w:val="40"/>
              <w:bidi w:val="0"/>
              <w:ind w:firstLine="1200" w:firstLineChars="500"/>
              <w:rPr>
                <w:rFonts w:hint="eastAsia"/>
                <w:u w:val="none" w:color="auto"/>
                <w:lang w:val="en-US" w:eastAsia="zh-CN"/>
              </w:rPr>
            </w:pPr>
            <w:r>
              <w:rPr>
                <w:rFonts w:hint="default"/>
                <w:u w:val="none" w:color="auto"/>
                <w:lang w:val="en-US" w:eastAsia="zh-CN"/>
              </w:rPr>
              <w:t>LW—</w:t>
            </w:r>
            <w:r>
              <w:rPr>
                <w:rFonts w:hint="eastAsia"/>
                <w:u w:val="none" w:color="auto"/>
                <w:lang w:val="en-US" w:eastAsia="zh-CN"/>
              </w:rPr>
              <w:t>点声源声功率级（</w:t>
            </w:r>
            <w:r>
              <w:rPr>
                <w:rFonts w:hint="default"/>
                <w:u w:val="none" w:color="auto"/>
                <w:lang w:val="en-US" w:eastAsia="zh-CN"/>
              </w:rPr>
              <w:t>A</w:t>
            </w:r>
            <w:r>
              <w:rPr>
                <w:rFonts w:hint="eastAsia"/>
                <w:u w:val="none" w:color="auto"/>
                <w:lang w:val="en-US" w:eastAsia="zh-CN"/>
              </w:rPr>
              <w:t>计权或倍频带），</w:t>
            </w:r>
            <w:r>
              <w:rPr>
                <w:rFonts w:hint="default"/>
                <w:u w:val="none" w:color="auto"/>
                <w:lang w:val="en-US" w:eastAsia="zh-CN"/>
              </w:rPr>
              <w:t>dB</w:t>
            </w:r>
            <w:r>
              <w:rPr>
                <w:rFonts w:hint="eastAsia"/>
                <w:u w:val="none" w:color="auto"/>
                <w:lang w:val="en-US" w:eastAsia="zh-CN"/>
              </w:rPr>
              <w:t>；</w:t>
            </w:r>
          </w:p>
          <w:p w14:paraId="61612BEE">
            <w:pPr>
              <w:pStyle w:val="40"/>
              <w:bidi w:val="0"/>
              <w:ind w:firstLine="1200" w:firstLineChars="500"/>
              <w:rPr>
                <w:rFonts w:hint="eastAsia"/>
                <w:u w:val="none" w:color="auto"/>
                <w:lang w:val="en-US" w:eastAsia="zh-CN"/>
              </w:rPr>
            </w:pPr>
            <w:r>
              <w:rPr>
                <w:rFonts w:hint="default"/>
                <w:u w:val="none" w:color="auto"/>
                <w:lang w:val="en-US" w:eastAsia="zh-CN"/>
              </w:rPr>
              <w:t>Lp1i</w:t>
            </w:r>
            <w:r>
              <w:rPr>
                <w:rFonts w:hint="eastAsia"/>
                <w:u w:val="none" w:color="auto"/>
                <w:lang w:val="en-US" w:eastAsia="zh-CN"/>
              </w:rPr>
              <w:t>（</w:t>
            </w:r>
            <w:r>
              <w:rPr>
                <w:rFonts w:hint="default"/>
                <w:u w:val="none" w:color="auto"/>
                <w:lang w:val="en-US" w:eastAsia="zh-CN"/>
              </w:rPr>
              <w:t>T</w:t>
            </w:r>
            <w:r>
              <w:rPr>
                <w:rFonts w:hint="eastAsia"/>
                <w:u w:val="none" w:color="auto"/>
                <w:lang w:val="en-US" w:eastAsia="zh-CN"/>
              </w:rPr>
              <w:t>）</w:t>
            </w:r>
            <w:r>
              <w:rPr>
                <w:rFonts w:hint="default"/>
                <w:u w:val="none" w:color="auto"/>
                <w:lang w:val="en-US" w:eastAsia="zh-CN"/>
              </w:rPr>
              <w:t>—</w:t>
            </w:r>
            <w:r>
              <w:rPr>
                <w:rFonts w:hint="eastAsia"/>
                <w:u w:val="none" w:color="auto"/>
                <w:lang w:val="en-US" w:eastAsia="zh-CN"/>
              </w:rPr>
              <w:t>靠近围护结构处室内</w:t>
            </w:r>
            <w:r>
              <w:rPr>
                <w:rFonts w:hint="default"/>
                <w:u w:val="none" w:color="auto"/>
                <w:lang w:val="en-US" w:eastAsia="zh-CN"/>
              </w:rPr>
              <w:t>N</w:t>
            </w:r>
            <w:r>
              <w:rPr>
                <w:rFonts w:hint="eastAsia"/>
                <w:u w:val="none" w:color="auto"/>
                <w:lang w:val="en-US" w:eastAsia="zh-CN"/>
              </w:rPr>
              <w:t>个声源</w:t>
            </w:r>
            <w:r>
              <w:rPr>
                <w:rFonts w:hint="default"/>
                <w:u w:val="none" w:color="auto"/>
                <w:lang w:val="en-US" w:eastAsia="zh-CN"/>
              </w:rPr>
              <w:t>i</w:t>
            </w:r>
            <w:r>
              <w:rPr>
                <w:rFonts w:hint="eastAsia"/>
                <w:u w:val="none" w:color="auto"/>
                <w:lang w:val="en-US" w:eastAsia="zh-CN"/>
              </w:rPr>
              <w:t>倍频带的叠加声压级，</w:t>
            </w:r>
            <w:r>
              <w:rPr>
                <w:rFonts w:hint="default"/>
                <w:u w:val="none" w:color="auto"/>
                <w:lang w:val="en-US" w:eastAsia="zh-CN"/>
              </w:rPr>
              <w:t>dB</w:t>
            </w:r>
            <w:r>
              <w:rPr>
                <w:rFonts w:hint="eastAsia"/>
                <w:u w:val="none" w:color="auto"/>
                <w:lang w:val="en-US" w:eastAsia="zh-CN"/>
              </w:rPr>
              <w:t>；</w:t>
            </w:r>
          </w:p>
          <w:p w14:paraId="70BB6863">
            <w:pPr>
              <w:pStyle w:val="40"/>
              <w:bidi w:val="0"/>
              <w:ind w:firstLine="1200" w:firstLineChars="500"/>
              <w:rPr>
                <w:rFonts w:hint="eastAsia"/>
                <w:u w:val="none" w:color="auto"/>
                <w:lang w:val="en-US" w:eastAsia="zh-CN"/>
              </w:rPr>
            </w:pPr>
            <w:r>
              <w:rPr>
                <w:rFonts w:hint="default"/>
                <w:u w:val="none" w:color="auto"/>
                <w:lang w:val="en-US" w:eastAsia="zh-CN"/>
              </w:rPr>
              <w:t>r——</w:t>
            </w:r>
            <w:r>
              <w:rPr>
                <w:rFonts w:hint="eastAsia"/>
                <w:u w:val="none" w:color="auto"/>
                <w:lang w:val="en-US" w:eastAsia="zh-CN"/>
              </w:rPr>
              <w:t>声源与室内靠近围护结构处的距离，</w:t>
            </w:r>
            <w:r>
              <w:rPr>
                <w:rFonts w:hint="default"/>
                <w:u w:val="none" w:color="auto"/>
                <w:lang w:val="en-US" w:eastAsia="zh-CN"/>
              </w:rPr>
              <w:t>m</w:t>
            </w:r>
            <w:r>
              <w:rPr>
                <w:rFonts w:hint="eastAsia"/>
                <w:u w:val="none" w:color="auto"/>
                <w:lang w:val="en-US" w:eastAsia="zh-CN"/>
              </w:rPr>
              <w:t>；</w:t>
            </w:r>
          </w:p>
          <w:p w14:paraId="78055D97">
            <w:pPr>
              <w:pStyle w:val="40"/>
              <w:bidi w:val="0"/>
              <w:ind w:firstLine="1200" w:firstLineChars="500"/>
              <w:rPr>
                <w:rFonts w:hint="eastAsia"/>
                <w:u w:val="none" w:color="auto"/>
                <w:lang w:val="en-US" w:eastAsia="zh-CN"/>
              </w:rPr>
            </w:pPr>
            <w:r>
              <w:rPr>
                <w:rFonts w:hint="default"/>
                <w:u w:val="none" w:color="auto"/>
                <w:lang w:val="en-US" w:eastAsia="zh-CN"/>
              </w:rPr>
              <w:t>R——</w:t>
            </w:r>
            <w:r>
              <w:rPr>
                <w:rFonts w:hint="eastAsia"/>
                <w:u w:val="none" w:color="auto"/>
                <w:lang w:val="en-US" w:eastAsia="zh-CN"/>
              </w:rPr>
              <w:t>房间常数，</w:t>
            </w:r>
            <w:r>
              <w:rPr>
                <w:rFonts w:hint="default"/>
                <w:u w:val="none" w:color="auto"/>
                <w:lang w:val="en-US" w:eastAsia="zh-CN"/>
              </w:rPr>
              <w:t>m</w:t>
            </w:r>
            <w:r>
              <w:rPr>
                <w:rFonts w:hint="default"/>
                <w:u w:val="none" w:color="auto"/>
                <w:vertAlign w:val="superscript"/>
                <w:lang w:val="en-US" w:eastAsia="zh-CN"/>
              </w:rPr>
              <w:t>2</w:t>
            </w:r>
            <w:r>
              <w:rPr>
                <w:rFonts w:hint="eastAsia"/>
                <w:u w:val="none" w:color="auto"/>
                <w:lang w:val="en-US" w:eastAsia="zh-CN"/>
              </w:rPr>
              <w:t>；</w:t>
            </w:r>
          </w:p>
          <w:p w14:paraId="710E155A">
            <w:pPr>
              <w:pStyle w:val="40"/>
              <w:bidi w:val="0"/>
              <w:ind w:firstLine="1200" w:firstLineChars="500"/>
              <w:rPr>
                <w:rFonts w:hint="eastAsia"/>
                <w:u w:val="none" w:color="auto"/>
                <w:lang w:val="en-US" w:eastAsia="zh-CN"/>
              </w:rPr>
            </w:pPr>
            <w:r>
              <w:rPr>
                <w:rFonts w:hint="default"/>
                <w:u w:val="none" w:color="auto"/>
                <w:lang w:val="en-US" w:eastAsia="zh-CN"/>
              </w:rPr>
              <w:t>Q——</w:t>
            </w:r>
            <w:r>
              <w:rPr>
                <w:rFonts w:hint="eastAsia"/>
                <w:u w:val="none" w:color="auto"/>
                <w:lang w:val="en-US" w:eastAsia="zh-CN"/>
              </w:rPr>
              <w:t>方向性因子；</w:t>
            </w:r>
          </w:p>
          <w:p w14:paraId="5E85D0FF">
            <w:pPr>
              <w:pStyle w:val="40"/>
              <w:bidi w:val="0"/>
              <w:ind w:firstLine="1200" w:firstLineChars="500"/>
              <w:rPr>
                <w:rFonts w:hint="eastAsia"/>
                <w:u w:val="none" w:color="auto"/>
                <w:lang w:val="en-US" w:eastAsia="zh-CN"/>
              </w:rPr>
            </w:pPr>
            <w:r>
              <w:rPr>
                <w:rFonts w:hint="default"/>
                <w:u w:val="none" w:color="auto"/>
                <w:lang w:val="en-US" w:eastAsia="zh-CN"/>
              </w:rPr>
              <w:t>TLi——</w:t>
            </w:r>
            <w:r>
              <w:rPr>
                <w:rFonts w:hint="eastAsia"/>
                <w:u w:val="none" w:color="auto"/>
                <w:lang w:val="en-US" w:eastAsia="zh-CN"/>
              </w:rPr>
              <w:t>围护结构的传输损失，</w:t>
            </w:r>
            <w:r>
              <w:rPr>
                <w:rFonts w:hint="default"/>
                <w:u w:val="none" w:color="auto"/>
                <w:lang w:val="en-US" w:eastAsia="zh-CN"/>
              </w:rPr>
              <w:t>dB</w:t>
            </w:r>
            <w:r>
              <w:rPr>
                <w:rFonts w:hint="eastAsia"/>
                <w:u w:val="none" w:color="auto"/>
                <w:lang w:val="en-US" w:eastAsia="zh-CN"/>
              </w:rPr>
              <w:t>；</w:t>
            </w:r>
          </w:p>
          <w:p w14:paraId="1175B0D6">
            <w:pPr>
              <w:pStyle w:val="40"/>
              <w:bidi w:val="0"/>
              <w:ind w:firstLine="1200" w:firstLineChars="500"/>
              <w:rPr>
                <w:rFonts w:hint="eastAsia"/>
                <w:u w:val="none" w:color="auto"/>
                <w:lang w:val="en-US" w:eastAsia="zh-CN"/>
              </w:rPr>
            </w:pPr>
            <w:r>
              <w:rPr>
                <w:rFonts w:hint="default"/>
                <w:u w:val="none" w:color="auto"/>
                <w:lang w:val="en-US" w:eastAsia="zh-CN"/>
              </w:rPr>
              <w:t>S——</w:t>
            </w:r>
            <w:r>
              <w:rPr>
                <w:rFonts w:hint="eastAsia"/>
                <w:u w:val="none" w:color="auto"/>
                <w:lang w:val="en-US" w:eastAsia="zh-CN"/>
              </w:rPr>
              <w:t>透声面积，</w:t>
            </w:r>
            <w:r>
              <w:rPr>
                <w:rFonts w:hint="default"/>
                <w:u w:val="none" w:color="auto"/>
                <w:lang w:val="en-US" w:eastAsia="zh-CN"/>
              </w:rPr>
              <w:t>m</w:t>
            </w:r>
            <w:r>
              <w:rPr>
                <w:rFonts w:hint="default"/>
                <w:u w:val="none" w:color="auto"/>
                <w:vertAlign w:val="superscript"/>
                <w:lang w:val="en-US" w:eastAsia="zh-CN"/>
              </w:rPr>
              <w:t>2</w:t>
            </w:r>
            <w:r>
              <w:rPr>
                <w:rFonts w:hint="eastAsia"/>
                <w:u w:val="none" w:color="auto"/>
                <w:lang w:val="en-US" w:eastAsia="zh-CN"/>
              </w:rPr>
              <w:t>。</w:t>
            </w:r>
          </w:p>
          <w:p w14:paraId="456F3FE7">
            <w:pPr>
              <w:pStyle w:val="40"/>
              <w:bidi w:val="0"/>
              <w:rPr>
                <w:rFonts w:hint="eastAsia"/>
                <w:u w:val="none" w:color="auto"/>
                <w:lang w:val="en-US" w:eastAsia="zh-CN"/>
              </w:rPr>
            </w:pPr>
            <w:r>
              <w:rPr>
                <w:rFonts w:hint="eastAsia"/>
                <w:u w:val="none" w:color="auto"/>
                <w:lang w:val="en-US" w:eastAsia="zh-CN"/>
              </w:rPr>
              <w:t>③对两个以上多个声源同时存在时，其预测点总声压级采用下面公式：</w:t>
            </w:r>
          </w:p>
          <w:p w14:paraId="3A42BEFA">
            <w:pPr>
              <w:ind w:firstLine="480"/>
              <w:jc w:val="center"/>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114300" distR="114300">
                  <wp:extent cx="2214245" cy="326390"/>
                  <wp:effectExtent l="0" t="0" r="14605" b="16510"/>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31"/>
                          <a:stretch>
                            <a:fillRect/>
                          </a:stretch>
                        </pic:blipFill>
                        <pic:spPr>
                          <a:xfrm>
                            <a:off x="0" y="0"/>
                            <a:ext cx="2214245" cy="326390"/>
                          </a:xfrm>
                          <a:prstGeom prst="rect">
                            <a:avLst/>
                          </a:prstGeom>
                          <a:noFill/>
                          <a:ln>
                            <a:noFill/>
                          </a:ln>
                        </pic:spPr>
                      </pic:pic>
                    </a:graphicData>
                  </a:graphic>
                </wp:inline>
              </w:drawing>
            </w:r>
          </w:p>
          <w:p w14:paraId="3B7DC2EC">
            <w:pPr>
              <w:pStyle w:val="40"/>
              <w:bidi w:val="0"/>
              <w:rPr>
                <w:rFonts w:hint="eastAsia"/>
                <w:u w:val="none" w:color="auto"/>
                <w:lang w:val="en-US" w:eastAsia="zh-CN"/>
              </w:rPr>
            </w:pPr>
            <w:r>
              <w:rPr>
                <w:rFonts w:hint="eastAsia"/>
                <w:u w:val="none" w:color="auto"/>
                <w:lang w:val="en-US" w:eastAsia="zh-CN"/>
              </w:rPr>
              <w:t>式中：</w:t>
            </w:r>
            <w:r>
              <w:rPr>
                <w:rFonts w:hint="default"/>
                <w:u w:val="none" w:color="auto"/>
                <w:lang w:val="en-US" w:eastAsia="zh-CN"/>
              </w:rPr>
              <w:t>Leq—</w:t>
            </w:r>
            <w:r>
              <w:rPr>
                <w:rFonts w:hint="eastAsia"/>
                <w:u w:val="none" w:color="auto"/>
                <w:lang w:val="en-US" w:eastAsia="zh-CN"/>
              </w:rPr>
              <w:t>预测点的总等效声级，</w:t>
            </w:r>
            <w:r>
              <w:rPr>
                <w:rFonts w:hint="default"/>
                <w:u w:val="none" w:color="auto"/>
                <w:lang w:val="en-US" w:eastAsia="zh-CN"/>
              </w:rPr>
              <w:t>dB</w:t>
            </w:r>
            <w:r>
              <w:rPr>
                <w:rFonts w:hint="eastAsia"/>
                <w:u w:val="none" w:color="auto"/>
                <w:lang w:val="en-US" w:eastAsia="zh-CN"/>
              </w:rPr>
              <w:t>（</w:t>
            </w:r>
            <w:r>
              <w:rPr>
                <w:rFonts w:hint="default"/>
                <w:u w:val="none" w:color="auto"/>
                <w:lang w:val="en-US" w:eastAsia="zh-CN"/>
              </w:rPr>
              <w:t>A</w:t>
            </w:r>
            <w:r>
              <w:rPr>
                <w:rFonts w:hint="eastAsia"/>
                <w:u w:val="none" w:color="auto"/>
                <w:lang w:val="en-US" w:eastAsia="zh-CN"/>
              </w:rPr>
              <w:t>）；</w:t>
            </w:r>
          </w:p>
          <w:p w14:paraId="149ABF33">
            <w:pPr>
              <w:pStyle w:val="40"/>
              <w:bidi w:val="0"/>
              <w:ind w:firstLine="1200" w:firstLineChars="500"/>
              <w:rPr>
                <w:rFonts w:hint="eastAsia"/>
                <w:u w:val="none" w:color="auto"/>
                <w:lang w:val="en-US" w:eastAsia="zh-CN"/>
              </w:rPr>
            </w:pPr>
            <w:r>
              <w:rPr>
                <w:rFonts w:hint="default"/>
                <w:u w:val="none" w:color="auto"/>
                <w:lang w:val="en-US" w:eastAsia="zh-CN"/>
              </w:rPr>
              <w:t>Li—</w:t>
            </w:r>
            <w:r>
              <w:rPr>
                <w:rFonts w:hint="eastAsia"/>
                <w:u w:val="none" w:color="auto"/>
                <w:lang w:val="en-US" w:eastAsia="zh-CN"/>
              </w:rPr>
              <w:t>第</w:t>
            </w:r>
            <w:r>
              <w:rPr>
                <w:rFonts w:hint="default"/>
                <w:u w:val="none" w:color="auto"/>
                <w:lang w:val="en-US" w:eastAsia="zh-CN"/>
              </w:rPr>
              <w:t>i</w:t>
            </w:r>
            <w:r>
              <w:rPr>
                <w:rFonts w:hint="eastAsia"/>
                <w:u w:val="none" w:color="auto"/>
                <w:lang w:val="en-US" w:eastAsia="zh-CN"/>
              </w:rPr>
              <w:t>个声源对预测点的声级影响，</w:t>
            </w:r>
            <w:r>
              <w:rPr>
                <w:rFonts w:hint="default"/>
                <w:u w:val="none" w:color="auto"/>
                <w:lang w:val="en-US" w:eastAsia="zh-CN"/>
              </w:rPr>
              <w:t>dB</w:t>
            </w:r>
            <w:r>
              <w:rPr>
                <w:rFonts w:hint="eastAsia"/>
                <w:u w:val="none" w:color="auto"/>
                <w:lang w:val="en-US" w:eastAsia="zh-CN"/>
              </w:rPr>
              <w:t>（</w:t>
            </w:r>
            <w:r>
              <w:rPr>
                <w:rFonts w:hint="default"/>
                <w:u w:val="none" w:color="auto"/>
                <w:lang w:val="en-US" w:eastAsia="zh-CN"/>
              </w:rPr>
              <w:t>A</w:t>
            </w:r>
            <w:r>
              <w:rPr>
                <w:rFonts w:hint="eastAsia"/>
                <w:u w:val="none" w:color="auto"/>
                <w:lang w:val="en-US" w:eastAsia="zh-CN"/>
              </w:rPr>
              <w:t>）。</w:t>
            </w:r>
          </w:p>
          <w:p w14:paraId="34CD84FE">
            <w:pPr>
              <w:pStyle w:val="40"/>
              <w:bidi w:val="0"/>
              <w:rPr>
                <w:u w:val="none" w:color="auto"/>
              </w:rPr>
            </w:pPr>
            <w:r>
              <w:rPr>
                <w:u w:val="none" w:color="auto"/>
              </w:rPr>
              <w:t>④为预测项目噪声源对周围声环境的影响情况，首先预测噪声源随距离的衰减，然后将噪声源产生的噪声值与区域噪声背景值叠加，即可以预测不同距离的噪声值。叠加公式为：</w:t>
            </w:r>
          </w:p>
          <w:p w14:paraId="7104D27B">
            <w:pPr>
              <w:spacing w:line="360" w:lineRule="auto"/>
              <w:ind w:firstLine="480" w:firstLineChars="200"/>
              <w:jc w:val="center"/>
              <w:rPr>
                <w:color w:val="000000" w:themeColor="text1"/>
                <w:sz w:val="24"/>
                <w:u w:val="none" w:color="auto"/>
                <w14:textFill>
                  <w14:solidFill>
                    <w14:schemeClr w14:val="tx1"/>
                  </w14:solidFill>
                </w14:textFill>
              </w:rPr>
            </w:pPr>
            <w:r>
              <w:rPr>
                <w:color w:val="000000" w:themeColor="text1"/>
                <w:sz w:val="24"/>
                <w:u w:val="none" w:color="auto"/>
                <w14:textFill>
                  <w14:solidFill>
                    <w14:schemeClr w14:val="tx1"/>
                  </w14:solidFill>
                </w14:textFill>
              </w:rPr>
              <w:t>Leq=10Lg[10</w:t>
            </w:r>
            <w:r>
              <w:rPr>
                <w:color w:val="000000" w:themeColor="text1"/>
                <w:sz w:val="24"/>
                <w:u w:val="none" w:color="auto"/>
                <w:vertAlign w:val="superscript"/>
                <w14:textFill>
                  <w14:solidFill>
                    <w14:schemeClr w14:val="tx1"/>
                  </w14:solidFill>
                </w14:textFill>
              </w:rPr>
              <w:t>L1/10</w:t>
            </w:r>
            <w:r>
              <w:rPr>
                <w:color w:val="000000" w:themeColor="text1"/>
                <w:sz w:val="24"/>
                <w:u w:val="none" w:color="auto"/>
                <w14:textFill>
                  <w14:solidFill>
                    <w14:schemeClr w14:val="tx1"/>
                  </w14:solidFill>
                </w14:textFill>
              </w:rPr>
              <w:t>+10</w:t>
            </w:r>
            <w:r>
              <w:rPr>
                <w:color w:val="000000" w:themeColor="text1"/>
                <w:sz w:val="24"/>
                <w:u w:val="none" w:color="auto"/>
                <w:vertAlign w:val="superscript"/>
                <w14:textFill>
                  <w14:solidFill>
                    <w14:schemeClr w14:val="tx1"/>
                  </w14:solidFill>
                </w14:textFill>
              </w:rPr>
              <w:t>L2/10</w:t>
            </w:r>
            <w:r>
              <w:rPr>
                <w:color w:val="000000" w:themeColor="text1"/>
                <w:sz w:val="24"/>
                <w:u w:val="none" w:color="auto"/>
                <w14:textFill>
                  <w14:solidFill>
                    <w14:schemeClr w14:val="tx1"/>
                  </w14:solidFill>
                </w14:textFill>
              </w:rPr>
              <w:t>]</w:t>
            </w:r>
          </w:p>
          <w:p w14:paraId="5C5C15C2">
            <w:pPr>
              <w:pStyle w:val="40"/>
              <w:bidi w:val="0"/>
              <w:rPr>
                <w:u w:val="none" w:color="auto"/>
              </w:rPr>
            </w:pPr>
            <w:r>
              <w:rPr>
                <w:u w:val="none" w:color="auto"/>
              </w:rPr>
              <w:t>式中：Leq-----噪声源噪声与背景噪声叠加值；</w:t>
            </w:r>
          </w:p>
          <w:p w14:paraId="1176329E">
            <w:pPr>
              <w:pStyle w:val="40"/>
              <w:bidi w:val="0"/>
              <w:ind w:firstLine="1200" w:firstLineChars="500"/>
              <w:rPr>
                <w:u w:val="none" w:color="auto"/>
              </w:rPr>
            </w:pPr>
            <w:r>
              <w:rPr>
                <w:u w:val="none" w:color="auto"/>
              </w:rPr>
              <w:t>L1-----背景噪声，L2为噪声源影响值。</w:t>
            </w:r>
          </w:p>
          <w:p w14:paraId="50AC20E1">
            <w:pPr>
              <w:pStyle w:val="40"/>
              <w:bidi w:val="0"/>
              <w:rPr>
                <w:rFonts w:hint="eastAsia" w:eastAsia="宋体"/>
                <w:u w:val="none" w:color="auto"/>
                <w:lang w:val="en-US" w:eastAsia="zh-CN"/>
              </w:rPr>
            </w:pPr>
            <w:r>
              <w:rPr>
                <w:u w:val="none" w:color="auto"/>
              </w:rPr>
              <w:t>（</w:t>
            </w:r>
            <w:r>
              <w:rPr>
                <w:rFonts w:hint="eastAsia"/>
                <w:u w:val="none" w:color="auto"/>
              </w:rPr>
              <w:t>2</w:t>
            </w:r>
            <w:r>
              <w:rPr>
                <w:u w:val="none" w:color="auto"/>
              </w:rPr>
              <w:t>）</w:t>
            </w:r>
            <w:r>
              <w:rPr>
                <w:rFonts w:hint="eastAsia"/>
                <w:u w:val="none" w:color="auto"/>
                <w:lang w:val="en-US" w:eastAsia="zh-CN"/>
              </w:rPr>
              <w:t>预测参数</w:t>
            </w:r>
          </w:p>
          <w:p w14:paraId="2D9AFD6D">
            <w:pPr>
              <w:pStyle w:val="40"/>
              <w:bidi w:val="0"/>
              <w:rPr>
                <w:rFonts w:hint="default"/>
                <w:u w:val="none" w:color="auto"/>
                <w:lang w:val="en-US" w:eastAsia="zh-CN"/>
              </w:rPr>
            </w:pPr>
            <w:r>
              <w:rPr>
                <w:rFonts w:hint="default"/>
                <w:u w:val="none" w:color="auto"/>
                <w:lang w:val="en-US" w:eastAsia="zh-CN"/>
              </w:rPr>
              <w:t>本项目噪声预测参数见表</w:t>
            </w:r>
            <w:r>
              <w:rPr>
                <w:rFonts w:hint="eastAsia"/>
                <w:u w:val="none" w:color="auto"/>
                <w:lang w:val="en-US" w:eastAsia="zh-CN"/>
              </w:rPr>
              <w:t>4-17</w:t>
            </w:r>
            <w:r>
              <w:rPr>
                <w:rFonts w:hint="default"/>
                <w:u w:val="none" w:color="auto"/>
                <w:lang w:val="en-US" w:eastAsia="zh-CN"/>
              </w:rPr>
              <w:t>。</w:t>
            </w:r>
          </w:p>
          <w:p w14:paraId="2CF589E3">
            <w:pPr>
              <w:pStyle w:val="42"/>
              <w:bidi w:val="0"/>
              <w:rPr>
                <w:rFonts w:hint="default"/>
                <w:u w:val="none" w:color="auto"/>
                <w:lang w:val="en-US" w:eastAsia="zh-CN"/>
              </w:rPr>
            </w:pPr>
            <w:r>
              <w:rPr>
                <w:rFonts w:hint="default"/>
                <w:u w:val="none" w:color="auto"/>
                <w:lang w:val="en-US" w:eastAsia="zh-CN"/>
              </w:rPr>
              <w:t>表</w:t>
            </w:r>
            <w:r>
              <w:rPr>
                <w:rFonts w:hint="eastAsia"/>
                <w:u w:val="none" w:color="auto"/>
                <w:lang w:val="en-US" w:eastAsia="zh-CN"/>
              </w:rPr>
              <w:t>4-17</w:t>
            </w:r>
            <w:r>
              <w:rPr>
                <w:rFonts w:hint="default"/>
                <w:u w:val="none" w:color="auto"/>
                <w:lang w:val="en-US" w:eastAsia="zh-CN"/>
              </w:rPr>
              <w:t xml:space="preserve"> 项目噪声预测</w:t>
            </w:r>
            <w:r>
              <w:rPr>
                <w:rFonts w:hint="eastAsia"/>
                <w:u w:val="none" w:color="auto"/>
                <w:lang w:val="en-US" w:eastAsia="zh-CN"/>
              </w:rPr>
              <w:t>参数</w:t>
            </w:r>
          </w:p>
          <w:tbl>
            <w:tblPr>
              <w:tblStyle w:val="34"/>
              <w:tblW w:w="4998" w:type="pct"/>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561"/>
              <w:gridCol w:w="1427"/>
              <w:gridCol w:w="1428"/>
              <w:gridCol w:w="705"/>
              <w:gridCol w:w="710"/>
              <w:gridCol w:w="710"/>
              <w:gridCol w:w="732"/>
            </w:tblGrid>
            <w:tr w14:paraId="2CC38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47" w:type="pct"/>
                  <w:vMerge w:val="restart"/>
                  <w:tcBorders>
                    <w:tl2br w:val="nil"/>
                    <w:tr2bl w:val="nil"/>
                  </w:tcBorders>
                  <w:noWrap w:val="0"/>
                  <w:vAlign w:val="center"/>
                </w:tcPr>
                <w:p w14:paraId="2199F6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噪声源</w:t>
                  </w:r>
                </w:p>
              </w:tc>
              <w:tc>
                <w:tcPr>
                  <w:tcW w:w="1725" w:type="pct"/>
                  <w:gridSpan w:val="2"/>
                  <w:vMerge w:val="restart"/>
                  <w:tcBorders>
                    <w:tl2br w:val="nil"/>
                    <w:tr2bl w:val="nil"/>
                  </w:tcBorders>
                  <w:noWrap w:val="0"/>
                  <w:vAlign w:val="center"/>
                </w:tcPr>
                <w:p w14:paraId="64A8F8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噪声源强</w:t>
                  </w:r>
                  <w:r>
                    <w:rPr>
                      <w:rFonts w:hint="default" w:ascii="Times New Roman" w:hAnsi="Times New Roman" w:cs="Times New Roman"/>
                      <w:sz w:val="21"/>
                      <w:szCs w:val="21"/>
                      <w:highlight w:val="none"/>
                      <w:u w:val="none" w:color="auto"/>
                      <w:vertAlign w:val="baseline"/>
                      <w:lang w:val="en-US" w:eastAsia="zh-CN"/>
                    </w:rPr>
                    <w:t>dB</w:t>
                  </w:r>
                  <w:r>
                    <w:rPr>
                      <w:rFonts w:hint="default" w:ascii="Times New Roman" w:hAnsi="Times New Roman" w:eastAsia="宋体" w:cs="Times New Roman"/>
                      <w:sz w:val="21"/>
                      <w:szCs w:val="21"/>
                      <w:highlight w:val="none"/>
                      <w:u w:val="none" w:color="auto"/>
                      <w:vertAlign w:val="baseline"/>
                      <w:lang w:val="en-US" w:eastAsia="zh-CN"/>
                    </w:rPr>
                    <w:t>（</w:t>
                  </w:r>
                  <w:r>
                    <w:rPr>
                      <w:rFonts w:hint="default" w:ascii="Times New Roman" w:hAnsi="Times New Roman" w:cs="Times New Roman"/>
                      <w:sz w:val="21"/>
                      <w:szCs w:val="21"/>
                      <w:highlight w:val="none"/>
                      <w:u w:val="none" w:color="auto"/>
                      <w:vertAlign w:val="baseline"/>
                      <w:lang w:val="en-US" w:eastAsia="zh-CN"/>
                    </w:rPr>
                    <w:t>A</w:t>
                  </w:r>
                  <w:r>
                    <w:rPr>
                      <w:rFonts w:hint="default" w:ascii="Times New Roman" w:hAnsi="Times New Roman" w:eastAsia="宋体" w:cs="Times New Roman"/>
                      <w:sz w:val="21"/>
                      <w:szCs w:val="21"/>
                      <w:highlight w:val="none"/>
                      <w:u w:val="none" w:color="auto"/>
                      <w:vertAlign w:val="baseline"/>
                      <w:lang w:val="en-US" w:eastAsia="zh-CN"/>
                    </w:rPr>
                    <w:t>）</w:t>
                  </w:r>
                </w:p>
              </w:tc>
              <w:tc>
                <w:tcPr>
                  <w:tcW w:w="1726" w:type="pct"/>
                  <w:gridSpan w:val="4"/>
                  <w:tcBorders>
                    <w:tl2br w:val="nil"/>
                    <w:tr2bl w:val="nil"/>
                  </w:tcBorders>
                  <w:noWrap w:val="0"/>
                  <w:vAlign w:val="center"/>
                </w:tcPr>
                <w:p w14:paraId="25E433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u w:val="none" w:color="auto"/>
                      <w:vertAlign w:val="baseline"/>
                      <w:lang w:val="en-US" w:eastAsia="zh-CN" w:bidi="ar-SA"/>
                    </w:rPr>
                  </w:pPr>
                  <w:r>
                    <w:rPr>
                      <w:rFonts w:hint="default" w:ascii="Times New Roman" w:hAnsi="Times New Roman" w:eastAsia="宋体" w:cs="Times New Roman"/>
                      <w:sz w:val="21"/>
                      <w:szCs w:val="21"/>
                      <w:highlight w:val="none"/>
                      <w:u w:val="none" w:color="auto"/>
                      <w:vertAlign w:val="baseline"/>
                      <w:lang w:val="en-US" w:eastAsia="zh-CN"/>
                    </w:rPr>
                    <w:t>厂界距离（m）</w:t>
                  </w:r>
                </w:p>
              </w:tc>
            </w:tr>
            <w:tr w14:paraId="0676F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47" w:type="pct"/>
                  <w:vMerge w:val="continue"/>
                  <w:tcBorders>
                    <w:tl2br w:val="nil"/>
                    <w:tr2bl w:val="nil"/>
                  </w:tcBorders>
                  <w:noWrap w:val="0"/>
                  <w:vAlign w:val="center"/>
                </w:tcPr>
                <w:p w14:paraId="15832B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p>
              </w:tc>
              <w:tc>
                <w:tcPr>
                  <w:tcW w:w="1725" w:type="pct"/>
                  <w:gridSpan w:val="2"/>
                  <w:vMerge w:val="continue"/>
                  <w:tcBorders>
                    <w:tl2br w:val="nil"/>
                    <w:tr2bl w:val="nil"/>
                  </w:tcBorders>
                  <w:noWrap w:val="0"/>
                  <w:vAlign w:val="center"/>
                </w:tcPr>
                <w:p w14:paraId="090724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p>
              </w:tc>
              <w:tc>
                <w:tcPr>
                  <w:tcW w:w="426" w:type="pct"/>
                  <w:tcBorders>
                    <w:tl2br w:val="nil"/>
                    <w:tr2bl w:val="nil"/>
                  </w:tcBorders>
                  <w:noWrap w:val="0"/>
                  <w:vAlign w:val="center"/>
                </w:tcPr>
                <w:p w14:paraId="009902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东</w:t>
                  </w:r>
                </w:p>
              </w:tc>
              <w:tc>
                <w:tcPr>
                  <w:tcW w:w="429" w:type="pct"/>
                  <w:tcBorders>
                    <w:tl2br w:val="nil"/>
                    <w:tr2bl w:val="nil"/>
                  </w:tcBorders>
                  <w:noWrap w:val="0"/>
                  <w:vAlign w:val="center"/>
                </w:tcPr>
                <w:p w14:paraId="3D484D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南</w:t>
                  </w:r>
                </w:p>
              </w:tc>
              <w:tc>
                <w:tcPr>
                  <w:tcW w:w="429" w:type="pct"/>
                  <w:tcBorders>
                    <w:tl2br w:val="nil"/>
                    <w:tr2bl w:val="nil"/>
                  </w:tcBorders>
                  <w:noWrap w:val="0"/>
                  <w:vAlign w:val="center"/>
                </w:tcPr>
                <w:p w14:paraId="321B62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西</w:t>
                  </w:r>
                </w:p>
              </w:tc>
              <w:tc>
                <w:tcPr>
                  <w:tcW w:w="442" w:type="pct"/>
                  <w:tcBorders>
                    <w:tl2br w:val="nil"/>
                    <w:tr2bl w:val="nil"/>
                  </w:tcBorders>
                  <w:noWrap w:val="0"/>
                  <w:vAlign w:val="center"/>
                </w:tcPr>
                <w:p w14:paraId="2EF816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北</w:t>
                  </w:r>
                </w:p>
              </w:tc>
            </w:tr>
            <w:tr w14:paraId="4EA77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547" w:type="pct"/>
                  <w:vMerge w:val="restart"/>
                  <w:tcBorders>
                    <w:tl2br w:val="nil"/>
                    <w:tr2bl w:val="nil"/>
                  </w:tcBorders>
                  <w:noWrap w:val="0"/>
                  <w:vAlign w:val="center"/>
                </w:tcPr>
                <w:p w14:paraId="18F4B8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ascii="Times New Roman" w:hAnsi="Times New Roman" w:cs="Times New Roman"/>
                      <w:sz w:val="21"/>
                      <w:szCs w:val="21"/>
                      <w:highlight w:val="none"/>
                      <w:u w:val="none" w:color="auto"/>
                      <w:vertAlign w:val="baseline"/>
                      <w:lang w:val="en-US" w:eastAsia="zh-CN"/>
                    </w:rPr>
                    <w:t>生产车间</w:t>
                  </w:r>
                </w:p>
              </w:tc>
              <w:tc>
                <w:tcPr>
                  <w:tcW w:w="862" w:type="pct"/>
                  <w:tcBorders>
                    <w:tl2br w:val="nil"/>
                    <w:tr2bl w:val="nil"/>
                  </w:tcBorders>
                  <w:noWrap w:val="0"/>
                  <w:vAlign w:val="center"/>
                </w:tcPr>
                <w:p w14:paraId="69DF57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东</w:t>
                  </w:r>
                </w:p>
              </w:tc>
              <w:tc>
                <w:tcPr>
                  <w:tcW w:w="863" w:type="pct"/>
                  <w:tcBorders>
                    <w:tl2br w:val="nil"/>
                    <w:tr2bl w:val="nil"/>
                  </w:tcBorders>
                  <w:noWrap w:val="0"/>
                  <w:vAlign w:val="center"/>
                </w:tcPr>
                <w:p w14:paraId="083588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51.68</w:t>
                  </w:r>
                </w:p>
              </w:tc>
              <w:tc>
                <w:tcPr>
                  <w:tcW w:w="426" w:type="pct"/>
                  <w:vMerge w:val="restart"/>
                  <w:tcBorders>
                    <w:tl2br w:val="nil"/>
                    <w:tr2bl w:val="nil"/>
                  </w:tcBorders>
                  <w:noWrap w:val="0"/>
                  <w:vAlign w:val="center"/>
                </w:tcPr>
                <w:p w14:paraId="4D40CB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5</w:t>
                  </w:r>
                </w:p>
              </w:tc>
              <w:tc>
                <w:tcPr>
                  <w:tcW w:w="429" w:type="pct"/>
                  <w:vMerge w:val="restart"/>
                  <w:tcBorders>
                    <w:tl2br w:val="nil"/>
                    <w:tr2bl w:val="nil"/>
                  </w:tcBorders>
                  <w:noWrap w:val="0"/>
                  <w:vAlign w:val="center"/>
                </w:tcPr>
                <w:p w14:paraId="5FC700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5</w:t>
                  </w:r>
                </w:p>
              </w:tc>
              <w:tc>
                <w:tcPr>
                  <w:tcW w:w="429" w:type="pct"/>
                  <w:vMerge w:val="restart"/>
                  <w:tcBorders>
                    <w:tl2br w:val="nil"/>
                    <w:tr2bl w:val="nil"/>
                  </w:tcBorders>
                  <w:noWrap w:val="0"/>
                  <w:vAlign w:val="center"/>
                </w:tcPr>
                <w:p w14:paraId="7118A4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5</w:t>
                  </w:r>
                </w:p>
              </w:tc>
              <w:tc>
                <w:tcPr>
                  <w:tcW w:w="442" w:type="pct"/>
                  <w:vMerge w:val="restart"/>
                  <w:tcBorders>
                    <w:tl2br w:val="nil"/>
                    <w:tr2bl w:val="nil"/>
                  </w:tcBorders>
                  <w:noWrap w:val="0"/>
                  <w:vAlign w:val="center"/>
                </w:tcPr>
                <w:p w14:paraId="58279D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5</w:t>
                  </w:r>
                </w:p>
              </w:tc>
            </w:tr>
            <w:tr w14:paraId="62F6E5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547" w:type="pct"/>
                  <w:vMerge w:val="continue"/>
                  <w:tcBorders>
                    <w:tl2br w:val="nil"/>
                    <w:tr2bl w:val="nil"/>
                  </w:tcBorders>
                  <w:noWrap w:val="0"/>
                  <w:vAlign w:val="center"/>
                </w:tcPr>
                <w:p w14:paraId="35AF61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u w:val="none" w:color="auto"/>
                    </w:rPr>
                  </w:pPr>
                </w:p>
              </w:tc>
              <w:tc>
                <w:tcPr>
                  <w:tcW w:w="862" w:type="pct"/>
                  <w:tcBorders>
                    <w:tl2br w:val="nil"/>
                    <w:tr2bl w:val="nil"/>
                  </w:tcBorders>
                  <w:noWrap w:val="0"/>
                  <w:vAlign w:val="center"/>
                </w:tcPr>
                <w:p w14:paraId="08997A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南</w:t>
                  </w:r>
                </w:p>
              </w:tc>
              <w:tc>
                <w:tcPr>
                  <w:tcW w:w="863" w:type="pct"/>
                  <w:tcBorders>
                    <w:tl2br w:val="nil"/>
                    <w:tr2bl w:val="nil"/>
                  </w:tcBorders>
                  <w:noWrap w:val="0"/>
                  <w:vAlign w:val="center"/>
                </w:tcPr>
                <w:p w14:paraId="0B83D5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56.52</w:t>
                  </w:r>
                </w:p>
              </w:tc>
              <w:tc>
                <w:tcPr>
                  <w:tcW w:w="426" w:type="pct"/>
                  <w:vMerge w:val="continue"/>
                  <w:tcBorders>
                    <w:tl2br w:val="nil"/>
                    <w:tr2bl w:val="nil"/>
                  </w:tcBorders>
                  <w:noWrap w:val="0"/>
                  <w:vAlign w:val="center"/>
                </w:tcPr>
                <w:p w14:paraId="381F7D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c>
                <w:tcPr>
                  <w:tcW w:w="429" w:type="pct"/>
                  <w:vMerge w:val="continue"/>
                  <w:tcBorders>
                    <w:tl2br w:val="nil"/>
                    <w:tr2bl w:val="nil"/>
                  </w:tcBorders>
                  <w:noWrap w:val="0"/>
                  <w:vAlign w:val="center"/>
                </w:tcPr>
                <w:p w14:paraId="50362B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c>
                <w:tcPr>
                  <w:tcW w:w="429" w:type="pct"/>
                  <w:vMerge w:val="continue"/>
                  <w:tcBorders>
                    <w:tl2br w:val="nil"/>
                    <w:tr2bl w:val="nil"/>
                  </w:tcBorders>
                  <w:noWrap w:val="0"/>
                  <w:vAlign w:val="center"/>
                </w:tcPr>
                <w:p w14:paraId="0EC3B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c>
                <w:tcPr>
                  <w:tcW w:w="442" w:type="pct"/>
                  <w:vMerge w:val="continue"/>
                  <w:tcBorders>
                    <w:tl2br w:val="nil"/>
                    <w:tr2bl w:val="nil"/>
                  </w:tcBorders>
                  <w:noWrap w:val="0"/>
                  <w:vAlign w:val="center"/>
                </w:tcPr>
                <w:p w14:paraId="779FD2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r>
            <w:tr w14:paraId="4B13F1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547" w:type="pct"/>
                  <w:vMerge w:val="continue"/>
                  <w:tcBorders>
                    <w:tl2br w:val="nil"/>
                    <w:tr2bl w:val="nil"/>
                  </w:tcBorders>
                  <w:noWrap w:val="0"/>
                  <w:vAlign w:val="center"/>
                </w:tcPr>
                <w:p w14:paraId="7FEA68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c>
                <w:tcPr>
                  <w:tcW w:w="862" w:type="pct"/>
                  <w:tcBorders>
                    <w:tl2br w:val="nil"/>
                    <w:tr2bl w:val="nil"/>
                  </w:tcBorders>
                  <w:noWrap w:val="0"/>
                  <w:vAlign w:val="center"/>
                </w:tcPr>
                <w:p w14:paraId="0D1AA6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西</w:t>
                  </w:r>
                </w:p>
              </w:tc>
              <w:tc>
                <w:tcPr>
                  <w:tcW w:w="863" w:type="pct"/>
                  <w:tcBorders>
                    <w:tl2br w:val="nil"/>
                    <w:tr2bl w:val="nil"/>
                  </w:tcBorders>
                  <w:noWrap w:val="0"/>
                  <w:vAlign w:val="center"/>
                </w:tcPr>
                <w:p w14:paraId="22C6F5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52.68</w:t>
                  </w:r>
                </w:p>
              </w:tc>
              <w:tc>
                <w:tcPr>
                  <w:tcW w:w="426" w:type="pct"/>
                  <w:vMerge w:val="continue"/>
                  <w:tcBorders>
                    <w:tl2br w:val="nil"/>
                    <w:tr2bl w:val="nil"/>
                  </w:tcBorders>
                  <w:noWrap w:val="0"/>
                  <w:vAlign w:val="center"/>
                </w:tcPr>
                <w:p w14:paraId="7C64D0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c>
                <w:tcPr>
                  <w:tcW w:w="429" w:type="pct"/>
                  <w:vMerge w:val="continue"/>
                  <w:tcBorders>
                    <w:tl2br w:val="nil"/>
                    <w:tr2bl w:val="nil"/>
                  </w:tcBorders>
                  <w:noWrap w:val="0"/>
                  <w:vAlign w:val="center"/>
                </w:tcPr>
                <w:p w14:paraId="005F0D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c>
                <w:tcPr>
                  <w:tcW w:w="429" w:type="pct"/>
                  <w:vMerge w:val="continue"/>
                  <w:tcBorders>
                    <w:tl2br w:val="nil"/>
                    <w:tr2bl w:val="nil"/>
                  </w:tcBorders>
                  <w:noWrap w:val="0"/>
                  <w:vAlign w:val="center"/>
                </w:tcPr>
                <w:p w14:paraId="0B5537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c>
                <w:tcPr>
                  <w:tcW w:w="442" w:type="pct"/>
                  <w:vMerge w:val="continue"/>
                  <w:tcBorders>
                    <w:tl2br w:val="nil"/>
                    <w:tr2bl w:val="nil"/>
                  </w:tcBorders>
                  <w:noWrap w:val="0"/>
                  <w:vAlign w:val="center"/>
                </w:tcPr>
                <w:p w14:paraId="7345C2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r>
            <w:tr w14:paraId="45E5C6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547" w:type="pct"/>
                  <w:vMerge w:val="continue"/>
                  <w:tcBorders>
                    <w:tl2br w:val="nil"/>
                    <w:tr2bl w:val="nil"/>
                  </w:tcBorders>
                  <w:noWrap w:val="0"/>
                  <w:vAlign w:val="center"/>
                </w:tcPr>
                <w:p w14:paraId="29DB40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c>
                <w:tcPr>
                  <w:tcW w:w="862" w:type="pct"/>
                  <w:tcBorders>
                    <w:tl2br w:val="nil"/>
                    <w:tr2bl w:val="nil"/>
                  </w:tcBorders>
                  <w:noWrap w:val="0"/>
                  <w:vAlign w:val="center"/>
                </w:tcPr>
                <w:p w14:paraId="049C23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北</w:t>
                  </w:r>
                </w:p>
              </w:tc>
              <w:tc>
                <w:tcPr>
                  <w:tcW w:w="863" w:type="pct"/>
                  <w:tcBorders>
                    <w:tl2br w:val="nil"/>
                    <w:tr2bl w:val="nil"/>
                  </w:tcBorders>
                  <w:noWrap w:val="0"/>
                  <w:vAlign w:val="center"/>
                </w:tcPr>
                <w:p w14:paraId="6042BC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54.34</w:t>
                  </w:r>
                </w:p>
              </w:tc>
              <w:tc>
                <w:tcPr>
                  <w:tcW w:w="426" w:type="pct"/>
                  <w:vMerge w:val="continue"/>
                  <w:tcBorders>
                    <w:tl2br w:val="nil"/>
                    <w:tr2bl w:val="nil"/>
                  </w:tcBorders>
                  <w:noWrap w:val="0"/>
                  <w:vAlign w:val="center"/>
                </w:tcPr>
                <w:p w14:paraId="2E8F86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c>
                <w:tcPr>
                  <w:tcW w:w="429" w:type="pct"/>
                  <w:vMerge w:val="continue"/>
                  <w:tcBorders>
                    <w:tl2br w:val="nil"/>
                    <w:tr2bl w:val="nil"/>
                  </w:tcBorders>
                  <w:noWrap w:val="0"/>
                  <w:vAlign w:val="center"/>
                </w:tcPr>
                <w:p w14:paraId="7DB0B4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c>
                <w:tcPr>
                  <w:tcW w:w="429" w:type="pct"/>
                  <w:vMerge w:val="continue"/>
                  <w:tcBorders>
                    <w:tl2br w:val="nil"/>
                    <w:tr2bl w:val="nil"/>
                  </w:tcBorders>
                  <w:noWrap w:val="0"/>
                  <w:vAlign w:val="center"/>
                </w:tcPr>
                <w:p w14:paraId="15E3ED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c>
                <w:tcPr>
                  <w:tcW w:w="442" w:type="pct"/>
                  <w:vMerge w:val="continue"/>
                  <w:tcBorders>
                    <w:tl2br w:val="nil"/>
                    <w:tr2bl w:val="nil"/>
                  </w:tcBorders>
                  <w:noWrap w:val="0"/>
                  <w:vAlign w:val="center"/>
                </w:tcPr>
                <w:p w14:paraId="3002FE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u w:val="none" w:color="auto"/>
                      <w:vertAlign w:val="baseline"/>
                      <w:lang w:val="en-US" w:eastAsia="zh-CN"/>
                    </w:rPr>
                  </w:pPr>
                </w:p>
              </w:tc>
            </w:tr>
            <w:tr w14:paraId="6855D8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547" w:type="pct"/>
                  <w:tcBorders>
                    <w:tl2br w:val="nil"/>
                    <w:tr2bl w:val="nil"/>
                  </w:tcBorders>
                  <w:noWrap w:val="0"/>
                  <w:vAlign w:val="center"/>
                </w:tcPr>
                <w:p w14:paraId="077C8A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ascii="Times New Roman" w:hAnsi="Times New Roman" w:cs="Times New Roman"/>
                      <w:sz w:val="21"/>
                      <w:szCs w:val="21"/>
                      <w:highlight w:val="none"/>
                      <w:u w:val="none" w:color="auto"/>
                      <w:vertAlign w:val="baseline"/>
                      <w:lang w:val="en-US" w:eastAsia="zh-CN"/>
                    </w:rPr>
                    <w:t>DA001</w:t>
                  </w:r>
                  <w:r>
                    <w:rPr>
                      <w:rFonts w:hint="default" w:ascii="Times New Roman" w:hAnsi="Times New Roman" w:eastAsia="宋体" w:cs="Times New Roman"/>
                      <w:sz w:val="21"/>
                      <w:szCs w:val="21"/>
                      <w:highlight w:val="none"/>
                      <w:u w:val="none" w:color="auto"/>
                      <w:vertAlign w:val="baseline"/>
                      <w:lang w:val="en-US" w:eastAsia="zh-CN"/>
                    </w:rPr>
                    <w:t>风机</w:t>
                  </w:r>
                </w:p>
              </w:tc>
              <w:tc>
                <w:tcPr>
                  <w:tcW w:w="1725" w:type="pct"/>
                  <w:gridSpan w:val="2"/>
                  <w:tcBorders>
                    <w:tl2br w:val="nil"/>
                    <w:tr2bl w:val="nil"/>
                  </w:tcBorders>
                  <w:noWrap w:val="0"/>
                  <w:vAlign w:val="center"/>
                </w:tcPr>
                <w:p w14:paraId="5B40F908">
                  <w:pPr>
                    <w:keepNext w:val="0"/>
                    <w:keepLines w:val="0"/>
                    <w:widowControl/>
                    <w:suppressLineNumbers w:val="0"/>
                    <w:spacing w:line="240" w:lineRule="auto"/>
                    <w:jc w:val="center"/>
                    <w:textAlignment w:val="center"/>
                    <w:rPr>
                      <w:rFonts w:hint="default" w:ascii="Times New Roman" w:hAnsi="Times New Roman" w:eastAsia="宋体"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70</w:t>
                  </w:r>
                </w:p>
              </w:tc>
              <w:tc>
                <w:tcPr>
                  <w:tcW w:w="426" w:type="pct"/>
                  <w:tcBorders>
                    <w:tl2br w:val="nil"/>
                    <w:tr2bl w:val="nil"/>
                  </w:tcBorders>
                  <w:noWrap w:val="0"/>
                  <w:vAlign w:val="center"/>
                </w:tcPr>
                <w:p w14:paraId="0CE052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50</w:t>
                  </w:r>
                </w:p>
              </w:tc>
              <w:tc>
                <w:tcPr>
                  <w:tcW w:w="429" w:type="pct"/>
                  <w:tcBorders>
                    <w:tl2br w:val="nil"/>
                    <w:tr2bl w:val="nil"/>
                  </w:tcBorders>
                  <w:noWrap w:val="0"/>
                  <w:vAlign w:val="center"/>
                </w:tcPr>
                <w:p w14:paraId="1B89CF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25</w:t>
                  </w:r>
                </w:p>
              </w:tc>
              <w:tc>
                <w:tcPr>
                  <w:tcW w:w="429" w:type="pct"/>
                  <w:tcBorders>
                    <w:tl2br w:val="nil"/>
                    <w:tr2bl w:val="nil"/>
                  </w:tcBorders>
                  <w:noWrap w:val="0"/>
                  <w:vAlign w:val="center"/>
                </w:tcPr>
                <w:p w14:paraId="62C637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5</w:t>
                  </w:r>
                </w:p>
              </w:tc>
              <w:tc>
                <w:tcPr>
                  <w:tcW w:w="442" w:type="pct"/>
                  <w:tcBorders>
                    <w:tl2br w:val="nil"/>
                    <w:tr2bl w:val="nil"/>
                  </w:tcBorders>
                  <w:noWrap w:val="0"/>
                  <w:vAlign w:val="center"/>
                </w:tcPr>
                <w:p w14:paraId="7F250B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5</w:t>
                  </w:r>
                </w:p>
              </w:tc>
            </w:tr>
          </w:tbl>
          <w:p w14:paraId="618EB814">
            <w:pPr>
              <w:pStyle w:val="40"/>
              <w:bidi w:val="0"/>
              <w:rPr>
                <w:u w:val="none" w:color="auto"/>
              </w:rPr>
            </w:pPr>
            <w:r>
              <w:rPr>
                <w:rFonts w:hint="default" w:ascii="Times New Roman" w:hAnsi="Times New Roman" w:cs="Times New Roman"/>
                <w:sz w:val="21"/>
                <w:szCs w:val="21"/>
                <w:highlight w:val="none"/>
                <w:u w:val="none" w:color="auto"/>
                <w:lang w:val="en-US" w:eastAsia="zh-CN"/>
              </w:rPr>
              <w:t>备注：上述距离为噪声源离厂界最近距离。</w:t>
            </w:r>
          </w:p>
          <w:p w14:paraId="2333D10C">
            <w:pPr>
              <w:pStyle w:val="40"/>
              <w:bidi w:val="0"/>
              <w:rPr>
                <w:u w:val="none" w:color="auto"/>
              </w:rPr>
            </w:pPr>
            <w:r>
              <w:rPr>
                <w:rFonts w:hint="eastAsia"/>
                <w:u w:val="none" w:color="auto"/>
                <w:lang w:eastAsia="zh-CN"/>
              </w:rPr>
              <w:t>（</w:t>
            </w:r>
            <w:r>
              <w:rPr>
                <w:rFonts w:hint="eastAsia"/>
                <w:u w:val="none" w:color="auto"/>
                <w:lang w:val="en-US" w:eastAsia="zh-CN"/>
              </w:rPr>
              <w:t>3</w:t>
            </w:r>
            <w:r>
              <w:rPr>
                <w:rFonts w:hint="eastAsia"/>
                <w:u w:val="none" w:color="auto"/>
                <w:lang w:eastAsia="zh-CN"/>
              </w:rPr>
              <w:t>）</w:t>
            </w:r>
            <w:r>
              <w:rPr>
                <w:u w:val="none" w:color="auto"/>
              </w:rPr>
              <w:t>预测结果</w:t>
            </w:r>
          </w:p>
          <w:p w14:paraId="7C1A7659">
            <w:pPr>
              <w:pStyle w:val="40"/>
              <w:bidi w:val="0"/>
              <w:rPr>
                <w:rFonts w:hint="default"/>
                <w:u w:val="none" w:color="auto"/>
                <w:lang w:val="en-US" w:eastAsia="zh-CN"/>
              </w:rPr>
            </w:pPr>
            <w:r>
              <w:rPr>
                <w:rFonts w:hint="default"/>
                <w:u w:val="none" w:color="auto"/>
                <w:lang w:val="en-US" w:eastAsia="zh-CN"/>
              </w:rPr>
              <w:t>根据各主要噪声源的平面布置进行声源衰减。详情见表</w:t>
            </w:r>
            <w:r>
              <w:rPr>
                <w:rFonts w:hint="eastAsia"/>
                <w:u w:val="none" w:color="auto"/>
                <w:lang w:val="en-US" w:eastAsia="zh-CN"/>
              </w:rPr>
              <w:t>4-18</w:t>
            </w:r>
            <w:r>
              <w:rPr>
                <w:rFonts w:hint="default"/>
                <w:u w:val="none" w:color="auto"/>
                <w:lang w:val="en-US" w:eastAsia="zh-CN"/>
              </w:rPr>
              <w:t>。</w:t>
            </w:r>
          </w:p>
          <w:p w14:paraId="072878D1">
            <w:pPr>
              <w:pStyle w:val="42"/>
              <w:bidi w:val="0"/>
              <w:rPr>
                <w:rFonts w:hint="default"/>
                <w:u w:val="none" w:color="auto"/>
                <w:lang w:val="en-US" w:eastAsia="zh-CN"/>
              </w:rPr>
            </w:pPr>
            <w:r>
              <w:rPr>
                <w:rFonts w:hint="default"/>
                <w:u w:val="none" w:color="auto"/>
                <w:lang w:val="en-US" w:eastAsia="zh-CN"/>
              </w:rPr>
              <w:t>表</w:t>
            </w:r>
            <w:r>
              <w:rPr>
                <w:rFonts w:hint="eastAsia"/>
                <w:u w:val="none" w:color="auto"/>
                <w:lang w:val="en-US" w:eastAsia="zh-CN"/>
              </w:rPr>
              <w:t>4-18</w:t>
            </w:r>
            <w:r>
              <w:rPr>
                <w:rFonts w:hint="default"/>
                <w:u w:val="none" w:color="auto"/>
                <w:lang w:val="en-US" w:eastAsia="zh-CN"/>
              </w:rPr>
              <w:t xml:space="preserve">  厂界噪声衰减值</w:t>
            </w:r>
          </w:p>
          <w:tbl>
            <w:tblPr>
              <w:tblStyle w:val="34"/>
              <w:tblW w:w="4992" w:type="pct"/>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903"/>
              <w:gridCol w:w="1078"/>
              <w:gridCol w:w="1083"/>
              <w:gridCol w:w="1088"/>
              <w:gridCol w:w="1111"/>
            </w:tblGrid>
            <w:tr w14:paraId="4742E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2362" w:type="pct"/>
                  <w:vMerge w:val="restart"/>
                  <w:tcBorders>
                    <w:tl2br w:val="nil"/>
                    <w:tr2bl w:val="nil"/>
                  </w:tcBorders>
                  <w:noWrap w:val="0"/>
                  <w:vAlign w:val="center"/>
                </w:tcPr>
                <w:p w14:paraId="2E87F0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预测点</w:t>
                  </w:r>
                </w:p>
              </w:tc>
              <w:tc>
                <w:tcPr>
                  <w:tcW w:w="2637" w:type="pct"/>
                  <w:gridSpan w:val="4"/>
                  <w:tcBorders>
                    <w:tl2br w:val="nil"/>
                    <w:tr2bl w:val="nil"/>
                  </w:tcBorders>
                  <w:noWrap w:val="0"/>
                  <w:vAlign w:val="center"/>
                </w:tcPr>
                <w:p w14:paraId="6CE390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u w:val="none" w:color="auto"/>
                      <w:vertAlign w:val="baseline"/>
                      <w:lang w:val="en-US" w:eastAsia="zh-CN" w:bidi="ar-SA"/>
                    </w:rPr>
                  </w:pPr>
                  <w:r>
                    <w:rPr>
                      <w:rFonts w:hint="default" w:ascii="Times New Roman" w:hAnsi="Times New Roman" w:eastAsia="宋体" w:cs="Times New Roman"/>
                      <w:sz w:val="21"/>
                      <w:szCs w:val="21"/>
                      <w:highlight w:val="none"/>
                      <w:u w:val="none" w:color="auto"/>
                      <w:vertAlign w:val="baseline"/>
                      <w:lang w:val="en-US" w:eastAsia="zh-CN"/>
                    </w:rPr>
                    <w:t>噪声源强</w:t>
                  </w:r>
                  <w:r>
                    <w:rPr>
                      <w:rFonts w:hint="default" w:ascii="Times New Roman" w:hAnsi="Times New Roman" w:cs="Times New Roman"/>
                      <w:sz w:val="21"/>
                      <w:szCs w:val="21"/>
                      <w:highlight w:val="none"/>
                      <w:u w:val="none" w:color="auto"/>
                      <w:vertAlign w:val="baseline"/>
                      <w:lang w:val="en-US" w:eastAsia="zh-CN"/>
                    </w:rPr>
                    <w:t>dB</w:t>
                  </w:r>
                  <w:r>
                    <w:rPr>
                      <w:rFonts w:hint="default" w:ascii="Times New Roman" w:hAnsi="Times New Roman" w:eastAsia="宋体" w:cs="Times New Roman"/>
                      <w:sz w:val="21"/>
                      <w:szCs w:val="21"/>
                      <w:highlight w:val="none"/>
                      <w:u w:val="none" w:color="auto"/>
                      <w:vertAlign w:val="baseline"/>
                      <w:lang w:val="en-US" w:eastAsia="zh-CN"/>
                    </w:rPr>
                    <w:t>（</w:t>
                  </w:r>
                  <w:r>
                    <w:rPr>
                      <w:rFonts w:hint="default" w:ascii="Times New Roman" w:hAnsi="Times New Roman" w:cs="Times New Roman"/>
                      <w:sz w:val="21"/>
                      <w:szCs w:val="21"/>
                      <w:highlight w:val="none"/>
                      <w:u w:val="none" w:color="auto"/>
                      <w:vertAlign w:val="baseline"/>
                      <w:lang w:val="en-US" w:eastAsia="zh-CN"/>
                    </w:rPr>
                    <w:t>A</w:t>
                  </w:r>
                  <w:r>
                    <w:rPr>
                      <w:rFonts w:hint="default" w:ascii="Times New Roman" w:hAnsi="Times New Roman" w:eastAsia="宋体" w:cs="Times New Roman"/>
                      <w:sz w:val="21"/>
                      <w:szCs w:val="21"/>
                      <w:highlight w:val="none"/>
                      <w:u w:val="none" w:color="auto"/>
                      <w:vertAlign w:val="baseline"/>
                      <w:lang w:val="en-US" w:eastAsia="zh-CN"/>
                    </w:rPr>
                    <w:t>）</w:t>
                  </w:r>
                </w:p>
              </w:tc>
            </w:tr>
            <w:tr w14:paraId="4AAF01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62" w:type="pct"/>
                  <w:vMerge w:val="continue"/>
                  <w:tcBorders>
                    <w:tl2br w:val="nil"/>
                    <w:tr2bl w:val="nil"/>
                  </w:tcBorders>
                  <w:noWrap w:val="0"/>
                  <w:vAlign w:val="center"/>
                </w:tcPr>
                <w:p w14:paraId="2AF90F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p>
              </w:tc>
              <w:tc>
                <w:tcPr>
                  <w:tcW w:w="652" w:type="pct"/>
                  <w:tcBorders>
                    <w:tl2br w:val="nil"/>
                    <w:tr2bl w:val="nil"/>
                  </w:tcBorders>
                  <w:noWrap w:val="0"/>
                  <w:vAlign w:val="center"/>
                </w:tcPr>
                <w:p w14:paraId="72FB7B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东</w:t>
                  </w:r>
                </w:p>
              </w:tc>
              <w:tc>
                <w:tcPr>
                  <w:tcW w:w="655" w:type="pct"/>
                  <w:tcBorders>
                    <w:tl2br w:val="nil"/>
                    <w:tr2bl w:val="nil"/>
                  </w:tcBorders>
                  <w:noWrap w:val="0"/>
                  <w:vAlign w:val="center"/>
                </w:tcPr>
                <w:p w14:paraId="396938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南</w:t>
                  </w:r>
                </w:p>
              </w:tc>
              <w:tc>
                <w:tcPr>
                  <w:tcW w:w="658" w:type="pct"/>
                  <w:tcBorders>
                    <w:tl2br w:val="nil"/>
                    <w:tr2bl w:val="nil"/>
                  </w:tcBorders>
                  <w:noWrap w:val="0"/>
                  <w:vAlign w:val="center"/>
                </w:tcPr>
                <w:p w14:paraId="58F71E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西</w:t>
                  </w:r>
                </w:p>
              </w:tc>
              <w:tc>
                <w:tcPr>
                  <w:tcW w:w="671" w:type="pct"/>
                  <w:tcBorders>
                    <w:tl2br w:val="nil"/>
                    <w:tr2bl w:val="nil"/>
                  </w:tcBorders>
                  <w:noWrap w:val="0"/>
                  <w:vAlign w:val="center"/>
                </w:tcPr>
                <w:p w14:paraId="392062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default" w:ascii="Times New Roman" w:hAnsi="Times New Roman" w:eastAsia="宋体" w:cs="Times New Roman"/>
                      <w:sz w:val="21"/>
                      <w:szCs w:val="21"/>
                      <w:highlight w:val="none"/>
                      <w:u w:val="none" w:color="auto"/>
                      <w:vertAlign w:val="baseline"/>
                      <w:lang w:val="en-US" w:eastAsia="zh-CN"/>
                    </w:rPr>
                    <w:t>北</w:t>
                  </w:r>
                </w:p>
              </w:tc>
            </w:tr>
            <w:tr w14:paraId="3A6BD6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362" w:type="pct"/>
                  <w:tcBorders>
                    <w:tl2br w:val="nil"/>
                    <w:tr2bl w:val="nil"/>
                  </w:tcBorders>
                  <w:noWrap w:val="0"/>
                  <w:vAlign w:val="center"/>
                </w:tcPr>
                <w:p w14:paraId="384F00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ascii="Times New Roman" w:hAnsi="Times New Roman" w:cs="Times New Roman"/>
                      <w:sz w:val="21"/>
                      <w:szCs w:val="21"/>
                      <w:highlight w:val="none"/>
                      <w:u w:val="none" w:color="auto"/>
                      <w:vertAlign w:val="baseline"/>
                      <w:lang w:val="en-US" w:eastAsia="zh-CN"/>
                    </w:rPr>
                    <w:t>生产车间</w:t>
                  </w:r>
                </w:p>
              </w:tc>
              <w:tc>
                <w:tcPr>
                  <w:tcW w:w="652" w:type="pct"/>
                  <w:tcBorders>
                    <w:tl2br w:val="nil"/>
                    <w:tr2bl w:val="nil"/>
                  </w:tcBorders>
                  <w:noWrap w:val="0"/>
                  <w:vAlign w:val="bottom"/>
                </w:tcPr>
                <w:p w14:paraId="7EF9E0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 xml:space="preserve">37.70 </w:t>
                  </w:r>
                </w:p>
              </w:tc>
              <w:tc>
                <w:tcPr>
                  <w:tcW w:w="655" w:type="pct"/>
                  <w:tcBorders>
                    <w:tl2br w:val="nil"/>
                    <w:tr2bl w:val="nil"/>
                  </w:tcBorders>
                  <w:noWrap w:val="0"/>
                  <w:vAlign w:val="bottom"/>
                </w:tcPr>
                <w:p w14:paraId="573720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42.54</w:t>
                  </w:r>
                </w:p>
              </w:tc>
              <w:tc>
                <w:tcPr>
                  <w:tcW w:w="658" w:type="pct"/>
                  <w:tcBorders>
                    <w:tl2br w:val="nil"/>
                    <w:tr2bl w:val="nil"/>
                  </w:tcBorders>
                  <w:noWrap w:val="0"/>
                  <w:vAlign w:val="bottom"/>
                </w:tcPr>
                <w:p w14:paraId="23A229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38.70</w:t>
                  </w:r>
                </w:p>
              </w:tc>
              <w:tc>
                <w:tcPr>
                  <w:tcW w:w="671" w:type="pct"/>
                  <w:tcBorders>
                    <w:tl2br w:val="nil"/>
                    <w:tr2bl w:val="nil"/>
                  </w:tcBorders>
                  <w:noWrap w:val="0"/>
                  <w:vAlign w:val="bottom"/>
                </w:tcPr>
                <w:p w14:paraId="5C8CA3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 xml:space="preserve">40.36 </w:t>
                  </w:r>
                </w:p>
              </w:tc>
            </w:tr>
            <w:tr w14:paraId="49843E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 w:hRule="atLeast"/>
              </w:trPr>
              <w:tc>
                <w:tcPr>
                  <w:tcW w:w="2362" w:type="pct"/>
                  <w:tcBorders>
                    <w:tl2br w:val="nil"/>
                    <w:tr2bl w:val="nil"/>
                  </w:tcBorders>
                  <w:noWrap w:val="0"/>
                  <w:vAlign w:val="center"/>
                </w:tcPr>
                <w:p w14:paraId="6666A1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u w:val="none" w:color="auto"/>
                      <w:vertAlign w:val="baseline"/>
                      <w:lang w:val="en-US" w:eastAsia="zh-CN"/>
                    </w:rPr>
                  </w:pPr>
                  <w:r>
                    <w:rPr>
                      <w:rFonts w:hint="eastAsia" w:ascii="Times New Roman" w:hAnsi="Times New Roman" w:cs="Times New Roman"/>
                      <w:sz w:val="21"/>
                      <w:szCs w:val="21"/>
                      <w:highlight w:val="none"/>
                      <w:u w:val="none" w:color="auto"/>
                      <w:vertAlign w:val="baseline"/>
                      <w:lang w:val="en-US" w:eastAsia="zh-CN"/>
                    </w:rPr>
                    <w:t>DA001</w:t>
                  </w:r>
                  <w:r>
                    <w:rPr>
                      <w:rFonts w:hint="default" w:ascii="Times New Roman" w:hAnsi="Times New Roman" w:eastAsia="宋体" w:cs="Times New Roman"/>
                      <w:sz w:val="21"/>
                      <w:szCs w:val="21"/>
                      <w:highlight w:val="none"/>
                      <w:u w:val="none" w:color="auto"/>
                      <w:vertAlign w:val="baseline"/>
                      <w:lang w:val="en-US" w:eastAsia="zh-CN"/>
                    </w:rPr>
                    <w:t>风机</w:t>
                  </w:r>
                </w:p>
              </w:tc>
              <w:tc>
                <w:tcPr>
                  <w:tcW w:w="652" w:type="pct"/>
                  <w:tcBorders>
                    <w:tl2br w:val="nil"/>
                    <w:tr2bl w:val="nil"/>
                  </w:tcBorders>
                  <w:noWrap w:val="0"/>
                  <w:vAlign w:val="bottom"/>
                </w:tcPr>
                <w:p w14:paraId="412BCB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36.02</w:t>
                  </w:r>
                </w:p>
              </w:tc>
              <w:tc>
                <w:tcPr>
                  <w:tcW w:w="655" w:type="pct"/>
                  <w:tcBorders>
                    <w:tl2br w:val="nil"/>
                    <w:tr2bl w:val="nil"/>
                  </w:tcBorders>
                  <w:noWrap w:val="0"/>
                  <w:vAlign w:val="bottom"/>
                </w:tcPr>
                <w:p w14:paraId="75093A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42.04</w:t>
                  </w:r>
                </w:p>
              </w:tc>
              <w:tc>
                <w:tcPr>
                  <w:tcW w:w="658" w:type="pct"/>
                  <w:tcBorders>
                    <w:tl2br w:val="nil"/>
                    <w:tr2bl w:val="nil"/>
                  </w:tcBorders>
                  <w:noWrap w:val="0"/>
                  <w:vAlign w:val="bottom"/>
                </w:tcPr>
                <w:p w14:paraId="7EC7D6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 xml:space="preserve">56.02 </w:t>
                  </w:r>
                </w:p>
              </w:tc>
              <w:tc>
                <w:tcPr>
                  <w:tcW w:w="671" w:type="pct"/>
                  <w:tcBorders>
                    <w:tl2br w:val="nil"/>
                    <w:tr2bl w:val="nil"/>
                  </w:tcBorders>
                  <w:noWrap w:val="0"/>
                  <w:vAlign w:val="bottom"/>
                </w:tcPr>
                <w:p w14:paraId="4DD392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highlight w:val="none"/>
                      <w:u w:val="none" w:color="auto"/>
                      <w:vertAlign w:val="baseline"/>
                      <w:lang w:val="en-US" w:eastAsia="zh-CN"/>
                    </w:rPr>
                  </w:pPr>
                  <w:r>
                    <w:rPr>
                      <w:rFonts w:hint="eastAsia" w:cs="Times New Roman"/>
                      <w:sz w:val="21"/>
                      <w:szCs w:val="21"/>
                      <w:highlight w:val="none"/>
                      <w:u w:val="none" w:color="auto"/>
                      <w:vertAlign w:val="baseline"/>
                      <w:lang w:val="en-US" w:eastAsia="zh-CN"/>
                    </w:rPr>
                    <w:t xml:space="preserve">56.02 </w:t>
                  </w:r>
                </w:p>
              </w:tc>
            </w:tr>
          </w:tbl>
          <w:p w14:paraId="15FF3CB1">
            <w:pPr>
              <w:pStyle w:val="40"/>
              <w:bidi w:val="0"/>
              <w:rPr>
                <w:rFonts w:hint="default"/>
                <w:u w:val="none" w:color="auto"/>
                <w:lang w:val="en-US" w:eastAsia="zh-CN"/>
              </w:rPr>
            </w:pPr>
            <w:r>
              <w:rPr>
                <w:u w:val="none" w:color="auto"/>
              </w:rPr>
              <w:t>项目厂界噪声排放预测结果见表</w:t>
            </w:r>
            <w:r>
              <w:rPr>
                <w:rFonts w:hint="eastAsia"/>
                <w:u w:val="none" w:color="auto"/>
                <w:lang w:val="en-US" w:eastAsia="zh-CN"/>
              </w:rPr>
              <w:t>4-19。</w:t>
            </w:r>
          </w:p>
          <w:p w14:paraId="2C04511D">
            <w:pPr>
              <w:pStyle w:val="42"/>
              <w:bidi w:val="0"/>
              <w:rPr>
                <w:u w:val="none" w:color="auto"/>
              </w:rPr>
            </w:pPr>
            <w:r>
              <w:rPr>
                <w:u w:val="none" w:color="auto"/>
              </w:rPr>
              <w:t>表</w:t>
            </w:r>
            <w:r>
              <w:rPr>
                <w:rFonts w:hint="eastAsia"/>
                <w:u w:val="none" w:color="auto"/>
                <w:lang w:val="en-US" w:eastAsia="zh-CN"/>
              </w:rPr>
              <w:t xml:space="preserve">4-19 </w:t>
            </w:r>
            <w:r>
              <w:rPr>
                <w:u w:val="none" w:color="auto"/>
              </w:rPr>
              <w:t xml:space="preserve"> 项目厂界噪声排放预测结果 单位：dB（A）</w:t>
            </w:r>
          </w:p>
          <w:tbl>
            <w:tblPr>
              <w:tblStyle w:val="33"/>
              <w:tblW w:w="5000"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554"/>
              <w:gridCol w:w="1555"/>
              <w:gridCol w:w="1555"/>
              <w:gridCol w:w="1555"/>
              <w:gridCol w:w="2057"/>
            </w:tblGrid>
            <w:tr w14:paraId="30979C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6" w:hRule="atLeast"/>
              </w:trPr>
              <w:tc>
                <w:tcPr>
                  <w:tcW w:w="939" w:type="pct"/>
                  <w:noWrap w:val="0"/>
                  <w:vAlign w:val="center"/>
                </w:tcPr>
                <w:p w14:paraId="7085AAE1">
                  <w:pPr>
                    <w:pStyle w:val="41"/>
                    <w:bidi w:val="0"/>
                    <w:rPr>
                      <w:u w:val="none" w:color="auto"/>
                    </w:rPr>
                  </w:pPr>
                  <w:r>
                    <w:rPr>
                      <w:u w:val="none" w:color="auto"/>
                    </w:rPr>
                    <w:t>厂界方位</w:t>
                  </w:r>
                </w:p>
              </w:tc>
              <w:tc>
                <w:tcPr>
                  <w:tcW w:w="939" w:type="pct"/>
                  <w:noWrap w:val="0"/>
                  <w:vAlign w:val="center"/>
                </w:tcPr>
                <w:p w14:paraId="0CCE8CC3">
                  <w:pPr>
                    <w:pStyle w:val="41"/>
                    <w:bidi w:val="0"/>
                    <w:rPr>
                      <w:u w:val="none" w:color="auto"/>
                    </w:rPr>
                  </w:pPr>
                  <w:r>
                    <w:rPr>
                      <w:u w:val="none" w:color="auto"/>
                    </w:rPr>
                    <w:t>东</w:t>
                  </w:r>
                  <w:r>
                    <w:rPr>
                      <w:rFonts w:hint="eastAsia"/>
                      <w:u w:val="none" w:color="auto"/>
                    </w:rPr>
                    <w:t>厂界</w:t>
                  </w:r>
                </w:p>
              </w:tc>
              <w:tc>
                <w:tcPr>
                  <w:tcW w:w="939" w:type="pct"/>
                  <w:noWrap w:val="0"/>
                  <w:vAlign w:val="center"/>
                </w:tcPr>
                <w:p w14:paraId="21D51DBB">
                  <w:pPr>
                    <w:pStyle w:val="41"/>
                    <w:bidi w:val="0"/>
                    <w:rPr>
                      <w:u w:val="none" w:color="auto"/>
                    </w:rPr>
                  </w:pPr>
                  <w:r>
                    <w:rPr>
                      <w:u w:val="none" w:color="auto"/>
                    </w:rPr>
                    <w:t>南</w:t>
                  </w:r>
                  <w:r>
                    <w:rPr>
                      <w:rFonts w:hint="eastAsia"/>
                      <w:u w:val="none" w:color="auto"/>
                    </w:rPr>
                    <w:t>厂界</w:t>
                  </w:r>
                </w:p>
              </w:tc>
              <w:tc>
                <w:tcPr>
                  <w:tcW w:w="939" w:type="pct"/>
                  <w:noWrap w:val="0"/>
                  <w:vAlign w:val="center"/>
                </w:tcPr>
                <w:p w14:paraId="71C74441">
                  <w:pPr>
                    <w:pStyle w:val="41"/>
                    <w:bidi w:val="0"/>
                    <w:rPr>
                      <w:u w:val="none" w:color="auto"/>
                    </w:rPr>
                  </w:pPr>
                  <w:r>
                    <w:rPr>
                      <w:u w:val="none" w:color="auto"/>
                    </w:rPr>
                    <w:t>西</w:t>
                  </w:r>
                  <w:r>
                    <w:rPr>
                      <w:rFonts w:hint="eastAsia"/>
                      <w:u w:val="none" w:color="auto"/>
                    </w:rPr>
                    <w:t>厂界</w:t>
                  </w:r>
                </w:p>
              </w:tc>
              <w:tc>
                <w:tcPr>
                  <w:tcW w:w="1242" w:type="pct"/>
                  <w:noWrap w:val="0"/>
                  <w:vAlign w:val="center"/>
                </w:tcPr>
                <w:p w14:paraId="0F39454B">
                  <w:pPr>
                    <w:pStyle w:val="41"/>
                    <w:bidi w:val="0"/>
                    <w:rPr>
                      <w:u w:val="none" w:color="auto"/>
                    </w:rPr>
                  </w:pPr>
                  <w:r>
                    <w:rPr>
                      <w:u w:val="none" w:color="auto"/>
                    </w:rPr>
                    <w:t>北</w:t>
                  </w:r>
                  <w:r>
                    <w:rPr>
                      <w:rFonts w:hint="eastAsia"/>
                      <w:u w:val="none" w:color="auto"/>
                    </w:rPr>
                    <w:t>厂界</w:t>
                  </w:r>
                </w:p>
              </w:tc>
            </w:tr>
            <w:tr w14:paraId="74BF98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40" w:hRule="atLeast"/>
              </w:trPr>
              <w:tc>
                <w:tcPr>
                  <w:tcW w:w="939" w:type="pct"/>
                  <w:noWrap w:val="0"/>
                  <w:vAlign w:val="center"/>
                </w:tcPr>
                <w:p w14:paraId="511B1A3E">
                  <w:pPr>
                    <w:pStyle w:val="41"/>
                    <w:bidi w:val="0"/>
                    <w:rPr>
                      <w:u w:val="none" w:color="auto"/>
                    </w:rPr>
                  </w:pPr>
                  <w:r>
                    <w:rPr>
                      <w:rFonts w:hint="eastAsia"/>
                      <w:u w:val="none" w:color="auto"/>
                    </w:rPr>
                    <w:t>贡献</w:t>
                  </w:r>
                  <w:r>
                    <w:rPr>
                      <w:u w:val="none" w:color="auto"/>
                    </w:rPr>
                    <w:t>值</w:t>
                  </w:r>
                </w:p>
              </w:tc>
              <w:tc>
                <w:tcPr>
                  <w:tcW w:w="939" w:type="pct"/>
                  <w:noWrap w:val="0"/>
                  <w:vAlign w:val="center"/>
                </w:tcPr>
                <w:p w14:paraId="763F12E3">
                  <w:pPr>
                    <w:pStyle w:val="41"/>
                    <w:bidi w:val="0"/>
                    <w:rPr>
                      <w:rFonts w:hint="default" w:eastAsia="宋体"/>
                      <w:u w:val="none" w:color="auto"/>
                      <w:lang w:val="en-US" w:eastAsia="zh-CN"/>
                    </w:rPr>
                  </w:pPr>
                  <w:r>
                    <w:rPr>
                      <w:rFonts w:hint="eastAsia"/>
                      <w:u w:val="none" w:color="auto"/>
                      <w:lang w:val="en-US" w:eastAsia="zh-CN"/>
                    </w:rPr>
                    <w:t>39.96</w:t>
                  </w:r>
                </w:p>
              </w:tc>
              <w:tc>
                <w:tcPr>
                  <w:tcW w:w="939" w:type="pct"/>
                  <w:noWrap w:val="0"/>
                  <w:vAlign w:val="center"/>
                </w:tcPr>
                <w:p w14:paraId="401B69AF">
                  <w:pPr>
                    <w:pStyle w:val="41"/>
                    <w:bidi w:val="0"/>
                    <w:rPr>
                      <w:rFonts w:hint="default"/>
                      <w:u w:val="none" w:color="auto"/>
                      <w:lang w:val="en-US" w:eastAsia="zh-CN"/>
                    </w:rPr>
                  </w:pPr>
                  <w:r>
                    <w:rPr>
                      <w:rFonts w:hint="eastAsia"/>
                      <w:u w:val="none" w:color="auto"/>
                      <w:lang w:val="en-US" w:eastAsia="zh-CN"/>
                    </w:rPr>
                    <w:t>45.31</w:t>
                  </w:r>
                </w:p>
              </w:tc>
              <w:tc>
                <w:tcPr>
                  <w:tcW w:w="939" w:type="pct"/>
                  <w:noWrap w:val="0"/>
                  <w:vAlign w:val="center"/>
                </w:tcPr>
                <w:p w14:paraId="43294D4C">
                  <w:pPr>
                    <w:pStyle w:val="41"/>
                    <w:bidi w:val="0"/>
                    <w:rPr>
                      <w:rFonts w:hint="default"/>
                      <w:u w:val="none" w:color="auto"/>
                      <w:lang w:val="en-US" w:eastAsia="zh-CN"/>
                    </w:rPr>
                  </w:pPr>
                  <w:r>
                    <w:rPr>
                      <w:rFonts w:hint="eastAsia"/>
                      <w:u w:val="none" w:color="auto"/>
                      <w:lang w:val="en-US" w:eastAsia="zh-CN"/>
                    </w:rPr>
                    <w:t>56.10</w:t>
                  </w:r>
                </w:p>
              </w:tc>
              <w:tc>
                <w:tcPr>
                  <w:tcW w:w="1242" w:type="pct"/>
                  <w:noWrap w:val="0"/>
                  <w:vAlign w:val="center"/>
                </w:tcPr>
                <w:p w14:paraId="0A51A06E">
                  <w:pPr>
                    <w:pStyle w:val="41"/>
                    <w:bidi w:val="0"/>
                    <w:rPr>
                      <w:rFonts w:hint="default"/>
                      <w:u w:val="none" w:color="auto"/>
                      <w:lang w:val="en-US" w:eastAsia="zh-CN"/>
                    </w:rPr>
                  </w:pPr>
                  <w:r>
                    <w:rPr>
                      <w:rFonts w:hint="eastAsia"/>
                      <w:u w:val="none" w:color="auto"/>
                      <w:lang w:val="en-US" w:eastAsia="zh-CN"/>
                    </w:rPr>
                    <w:t>56.14</w:t>
                  </w:r>
                </w:p>
              </w:tc>
            </w:tr>
            <w:tr w14:paraId="18D9E5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39" w:type="pct"/>
                  <w:noWrap w:val="0"/>
                  <w:vAlign w:val="center"/>
                </w:tcPr>
                <w:p w14:paraId="35CCB161">
                  <w:pPr>
                    <w:pStyle w:val="41"/>
                    <w:bidi w:val="0"/>
                    <w:rPr>
                      <w:u w:val="none" w:color="auto"/>
                    </w:rPr>
                  </w:pPr>
                  <w:r>
                    <w:rPr>
                      <w:u w:val="none" w:color="auto"/>
                    </w:rPr>
                    <w:t>标准限值</w:t>
                  </w:r>
                </w:p>
              </w:tc>
              <w:tc>
                <w:tcPr>
                  <w:tcW w:w="939" w:type="pct"/>
                  <w:noWrap w:val="0"/>
                  <w:vAlign w:val="center"/>
                </w:tcPr>
                <w:p w14:paraId="5E2F406F">
                  <w:pPr>
                    <w:pStyle w:val="41"/>
                    <w:bidi w:val="0"/>
                    <w:rPr>
                      <w:rFonts w:hint="default"/>
                      <w:u w:val="none" w:color="auto"/>
                      <w:lang w:val="en-US" w:eastAsia="zh-CN"/>
                    </w:rPr>
                  </w:pPr>
                  <w:r>
                    <w:rPr>
                      <w:rFonts w:hint="eastAsia"/>
                      <w:u w:val="none" w:color="auto"/>
                      <w:lang w:val="en-US" w:eastAsia="zh-CN"/>
                    </w:rPr>
                    <w:t>65</w:t>
                  </w:r>
                </w:p>
              </w:tc>
              <w:tc>
                <w:tcPr>
                  <w:tcW w:w="939" w:type="pct"/>
                  <w:noWrap w:val="0"/>
                  <w:vAlign w:val="center"/>
                </w:tcPr>
                <w:p w14:paraId="72A00A62">
                  <w:pPr>
                    <w:bidi w:val="0"/>
                    <w:jc w:val="center"/>
                    <w:rPr>
                      <w:rFonts w:hint="default"/>
                      <w:u w:val="none" w:color="auto"/>
                      <w:lang w:val="en-US" w:eastAsia="zh-CN"/>
                    </w:rPr>
                  </w:pPr>
                  <w:r>
                    <w:rPr>
                      <w:rFonts w:hint="eastAsia"/>
                      <w:u w:val="none" w:color="auto"/>
                      <w:lang w:val="en-US" w:eastAsia="zh-CN"/>
                    </w:rPr>
                    <w:t>65</w:t>
                  </w:r>
                </w:p>
              </w:tc>
              <w:tc>
                <w:tcPr>
                  <w:tcW w:w="939" w:type="pct"/>
                  <w:noWrap w:val="0"/>
                  <w:vAlign w:val="center"/>
                </w:tcPr>
                <w:p w14:paraId="1635EF5E">
                  <w:pPr>
                    <w:bidi w:val="0"/>
                    <w:jc w:val="center"/>
                    <w:rPr>
                      <w:rFonts w:hint="default"/>
                      <w:u w:val="none" w:color="auto"/>
                      <w:lang w:val="en-US"/>
                    </w:rPr>
                  </w:pPr>
                  <w:r>
                    <w:rPr>
                      <w:rFonts w:hint="eastAsia"/>
                      <w:u w:val="none" w:color="auto"/>
                      <w:lang w:val="en-US" w:eastAsia="zh-CN"/>
                    </w:rPr>
                    <w:t>65</w:t>
                  </w:r>
                </w:p>
              </w:tc>
              <w:tc>
                <w:tcPr>
                  <w:tcW w:w="1242" w:type="pct"/>
                  <w:noWrap w:val="0"/>
                  <w:vAlign w:val="center"/>
                </w:tcPr>
                <w:p w14:paraId="66CD62A7">
                  <w:pPr>
                    <w:bidi w:val="0"/>
                    <w:jc w:val="center"/>
                    <w:rPr>
                      <w:rFonts w:hint="default"/>
                      <w:u w:val="none" w:color="auto"/>
                      <w:lang w:val="en-US"/>
                    </w:rPr>
                  </w:pPr>
                  <w:r>
                    <w:rPr>
                      <w:rFonts w:hint="eastAsia"/>
                      <w:u w:val="none" w:color="auto"/>
                      <w:lang w:val="en-US" w:eastAsia="zh-CN"/>
                    </w:rPr>
                    <w:t>65</w:t>
                  </w:r>
                </w:p>
              </w:tc>
            </w:tr>
            <w:tr w14:paraId="06216A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39" w:type="pct"/>
                  <w:noWrap w:val="0"/>
                  <w:vAlign w:val="center"/>
                </w:tcPr>
                <w:p w14:paraId="1C7439D4">
                  <w:pPr>
                    <w:pStyle w:val="41"/>
                    <w:bidi w:val="0"/>
                    <w:rPr>
                      <w:u w:val="none" w:color="auto"/>
                    </w:rPr>
                  </w:pPr>
                  <w:r>
                    <w:rPr>
                      <w:u w:val="none" w:color="auto"/>
                    </w:rPr>
                    <w:t>是否达标</w:t>
                  </w:r>
                </w:p>
              </w:tc>
              <w:tc>
                <w:tcPr>
                  <w:tcW w:w="939" w:type="pct"/>
                  <w:noWrap w:val="0"/>
                  <w:vAlign w:val="center"/>
                </w:tcPr>
                <w:p w14:paraId="71398757">
                  <w:pPr>
                    <w:pStyle w:val="41"/>
                    <w:bidi w:val="0"/>
                    <w:rPr>
                      <w:u w:val="none" w:color="auto"/>
                    </w:rPr>
                  </w:pPr>
                  <w:r>
                    <w:rPr>
                      <w:u w:val="none" w:color="auto"/>
                    </w:rPr>
                    <w:t>达标</w:t>
                  </w:r>
                </w:p>
              </w:tc>
              <w:tc>
                <w:tcPr>
                  <w:tcW w:w="939" w:type="pct"/>
                  <w:noWrap w:val="0"/>
                  <w:vAlign w:val="center"/>
                </w:tcPr>
                <w:p w14:paraId="23D770AC">
                  <w:pPr>
                    <w:pStyle w:val="41"/>
                    <w:bidi w:val="0"/>
                    <w:rPr>
                      <w:u w:val="none" w:color="auto"/>
                    </w:rPr>
                  </w:pPr>
                  <w:r>
                    <w:rPr>
                      <w:u w:val="none" w:color="auto"/>
                    </w:rPr>
                    <w:t>达标</w:t>
                  </w:r>
                </w:p>
              </w:tc>
              <w:tc>
                <w:tcPr>
                  <w:tcW w:w="939" w:type="pct"/>
                  <w:noWrap w:val="0"/>
                  <w:vAlign w:val="center"/>
                </w:tcPr>
                <w:p w14:paraId="079F2464">
                  <w:pPr>
                    <w:pStyle w:val="41"/>
                    <w:bidi w:val="0"/>
                    <w:rPr>
                      <w:u w:val="none" w:color="auto"/>
                    </w:rPr>
                  </w:pPr>
                  <w:r>
                    <w:rPr>
                      <w:u w:val="none" w:color="auto"/>
                    </w:rPr>
                    <w:t>达标</w:t>
                  </w:r>
                </w:p>
              </w:tc>
              <w:tc>
                <w:tcPr>
                  <w:tcW w:w="1242" w:type="pct"/>
                  <w:noWrap w:val="0"/>
                  <w:vAlign w:val="center"/>
                </w:tcPr>
                <w:p w14:paraId="259DF8ED">
                  <w:pPr>
                    <w:pStyle w:val="41"/>
                    <w:bidi w:val="0"/>
                    <w:rPr>
                      <w:u w:val="none" w:color="auto"/>
                    </w:rPr>
                  </w:pPr>
                  <w:r>
                    <w:rPr>
                      <w:u w:val="none" w:color="auto"/>
                    </w:rPr>
                    <w:t>达标</w:t>
                  </w:r>
                </w:p>
              </w:tc>
            </w:tr>
          </w:tbl>
          <w:p w14:paraId="3CF34709">
            <w:pPr>
              <w:pStyle w:val="40"/>
              <w:bidi w:val="0"/>
            </w:pPr>
            <w:r>
              <w:t>根据上述内容可知，本项目运营期间，厂界噪声排放符合《工业企业厂界环境噪声排放标准》（GB12348-2008）中</w:t>
            </w:r>
            <w:r>
              <w:rPr>
                <w:rFonts w:hint="eastAsia"/>
                <w:lang w:val="en-US" w:eastAsia="zh-CN"/>
              </w:rPr>
              <w:t>3</w:t>
            </w:r>
            <w:r>
              <w:t>类标准</w:t>
            </w:r>
            <w:r>
              <w:rPr>
                <w:rFonts w:hint="eastAsia"/>
              </w:rPr>
              <w:t>。</w:t>
            </w:r>
          </w:p>
          <w:p w14:paraId="66E2DF84">
            <w:pPr>
              <w:pStyle w:val="40"/>
              <w:bidi w:val="0"/>
              <w:rPr>
                <w:u w:val="none" w:color="auto"/>
              </w:rPr>
            </w:pPr>
            <w:r>
              <w:rPr>
                <w:u w:val="none" w:color="auto"/>
              </w:rPr>
              <w:t>综上所述，本项目噪声均为达标排放，不会对项目所在区域声环境造成影响。</w:t>
            </w:r>
          </w:p>
          <w:p w14:paraId="0003B272">
            <w:pPr>
              <w:pStyle w:val="40"/>
              <w:bidi w:val="0"/>
              <w:rPr>
                <w:b/>
                <w:bCs/>
                <w:u w:val="none" w:color="auto"/>
              </w:rPr>
            </w:pPr>
            <w:r>
              <w:rPr>
                <w:b/>
                <w:bCs/>
                <w:u w:val="none" w:color="auto"/>
              </w:rPr>
              <w:t>4、噪声监测计划</w:t>
            </w:r>
          </w:p>
          <w:p w14:paraId="3F8B24B6">
            <w:pPr>
              <w:spacing w:line="360" w:lineRule="auto"/>
              <w:ind w:firstLine="480" w:firstLineChars="200"/>
              <w:rPr>
                <w:sz w:val="24"/>
              </w:rPr>
            </w:pPr>
            <w:r>
              <w:rPr>
                <w:rFonts w:hint="eastAsia" w:ascii="Times New Roman" w:hAnsi="Times New Roman"/>
                <w:b w:val="0"/>
                <w:bCs w:val="0"/>
                <w:color w:val="000000" w:themeColor="text1"/>
                <w:sz w:val="24"/>
                <w:szCs w:val="24"/>
                <w:u w:val="none" w:color="auto"/>
                <w14:textFill>
                  <w14:solidFill>
                    <w14:schemeClr w14:val="tx1"/>
                  </w14:solidFill>
                </w14:textFill>
              </w:rPr>
              <w:t>根据《固定污染源排污许可分类管理名录(2019年版)》，本项目为电阻电容电感元件制造，属于登记管理，</w:t>
            </w:r>
            <w:r>
              <w:rPr>
                <w:rFonts w:hint="eastAsia"/>
                <w:b w:val="0"/>
                <w:bCs w:val="0"/>
                <w:color w:val="000000" w:themeColor="text1"/>
                <w:sz w:val="24"/>
                <w:szCs w:val="24"/>
                <w:u w:val="none" w:color="auto"/>
                <w:lang w:val="en-US" w:eastAsia="zh-CN"/>
                <w14:textFill>
                  <w14:solidFill>
                    <w14:schemeClr w14:val="tx1"/>
                  </w14:solidFill>
                </w14:textFill>
              </w:rPr>
              <w:t>结合</w:t>
            </w:r>
            <w:r>
              <w:rPr>
                <w:rFonts w:hint="eastAsia" w:ascii="Times New Roman" w:hAnsi="Times New Roman"/>
                <w:b w:val="0"/>
                <w:bCs w:val="0"/>
                <w:color w:val="000000" w:themeColor="text1"/>
                <w:u w:val="single" w:color="auto"/>
                <w14:textFill>
                  <w14:solidFill>
                    <w14:schemeClr w14:val="tx1"/>
                  </w14:solidFill>
                </w14:textFill>
              </w:rPr>
              <w:t>《排污单位自行监测技术指南 总则》（HJ819-2017）、《排污许可证申请与核发技术规范 工业噪声》（HJ1301-2023）</w:t>
            </w:r>
            <w:r>
              <w:rPr>
                <w:rFonts w:hint="eastAsia"/>
                <w:b w:val="0"/>
                <w:bCs w:val="0"/>
                <w:color w:val="000000" w:themeColor="text1"/>
                <w:u w:val="single" w:color="auto"/>
                <w:lang w:eastAsia="zh-CN"/>
                <w14:textFill>
                  <w14:solidFill>
                    <w14:schemeClr w14:val="tx1"/>
                  </w14:solidFill>
                </w14:textFill>
              </w:rPr>
              <w:t>、</w:t>
            </w:r>
            <w:r>
              <w:rPr>
                <w:rFonts w:hint="eastAsia"/>
                <w:b w:val="0"/>
                <w:bCs w:val="0"/>
                <w:color w:val="000000" w:themeColor="text1"/>
                <w:sz w:val="24"/>
                <w:szCs w:val="24"/>
                <w:u w:val="single" w:color="auto"/>
                <w:lang w:eastAsia="zh-CN"/>
                <w14:textFill>
                  <w14:solidFill>
                    <w14:schemeClr w14:val="tx1"/>
                  </w14:solidFill>
                </w14:textFill>
              </w:rPr>
              <w:t>《排污单位自行监测技术指南电子工业》（HJ1253-2022）</w:t>
            </w:r>
            <w:r>
              <w:rPr>
                <w:rFonts w:hint="eastAsia" w:ascii="Times New Roman" w:hAnsi="Times New Roman"/>
                <w:b w:val="0"/>
                <w:bCs w:val="0"/>
                <w:color w:val="000000" w:themeColor="text1"/>
                <w:u w:val="single" w:color="auto"/>
                <w14:textFill>
                  <w14:solidFill>
                    <w14:schemeClr w14:val="tx1"/>
                  </w14:solidFill>
                </w14:textFill>
              </w:rPr>
              <w:t>，</w:t>
            </w:r>
            <w:r>
              <w:rPr>
                <w:sz w:val="24"/>
                <w:u w:val="single" w:color="auto"/>
              </w:rPr>
              <w:t>本项目运营期噪声环境监测计划见表4-</w:t>
            </w:r>
            <w:r>
              <w:rPr>
                <w:rFonts w:hint="eastAsia"/>
                <w:sz w:val="24"/>
                <w:u w:val="single" w:color="auto"/>
                <w:lang w:val="en-US" w:eastAsia="zh-CN"/>
              </w:rPr>
              <w:t>20</w:t>
            </w:r>
            <w:r>
              <w:rPr>
                <w:sz w:val="24"/>
                <w:u w:val="single" w:color="auto"/>
              </w:rPr>
              <w:t>。</w:t>
            </w:r>
          </w:p>
          <w:p w14:paraId="580C396D">
            <w:pPr>
              <w:pStyle w:val="42"/>
              <w:bidi w:val="0"/>
            </w:pPr>
            <w:r>
              <w:t>表4-</w:t>
            </w:r>
            <w:r>
              <w:rPr>
                <w:rFonts w:hint="eastAsia"/>
                <w:lang w:val="en-US" w:eastAsia="zh-CN"/>
              </w:rPr>
              <w:t>20</w:t>
            </w:r>
            <w:r>
              <w:rPr>
                <w:rFonts w:hint="eastAsia"/>
              </w:rPr>
              <w:t xml:space="preserve"> </w:t>
            </w:r>
            <w:r>
              <w:t xml:space="preserve"> 项目运营期噪声环境监测计划</w:t>
            </w:r>
          </w:p>
          <w:tbl>
            <w:tblPr>
              <w:tblStyle w:val="33"/>
              <w:tblW w:w="827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681"/>
              <w:gridCol w:w="1278"/>
              <w:gridCol w:w="1446"/>
              <w:gridCol w:w="1077"/>
              <w:gridCol w:w="3794"/>
            </w:tblGrid>
            <w:tr w14:paraId="70B560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6" w:hRule="atLeast"/>
              </w:trPr>
              <w:tc>
                <w:tcPr>
                  <w:tcW w:w="681" w:type="dxa"/>
                  <w:vAlign w:val="center"/>
                </w:tcPr>
                <w:p w14:paraId="6803E63C">
                  <w:pPr>
                    <w:pStyle w:val="41"/>
                    <w:bidi w:val="0"/>
                  </w:pPr>
                  <w:r>
                    <w:t>类型</w:t>
                  </w:r>
                </w:p>
              </w:tc>
              <w:tc>
                <w:tcPr>
                  <w:tcW w:w="1278" w:type="dxa"/>
                  <w:vAlign w:val="center"/>
                </w:tcPr>
                <w:p w14:paraId="78A46B41">
                  <w:pPr>
                    <w:pStyle w:val="41"/>
                    <w:bidi w:val="0"/>
                  </w:pPr>
                  <w:r>
                    <w:t>监测点位</w:t>
                  </w:r>
                </w:p>
              </w:tc>
              <w:tc>
                <w:tcPr>
                  <w:tcW w:w="1446" w:type="dxa"/>
                  <w:vAlign w:val="center"/>
                </w:tcPr>
                <w:p w14:paraId="56B38630">
                  <w:pPr>
                    <w:pStyle w:val="41"/>
                    <w:bidi w:val="0"/>
                  </w:pPr>
                  <w:r>
                    <w:t>监测指标</w:t>
                  </w:r>
                </w:p>
              </w:tc>
              <w:tc>
                <w:tcPr>
                  <w:tcW w:w="1077" w:type="dxa"/>
                  <w:vAlign w:val="center"/>
                </w:tcPr>
                <w:p w14:paraId="402FB6BB">
                  <w:pPr>
                    <w:pStyle w:val="41"/>
                    <w:bidi w:val="0"/>
                  </w:pPr>
                  <w:r>
                    <w:t>监测频次</w:t>
                  </w:r>
                </w:p>
              </w:tc>
              <w:tc>
                <w:tcPr>
                  <w:tcW w:w="3794" w:type="dxa"/>
                  <w:vAlign w:val="center"/>
                </w:tcPr>
                <w:p w14:paraId="0181EEDE">
                  <w:pPr>
                    <w:pStyle w:val="41"/>
                    <w:bidi w:val="0"/>
                  </w:pPr>
                  <w:r>
                    <w:t>执行标准</w:t>
                  </w:r>
                </w:p>
              </w:tc>
            </w:tr>
            <w:tr w14:paraId="56C88B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trPr>
              <w:tc>
                <w:tcPr>
                  <w:tcW w:w="681" w:type="dxa"/>
                  <w:vAlign w:val="center"/>
                </w:tcPr>
                <w:p w14:paraId="793DAB17">
                  <w:pPr>
                    <w:pStyle w:val="41"/>
                    <w:bidi w:val="0"/>
                  </w:pPr>
                  <w:r>
                    <w:t>噪声</w:t>
                  </w:r>
                </w:p>
              </w:tc>
              <w:tc>
                <w:tcPr>
                  <w:tcW w:w="1278" w:type="dxa"/>
                  <w:vAlign w:val="center"/>
                </w:tcPr>
                <w:p w14:paraId="4DD993A8">
                  <w:pPr>
                    <w:pStyle w:val="41"/>
                    <w:bidi w:val="0"/>
                    <w:rPr>
                      <w:rFonts w:hint="eastAsia" w:eastAsia="宋体"/>
                      <w:lang w:eastAsia="zh-CN"/>
                    </w:rPr>
                  </w:pPr>
                  <w:r>
                    <w:rPr>
                      <w:rFonts w:hint="eastAsia"/>
                    </w:rPr>
                    <w:t>厂界</w:t>
                  </w:r>
                  <w:r>
                    <w:rPr>
                      <w:rFonts w:hint="eastAsia"/>
                      <w:lang w:val="en-US" w:eastAsia="zh-CN"/>
                    </w:rPr>
                    <w:t>四周</w:t>
                  </w:r>
                </w:p>
              </w:tc>
              <w:tc>
                <w:tcPr>
                  <w:tcW w:w="1446" w:type="dxa"/>
                  <w:vAlign w:val="center"/>
                </w:tcPr>
                <w:p w14:paraId="2F026914">
                  <w:pPr>
                    <w:pStyle w:val="41"/>
                    <w:bidi w:val="0"/>
                  </w:pPr>
                  <w:r>
                    <w:t>等效A声级</w:t>
                  </w:r>
                </w:p>
              </w:tc>
              <w:tc>
                <w:tcPr>
                  <w:tcW w:w="1077" w:type="dxa"/>
                  <w:vAlign w:val="center"/>
                </w:tcPr>
                <w:p w14:paraId="0A85DDF7">
                  <w:pPr>
                    <w:pStyle w:val="41"/>
                    <w:bidi w:val="0"/>
                  </w:pPr>
                  <w:r>
                    <w:t>1次/季度</w:t>
                  </w:r>
                </w:p>
              </w:tc>
              <w:tc>
                <w:tcPr>
                  <w:tcW w:w="3794" w:type="dxa"/>
                  <w:vAlign w:val="center"/>
                </w:tcPr>
                <w:p w14:paraId="4CA0FAF6">
                  <w:pPr>
                    <w:pStyle w:val="41"/>
                    <w:bidi w:val="0"/>
                  </w:pPr>
                  <w:r>
                    <w:t>《工业企业厂界环境噪声排放标准》（GB12348-2008）</w:t>
                  </w:r>
                  <w:r>
                    <w:rPr>
                      <w:rFonts w:hint="eastAsia"/>
                      <w:lang w:val="en-US" w:eastAsia="zh-CN"/>
                    </w:rPr>
                    <w:t>3</w:t>
                  </w:r>
                  <w:r>
                    <w:t>类标准</w:t>
                  </w:r>
                </w:p>
              </w:tc>
            </w:tr>
          </w:tbl>
          <w:p w14:paraId="0B3FB4A1">
            <w:pPr>
              <w:pStyle w:val="40"/>
              <w:bidi w:val="0"/>
              <w:rPr>
                <w:b/>
                <w:bCs/>
                <w:u w:val="none" w:color="auto"/>
              </w:rPr>
            </w:pPr>
            <w:r>
              <w:rPr>
                <w:rFonts w:hint="eastAsia"/>
                <w:b/>
                <w:bCs/>
                <w:u w:val="none" w:color="auto"/>
              </w:rPr>
              <w:t>四、固体废物</w:t>
            </w:r>
          </w:p>
          <w:p w14:paraId="13CD5EB2">
            <w:pPr>
              <w:pStyle w:val="40"/>
              <w:bidi w:val="0"/>
              <w:rPr>
                <w:rFonts w:hint="eastAsia"/>
                <w:b/>
                <w:bCs/>
                <w:u w:val="none" w:color="auto"/>
              </w:rPr>
            </w:pPr>
            <w:r>
              <w:rPr>
                <w:rFonts w:hint="eastAsia"/>
                <w:b/>
                <w:bCs/>
                <w:u w:val="none" w:color="auto"/>
                <w:lang w:val="en-US" w:eastAsia="zh-CN"/>
              </w:rPr>
              <w:t>1、</w:t>
            </w:r>
            <w:r>
              <w:rPr>
                <w:rFonts w:hint="eastAsia"/>
                <w:b/>
                <w:bCs/>
                <w:u w:val="none" w:color="auto"/>
              </w:rPr>
              <w:t>固体废物产生及处置情况</w:t>
            </w:r>
          </w:p>
          <w:p w14:paraId="7CEB2298">
            <w:pPr>
              <w:pStyle w:val="40"/>
              <w:bidi w:val="0"/>
              <w:rPr>
                <w:rFonts w:hint="eastAsia"/>
                <w:u w:val="none" w:color="auto"/>
              </w:rPr>
            </w:pPr>
            <w:r>
              <w:rPr>
                <w:rFonts w:hint="eastAsia"/>
                <w:u w:val="none" w:color="auto"/>
              </w:rPr>
              <w:t>项目运营期主要</w:t>
            </w:r>
            <w:r>
              <w:rPr>
                <w:rFonts w:hint="eastAsia"/>
                <w:highlight w:val="none"/>
                <w:u w:val="none" w:color="auto"/>
              </w:rPr>
              <w:t>固废有</w:t>
            </w:r>
            <w:r>
              <w:rPr>
                <w:rFonts w:hint="eastAsia"/>
                <w:highlight w:val="none"/>
                <w:u w:val="none" w:color="auto"/>
                <w:lang w:val="en-US" w:eastAsia="zh-CN"/>
              </w:rPr>
              <w:t>废铜线边角料、不合格品、锡渣、废原料桶、废过滤棉、废活性炭、废润滑油、废润滑油桶、废含油抹布和手套，和生活垃圾。</w:t>
            </w:r>
          </w:p>
          <w:p w14:paraId="5509286B">
            <w:pPr>
              <w:pStyle w:val="40"/>
              <w:bidi w:val="0"/>
              <w:rPr>
                <w:rFonts w:hint="default" w:ascii="Times New Roman" w:hAnsi="Times New Roman" w:cs="Times New Roman"/>
                <w:b/>
                <w:bCs/>
                <w:highlight w:val="none"/>
                <w:u w:val="none" w:color="auto"/>
                <w:lang w:val="en-US" w:eastAsia="zh-CN"/>
              </w:rPr>
            </w:pPr>
            <w:r>
              <w:rPr>
                <w:rFonts w:hint="default" w:ascii="Times New Roman" w:hAnsi="Times New Roman" w:cs="Times New Roman"/>
                <w:b/>
                <w:bCs/>
                <w:highlight w:val="none"/>
                <w:u w:val="none" w:color="auto"/>
                <w:lang w:eastAsia="zh-CN"/>
              </w:rPr>
              <w:t>（</w:t>
            </w:r>
            <w:r>
              <w:rPr>
                <w:rFonts w:hint="default" w:ascii="Times New Roman" w:hAnsi="Times New Roman" w:cs="Times New Roman"/>
                <w:b/>
                <w:bCs/>
                <w:highlight w:val="none"/>
                <w:u w:val="none" w:color="auto"/>
                <w:lang w:val="en-US" w:eastAsia="zh-CN"/>
              </w:rPr>
              <w:t>1</w:t>
            </w:r>
            <w:r>
              <w:rPr>
                <w:rFonts w:hint="default" w:ascii="Times New Roman" w:hAnsi="Times New Roman" w:cs="Times New Roman"/>
                <w:b/>
                <w:bCs/>
                <w:highlight w:val="none"/>
                <w:u w:val="none" w:color="auto"/>
                <w:lang w:eastAsia="zh-CN"/>
              </w:rPr>
              <w:t>）</w:t>
            </w:r>
            <w:r>
              <w:rPr>
                <w:rFonts w:hint="eastAsia" w:cs="Times New Roman"/>
                <w:b/>
                <w:bCs/>
                <w:highlight w:val="none"/>
                <w:u w:val="none" w:color="auto"/>
                <w:lang w:val="en-US" w:eastAsia="zh-CN"/>
              </w:rPr>
              <w:t>废铜线边角料</w:t>
            </w:r>
          </w:p>
          <w:p w14:paraId="6EFC33AA">
            <w:pPr>
              <w:pStyle w:val="40"/>
              <w:bidi w:val="0"/>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本项目</w:t>
            </w:r>
            <w:r>
              <w:rPr>
                <w:rFonts w:hint="eastAsia" w:cs="Times New Roman"/>
                <w:highlight w:val="none"/>
                <w:u w:val="none" w:color="auto"/>
                <w:lang w:val="en-US" w:eastAsia="zh-CN"/>
              </w:rPr>
              <w:t>理线和切脚工序</w:t>
            </w:r>
            <w:r>
              <w:rPr>
                <w:rFonts w:hint="default" w:ascii="Times New Roman" w:hAnsi="Times New Roman" w:cs="Times New Roman"/>
                <w:highlight w:val="none"/>
                <w:u w:val="none" w:color="auto"/>
                <w:lang w:val="en-US" w:eastAsia="zh-CN"/>
              </w:rPr>
              <w:t>中会产生废</w:t>
            </w:r>
            <w:r>
              <w:rPr>
                <w:rFonts w:hint="eastAsia" w:cs="Times New Roman"/>
                <w:highlight w:val="none"/>
                <w:u w:val="none" w:color="auto"/>
                <w:lang w:val="en-US" w:eastAsia="zh-CN"/>
              </w:rPr>
              <w:t>铜线边角料</w:t>
            </w:r>
            <w:r>
              <w:rPr>
                <w:rFonts w:hint="default" w:ascii="Times New Roman" w:hAnsi="Times New Roman" w:cs="Times New Roman"/>
                <w:highlight w:val="none"/>
                <w:u w:val="none" w:color="auto"/>
                <w:lang w:val="en-US" w:eastAsia="zh-CN"/>
              </w:rPr>
              <w:t>，根据建设单位提供资料，</w:t>
            </w:r>
            <w:r>
              <w:rPr>
                <w:rFonts w:hint="eastAsia" w:cs="Times New Roman"/>
                <w:highlight w:val="none"/>
                <w:u w:val="none" w:color="auto"/>
                <w:lang w:val="en-US" w:eastAsia="zh-CN"/>
              </w:rPr>
              <w:t>废铜线边角料</w:t>
            </w:r>
            <w:r>
              <w:rPr>
                <w:rFonts w:hint="default" w:ascii="Times New Roman" w:hAnsi="Times New Roman" w:cs="Times New Roman"/>
                <w:highlight w:val="none"/>
                <w:u w:val="none" w:color="auto"/>
                <w:lang w:val="en-US" w:eastAsia="zh-CN"/>
              </w:rPr>
              <w:t>产生量</w:t>
            </w:r>
            <w:r>
              <w:rPr>
                <w:rFonts w:hint="eastAsia" w:cs="Times New Roman"/>
                <w:highlight w:val="none"/>
                <w:u w:val="none" w:color="auto"/>
                <w:lang w:val="en-US" w:eastAsia="zh-CN"/>
              </w:rPr>
              <w:t>约</w:t>
            </w:r>
            <w:r>
              <w:rPr>
                <w:rFonts w:hint="default" w:ascii="Times New Roman" w:hAnsi="Times New Roman" w:cs="Times New Roman"/>
                <w:highlight w:val="none"/>
                <w:u w:val="none" w:color="auto"/>
                <w:lang w:val="en-US" w:eastAsia="zh-CN"/>
              </w:rPr>
              <w:t>为</w:t>
            </w:r>
            <w:r>
              <w:rPr>
                <w:rFonts w:hint="default" w:ascii="Times New Roman" w:hAnsi="Times New Roman" w:cs="Times New Roman"/>
                <w:color w:val="auto"/>
                <w:highlight w:val="none"/>
                <w:u w:val="none" w:color="auto"/>
                <w:lang w:val="en-US" w:eastAsia="zh-CN"/>
              </w:rPr>
              <w:t>0.</w:t>
            </w:r>
            <w:r>
              <w:rPr>
                <w:rFonts w:hint="eastAsia" w:cs="Times New Roman"/>
                <w:color w:val="auto"/>
                <w:highlight w:val="none"/>
                <w:u w:val="none" w:color="auto"/>
                <w:lang w:val="en-US" w:eastAsia="zh-CN"/>
              </w:rPr>
              <w:t>2</w:t>
            </w:r>
            <w:r>
              <w:rPr>
                <w:rFonts w:hint="default" w:ascii="Times New Roman" w:hAnsi="Times New Roman" w:cs="Times New Roman"/>
                <w:color w:val="auto"/>
                <w:highlight w:val="none"/>
                <w:u w:val="none" w:color="auto"/>
                <w:lang w:val="en-US" w:eastAsia="zh-CN"/>
              </w:rPr>
              <w:t>t/a</w:t>
            </w:r>
            <w:r>
              <w:rPr>
                <w:rFonts w:hint="eastAsia" w:cs="Times New Roman"/>
                <w:color w:val="auto"/>
                <w:highlight w:val="none"/>
                <w:u w:val="none" w:color="auto"/>
                <w:lang w:val="en-US" w:eastAsia="zh-CN"/>
              </w:rPr>
              <w:t>。</w:t>
            </w:r>
          </w:p>
          <w:p w14:paraId="1D2A42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u w:val="none" w:color="auto"/>
                <w:lang w:val="en-US" w:eastAsia="zh-CN"/>
              </w:rPr>
            </w:pPr>
            <w:r>
              <w:rPr>
                <w:rFonts w:hint="default" w:ascii="Times New Roman" w:hAnsi="Times New Roman" w:eastAsia="宋体" w:cs="Times New Roman"/>
                <w:sz w:val="24"/>
                <w:szCs w:val="24"/>
                <w:lang w:val="en-US" w:eastAsia="zh-CN"/>
              </w:rPr>
              <w:t>根据《固体废物分类与代码目录》（生态环境部[2024]第4号公告）内容，</w:t>
            </w:r>
            <w:r>
              <w:rPr>
                <w:rFonts w:hint="eastAsia" w:cs="Times New Roman"/>
                <w:sz w:val="24"/>
                <w:szCs w:val="24"/>
                <w:lang w:val="en-US" w:eastAsia="zh-CN"/>
              </w:rPr>
              <w:t>废铜线边角料</w:t>
            </w:r>
            <w:r>
              <w:rPr>
                <w:rFonts w:hint="default" w:ascii="Times New Roman" w:hAnsi="Times New Roman" w:eastAsia="宋体" w:cs="Times New Roman"/>
                <w:sz w:val="24"/>
                <w:szCs w:val="24"/>
                <w:lang w:val="en-US" w:eastAsia="zh-CN"/>
              </w:rPr>
              <w:t>一般固废类别为SW</w:t>
            </w:r>
            <w:r>
              <w:rPr>
                <w:rFonts w:hint="eastAsia" w:cs="Times New Roman"/>
                <w:sz w:val="24"/>
                <w:szCs w:val="24"/>
                <w:lang w:val="en-US" w:eastAsia="zh-CN"/>
              </w:rPr>
              <w:t>17可再生类</w:t>
            </w:r>
            <w:r>
              <w:rPr>
                <w:rFonts w:hint="default" w:ascii="Times New Roman" w:hAnsi="Times New Roman" w:eastAsia="宋体" w:cs="Times New Roman"/>
                <w:sz w:val="24"/>
                <w:szCs w:val="24"/>
                <w:lang w:val="en-US" w:eastAsia="zh-CN"/>
              </w:rPr>
              <w:t>废物，代码为900-0</w:t>
            </w:r>
            <w:r>
              <w:rPr>
                <w:rFonts w:hint="eastAsia" w:cs="Times New Roman"/>
                <w:sz w:val="24"/>
                <w:szCs w:val="24"/>
                <w:lang w:val="en-US" w:eastAsia="zh-CN"/>
              </w:rPr>
              <w:t>02</w:t>
            </w:r>
            <w:r>
              <w:rPr>
                <w:rFonts w:hint="default" w:ascii="Times New Roman" w:hAnsi="Times New Roman" w:eastAsia="宋体" w:cs="Times New Roman"/>
                <w:sz w:val="24"/>
                <w:szCs w:val="24"/>
                <w:lang w:val="en-US" w:eastAsia="zh-CN"/>
              </w:rPr>
              <w:t>-S</w:t>
            </w:r>
            <w:r>
              <w:rPr>
                <w:rFonts w:hint="eastAsia" w:cs="Times New Roman"/>
                <w:sz w:val="24"/>
                <w:szCs w:val="24"/>
                <w:lang w:val="en-US" w:eastAsia="zh-CN"/>
              </w:rPr>
              <w:t>17</w:t>
            </w:r>
            <w:r>
              <w:rPr>
                <w:rFonts w:hint="eastAsia"/>
                <w:sz w:val="24"/>
                <w:szCs w:val="24"/>
                <w:lang w:val="en-US" w:eastAsia="zh-CN"/>
              </w:rPr>
              <w:t>，集中收集后</w:t>
            </w:r>
            <w:r>
              <w:rPr>
                <w:rFonts w:hint="default" w:ascii="Times New Roman" w:hAnsi="Times New Roman" w:cs="Times New Roman"/>
                <w:highlight w:val="none"/>
                <w:u w:val="none" w:color="auto"/>
                <w:lang w:val="en-US" w:eastAsia="zh-CN"/>
              </w:rPr>
              <w:t>定期外售废品回收公司。</w:t>
            </w:r>
          </w:p>
          <w:p w14:paraId="05E99CFD">
            <w:pPr>
              <w:pStyle w:val="40"/>
              <w:bidi w:val="0"/>
              <w:rPr>
                <w:rFonts w:hint="default" w:eastAsia="宋体"/>
                <w:b/>
                <w:bCs/>
                <w:u w:val="none" w:color="auto"/>
                <w:lang w:val="en-US" w:eastAsia="zh-CN"/>
              </w:rPr>
            </w:pPr>
            <w:r>
              <w:rPr>
                <w:rFonts w:hint="eastAsia"/>
                <w:b/>
                <w:bCs/>
                <w:highlight w:val="none"/>
                <w:u w:val="none" w:color="auto"/>
                <w:lang w:eastAsia="zh-CN"/>
              </w:rPr>
              <w:t>（</w:t>
            </w:r>
            <w:r>
              <w:rPr>
                <w:rFonts w:hint="eastAsia"/>
                <w:b/>
                <w:bCs/>
                <w:highlight w:val="none"/>
                <w:u w:val="none" w:color="auto"/>
                <w:lang w:val="en-US" w:eastAsia="zh-CN"/>
              </w:rPr>
              <w:t>2</w:t>
            </w:r>
            <w:r>
              <w:rPr>
                <w:rFonts w:hint="eastAsia"/>
                <w:b/>
                <w:bCs/>
                <w:highlight w:val="none"/>
                <w:u w:val="none" w:color="auto"/>
                <w:lang w:eastAsia="zh-CN"/>
              </w:rPr>
              <w:t>）</w:t>
            </w:r>
            <w:r>
              <w:rPr>
                <w:rFonts w:hint="eastAsia"/>
                <w:b/>
                <w:bCs/>
                <w:u w:val="none" w:color="auto"/>
                <w:lang w:val="en-US" w:eastAsia="zh-CN"/>
              </w:rPr>
              <w:t>不合格品</w:t>
            </w:r>
          </w:p>
          <w:p w14:paraId="28C64D68">
            <w:pPr>
              <w:pStyle w:val="40"/>
              <w:bidi w:val="0"/>
              <w:rPr>
                <w:rFonts w:hint="default" w:ascii="Times New Roman" w:hAnsi="Times New Roman" w:cs="Times New Roman"/>
                <w:u w:val="none" w:color="auto"/>
                <w:lang w:val="en-US" w:eastAsia="zh-CN"/>
              </w:rPr>
            </w:pPr>
            <w:r>
              <w:rPr>
                <w:rFonts w:hint="eastAsia"/>
                <w:u w:val="none" w:color="auto"/>
              </w:rPr>
              <w:t>根据建设单位提供资料可知，本项目</w:t>
            </w:r>
            <w:r>
              <w:rPr>
                <w:rFonts w:hint="eastAsia"/>
                <w:u w:val="none" w:color="auto"/>
                <w:lang w:val="en-US" w:eastAsia="zh-CN"/>
              </w:rPr>
              <w:t>成品测试工序会产生不合格品</w:t>
            </w:r>
            <w:r>
              <w:rPr>
                <w:rFonts w:hint="eastAsia"/>
                <w:u w:val="none" w:color="auto"/>
              </w:rPr>
              <w:t>，根据建设单位提供的情况，项目不良品会采用退货、返工、返修等工序合理处置不合格。故项目产生的不合格较少，约为0.</w:t>
            </w:r>
            <w:r>
              <w:rPr>
                <w:rFonts w:hint="eastAsia"/>
                <w:u w:val="none" w:color="auto"/>
                <w:lang w:val="en-US" w:eastAsia="zh-CN"/>
              </w:rPr>
              <w:t>1</w:t>
            </w:r>
            <w:r>
              <w:rPr>
                <w:rFonts w:hint="eastAsia"/>
                <w:u w:val="none" w:color="auto"/>
              </w:rPr>
              <w:t>ta，</w:t>
            </w:r>
            <w:r>
              <w:rPr>
                <w:rFonts w:hint="default" w:ascii="Times New Roman" w:hAnsi="Times New Roman" w:cs="Times New Roman"/>
                <w:highlight w:val="none"/>
                <w:u w:val="none" w:color="auto"/>
                <w:lang w:val="en-US" w:eastAsia="zh-CN"/>
              </w:rPr>
              <w:t>收集后定期外售废品回收公司。</w:t>
            </w:r>
          </w:p>
          <w:p w14:paraId="384A80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bCs/>
                <w:highlight w:val="none"/>
                <w:u w:val="none" w:color="auto"/>
                <w:lang w:eastAsia="zh-CN"/>
              </w:rPr>
            </w:pPr>
            <w:r>
              <w:rPr>
                <w:rFonts w:hint="default" w:ascii="Times New Roman" w:hAnsi="Times New Roman" w:eastAsia="宋体" w:cs="Times New Roman"/>
                <w:sz w:val="24"/>
                <w:szCs w:val="24"/>
                <w:lang w:val="en-US" w:eastAsia="zh-CN"/>
              </w:rPr>
              <w:t>根据《固体废物分类与代码目录》（生态环境部[2024]第4号公告）内容，</w:t>
            </w:r>
            <w:r>
              <w:rPr>
                <w:rFonts w:hint="eastAsia" w:cs="Times New Roman"/>
                <w:sz w:val="24"/>
                <w:szCs w:val="24"/>
                <w:lang w:val="en-US" w:eastAsia="zh-CN"/>
              </w:rPr>
              <w:t>废铜线边角料</w:t>
            </w:r>
            <w:r>
              <w:rPr>
                <w:rFonts w:hint="default" w:ascii="Times New Roman" w:hAnsi="Times New Roman" w:eastAsia="宋体" w:cs="Times New Roman"/>
                <w:sz w:val="24"/>
                <w:szCs w:val="24"/>
                <w:lang w:val="en-US" w:eastAsia="zh-CN"/>
              </w:rPr>
              <w:t>一般固废类别为SW</w:t>
            </w:r>
            <w:r>
              <w:rPr>
                <w:rFonts w:hint="eastAsia" w:cs="Times New Roman"/>
                <w:sz w:val="24"/>
                <w:szCs w:val="24"/>
                <w:lang w:val="en-US" w:eastAsia="zh-CN"/>
              </w:rPr>
              <w:t>17可再生类</w:t>
            </w:r>
            <w:r>
              <w:rPr>
                <w:rFonts w:hint="default" w:ascii="Times New Roman" w:hAnsi="Times New Roman" w:eastAsia="宋体" w:cs="Times New Roman"/>
                <w:sz w:val="24"/>
                <w:szCs w:val="24"/>
                <w:lang w:val="en-US" w:eastAsia="zh-CN"/>
              </w:rPr>
              <w:t>废物，代码为900-0</w:t>
            </w:r>
            <w:r>
              <w:rPr>
                <w:rFonts w:hint="eastAsia" w:cs="Times New Roman"/>
                <w:sz w:val="24"/>
                <w:szCs w:val="24"/>
                <w:lang w:val="en-US" w:eastAsia="zh-CN"/>
              </w:rPr>
              <w:t>08</w:t>
            </w:r>
            <w:r>
              <w:rPr>
                <w:rFonts w:hint="default" w:ascii="Times New Roman" w:hAnsi="Times New Roman" w:eastAsia="宋体" w:cs="Times New Roman"/>
                <w:sz w:val="24"/>
                <w:szCs w:val="24"/>
                <w:lang w:val="en-US" w:eastAsia="zh-CN"/>
              </w:rPr>
              <w:t>-S</w:t>
            </w:r>
            <w:r>
              <w:rPr>
                <w:rFonts w:hint="eastAsia" w:cs="Times New Roman"/>
                <w:sz w:val="24"/>
                <w:szCs w:val="24"/>
                <w:lang w:val="en-US" w:eastAsia="zh-CN"/>
              </w:rPr>
              <w:t>17</w:t>
            </w:r>
            <w:r>
              <w:rPr>
                <w:rFonts w:hint="eastAsia"/>
                <w:sz w:val="24"/>
                <w:szCs w:val="24"/>
                <w:lang w:val="en-US" w:eastAsia="zh-CN"/>
              </w:rPr>
              <w:t>，集中收集后</w:t>
            </w:r>
            <w:r>
              <w:rPr>
                <w:rFonts w:hint="default" w:ascii="Times New Roman" w:hAnsi="Times New Roman" w:cs="Times New Roman"/>
                <w:highlight w:val="none"/>
                <w:u w:val="none" w:color="auto"/>
                <w:lang w:val="en-US" w:eastAsia="zh-CN"/>
              </w:rPr>
              <w:t>定期外售废品回收公司。</w:t>
            </w:r>
          </w:p>
          <w:p w14:paraId="169A6900">
            <w:pPr>
              <w:pStyle w:val="40"/>
              <w:bidi w:val="0"/>
              <w:rPr>
                <w:rFonts w:hint="default" w:eastAsia="宋体"/>
                <w:b/>
                <w:bCs/>
                <w:u w:val="none" w:color="auto"/>
                <w:lang w:val="en-US" w:eastAsia="zh-CN"/>
              </w:rPr>
            </w:pPr>
            <w:r>
              <w:rPr>
                <w:rFonts w:hint="eastAsia"/>
                <w:b/>
                <w:bCs/>
                <w:highlight w:val="none"/>
                <w:u w:val="none" w:color="auto"/>
                <w:lang w:eastAsia="zh-CN"/>
              </w:rPr>
              <w:t>（</w:t>
            </w:r>
            <w:r>
              <w:rPr>
                <w:rFonts w:hint="eastAsia"/>
                <w:b/>
                <w:bCs/>
                <w:highlight w:val="none"/>
                <w:u w:val="none" w:color="auto"/>
                <w:lang w:val="en-US" w:eastAsia="zh-CN"/>
              </w:rPr>
              <w:t>3</w:t>
            </w:r>
            <w:r>
              <w:rPr>
                <w:rFonts w:hint="eastAsia"/>
                <w:b/>
                <w:bCs/>
                <w:highlight w:val="none"/>
                <w:u w:val="none" w:color="auto"/>
                <w:lang w:eastAsia="zh-CN"/>
              </w:rPr>
              <w:t>）</w:t>
            </w:r>
            <w:r>
              <w:rPr>
                <w:rFonts w:hint="eastAsia"/>
                <w:b/>
                <w:bCs/>
                <w:highlight w:val="none"/>
                <w:u w:val="none" w:color="auto"/>
                <w:lang w:val="en-US" w:eastAsia="zh-CN"/>
              </w:rPr>
              <w:t>锡渣</w:t>
            </w:r>
          </w:p>
          <w:p w14:paraId="1FB50C3B">
            <w:pPr>
              <w:pStyle w:val="40"/>
              <w:bidi w:val="0"/>
              <w:rPr>
                <w:rFonts w:hint="default" w:ascii="Times New Roman" w:hAnsi="Times New Roman" w:cs="Times New Roman"/>
                <w:u w:val="none" w:color="auto"/>
                <w:lang w:val="en-US" w:eastAsia="zh-CN"/>
              </w:rPr>
            </w:pPr>
            <w:r>
              <w:rPr>
                <w:rFonts w:hint="eastAsia"/>
                <w:u w:val="none" w:color="auto"/>
              </w:rPr>
              <w:t>根据建设单位提供资料可知，本项目</w:t>
            </w:r>
            <w:r>
              <w:rPr>
                <w:rFonts w:hint="eastAsia"/>
                <w:u w:val="none" w:color="auto"/>
                <w:lang w:val="en-US" w:eastAsia="zh-CN"/>
              </w:rPr>
              <w:t>焊锡过程中产生少量锡渣</w:t>
            </w:r>
            <w:r>
              <w:rPr>
                <w:rFonts w:hint="eastAsia"/>
                <w:u w:val="none" w:color="auto"/>
              </w:rPr>
              <w:t>，根据建设单位提供的情况，约为0.</w:t>
            </w:r>
            <w:r>
              <w:rPr>
                <w:rFonts w:hint="eastAsia"/>
                <w:u w:val="none" w:color="auto"/>
                <w:lang w:val="en-US" w:eastAsia="zh-CN"/>
              </w:rPr>
              <w:t>01</w:t>
            </w:r>
            <w:r>
              <w:rPr>
                <w:rFonts w:hint="eastAsia"/>
                <w:u w:val="none" w:color="auto"/>
              </w:rPr>
              <w:t>ta</w:t>
            </w:r>
            <w:r>
              <w:rPr>
                <w:rFonts w:hint="default" w:ascii="Times New Roman" w:hAnsi="Times New Roman" w:cs="Times New Roman"/>
                <w:highlight w:val="none"/>
                <w:u w:val="none" w:color="auto"/>
                <w:lang w:val="en-US" w:eastAsia="zh-CN"/>
              </w:rPr>
              <w:t>。</w:t>
            </w:r>
          </w:p>
          <w:p w14:paraId="16E2B7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b/>
                <w:bCs/>
                <w:highlight w:val="none"/>
                <w:u w:val="none" w:color="auto"/>
                <w:lang w:eastAsia="zh-CN"/>
              </w:rPr>
            </w:pPr>
            <w:r>
              <w:rPr>
                <w:rFonts w:hint="default" w:ascii="Times New Roman" w:hAnsi="Times New Roman" w:eastAsia="宋体" w:cs="Times New Roman"/>
                <w:sz w:val="24"/>
                <w:szCs w:val="24"/>
                <w:lang w:val="en-US" w:eastAsia="zh-CN"/>
              </w:rPr>
              <w:t>根据《固体废物分类与代码目录》（生态环境部[2024]第4号公告）内容，</w:t>
            </w:r>
            <w:r>
              <w:rPr>
                <w:rFonts w:hint="eastAsia" w:cs="Times New Roman"/>
                <w:sz w:val="24"/>
                <w:szCs w:val="24"/>
                <w:lang w:val="en-US" w:eastAsia="zh-CN"/>
              </w:rPr>
              <w:t>锡渣</w:t>
            </w:r>
            <w:r>
              <w:rPr>
                <w:rFonts w:hint="default" w:ascii="Times New Roman" w:hAnsi="Times New Roman" w:eastAsia="宋体" w:cs="Times New Roman"/>
                <w:sz w:val="24"/>
                <w:szCs w:val="24"/>
                <w:lang w:val="en-US" w:eastAsia="zh-CN"/>
              </w:rPr>
              <w:t>一般固废类别为SW</w:t>
            </w:r>
            <w:r>
              <w:rPr>
                <w:rFonts w:hint="eastAsia" w:cs="Times New Roman"/>
                <w:sz w:val="24"/>
                <w:szCs w:val="24"/>
                <w:lang w:val="en-US" w:eastAsia="zh-CN"/>
              </w:rPr>
              <w:t>17可再生类</w:t>
            </w:r>
            <w:r>
              <w:rPr>
                <w:rFonts w:hint="default" w:ascii="Times New Roman" w:hAnsi="Times New Roman" w:eastAsia="宋体" w:cs="Times New Roman"/>
                <w:sz w:val="24"/>
                <w:szCs w:val="24"/>
                <w:lang w:val="en-US" w:eastAsia="zh-CN"/>
              </w:rPr>
              <w:t>废物，代码为900-0</w:t>
            </w:r>
            <w:r>
              <w:rPr>
                <w:rFonts w:hint="eastAsia" w:cs="Times New Roman"/>
                <w:sz w:val="24"/>
                <w:szCs w:val="24"/>
                <w:lang w:val="en-US" w:eastAsia="zh-CN"/>
              </w:rPr>
              <w:t>02</w:t>
            </w:r>
            <w:r>
              <w:rPr>
                <w:rFonts w:hint="default" w:ascii="Times New Roman" w:hAnsi="Times New Roman" w:eastAsia="宋体" w:cs="Times New Roman"/>
                <w:sz w:val="24"/>
                <w:szCs w:val="24"/>
                <w:lang w:val="en-US" w:eastAsia="zh-CN"/>
              </w:rPr>
              <w:t>-S</w:t>
            </w:r>
            <w:r>
              <w:rPr>
                <w:rFonts w:hint="eastAsia" w:cs="Times New Roman"/>
                <w:sz w:val="24"/>
                <w:szCs w:val="24"/>
                <w:lang w:val="en-US" w:eastAsia="zh-CN"/>
              </w:rPr>
              <w:t>17</w:t>
            </w:r>
            <w:r>
              <w:rPr>
                <w:rFonts w:hint="eastAsia"/>
                <w:sz w:val="24"/>
                <w:szCs w:val="24"/>
                <w:lang w:val="en-US" w:eastAsia="zh-CN"/>
              </w:rPr>
              <w:t>，集中收集后</w:t>
            </w:r>
            <w:r>
              <w:rPr>
                <w:rFonts w:hint="eastAsia" w:ascii="Times New Roman" w:hAnsi="Times New Roman" w:cs="Times New Roman"/>
                <w:highlight w:val="none"/>
                <w:u w:val="none" w:color="auto"/>
                <w:lang w:val="en-US" w:eastAsia="zh-CN"/>
              </w:rPr>
              <w:t>交由厂界回收利用</w:t>
            </w:r>
            <w:r>
              <w:rPr>
                <w:rFonts w:hint="default" w:ascii="Times New Roman" w:hAnsi="Times New Roman" w:cs="Times New Roman"/>
                <w:highlight w:val="none"/>
                <w:u w:val="none" w:color="auto"/>
                <w:lang w:val="en-US" w:eastAsia="zh-CN"/>
              </w:rPr>
              <w:t>。</w:t>
            </w:r>
          </w:p>
          <w:p w14:paraId="3D390169">
            <w:pPr>
              <w:pStyle w:val="40"/>
              <w:bidi w:val="0"/>
              <w:rPr>
                <w:rFonts w:hint="default"/>
                <w:b/>
                <w:bCs/>
                <w:highlight w:val="none"/>
                <w:u w:val="none" w:color="auto"/>
                <w:lang w:val="en-US" w:eastAsia="zh-CN"/>
              </w:rPr>
            </w:pPr>
            <w:r>
              <w:rPr>
                <w:rFonts w:hint="eastAsia"/>
                <w:b/>
                <w:bCs/>
                <w:highlight w:val="none"/>
                <w:u w:val="none" w:color="auto"/>
                <w:lang w:eastAsia="zh-CN"/>
              </w:rPr>
              <w:t>（</w:t>
            </w:r>
            <w:r>
              <w:rPr>
                <w:rFonts w:hint="eastAsia"/>
                <w:b/>
                <w:bCs/>
                <w:highlight w:val="none"/>
                <w:u w:val="none" w:color="auto"/>
                <w:lang w:val="en-US" w:eastAsia="zh-CN"/>
              </w:rPr>
              <w:t>4</w:t>
            </w:r>
            <w:r>
              <w:rPr>
                <w:rFonts w:hint="eastAsia"/>
                <w:b/>
                <w:bCs/>
                <w:highlight w:val="none"/>
                <w:u w:val="none" w:color="auto"/>
                <w:lang w:eastAsia="zh-CN"/>
              </w:rPr>
              <w:t>）</w:t>
            </w:r>
            <w:r>
              <w:rPr>
                <w:rFonts w:hint="eastAsia"/>
                <w:b/>
                <w:bCs/>
                <w:highlight w:val="none"/>
                <w:u w:val="none" w:color="auto"/>
                <w:lang w:val="en-US" w:eastAsia="zh-CN"/>
              </w:rPr>
              <w:t>废过滤棉</w:t>
            </w:r>
          </w:p>
          <w:p w14:paraId="48367E49">
            <w:pPr>
              <w:pStyle w:val="60"/>
              <w:keepNext w:val="0"/>
              <w:keepLines w:val="0"/>
              <w:pageBreakBefore w:val="0"/>
              <w:widowControl w:val="0"/>
              <w:kinsoku/>
              <w:wordWrap/>
              <w:overflowPunct/>
              <w:topLinePunct w:val="0"/>
              <w:bidi w:val="0"/>
              <w:adjustRightInd/>
              <w:snapToGrid/>
              <w:ind w:firstLine="480" w:firstLineChars="200"/>
              <w:textAlignment w:val="auto"/>
              <w:rPr>
                <w:rFonts w:hint="eastAsia" w:ascii="宋体" w:hAnsi="宋体" w:eastAsia="宋体" w:cs="宋体"/>
                <w:color w:val="auto"/>
                <w:kern w:val="0"/>
                <w:u w:val="single" w:color="auto"/>
                <w:lang w:eastAsia="zh-CN" w:bidi="ar"/>
              </w:rPr>
            </w:pPr>
            <w:r>
              <w:rPr>
                <w:rFonts w:hint="default" w:ascii="Times New Roman" w:hAnsi="Times New Roman" w:cs="Times New Roman"/>
                <w:color w:val="auto"/>
                <w:kern w:val="0"/>
                <w:u w:val="single" w:color="auto"/>
                <w:lang w:bidi="ar"/>
              </w:rPr>
              <w:t>本项目</w:t>
            </w:r>
            <w:r>
              <w:rPr>
                <w:rFonts w:hint="eastAsia" w:ascii="Times New Roman" w:hAnsi="Times New Roman" w:cs="Times New Roman"/>
                <w:color w:val="auto"/>
                <w:kern w:val="0"/>
                <w:u w:val="single" w:color="auto"/>
                <w:lang w:val="en-US" w:eastAsia="zh-CN" w:bidi="ar"/>
              </w:rPr>
              <w:t>焊锡废气颗粒物、锡及其化合物</w:t>
            </w:r>
            <w:r>
              <w:rPr>
                <w:rFonts w:hint="default" w:ascii="Times New Roman" w:hAnsi="Times New Roman" w:cs="Times New Roman"/>
                <w:color w:val="auto"/>
                <w:kern w:val="0"/>
                <w:u w:val="single" w:color="auto"/>
                <w:lang w:bidi="ar"/>
              </w:rPr>
              <w:t>处理过程中使用干式过滤棉进行处理，干式过滤棉对</w:t>
            </w:r>
            <w:r>
              <w:rPr>
                <w:rFonts w:hint="eastAsia" w:ascii="Times New Roman" w:hAnsi="Times New Roman" w:cs="Times New Roman"/>
                <w:color w:val="auto"/>
                <w:kern w:val="0"/>
                <w:u w:val="single" w:color="auto"/>
                <w:lang w:val="en-US" w:eastAsia="zh-CN" w:bidi="ar"/>
              </w:rPr>
              <w:t>颗粒物</w:t>
            </w:r>
            <w:r>
              <w:rPr>
                <w:rFonts w:hint="default" w:ascii="Times New Roman" w:hAnsi="Times New Roman" w:cs="Times New Roman"/>
                <w:color w:val="auto"/>
                <w:kern w:val="0"/>
                <w:u w:val="single" w:color="auto"/>
                <w:lang w:bidi="ar"/>
              </w:rPr>
              <w:t>吸附效率为1：0.5，即1kg的过滤棉可吸附0.5kg的</w:t>
            </w:r>
            <w:r>
              <w:rPr>
                <w:rFonts w:hint="eastAsia" w:ascii="Times New Roman" w:hAnsi="Times New Roman" w:cs="Times New Roman"/>
                <w:color w:val="auto"/>
                <w:kern w:val="0"/>
                <w:u w:val="single" w:color="auto"/>
                <w:lang w:val="en-US" w:eastAsia="zh-CN" w:bidi="ar"/>
              </w:rPr>
              <w:t>颗粒物</w:t>
            </w:r>
            <w:r>
              <w:rPr>
                <w:rFonts w:hint="eastAsia" w:hAnsi="宋体" w:cs="宋体"/>
                <w:color w:val="auto"/>
                <w:kern w:val="0"/>
                <w:u w:val="single" w:color="auto"/>
                <w:lang w:eastAsia="zh-CN" w:bidi="ar"/>
              </w:rPr>
              <w:t>。</w:t>
            </w:r>
            <w:r>
              <w:rPr>
                <w:rFonts w:hint="default" w:ascii="Times New Roman" w:hAnsi="Times New Roman" w:cs="Times New Roman"/>
                <w:color w:val="auto"/>
                <w:kern w:val="0"/>
                <w:u w:val="single" w:color="auto"/>
                <w:lang w:bidi="ar"/>
              </w:rPr>
              <w:t>根据前文分析可知</w:t>
            </w:r>
            <w:r>
              <w:rPr>
                <w:rFonts w:hint="eastAsia" w:ascii="Times New Roman" w:hAnsi="Times New Roman" w:cs="Times New Roman"/>
                <w:color w:val="auto"/>
                <w:kern w:val="0"/>
                <w:u w:val="single" w:color="auto"/>
                <w:lang w:val="en-US" w:eastAsia="zh-CN" w:bidi="ar"/>
              </w:rPr>
              <w:t>干式过滤器</w:t>
            </w:r>
            <w:r>
              <w:rPr>
                <w:rFonts w:hint="default" w:ascii="Times New Roman" w:hAnsi="Times New Roman" w:cs="Times New Roman"/>
                <w:color w:val="auto"/>
                <w:kern w:val="0"/>
                <w:u w:val="single" w:color="auto"/>
                <w:lang w:bidi="ar"/>
              </w:rPr>
              <w:t>处理</w:t>
            </w:r>
            <w:r>
              <w:rPr>
                <w:rFonts w:hint="eastAsia" w:ascii="Times New Roman" w:hAnsi="Times New Roman" w:cs="Times New Roman"/>
                <w:color w:val="auto"/>
                <w:kern w:val="0"/>
                <w:u w:val="single" w:color="auto"/>
                <w:lang w:val="en-US" w:eastAsia="zh-CN" w:bidi="ar"/>
              </w:rPr>
              <w:t>颗粒物、锡及其化合物</w:t>
            </w:r>
            <w:r>
              <w:rPr>
                <w:rFonts w:hint="default" w:ascii="Times New Roman" w:hAnsi="Times New Roman" w:cs="Times New Roman"/>
                <w:color w:val="auto"/>
                <w:kern w:val="0"/>
                <w:u w:val="single" w:color="auto"/>
                <w:lang w:bidi="ar"/>
              </w:rPr>
              <w:t>量为</w:t>
            </w:r>
            <w:r>
              <w:rPr>
                <w:rFonts w:hint="eastAsia" w:ascii="Times New Roman" w:hAnsi="Times New Roman" w:cs="Times New Roman"/>
                <w:color w:val="auto"/>
                <w:kern w:val="0"/>
                <w:u w:val="single" w:color="auto"/>
                <w:lang w:val="en-US" w:eastAsia="zh-CN" w:bidi="ar"/>
              </w:rPr>
              <w:t>0.000132</w:t>
            </w:r>
            <w:r>
              <w:rPr>
                <w:rFonts w:hint="default" w:ascii="Times New Roman" w:hAnsi="Times New Roman" w:cs="Times New Roman"/>
                <w:color w:val="auto"/>
                <w:kern w:val="0"/>
                <w:u w:val="single" w:color="auto"/>
                <w:lang w:bidi="ar"/>
              </w:rPr>
              <w:t>t/a，则过滤棉用量为</w:t>
            </w:r>
            <w:r>
              <w:rPr>
                <w:rFonts w:hint="eastAsia" w:ascii="Times New Roman" w:hAnsi="Times New Roman" w:cs="Times New Roman"/>
                <w:color w:val="auto"/>
                <w:kern w:val="0"/>
                <w:u w:val="single" w:color="auto"/>
                <w:lang w:val="en-US" w:eastAsia="zh-CN" w:bidi="ar"/>
              </w:rPr>
              <w:t>0.0003</w:t>
            </w:r>
            <w:r>
              <w:rPr>
                <w:rFonts w:hint="default" w:ascii="Times New Roman" w:hAnsi="Times New Roman" w:cs="Times New Roman"/>
                <w:color w:val="auto"/>
                <w:kern w:val="0"/>
                <w:u w:val="single" w:color="auto"/>
                <w:lang w:bidi="ar"/>
              </w:rPr>
              <w:t>t/a，</w:t>
            </w:r>
            <w:r>
              <w:rPr>
                <w:rFonts w:ascii="Times New Roman" w:hAnsi="Times New Roman" w:cs="Times New Roman"/>
                <w:color w:val="auto"/>
                <w:kern w:val="0"/>
                <w:u w:val="single" w:color="auto"/>
                <w:lang w:bidi="ar"/>
              </w:rPr>
              <w:t>预计年更换次数为</w:t>
            </w:r>
            <w:r>
              <w:rPr>
                <w:rFonts w:hint="eastAsia" w:ascii="Times New Roman" w:hAnsi="Times New Roman" w:cs="Times New Roman"/>
                <w:color w:val="auto"/>
                <w:kern w:val="0"/>
                <w:u w:val="single" w:color="auto"/>
                <w:lang w:val="en-US" w:eastAsia="zh-CN" w:bidi="ar"/>
              </w:rPr>
              <w:t>1</w:t>
            </w:r>
            <w:r>
              <w:rPr>
                <w:rFonts w:ascii="Times New Roman" w:hAnsi="Times New Roman" w:cs="Times New Roman"/>
                <w:color w:val="auto"/>
                <w:kern w:val="0"/>
                <w:u w:val="single" w:color="auto"/>
                <w:lang w:bidi="ar"/>
              </w:rPr>
              <w:t>次</w:t>
            </w:r>
            <w:r>
              <w:rPr>
                <w:rFonts w:hint="eastAsia" w:ascii="Times New Roman" w:cs="Times New Roman"/>
                <w:color w:val="auto"/>
                <w:kern w:val="0"/>
                <w:u w:val="single" w:color="auto"/>
                <w:lang w:eastAsia="zh-CN" w:bidi="ar"/>
              </w:rPr>
              <w:t>，</w:t>
            </w:r>
            <w:r>
              <w:rPr>
                <w:rFonts w:hint="default" w:ascii="Times New Roman" w:hAnsi="Times New Roman" w:cs="Times New Roman"/>
                <w:color w:val="auto"/>
                <w:kern w:val="0"/>
                <w:u w:val="single" w:color="auto"/>
                <w:lang w:bidi="ar"/>
              </w:rPr>
              <w:t>废过滤棉产生量约为</w:t>
            </w:r>
            <w:r>
              <w:rPr>
                <w:rFonts w:hint="eastAsia" w:ascii="Times New Roman" w:hAnsi="Times New Roman" w:cs="Times New Roman"/>
                <w:color w:val="auto"/>
                <w:kern w:val="0"/>
                <w:u w:val="single" w:color="auto"/>
                <w:lang w:val="en-US" w:eastAsia="zh-CN" w:bidi="ar"/>
              </w:rPr>
              <w:t>0.0003</w:t>
            </w:r>
            <w:r>
              <w:rPr>
                <w:rFonts w:hint="default" w:ascii="Times New Roman" w:hAnsi="Times New Roman" w:cs="Times New Roman"/>
                <w:color w:val="auto"/>
                <w:kern w:val="0"/>
                <w:u w:val="single" w:color="auto"/>
                <w:lang w:bidi="ar"/>
              </w:rPr>
              <w:t>t/a</w:t>
            </w:r>
            <w:r>
              <w:rPr>
                <w:rFonts w:hint="eastAsia" w:hAnsi="宋体" w:cs="宋体"/>
                <w:color w:val="auto"/>
                <w:kern w:val="0"/>
                <w:u w:val="single" w:color="auto"/>
                <w:lang w:eastAsia="zh-CN" w:bidi="ar"/>
              </w:rPr>
              <w:t>。</w:t>
            </w:r>
          </w:p>
          <w:p w14:paraId="1AA639F4">
            <w:pPr>
              <w:pStyle w:val="60"/>
              <w:keepNext w:val="0"/>
              <w:keepLines w:val="0"/>
              <w:pageBreakBefore w:val="0"/>
              <w:widowControl w:val="0"/>
              <w:kinsoku/>
              <w:wordWrap/>
              <w:overflowPunct/>
              <w:topLinePunct w:val="0"/>
              <w:bidi w:val="0"/>
              <w:adjustRightInd/>
              <w:snapToGrid/>
              <w:ind w:firstLine="480" w:firstLineChars="200"/>
              <w:textAlignment w:val="auto"/>
              <w:rPr>
                <w:rFonts w:hint="eastAsia"/>
                <w:b/>
                <w:bCs/>
                <w:highlight w:val="none"/>
                <w:u w:val="single" w:color="auto"/>
                <w:lang w:eastAsia="zh-CN"/>
              </w:rPr>
            </w:pPr>
            <w:r>
              <w:rPr>
                <w:rFonts w:hint="eastAsia" w:ascii="宋体" w:hAnsi="宋体" w:cs="宋体"/>
                <w:color w:val="auto"/>
                <w:kern w:val="0"/>
                <w:u w:val="single" w:color="auto"/>
                <w:lang w:bidi="ar"/>
              </w:rPr>
              <w:t>根据《国家危险废物名录》（</w:t>
            </w:r>
            <w:r>
              <w:rPr>
                <w:rFonts w:ascii="Times New Roman" w:hAnsi="Times New Roman" w:cs="Times New Roman"/>
                <w:color w:val="auto"/>
                <w:kern w:val="0"/>
                <w:u w:val="single" w:color="auto"/>
                <w:lang w:bidi="ar"/>
              </w:rPr>
              <w:t>202</w:t>
            </w:r>
            <w:r>
              <w:rPr>
                <w:rFonts w:hint="eastAsia" w:ascii="Times New Roman" w:hAnsi="Times New Roman" w:cs="Times New Roman"/>
                <w:color w:val="auto"/>
                <w:kern w:val="0"/>
                <w:u w:val="single" w:color="auto"/>
                <w:lang w:val="en-US" w:eastAsia="zh-CN" w:bidi="ar"/>
              </w:rPr>
              <w:t>5</w:t>
            </w:r>
            <w:r>
              <w:rPr>
                <w:rFonts w:hint="eastAsia" w:ascii="宋体" w:hAnsi="宋体" w:cs="宋体"/>
                <w:color w:val="auto"/>
                <w:kern w:val="0"/>
                <w:u w:val="single" w:color="auto"/>
                <w:lang w:bidi="ar"/>
              </w:rPr>
              <w:t>年版），</w:t>
            </w:r>
            <w:r>
              <w:rPr>
                <w:rFonts w:hint="default" w:ascii="Times New Roman" w:hAnsi="Times New Roman" w:cs="Times New Roman"/>
                <w:color w:val="auto"/>
                <w:kern w:val="0"/>
                <w:u w:val="single" w:color="auto"/>
                <w:lang w:bidi="ar"/>
              </w:rPr>
              <w:t>废过滤棉</w:t>
            </w:r>
            <w:r>
              <w:rPr>
                <w:rFonts w:hint="eastAsia"/>
                <w:color w:val="auto"/>
                <w:u w:val="single" w:color="auto"/>
                <w:lang w:val="en-US" w:eastAsia="zh-CN"/>
              </w:rPr>
              <w:t>为危险废物，</w:t>
            </w:r>
            <w:r>
              <w:rPr>
                <w:rFonts w:hint="eastAsia" w:ascii="宋体" w:hAnsi="宋体" w:cs="宋体"/>
                <w:color w:val="auto"/>
                <w:kern w:val="0"/>
                <w:u w:val="single" w:color="auto"/>
                <w:lang w:bidi="ar"/>
              </w:rPr>
              <w:t>废过滤棉危废编号为</w:t>
            </w:r>
            <w:r>
              <w:rPr>
                <w:rFonts w:ascii="Times New Roman" w:hAnsi="Times New Roman" w:cs="Times New Roman"/>
                <w:color w:val="auto"/>
                <w:kern w:val="0"/>
                <w:u w:val="single" w:color="auto"/>
                <w:lang w:bidi="ar"/>
              </w:rPr>
              <w:t>HW49</w:t>
            </w:r>
            <w:r>
              <w:rPr>
                <w:rFonts w:hint="eastAsia" w:ascii="Times New Roman" w:hAnsi="Times New Roman" w:cs="Times New Roman"/>
                <w:color w:val="auto"/>
                <w:kern w:val="0"/>
                <w:u w:val="single" w:color="auto"/>
                <w:lang w:val="en-US" w:eastAsia="zh-CN" w:bidi="ar"/>
              </w:rPr>
              <w:t>其他废物</w:t>
            </w:r>
            <w:r>
              <w:rPr>
                <w:rFonts w:hint="eastAsia" w:ascii="宋体" w:hAnsi="宋体" w:cs="宋体"/>
                <w:color w:val="auto"/>
                <w:kern w:val="0"/>
                <w:u w:val="single" w:color="auto"/>
                <w:lang w:bidi="ar"/>
              </w:rPr>
              <w:t>，危废代码为</w:t>
            </w:r>
            <w:r>
              <w:rPr>
                <w:rFonts w:ascii="Times New Roman" w:hAnsi="Times New Roman" w:cs="Times New Roman"/>
                <w:color w:val="auto"/>
                <w:kern w:val="0"/>
                <w:u w:val="single" w:color="auto"/>
                <w:lang w:bidi="ar"/>
              </w:rPr>
              <w:t>900-041-49</w:t>
            </w:r>
            <w:r>
              <w:rPr>
                <w:rFonts w:hint="eastAsia" w:ascii="Times New Roman" w:hAnsi="Times New Roman" w:cs="Times New Roman"/>
                <w:color w:val="auto"/>
                <w:kern w:val="0"/>
                <w:u w:val="single" w:color="auto"/>
                <w:lang w:eastAsia="zh-CN" w:bidi="ar"/>
              </w:rPr>
              <w:t>，</w:t>
            </w:r>
            <w:r>
              <w:rPr>
                <w:rFonts w:hint="eastAsia" w:ascii="宋体" w:hAnsi="宋体" w:cs="宋体"/>
                <w:color w:val="auto"/>
                <w:kern w:val="0"/>
                <w:u w:val="single" w:color="auto"/>
                <w:lang w:bidi="ar"/>
              </w:rPr>
              <w:t>吸附后的废过滤棉暂存于厂区</w:t>
            </w:r>
            <w:r>
              <w:rPr>
                <w:rFonts w:hint="eastAsia" w:ascii="宋体" w:hAnsi="宋体" w:cs="宋体"/>
                <w:color w:val="auto"/>
                <w:kern w:val="0"/>
                <w:u w:val="single" w:color="auto"/>
                <w:lang w:val="en-US" w:eastAsia="zh-CN" w:bidi="ar"/>
              </w:rPr>
              <w:t>危废暂存间</w:t>
            </w:r>
            <w:r>
              <w:rPr>
                <w:rFonts w:hint="eastAsia" w:ascii="宋体" w:hAnsi="宋体" w:cs="宋体"/>
                <w:color w:val="auto"/>
                <w:kern w:val="0"/>
                <w:u w:val="single" w:color="auto"/>
                <w:lang w:bidi="ar"/>
              </w:rPr>
              <w:t>，</w:t>
            </w:r>
            <w:r>
              <w:rPr>
                <w:rFonts w:hint="eastAsia" w:ascii="宋体" w:hAnsi="宋体" w:cs="宋体"/>
                <w:color w:val="auto"/>
                <w:kern w:val="0"/>
                <w:u w:val="single" w:color="auto"/>
                <w:lang w:val="en-US" w:eastAsia="zh-CN" w:bidi="ar"/>
              </w:rPr>
              <w:t>定期</w:t>
            </w:r>
            <w:r>
              <w:rPr>
                <w:rFonts w:hint="eastAsia" w:ascii="宋体" w:hAnsi="宋体" w:cs="宋体"/>
                <w:color w:val="auto"/>
                <w:kern w:val="0"/>
                <w:u w:val="single" w:color="auto"/>
                <w:lang w:bidi="ar"/>
              </w:rPr>
              <w:t>委托有资质的单位处置。</w:t>
            </w:r>
          </w:p>
          <w:p w14:paraId="018A2BA3">
            <w:pPr>
              <w:pStyle w:val="40"/>
              <w:bidi w:val="0"/>
              <w:rPr>
                <w:rFonts w:hint="eastAsia"/>
                <w:b/>
                <w:bCs/>
                <w:highlight w:val="none"/>
                <w:u w:val="none" w:color="auto"/>
                <w:lang w:eastAsia="zh-CN"/>
              </w:rPr>
            </w:pPr>
            <w:r>
              <w:rPr>
                <w:rFonts w:hint="eastAsia"/>
                <w:b/>
                <w:bCs/>
                <w:highlight w:val="none"/>
                <w:u w:val="none" w:color="auto"/>
                <w:lang w:eastAsia="zh-CN"/>
              </w:rPr>
              <w:t>（</w:t>
            </w:r>
            <w:r>
              <w:rPr>
                <w:rFonts w:hint="eastAsia"/>
                <w:b/>
                <w:bCs/>
                <w:highlight w:val="none"/>
                <w:u w:val="none" w:color="auto"/>
                <w:lang w:val="en-US" w:eastAsia="zh-CN"/>
              </w:rPr>
              <w:t>5</w:t>
            </w:r>
            <w:r>
              <w:rPr>
                <w:rFonts w:hint="eastAsia"/>
                <w:b/>
                <w:bCs/>
                <w:highlight w:val="none"/>
                <w:u w:val="none" w:color="auto"/>
                <w:lang w:eastAsia="zh-CN"/>
              </w:rPr>
              <w:t>）</w:t>
            </w:r>
            <w:r>
              <w:rPr>
                <w:rFonts w:hint="eastAsia"/>
                <w:b/>
                <w:bCs/>
                <w:highlight w:val="none"/>
                <w:u w:val="none" w:color="auto"/>
                <w:lang w:val="en-US" w:eastAsia="zh-CN"/>
              </w:rPr>
              <w:t>废活性炭</w:t>
            </w:r>
          </w:p>
          <w:p w14:paraId="7C6B0E34">
            <w:pPr>
              <w:pStyle w:val="40"/>
              <w:bidi w:val="0"/>
              <w:rPr>
                <w:rFonts w:hint="eastAsia"/>
                <w:b/>
                <w:bCs/>
                <w:highlight w:val="none"/>
                <w:u w:val="single" w:color="auto"/>
                <w:lang w:eastAsia="zh-CN"/>
              </w:rPr>
            </w:pPr>
            <w:r>
              <w:rPr>
                <w:rFonts w:hint="default" w:ascii="Times New Roman" w:hAnsi="Times New Roman" w:cs="Times New Roman"/>
                <w:sz w:val="24"/>
                <w:szCs w:val="24"/>
                <w:highlight w:val="none"/>
                <w:u w:val="single"/>
                <w:lang w:val="en-US" w:eastAsia="zh-CN"/>
              </w:rPr>
              <w:t>根据前</w:t>
            </w:r>
            <w:r>
              <w:rPr>
                <w:rFonts w:hint="eastAsia" w:ascii="Times New Roman" w:hAnsi="Times New Roman" w:cs="Times New Roman"/>
                <w:sz w:val="24"/>
                <w:szCs w:val="24"/>
                <w:highlight w:val="none"/>
                <w:u w:val="single"/>
                <w:lang w:val="en-US" w:eastAsia="zh-CN"/>
              </w:rPr>
              <w:t>文</w:t>
            </w:r>
            <w:r>
              <w:rPr>
                <w:rFonts w:hint="default" w:ascii="Times New Roman" w:hAnsi="Times New Roman" w:cs="Times New Roman"/>
                <w:sz w:val="24"/>
                <w:szCs w:val="24"/>
                <w:highlight w:val="none"/>
                <w:u w:val="single"/>
                <w:lang w:val="en-US" w:eastAsia="zh-CN"/>
              </w:rPr>
              <w:t>工程分析，项目活性炭</w:t>
            </w:r>
            <w:r>
              <w:rPr>
                <w:rFonts w:hint="eastAsia" w:ascii="Times New Roman" w:hAnsi="Times New Roman" w:cs="Times New Roman"/>
                <w:sz w:val="24"/>
                <w:szCs w:val="24"/>
                <w:highlight w:val="none"/>
                <w:u w:val="single"/>
                <w:lang w:val="en-US" w:eastAsia="zh-CN"/>
              </w:rPr>
              <w:t>年使用量</w:t>
            </w:r>
            <w:r>
              <w:rPr>
                <w:rFonts w:hint="default" w:ascii="Times New Roman" w:hAnsi="Times New Roman" w:cs="Times New Roman"/>
                <w:sz w:val="24"/>
                <w:szCs w:val="24"/>
                <w:highlight w:val="none"/>
                <w:u w:val="single"/>
                <w:lang w:val="en-US" w:eastAsia="zh-CN"/>
              </w:rPr>
              <w:t>为</w:t>
            </w:r>
            <w:r>
              <w:rPr>
                <w:rFonts w:hint="eastAsia" w:cs="Times New Roman"/>
                <w:sz w:val="24"/>
                <w:szCs w:val="24"/>
                <w:highlight w:val="none"/>
                <w:u w:val="single"/>
                <w:lang w:val="en-US" w:eastAsia="zh-CN"/>
              </w:rPr>
              <w:t>2.04</w:t>
            </w:r>
            <w:r>
              <w:rPr>
                <w:rFonts w:hint="default" w:ascii="Times New Roman" w:hAnsi="Times New Roman" w:cs="Times New Roman"/>
                <w:sz w:val="24"/>
                <w:szCs w:val="24"/>
                <w:highlight w:val="none"/>
                <w:u w:val="single"/>
                <w:lang w:val="en-US" w:eastAsia="zh-CN"/>
              </w:rPr>
              <w:t>t</w:t>
            </w:r>
            <w:r>
              <w:rPr>
                <w:rFonts w:hint="eastAsia" w:ascii="Times New Roman" w:hAnsi="Times New Roman" w:cs="Times New Roman"/>
                <w:sz w:val="24"/>
                <w:szCs w:val="24"/>
                <w:highlight w:val="none"/>
                <w:u w:val="single"/>
                <w:lang w:val="en-US" w:eastAsia="zh-CN"/>
              </w:rPr>
              <w:t>/</w:t>
            </w:r>
            <w:r>
              <w:rPr>
                <w:rFonts w:hint="default" w:ascii="Times New Roman" w:hAnsi="Times New Roman" w:cs="Times New Roman"/>
                <w:sz w:val="24"/>
                <w:szCs w:val="24"/>
                <w:highlight w:val="none"/>
                <w:u w:val="single"/>
                <w:lang w:val="en-US" w:eastAsia="zh-CN"/>
              </w:rPr>
              <w:t>a，</w:t>
            </w:r>
            <w:r>
              <w:rPr>
                <w:rFonts w:hint="eastAsia" w:ascii="Times New Roman" w:hAnsi="Times New Roman" w:cs="Times New Roman"/>
                <w:sz w:val="24"/>
                <w:szCs w:val="24"/>
                <w:highlight w:val="none"/>
                <w:u w:val="single"/>
                <w:lang w:val="en-US" w:eastAsia="zh-CN"/>
              </w:rPr>
              <w:t>吸附有机废气量为</w:t>
            </w:r>
            <w:r>
              <w:rPr>
                <w:rFonts w:hint="eastAsia" w:cs="Times New Roman"/>
                <w:sz w:val="24"/>
                <w:szCs w:val="24"/>
                <w:highlight w:val="none"/>
                <w:u w:val="single"/>
                <w:lang w:val="en-US" w:eastAsia="zh-CN"/>
              </w:rPr>
              <w:t>0.6785</w:t>
            </w:r>
            <w:r>
              <w:rPr>
                <w:rFonts w:hint="eastAsia" w:ascii="Times New Roman" w:hAnsi="Times New Roman" w:cs="Times New Roman"/>
                <w:sz w:val="24"/>
                <w:szCs w:val="24"/>
                <w:highlight w:val="none"/>
                <w:u w:val="single"/>
                <w:lang w:val="en-US" w:eastAsia="zh-CN"/>
              </w:rPr>
              <w:t>t/a，则废活性炭产生量为</w:t>
            </w:r>
            <w:r>
              <w:rPr>
                <w:rFonts w:hint="eastAsia" w:cs="Times New Roman"/>
                <w:sz w:val="24"/>
                <w:szCs w:val="24"/>
                <w:highlight w:val="none"/>
                <w:u w:val="single"/>
                <w:lang w:val="en-US" w:eastAsia="zh-CN"/>
              </w:rPr>
              <w:t>2.7185</w:t>
            </w:r>
            <w:r>
              <w:rPr>
                <w:rFonts w:hint="eastAsia" w:ascii="Times New Roman" w:hAnsi="Times New Roman" w:cs="Times New Roman"/>
                <w:sz w:val="24"/>
                <w:szCs w:val="24"/>
                <w:highlight w:val="none"/>
                <w:u w:val="single"/>
                <w:lang w:val="en-US" w:eastAsia="zh-CN"/>
              </w:rPr>
              <w:t>t/a</w:t>
            </w:r>
            <w:r>
              <w:rPr>
                <w:rFonts w:hint="eastAsia" w:cs="Times New Roman"/>
                <w:sz w:val="24"/>
                <w:szCs w:val="24"/>
                <w:highlight w:val="none"/>
                <w:u w:val="single"/>
                <w:lang w:val="en-US" w:eastAsia="zh-CN"/>
              </w:rPr>
              <w:t>该</w:t>
            </w:r>
            <w:r>
              <w:rPr>
                <w:rFonts w:hint="default" w:ascii="Times New Roman" w:hAnsi="Times New Roman" w:cs="Times New Roman"/>
                <w:sz w:val="24"/>
                <w:szCs w:val="24"/>
                <w:highlight w:val="none"/>
                <w:u w:val="single"/>
                <w:lang w:val="en-US" w:eastAsia="zh-CN"/>
              </w:rPr>
              <w:t>废气处理</w:t>
            </w:r>
            <w:r>
              <w:rPr>
                <w:rFonts w:hint="eastAsia" w:ascii="Times New Roman" w:hAnsi="Times New Roman" w:cs="Times New Roman"/>
                <w:sz w:val="24"/>
                <w:szCs w:val="24"/>
                <w:highlight w:val="none"/>
                <w:u w:val="single"/>
                <w:lang w:val="en-US" w:eastAsia="zh-CN"/>
              </w:rPr>
              <w:t>系统</w:t>
            </w:r>
            <w:r>
              <w:rPr>
                <w:rFonts w:hint="default" w:ascii="Times New Roman" w:hAnsi="Times New Roman" w:cs="Times New Roman"/>
                <w:sz w:val="24"/>
                <w:szCs w:val="24"/>
                <w:highlight w:val="none"/>
                <w:u w:val="single"/>
                <w:lang w:val="en-US" w:eastAsia="zh-CN"/>
              </w:rPr>
              <w:t>产生的废活性炭因含有被吸附的有机物，属于《国家危险废物名录》(2025年版)中规定的“HW49其他废物”的“VOCs治理过程(不包括餐饮行业油烟治理过程)产生的废活性炭”，废物代码“900-039-49”，</w:t>
            </w:r>
            <w:r>
              <w:rPr>
                <w:rFonts w:hint="default" w:ascii="Times New Roman" w:hAnsi="Times New Roman" w:eastAsia="宋体" w:cs="Times New Roman"/>
                <w:b w:val="0"/>
                <w:bCs/>
                <w:color w:val="auto"/>
                <w:kern w:val="0"/>
                <w:sz w:val="24"/>
                <w:szCs w:val="21"/>
                <w:u w:val="single" w:color="auto"/>
                <w:lang w:val="en-US" w:eastAsia="zh-CN" w:bidi="ar-SA"/>
              </w:rPr>
              <w:t>收集暂存于危废暂存间（5m</w:t>
            </w:r>
            <w:r>
              <w:rPr>
                <w:rFonts w:hint="default" w:ascii="Times New Roman" w:hAnsi="Times New Roman" w:eastAsia="宋体" w:cs="Times New Roman"/>
                <w:b w:val="0"/>
                <w:bCs/>
                <w:color w:val="auto"/>
                <w:kern w:val="0"/>
                <w:sz w:val="24"/>
                <w:szCs w:val="21"/>
                <w:u w:val="single" w:color="auto"/>
                <w:vertAlign w:val="superscript"/>
                <w:lang w:val="en-US" w:eastAsia="zh-CN" w:bidi="ar-SA"/>
              </w:rPr>
              <w:t>2</w:t>
            </w:r>
            <w:r>
              <w:rPr>
                <w:rFonts w:hint="default" w:ascii="Times New Roman" w:hAnsi="Times New Roman" w:eastAsia="宋体" w:cs="Times New Roman"/>
                <w:b w:val="0"/>
                <w:bCs/>
                <w:color w:val="auto"/>
                <w:kern w:val="0"/>
                <w:sz w:val="24"/>
                <w:szCs w:val="21"/>
                <w:u w:val="single" w:color="auto"/>
                <w:lang w:val="en-US" w:eastAsia="zh-CN" w:bidi="ar-SA"/>
              </w:rPr>
              <w:t>），定期交有资质单位处理。</w:t>
            </w:r>
          </w:p>
          <w:p w14:paraId="71FC50CB">
            <w:pPr>
              <w:pStyle w:val="40"/>
              <w:bidi w:val="0"/>
              <w:rPr>
                <w:rFonts w:hint="default" w:eastAsia="宋体"/>
                <w:b/>
                <w:bCs/>
                <w:highlight w:val="none"/>
                <w:u w:val="single" w:color="auto"/>
                <w:lang w:val="en-US" w:eastAsia="zh-CN"/>
              </w:rPr>
            </w:pPr>
            <w:r>
              <w:rPr>
                <w:rFonts w:hint="eastAsia"/>
                <w:b/>
                <w:bCs/>
                <w:highlight w:val="none"/>
                <w:u w:val="single" w:color="auto"/>
                <w:lang w:eastAsia="zh-CN"/>
              </w:rPr>
              <w:t>（</w:t>
            </w:r>
            <w:r>
              <w:rPr>
                <w:rFonts w:hint="eastAsia"/>
                <w:b/>
                <w:bCs/>
                <w:highlight w:val="none"/>
                <w:u w:val="single" w:color="auto"/>
                <w:lang w:val="en-US" w:eastAsia="zh-CN"/>
              </w:rPr>
              <w:t>6</w:t>
            </w:r>
            <w:r>
              <w:rPr>
                <w:rFonts w:hint="eastAsia"/>
                <w:b/>
                <w:bCs/>
                <w:highlight w:val="none"/>
                <w:u w:val="single" w:color="auto"/>
                <w:lang w:eastAsia="zh-CN"/>
              </w:rPr>
              <w:t>）</w:t>
            </w:r>
            <w:r>
              <w:rPr>
                <w:rFonts w:hint="eastAsia"/>
                <w:b/>
                <w:bCs/>
                <w:highlight w:val="none"/>
                <w:u w:val="single" w:color="auto"/>
                <w:lang w:val="en-US" w:eastAsia="zh-CN"/>
              </w:rPr>
              <w:t>废原料桶</w:t>
            </w:r>
          </w:p>
          <w:p w14:paraId="1FCB32AA">
            <w:pPr>
              <w:pStyle w:val="60"/>
              <w:keepNext w:val="0"/>
              <w:keepLines w:val="0"/>
              <w:pageBreakBefore w:val="0"/>
              <w:widowControl w:val="0"/>
              <w:kinsoku/>
              <w:wordWrap/>
              <w:overflowPunct/>
              <w:topLinePunct w:val="0"/>
              <w:autoSpaceDE/>
              <w:autoSpaceDN/>
              <w:bidi w:val="0"/>
              <w:adjustRightInd/>
              <w:snapToGrid/>
              <w:ind w:left="0" w:leftChars="0" w:firstLine="480" w:firstLineChars="200"/>
              <w:jc w:val="both"/>
              <w:textAlignment w:val="auto"/>
              <w:rPr>
                <w:rFonts w:hint="eastAsia" w:ascii="Times New Roman" w:hAnsi="Times New Roman" w:cs="Times New Roman"/>
                <w:b w:val="0"/>
                <w:bCs/>
                <w:color w:val="auto"/>
                <w:kern w:val="0"/>
                <w:sz w:val="24"/>
                <w:highlight w:val="none"/>
                <w:u w:val="single" w:color="auto"/>
                <w:lang w:val="en-US" w:eastAsia="zh-CN"/>
              </w:rPr>
            </w:pPr>
            <w:r>
              <w:rPr>
                <w:rFonts w:hint="eastAsia" w:ascii="Times New Roman" w:hAnsi="Times New Roman" w:cs="Times New Roman"/>
                <w:b w:val="0"/>
                <w:bCs/>
                <w:color w:val="auto"/>
                <w:kern w:val="0"/>
                <w:sz w:val="24"/>
                <w:highlight w:val="none"/>
                <w:u w:val="single" w:color="auto"/>
                <w:lang w:val="en-US" w:eastAsia="zh-CN"/>
              </w:rPr>
              <w:t>本项目绝缘漆、稀释剂、环氧树脂AB胶、助焊剂使用后会产生一定量的废原料桶，根据建设单位提供资料，项目用量共计</w:t>
            </w:r>
            <w:r>
              <w:rPr>
                <w:rFonts w:hint="eastAsia" w:ascii="Times New Roman" w:cs="Times New Roman"/>
                <w:b w:val="0"/>
                <w:bCs/>
                <w:color w:val="auto"/>
                <w:kern w:val="0"/>
                <w:sz w:val="24"/>
                <w:highlight w:val="none"/>
                <w:u w:val="single" w:color="auto"/>
                <w:lang w:val="en-US" w:eastAsia="zh-CN"/>
              </w:rPr>
              <w:t>2.48</w:t>
            </w:r>
            <w:r>
              <w:rPr>
                <w:rFonts w:hint="eastAsia" w:ascii="Times New Roman" w:hAnsi="Times New Roman" w:cs="Times New Roman"/>
                <w:b w:val="0"/>
                <w:bCs/>
                <w:color w:val="auto"/>
                <w:kern w:val="0"/>
                <w:sz w:val="24"/>
                <w:highlight w:val="none"/>
                <w:u w:val="single" w:color="auto"/>
                <w:lang w:val="en-US" w:eastAsia="zh-CN"/>
              </w:rPr>
              <w:t>t/a，废原料</w:t>
            </w:r>
            <w:r>
              <w:rPr>
                <w:rFonts w:hint="eastAsia" w:ascii="Times New Roman" w:cs="Times New Roman"/>
                <w:b w:val="0"/>
                <w:bCs/>
                <w:color w:val="auto"/>
                <w:kern w:val="0"/>
                <w:sz w:val="24"/>
                <w:highlight w:val="none"/>
                <w:u w:val="single" w:color="auto"/>
                <w:lang w:val="en-US" w:eastAsia="zh-CN"/>
              </w:rPr>
              <w:t>桶</w:t>
            </w:r>
            <w:r>
              <w:rPr>
                <w:rFonts w:hint="eastAsia" w:ascii="Times New Roman" w:hAnsi="Times New Roman" w:cs="Times New Roman"/>
                <w:b w:val="0"/>
                <w:bCs/>
                <w:color w:val="auto"/>
                <w:kern w:val="0"/>
                <w:sz w:val="24"/>
                <w:highlight w:val="none"/>
                <w:u w:val="single" w:color="auto"/>
                <w:lang w:val="en-US" w:eastAsia="zh-CN"/>
              </w:rPr>
              <w:t>重约0.2-0.5kg，本次环评取0.3kg，原料桶规格见表2-4，经计算可知，项目废原料桶的产生量约为</w:t>
            </w:r>
            <w:r>
              <w:rPr>
                <w:rFonts w:hint="eastAsia" w:ascii="Times New Roman" w:cs="Times New Roman"/>
                <w:b w:val="0"/>
                <w:bCs/>
                <w:color w:val="auto"/>
                <w:kern w:val="0"/>
                <w:sz w:val="24"/>
                <w:highlight w:val="none"/>
                <w:u w:val="single" w:color="auto"/>
                <w:lang w:val="en-US" w:eastAsia="zh-CN"/>
              </w:rPr>
              <w:t>0.05</w:t>
            </w:r>
            <w:r>
              <w:rPr>
                <w:rFonts w:hint="eastAsia" w:ascii="Times New Roman" w:hAnsi="Times New Roman" w:cs="Times New Roman"/>
                <w:b w:val="0"/>
                <w:bCs/>
                <w:color w:val="auto"/>
                <w:kern w:val="0"/>
                <w:sz w:val="24"/>
                <w:highlight w:val="none"/>
                <w:u w:val="single" w:color="auto"/>
                <w:lang w:val="en-US" w:eastAsia="zh-CN"/>
              </w:rPr>
              <w:t>t/a。</w:t>
            </w:r>
          </w:p>
          <w:p w14:paraId="3A662C47">
            <w:pPr>
              <w:pStyle w:val="60"/>
              <w:keepNext w:val="0"/>
              <w:keepLines w:val="0"/>
              <w:pageBreakBefore w:val="0"/>
              <w:widowControl w:val="0"/>
              <w:kinsoku/>
              <w:wordWrap/>
              <w:overflowPunct/>
              <w:topLinePunct w:val="0"/>
              <w:autoSpaceDE/>
              <w:autoSpaceDN/>
              <w:bidi w:val="0"/>
              <w:adjustRightInd/>
              <w:snapToGrid/>
              <w:ind w:left="0" w:leftChars="0" w:firstLine="480" w:firstLineChars="200"/>
              <w:jc w:val="both"/>
              <w:textAlignment w:val="auto"/>
              <w:rPr>
                <w:rFonts w:hint="default" w:cs="Times New Roman"/>
                <w:color w:val="auto"/>
                <w:kern w:val="0"/>
                <w:sz w:val="24"/>
                <w:highlight w:val="none"/>
                <w:u w:val="none" w:color="auto"/>
                <w:lang w:val="en-US" w:eastAsia="zh-CN"/>
              </w:rPr>
            </w:pPr>
            <w:r>
              <w:rPr>
                <w:rFonts w:ascii="Times New Roman" w:cs="Times New Roman"/>
                <w:color w:val="000000"/>
                <w:kern w:val="0"/>
              </w:rPr>
              <w:t>根据《国家危险废物名录》（202</w:t>
            </w:r>
            <w:r>
              <w:rPr>
                <w:rFonts w:hint="eastAsia" w:ascii="Times New Roman" w:cs="Times New Roman"/>
                <w:color w:val="000000"/>
                <w:kern w:val="0"/>
                <w:lang w:val="en-US" w:eastAsia="zh-CN"/>
              </w:rPr>
              <w:t>5</w:t>
            </w:r>
            <w:r>
              <w:rPr>
                <w:rFonts w:ascii="Times New Roman" w:cs="Times New Roman"/>
                <w:color w:val="000000"/>
                <w:kern w:val="0"/>
              </w:rPr>
              <w:t>版）</w:t>
            </w:r>
            <w:r>
              <w:rPr>
                <w:rFonts w:hint="eastAsia" w:ascii="Times New Roman" w:cs="Times New Roman"/>
                <w:color w:val="000000"/>
                <w:kern w:val="0"/>
                <w:lang w:eastAsia="zh-CN"/>
              </w:rPr>
              <w:t>，</w:t>
            </w:r>
            <w:r>
              <w:rPr>
                <w:rFonts w:hint="eastAsia" w:ascii="Times New Roman" w:hAnsi="Times New Roman" w:eastAsia="宋体" w:cs="Times New Roman"/>
                <w:b w:val="0"/>
                <w:bCs/>
                <w:color w:val="auto"/>
                <w:kern w:val="0"/>
                <w:sz w:val="24"/>
                <w:szCs w:val="21"/>
                <w:u w:val="none" w:color="auto"/>
                <w:lang w:val="en-US" w:eastAsia="zh-CN" w:bidi="ar-SA"/>
              </w:rPr>
              <w:t>废原料桶属于危险废物，其危废类别为</w:t>
            </w:r>
            <w:r>
              <w:rPr>
                <w:rFonts w:hint="default" w:ascii="Times New Roman" w:hAnsi="Times New Roman" w:eastAsia="宋体" w:cs="Times New Roman"/>
                <w:b w:val="0"/>
                <w:bCs/>
                <w:color w:val="auto"/>
                <w:kern w:val="0"/>
                <w:sz w:val="24"/>
                <w:szCs w:val="21"/>
                <w:u w:val="none" w:color="auto"/>
                <w:lang w:val="en-US" w:eastAsia="zh-CN" w:bidi="ar-SA"/>
              </w:rPr>
              <w:t>HW49</w:t>
            </w:r>
            <w:r>
              <w:rPr>
                <w:rFonts w:hint="eastAsia" w:ascii="Times New Roman" w:hAnsi="Times New Roman" w:eastAsia="宋体" w:cs="Times New Roman"/>
                <w:b w:val="0"/>
                <w:bCs/>
                <w:color w:val="auto"/>
                <w:kern w:val="0"/>
                <w:sz w:val="24"/>
                <w:szCs w:val="21"/>
                <w:u w:val="none" w:color="auto"/>
                <w:lang w:val="en-US" w:eastAsia="zh-CN" w:bidi="ar-SA"/>
              </w:rPr>
              <w:t>-其他废物，废物代码为</w:t>
            </w:r>
            <w:r>
              <w:rPr>
                <w:rFonts w:hint="default" w:ascii="Times New Roman" w:hAnsi="Times New Roman" w:eastAsia="宋体" w:cs="Times New Roman"/>
                <w:b w:val="0"/>
                <w:bCs/>
                <w:color w:val="auto"/>
                <w:kern w:val="0"/>
                <w:sz w:val="24"/>
                <w:szCs w:val="21"/>
                <w:u w:val="none" w:color="auto"/>
                <w:lang w:val="en-US" w:eastAsia="zh-CN" w:bidi="ar-SA"/>
              </w:rPr>
              <w:t>900</w:t>
            </w:r>
            <w:r>
              <w:rPr>
                <w:rFonts w:hint="eastAsia" w:ascii="Times New Roman" w:hAnsi="Times New Roman" w:eastAsia="宋体" w:cs="Times New Roman"/>
                <w:b w:val="0"/>
                <w:bCs/>
                <w:color w:val="auto"/>
                <w:kern w:val="0"/>
                <w:sz w:val="24"/>
                <w:szCs w:val="21"/>
                <w:u w:val="none" w:color="auto"/>
                <w:lang w:val="en-US" w:eastAsia="zh-CN" w:bidi="ar-SA"/>
              </w:rPr>
              <w:t>-</w:t>
            </w:r>
            <w:r>
              <w:rPr>
                <w:rFonts w:hint="default" w:ascii="Times New Roman" w:hAnsi="Times New Roman" w:eastAsia="宋体" w:cs="Times New Roman"/>
                <w:b w:val="0"/>
                <w:bCs/>
                <w:color w:val="auto"/>
                <w:kern w:val="0"/>
                <w:sz w:val="24"/>
                <w:szCs w:val="21"/>
                <w:u w:val="none" w:color="auto"/>
                <w:lang w:val="en-US" w:eastAsia="zh-CN" w:bidi="ar-SA"/>
              </w:rPr>
              <w:t>041</w:t>
            </w:r>
            <w:r>
              <w:rPr>
                <w:rFonts w:hint="eastAsia" w:ascii="Times New Roman" w:hAnsi="Times New Roman" w:eastAsia="宋体" w:cs="Times New Roman"/>
                <w:b w:val="0"/>
                <w:bCs/>
                <w:color w:val="auto"/>
                <w:kern w:val="0"/>
                <w:sz w:val="24"/>
                <w:szCs w:val="21"/>
                <w:u w:val="none" w:color="auto"/>
                <w:lang w:val="en-US" w:eastAsia="zh-CN" w:bidi="ar-SA"/>
              </w:rPr>
              <w:t>-</w:t>
            </w:r>
            <w:r>
              <w:rPr>
                <w:rFonts w:hint="default" w:ascii="Times New Roman" w:hAnsi="Times New Roman" w:eastAsia="宋体" w:cs="Times New Roman"/>
                <w:b w:val="0"/>
                <w:bCs/>
                <w:color w:val="auto"/>
                <w:kern w:val="0"/>
                <w:sz w:val="24"/>
                <w:szCs w:val="21"/>
                <w:u w:val="none" w:color="auto"/>
                <w:lang w:val="en-US" w:eastAsia="zh-CN" w:bidi="ar-SA"/>
              </w:rPr>
              <w:t>49</w:t>
            </w:r>
            <w:r>
              <w:rPr>
                <w:rFonts w:hint="eastAsia" w:ascii="Times New Roman" w:hAnsi="Times New Roman" w:eastAsia="宋体" w:cs="Times New Roman"/>
                <w:b w:val="0"/>
                <w:bCs/>
                <w:color w:val="auto"/>
                <w:kern w:val="0"/>
                <w:sz w:val="24"/>
                <w:szCs w:val="21"/>
                <w:u w:val="none" w:color="auto"/>
                <w:lang w:val="en-US" w:eastAsia="zh-CN" w:bidi="ar-SA"/>
              </w:rPr>
              <w:t>，危险特性为</w:t>
            </w:r>
            <w:r>
              <w:rPr>
                <w:rFonts w:hint="default" w:ascii="Times New Roman" w:hAnsi="Times New Roman" w:eastAsia="宋体" w:cs="Times New Roman"/>
                <w:b w:val="0"/>
                <w:bCs/>
                <w:color w:val="auto"/>
                <w:kern w:val="0"/>
                <w:sz w:val="24"/>
                <w:szCs w:val="21"/>
                <w:u w:val="none" w:color="auto"/>
                <w:lang w:val="en-US" w:eastAsia="zh-CN" w:bidi="ar-SA"/>
              </w:rPr>
              <w:t>T</w:t>
            </w:r>
            <w:r>
              <w:rPr>
                <w:rFonts w:hint="eastAsia" w:ascii="Times New Roman" w:hAnsi="Times New Roman" w:eastAsia="宋体" w:cs="Times New Roman"/>
                <w:b w:val="0"/>
                <w:bCs/>
                <w:color w:val="auto"/>
                <w:kern w:val="0"/>
                <w:sz w:val="24"/>
                <w:szCs w:val="21"/>
                <w:u w:val="none" w:color="auto"/>
                <w:lang w:val="en-US" w:eastAsia="zh-CN" w:bidi="ar-SA"/>
              </w:rPr>
              <w:t>/</w:t>
            </w:r>
            <w:r>
              <w:rPr>
                <w:rFonts w:hint="default" w:ascii="Times New Roman" w:hAnsi="Times New Roman" w:eastAsia="宋体" w:cs="Times New Roman"/>
                <w:b w:val="0"/>
                <w:bCs/>
                <w:color w:val="auto"/>
                <w:kern w:val="0"/>
                <w:sz w:val="24"/>
                <w:szCs w:val="21"/>
                <w:u w:val="none" w:color="auto"/>
                <w:lang w:val="en-US" w:eastAsia="zh-CN" w:bidi="ar-SA"/>
              </w:rPr>
              <w:t>In</w:t>
            </w:r>
            <w:r>
              <w:rPr>
                <w:rFonts w:hint="eastAsia" w:ascii="Times New Roman" w:hAnsi="Times New Roman" w:eastAsia="宋体" w:cs="Times New Roman"/>
                <w:b w:val="0"/>
                <w:bCs/>
                <w:color w:val="auto"/>
                <w:kern w:val="0"/>
                <w:sz w:val="24"/>
                <w:szCs w:val="21"/>
                <w:u w:val="none" w:color="auto"/>
                <w:lang w:val="en-US" w:eastAsia="zh-CN" w:bidi="ar-SA"/>
              </w:rPr>
              <w:t>。收集暂存于危废暂存间（5</w:t>
            </w:r>
            <w:r>
              <w:rPr>
                <w:rFonts w:hint="default" w:ascii="Times New Roman" w:hAnsi="Times New Roman" w:eastAsia="宋体" w:cs="Times New Roman"/>
                <w:b w:val="0"/>
                <w:bCs/>
                <w:color w:val="auto"/>
                <w:kern w:val="0"/>
                <w:sz w:val="24"/>
                <w:szCs w:val="21"/>
                <w:u w:val="none" w:color="auto"/>
                <w:lang w:val="en-US" w:eastAsia="zh-CN" w:bidi="ar-SA"/>
              </w:rPr>
              <w:t>m</w:t>
            </w:r>
            <w:r>
              <w:rPr>
                <w:rFonts w:hint="default" w:ascii="Times New Roman" w:hAnsi="Times New Roman" w:eastAsia="宋体" w:cs="Times New Roman"/>
                <w:b w:val="0"/>
                <w:bCs/>
                <w:color w:val="auto"/>
                <w:kern w:val="0"/>
                <w:sz w:val="24"/>
                <w:szCs w:val="21"/>
                <w:u w:val="none" w:color="auto"/>
                <w:vertAlign w:val="superscript"/>
                <w:lang w:val="en-US" w:eastAsia="zh-CN" w:bidi="ar-SA"/>
              </w:rPr>
              <w:t>2</w:t>
            </w:r>
            <w:r>
              <w:rPr>
                <w:rFonts w:hint="eastAsia" w:ascii="Times New Roman" w:hAnsi="Times New Roman" w:eastAsia="宋体" w:cs="Times New Roman"/>
                <w:b w:val="0"/>
                <w:bCs/>
                <w:color w:val="auto"/>
                <w:kern w:val="0"/>
                <w:sz w:val="24"/>
                <w:szCs w:val="21"/>
                <w:u w:val="none" w:color="auto"/>
                <w:lang w:val="en-US" w:eastAsia="zh-CN" w:bidi="ar-SA"/>
              </w:rPr>
              <w:t>），定期交有资质单位处理。</w:t>
            </w:r>
          </w:p>
          <w:p w14:paraId="27A2F4CA">
            <w:pPr>
              <w:pStyle w:val="40"/>
              <w:bidi w:val="0"/>
              <w:rPr>
                <w:rFonts w:hint="eastAsia"/>
                <w:b/>
                <w:bCs/>
                <w:highlight w:val="none"/>
                <w:u w:val="none" w:color="auto"/>
                <w:lang w:val="en-US" w:eastAsia="zh-CN"/>
              </w:rPr>
            </w:pPr>
            <w:r>
              <w:rPr>
                <w:rFonts w:hint="eastAsia"/>
                <w:b/>
                <w:bCs/>
                <w:highlight w:val="none"/>
                <w:u w:val="none" w:color="auto"/>
                <w:lang w:eastAsia="zh-CN"/>
              </w:rPr>
              <w:t>（</w:t>
            </w:r>
            <w:r>
              <w:rPr>
                <w:rFonts w:hint="eastAsia"/>
                <w:b/>
                <w:bCs/>
                <w:highlight w:val="none"/>
                <w:u w:val="none" w:color="auto"/>
                <w:lang w:val="en-US" w:eastAsia="zh-CN"/>
              </w:rPr>
              <w:t>7</w:t>
            </w:r>
            <w:r>
              <w:rPr>
                <w:rFonts w:hint="eastAsia"/>
                <w:b/>
                <w:bCs/>
                <w:highlight w:val="none"/>
                <w:u w:val="none" w:color="auto"/>
                <w:lang w:eastAsia="zh-CN"/>
              </w:rPr>
              <w:t>）</w:t>
            </w:r>
            <w:r>
              <w:rPr>
                <w:rFonts w:hint="eastAsia"/>
                <w:b/>
                <w:bCs/>
                <w:highlight w:val="none"/>
                <w:u w:val="none" w:color="auto"/>
                <w:lang w:val="en-US" w:eastAsia="zh-CN"/>
              </w:rPr>
              <w:t>废润滑油</w:t>
            </w:r>
          </w:p>
          <w:p w14:paraId="568881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项目机械设备的运行和维修过程中产生一定量的</w:t>
            </w:r>
            <w:r>
              <w:rPr>
                <w:rFonts w:hint="eastAsia" w:cs="Times New Roman"/>
                <w:color w:val="auto"/>
                <w:kern w:val="0"/>
                <w:sz w:val="24"/>
                <w:highlight w:val="none"/>
                <w:u w:val="none" w:color="auto"/>
                <w:lang w:val="en-US" w:eastAsia="zh-CN"/>
              </w:rPr>
              <w:t>废润滑油</w:t>
            </w:r>
            <w:r>
              <w:rPr>
                <w:rFonts w:hint="default" w:ascii="Times New Roman" w:hAnsi="Times New Roman" w:cs="Times New Roman"/>
                <w:bCs/>
                <w:color w:val="auto"/>
                <w:sz w:val="24"/>
                <w:highlight w:val="none"/>
                <w:u w:val="none" w:color="auto"/>
              </w:rPr>
              <w:t>，根据</w:t>
            </w:r>
            <w:r>
              <w:rPr>
                <w:rFonts w:hint="eastAsia" w:cs="Times New Roman"/>
                <w:bCs/>
                <w:color w:val="auto"/>
                <w:sz w:val="24"/>
                <w:highlight w:val="none"/>
                <w:u w:val="none" w:color="auto"/>
                <w:lang w:val="en-US" w:eastAsia="zh-CN"/>
              </w:rPr>
              <w:t>企业</w:t>
            </w:r>
            <w:r>
              <w:rPr>
                <w:rFonts w:hint="default" w:ascii="Times New Roman" w:hAnsi="Times New Roman" w:cs="Times New Roman"/>
                <w:bCs/>
                <w:color w:val="auto"/>
                <w:sz w:val="24"/>
                <w:highlight w:val="none"/>
                <w:u w:val="none" w:color="auto"/>
              </w:rPr>
              <w:t>提供资料，废</w:t>
            </w:r>
            <w:r>
              <w:rPr>
                <w:rFonts w:hint="eastAsia" w:cs="Times New Roman"/>
                <w:bCs/>
                <w:color w:val="auto"/>
                <w:sz w:val="24"/>
                <w:highlight w:val="none"/>
                <w:u w:val="none" w:color="auto"/>
                <w:lang w:val="en-US" w:eastAsia="zh-CN"/>
              </w:rPr>
              <w:t>润滑油</w:t>
            </w:r>
            <w:r>
              <w:rPr>
                <w:rFonts w:hint="default" w:ascii="Times New Roman" w:hAnsi="Times New Roman" w:cs="Times New Roman"/>
                <w:bCs/>
                <w:color w:val="auto"/>
                <w:sz w:val="24"/>
                <w:highlight w:val="none"/>
                <w:u w:val="none" w:color="auto"/>
              </w:rPr>
              <w:t>产生量为</w:t>
            </w:r>
            <w:r>
              <w:rPr>
                <w:rFonts w:hint="eastAsia" w:cs="Times New Roman"/>
                <w:bCs/>
                <w:color w:val="auto"/>
                <w:sz w:val="24"/>
                <w:highlight w:val="none"/>
                <w:u w:val="none" w:color="auto"/>
                <w:lang w:val="en-US" w:eastAsia="zh-CN"/>
              </w:rPr>
              <w:t>0.04</w:t>
            </w:r>
            <w:r>
              <w:rPr>
                <w:rFonts w:hint="default" w:ascii="Times New Roman" w:hAnsi="Times New Roman" w:cs="Times New Roman"/>
                <w:bCs/>
                <w:color w:val="auto"/>
                <w:sz w:val="24"/>
                <w:highlight w:val="none"/>
                <w:u w:val="none" w:color="auto"/>
              </w:rPr>
              <w:t>t/a。</w:t>
            </w:r>
          </w:p>
          <w:p w14:paraId="795A916A">
            <w:pPr>
              <w:pStyle w:val="75"/>
              <w:ind w:firstLine="480"/>
              <w:rPr>
                <w:rFonts w:hint="eastAsia"/>
                <w:b/>
                <w:bCs/>
                <w:highlight w:val="none"/>
                <w:u w:val="none" w:color="auto"/>
                <w:lang w:val="en-US" w:eastAsia="zh-CN"/>
              </w:rPr>
            </w:pPr>
            <w:r>
              <w:rPr>
                <w:rFonts w:hint="default" w:ascii="Times New Roman" w:hAnsi="Times New Roman" w:cs="Times New Roman"/>
                <w:color w:val="auto"/>
                <w:kern w:val="0"/>
                <w:sz w:val="24"/>
                <w:highlight w:val="none"/>
                <w:u w:val="none" w:color="auto"/>
                <w:lang w:val="en-US" w:eastAsia="zh-CN"/>
              </w:rPr>
              <w:t>根据《国家危险废物名录》（2025年版），废润滑油属于危险废物。废润滑油废物类别为</w:t>
            </w:r>
            <w:r>
              <w:rPr>
                <w:rFonts w:hint="default" w:ascii="Times New Roman" w:hAnsi="Times New Roman" w:cs="Times New Roman"/>
                <w:bCs/>
                <w:color w:val="auto"/>
                <w:sz w:val="24"/>
                <w:highlight w:val="none"/>
                <w:u w:val="none" w:color="auto"/>
              </w:rPr>
              <w:t>HW08-废矿物油与含矿物油废物</w:t>
            </w:r>
            <w:r>
              <w:rPr>
                <w:rFonts w:hint="default" w:ascii="Times New Roman" w:hAnsi="Times New Roman" w:cs="Times New Roman"/>
                <w:color w:val="auto"/>
                <w:kern w:val="0"/>
                <w:sz w:val="24"/>
                <w:highlight w:val="none"/>
                <w:u w:val="none" w:color="auto"/>
                <w:lang w:val="en-US" w:eastAsia="zh-CN"/>
              </w:rPr>
              <w:t>，废物代码为</w:t>
            </w:r>
            <w:r>
              <w:rPr>
                <w:rFonts w:hint="default" w:ascii="Times New Roman" w:hAnsi="Times New Roman" w:cs="Times New Roman"/>
                <w:bCs/>
                <w:color w:val="auto"/>
                <w:sz w:val="24"/>
                <w:highlight w:val="none"/>
                <w:u w:val="none" w:color="auto"/>
              </w:rPr>
              <w:t>900-214-08，危险特性为T，I</w:t>
            </w:r>
            <w:r>
              <w:rPr>
                <w:rFonts w:hint="default" w:ascii="Times New Roman" w:hAnsi="Times New Roman" w:cs="Times New Roman"/>
                <w:color w:val="auto"/>
                <w:kern w:val="0"/>
                <w:sz w:val="24"/>
                <w:highlight w:val="none"/>
                <w:u w:val="none" w:color="auto"/>
                <w:lang w:val="en-US" w:eastAsia="zh-CN"/>
              </w:rPr>
              <w:t>。密封桶装</w:t>
            </w:r>
            <w:r>
              <w:rPr>
                <w:rFonts w:hint="default" w:ascii="Times New Roman" w:hAnsi="Times New Roman" w:eastAsia="宋体" w:cs="Times New Roman"/>
                <w:color w:val="000000"/>
                <w:kern w:val="0"/>
                <w:lang w:val="en-US" w:eastAsia="zh-CN" w:bidi="ar"/>
              </w:rPr>
              <w:t>收集暂存于危废暂存间后，</w:t>
            </w:r>
            <w:r>
              <w:rPr>
                <w:rFonts w:hint="default" w:ascii="Times New Roman" w:hAnsi="Times New Roman" w:eastAsia="宋体" w:cs="Times New Roman"/>
                <w:color w:val="000000"/>
                <w:kern w:val="0"/>
                <w:lang w:bidi="ar"/>
              </w:rPr>
              <w:t>定期交</w:t>
            </w:r>
            <w:r>
              <w:rPr>
                <w:rFonts w:hint="default" w:ascii="Times New Roman" w:hAnsi="Times New Roman" w:eastAsia="宋体" w:cs="Times New Roman"/>
                <w:color w:val="000000"/>
                <w:kern w:val="0"/>
                <w:lang w:val="en-US" w:eastAsia="zh-CN" w:bidi="ar"/>
              </w:rPr>
              <w:t>由</w:t>
            </w:r>
            <w:r>
              <w:rPr>
                <w:rFonts w:hint="default" w:ascii="Times New Roman" w:hAnsi="Times New Roman" w:eastAsia="宋体" w:cs="Times New Roman"/>
                <w:color w:val="000000"/>
                <w:kern w:val="0"/>
                <w:lang w:bidi="ar"/>
              </w:rPr>
              <w:t>有资质单位处理。</w:t>
            </w:r>
          </w:p>
          <w:p w14:paraId="0916C693">
            <w:pPr>
              <w:pStyle w:val="40"/>
              <w:bidi w:val="0"/>
              <w:rPr>
                <w:rFonts w:hint="default"/>
                <w:b/>
                <w:bCs/>
                <w:highlight w:val="none"/>
                <w:u w:val="none" w:color="auto"/>
                <w:lang w:val="en-US" w:eastAsia="zh-CN"/>
              </w:rPr>
            </w:pPr>
            <w:r>
              <w:rPr>
                <w:rFonts w:hint="eastAsia"/>
                <w:b/>
                <w:bCs/>
                <w:highlight w:val="none"/>
                <w:u w:val="none" w:color="auto"/>
                <w:lang w:val="en-US" w:eastAsia="zh-CN"/>
              </w:rPr>
              <w:t>（8）废润滑油桶</w:t>
            </w:r>
          </w:p>
          <w:p w14:paraId="30F6FF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项目机械设备的运行和维修过程中产生一定量的</w:t>
            </w:r>
            <w:r>
              <w:rPr>
                <w:rFonts w:hint="eastAsia" w:cs="Times New Roman"/>
                <w:color w:val="auto"/>
                <w:kern w:val="0"/>
                <w:sz w:val="24"/>
                <w:highlight w:val="none"/>
                <w:u w:val="none" w:color="auto"/>
                <w:lang w:val="en-US" w:eastAsia="zh-CN"/>
              </w:rPr>
              <w:t>废润滑油桶</w:t>
            </w:r>
            <w:r>
              <w:rPr>
                <w:rFonts w:hint="default" w:ascii="Times New Roman" w:hAnsi="Times New Roman" w:cs="Times New Roman"/>
                <w:bCs/>
                <w:color w:val="auto"/>
                <w:sz w:val="24"/>
                <w:highlight w:val="none"/>
                <w:u w:val="none" w:color="auto"/>
              </w:rPr>
              <w:t>，根据</w:t>
            </w:r>
            <w:r>
              <w:rPr>
                <w:rFonts w:hint="eastAsia" w:cs="Times New Roman"/>
                <w:bCs/>
                <w:color w:val="auto"/>
                <w:sz w:val="24"/>
                <w:highlight w:val="none"/>
                <w:u w:val="none" w:color="auto"/>
                <w:lang w:val="en-US" w:eastAsia="zh-CN"/>
              </w:rPr>
              <w:t>企业</w:t>
            </w:r>
            <w:r>
              <w:rPr>
                <w:rFonts w:hint="default" w:ascii="Times New Roman" w:hAnsi="Times New Roman" w:cs="Times New Roman"/>
                <w:bCs/>
                <w:color w:val="auto"/>
                <w:sz w:val="24"/>
                <w:highlight w:val="none"/>
                <w:u w:val="none" w:color="auto"/>
              </w:rPr>
              <w:t>提供资料，废</w:t>
            </w:r>
            <w:r>
              <w:rPr>
                <w:rFonts w:hint="eastAsia" w:cs="Times New Roman"/>
                <w:bCs/>
                <w:color w:val="auto"/>
                <w:sz w:val="24"/>
                <w:highlight w:val="none"/>
                <w:u w:val="none" w:color="auto"/>
                <w:lang w:val="en-US" w:eastAsia="zh-CN"/>
              </w:rPr>
              <w:t>润滑油桶</w:t>
            </w:r>
            <w:r>
              <w:rPr>
                <w:rFonts w:hint="default" w:ascii="Times New Roman" w:hAnsi="Times New Roman" w:cs="Times New Roman"/>
                <w:bCs/>
                <w:color w:val="auto"/>
                <w:sz w:val="24"/>
                <w:highlight w:val="none"/>
                <w:u w:val="none" w:color="auto"/>
              </w:rPr>
              <w:t>产生量为</w:t>
            </w:r>
            <w:r>
              <w:rPr>
                <w:rFonts w:hint="eastAsia" w:cs="Times New Roman"/>
                <w:bCs/>
                <w:color w:val="auto"/>
                <w:sz w:val="24"/>
                <w:highlight w:val="none"/>
                <w:u w:val="none" w:color="auto"/>
                <w:lang w:val="en-US" w:eastAsia="zh-CN"/>
              </w:rPr>
              <w:t>0.005</w:t>
            </w:r>
            <w:r>
              <w:rPr>
                <w:rFonts w:hint="default" w:ascii="Times New Roman" w:hAnsi="Times New Roman" w:cs="Times New Roman"/>
                <w:bCs/>
                <w:color w:val="auto"/>
                <w:sz w:val="24"/>
                <w:highlight w:val="none"/>
                <w:u w:val="none" w:color="auto"/>
              </w:rPr>
              <w:t>t/a。</w:t>
            </w:r>
          </w:p>
          <w:p w14:paraId="486DB6E0">
            <w:pPr>
              <w:pStyle w:val="75"/>
              <w:ind w:firstLine="480"/>
              <w:rPr>
                <w:rFonts w:hint="default" w:ascii="Times New Roman" w:hAnsi="Times New Roman" w:eastAsia="宋体" w:cs="Times New Roman"/>
                <w:color w:val="000000"/>
                <w:kern w:val="0"/>
                <w:lang w:bidi="ar"/>
              </w:rPr>
            </w:pPr>
            <w:r>
              <w:rPr>
                <w:rFonts w:hint="default" w:ascii="Times New Roman" w:hAnsi="Times New Roman" w:cs="Times New Roman"/>
                <w:color w:val="auto"/>
                <w:kern w:val="0"/>
                <w:sz w:val="24"/>
                <w:highlight w:val="none"/>
                <w:u w:val="none" w:color="auto"/>
                <w:lang w:val="en-US" w:eastAsia="zh-CN"/>
              </w:rPr>
              <w:t>根据《国家危险废物名录》（2025年版），废润滑油</w:t>
            </w:r>
            <w:r>
              <w:rPr>
                <w:rFonts w:hint="default" w:ascii="Times New Roman" w:hAnsi="Times New Roman" w:eastAsia="宋体" w:cs="Times New Roman"/>
                <w:color w:val="auto"/>
                <w:kern w:val="0"/>
                <w:sz w:val="24"/>
                <w:szCs w:val="21"/>
                <w:highlight w:val="none"/>
                <w:u w:val="none" w:color="auto"/>
                <w:lang w:val="en-US" w:eastAsia="zh-CN" w:bidi="ar-SA"/>
              </w:rPr>
              <w:t>桶</w:t>
            </w:r>
            <w:r>
              <w:rPr>
                <w:rFonts w:hint="default" w:ascii="Times New Roman" w:hAnsi="Times New Roman" w:cs="Times New Roman"/>
                <w:color w:val="auto"/>
                <w:kern w:val="0"/>
                <w:sz w:val="24"/>
                <w:highlight w:val="none"/>
                <w:u w:val="none" w:color="auto"/>
                <w:lang w:val="en-US" w:eastAsia="zh-CN"/>
              </w:rPr>
              <w:t>属于危险废物。废润滑油</w:t>
            </w:r>
            <w:r>
              <w:rPr>
                <w:rFonts w:hint="default" w:ascii="Times New Roman" w:hAnsi="Times New Roman" w:eastAsia="宋体" w:cs="Times New Roman"/>
                <w:color w:val="auto"/>
                <w:kern w:val="0"/>
                <w:sz w:val="24"/>
                <w:szCs w:val="21"/>
                <w:highlight w:val="none"/>
                <w:u w:val="none" w:color="auto"/>
                <w:lang w:val="en-US" w:eastAsia="zh-CN" w:bidi="ar-SA"/>
              </w:rPr>
              <w:t>桶</w:t>
            </w:r>
            <w:r>
              <w:rPr>
                <w:rFonts w:hint="default" w:ascii="Times New Roman" w:hAnsi="Times New Roman" w:cs="Times New Roman"/>
                <w:color w:val="auto"/>
                <w:kern w:val="0"/>
                <w:sz w:val="24"/>
                <w:highlight w:val="none"/>
                <w:u w:val="none" w:color="auto"/>
                <w:lang w:val="en-US" w:eastAsia="zh-CN"/>
              </w:rPr>
              <w:t>废物类别</w:t>
            </w:r>
            <w:r>
              <w:rPr>
                <w:rFonts w:hint="default" w:ascii="Times New Roman" w:hAnsi="Times New Roman" w:cs="Times New Roman"/>
                <w:bCs/>
                <w:color w:val="auto"/>
                <w:sz w:val="24"/>
                <w:highlight w:val="none"/>
                <w:u w:val="none" w:color="auto"/>
              </w:rPr>
              <w:t>为HW</w:t>
            </w:r>
            <w:r>
              <w:rPr>
                <w:rFonts w:hint="eastAsia" w:ascii="Times New Roman" w:cs="Times New Roman"/>
                <w:bCs/>
                <w:color w:val="auto"/>
                <w:sz w:val="24"/>
                <w:highlight w:val="none"/>
                <w:u w:val="none" w:color="auto"/>
                <w:lang w:val="en-US" w:eastAsia="zh-CN"/>
              </w:rPr>
              <w:t>49</w:t>
            </w:r>
            <w:r>
              <w:rPr>
                <w:rFonts w:hint="default" w:ascii="Times New Roman" w:hAnsi="Times New Roman" w:cs="Times New Roman"/>
                <w:bCs/>
                <w:color w:val="auto"/>
                <w:sz w:val="24"/>
                <w:highlight w:val="none"/>
                <w:u w:val="none" w:color="auto"/>
              </w:rPr>
              <w:t>-</w:t>
            </w:r>
            <w:r>
              <w:rPr>
                <w:rFonts w:hint="eastAsia" w:ascii="Times New Roman" w:cs="Times New Roman"/>
                <w:bCs/>
                <w:color w:val="auto"/>
                <w:sz w:val="24"/>
                <w:highlight w:val="none"/>
                <w:u w:val="none" w:color="auto"/>
                <w:lang w:val="en-US" w:eastAsia="zh-CN"/>
              </w:rPr>
              <w:t>其他</w:t>
            </w:r>
            <w:r>
              <w:rPr>
                <w:rFonts w:hint="default" w:ascii="Times New Roman" w:hAnsi="Times New Roman" w:cs="Times New Roman"/>
                <w:bCs/>
                <w:color w:val="auto"/>
                <w:sz w:val="24"/>
                <w:highlight w:val="none"/>
                <w:u w:val="none" w:color="auto"/>
              </w:rPr>
              <w:t>废物，危废代码为900-</w:t>
            </w:r>
            <w:r>
              <w:rPr>
                <w:rFonts w:hint="eastAsia" w:ascii="Times New Roman" w:cs="Times New Roman"/>
                <w:bCs/>
                <w:color w:val="auto"/>
                <w:sz w:val="24"/>
                <w:highlight w:val="none"/>
                <w:u w:val="none" w:color="auto"/>
                <w:lang w:val="en-US" w:eastAsia="zh-CN"/>
              </w:rPr>
              <w:t>041</w:t>
            </w:r>
            <w:r>
              <w:rPr>
                <w:rFonts w:hint="default" w:ascii="Times New Roman" w:hAnsi="Times New Roman" w:cs="Times New Roman"/>
                <w:bCs/>
                <w:color w:val="auto"/>
                <w:sz w:val="24"/>
                <w:highlight w:val="none"/>
                <w:u w:val="none" w:color="auto"/>
              </w:rPr>
              <w:t>-</w:t>
            </w:r>
            <w:r>
              <w:rPr>
                <w:rFonts w:hint="eastAsia" w:ascii="Times New Roman" w:cs="Times New Roman"/>
                <w:bCs/>
                <w:color w:val="auto"/>
                <w:sz w:val="24"/>
                <w:highlight w:val="none"/>
                <w:u w:val="none" w:color="auto"/>
                <w:lang w:val="en-US" w:eastAsia="zh-CN"/>
              </w:rPr>
              <w:t>49</w:t>
            </w:r>
            <w:r>
              <w:rPr>
                <w:rFonts w:hint="default" w:ascii="Times New Roman" w:hAnsi="Times New Roman" w:cs="Times New Roman"/>
                <w:bCs/>
                <w:color w:val="auto"/>
                <w:sz w:val="24"/>
                <w:highlight w:val="none"/>
                <w:u w:val="none" w:color="auto"/>
              </w:rPr>
              <w:t>，危险特性为T，I</w:t>
            </w:r>
            <w:r>
              <w:rPr>
                <w:rFonts w:hint="eastAsia" w:ascii="Times New Roman" w:cs="Times New Roman"/>
                <w:bCs/>
                <w:color w:val="auto"/>
                <w:sz w:val="24"/>
                <w:highlight w:val="none"/>
                <w:u w:val="none" w:color="auto"/>
                <w:lang w:val="en-US" w:eastAsia="zh-CN"/>
              </w:rPr>
              <w:t>n</w:t>
            </w:r>
            <w:r>
              <w:rPr>
                <w:rFonts w:hint="default" w:ascii="Times New Roman" w:hAnsi="Times New Roman" w:cs="Times New Roman"/>
                <w:bCs/>
                <w:color w:val="auto"/>
                <w:sz w:val="24"/>
                <w:highlight w:val="none"/>
                <w:u w:val="none" w:color="auto"/>
              </w:rPr>
              <w:t>。</w:t>
            </w:r>
            <w:r>
              <w:rPr>
                <w:rFonts w:hint="default" w:ascii="Times New Roman" w:hAnsi="Times New Roman" w:eastAsia="宋体" w:cs="Times New Roman"/>
                <w:color w:val="000000"/>
                <w:kern w:val="0"/>
                <w:lang w:val="en-US" w:eastAsia="zh-CN" w:bidi="ar"/>
              </w:rPr>
              <w:t>收集暂存于危废暂存间后，</w:t>
            </w:r>
            <w:r>
              <w:rPr>
                <w:rFonts w:hint="default" w:ascii="Times New Roman" w:hAnsi="Times New Roman" w:eastAsia="宋体" w:cs="Times New Roman"/>
                <w:color w:val="000000"/>
                <w:kern w:val="0"/>
                <w:lang w:bidi="ar"/>
              </w:rPr>
              <w:t>定期交</w:t>
            </w:r>
            <w:r>
              <w:rPr>
                <w:rFonts w:hint="default" w:ascii="Times New Roman" w:hAnsi="Times New Roman" w:eastAsia="宋体" w:cs="Times New Roman"/>
                <w:color w:val="000000"/>
                <w:kern w:val="0"/>
                <w:lang w:val="en-US" w:eastAsia="zh-CN" w:bidi="ar"/>
              </w:rPr>
              <w:t>由</w:t>
            </w:r>
            <w:r>
              <w:rPr>
                <w:rFonts w:hint="default" w:ascii="Times New Roman" w:hAnsi="Times New Roman" w:eastAsia="宋体" w:cs="Times New Roman"/>
                <w:color w:val="000000"/>
                <w:kern w:val="0"/>
                <w:lang w:bidi="ar"/>
              </w:rPr>
              <w:t>有资质单位处理。</w:t>
            </w:r>
          </w:p>
          <w:p w14:paraId="6D15ECA0">
            <w:pPr>
              <w:pStyle w:val="40"/>
              <w:bidi w:val="0"/>
              <w:rPr>
                <w:rFonts w:hint="default"/>
                <w:b/>
                <w:bCs/>
                <w:highlight w:val="none"/>
                <w:u w:val="none" w:color="auto"/>
                <w:lang w:val="en-US" w:eastAsia="zh-CN"/>
              </w:rPr>
            </w:pPr>
            <w:r>
              <w:rPr>
                <w:rFonts w:hint="eastAsia"/>
                <w:b/>
                <w:bCs/>
                <w:highlight w:val="none"/>
                <w:u w:val="none" w:color="auto"/>
                <w:lang w:eastAsia="zh-CN"/>
              </w:rPr>
              <w:t>（</w:t>
            </w:r>
            <w:r>
              <w:rPr>
                <w:rFonts w:hint="eastAsia"/>
                <w:b/>
                <w:bCs/>
                <w:highlight w:val="none"/>
                <w:u w:val="none" w:color="auto"/>
                <w:lang w:val="en-US" w:eastAsia="zh-CN"/>
              </w:rPr>
              <w:t>9</w:t>
            </w:r>
            <w:r>
              <w:rPr>
                <w:rFonts w:hint="eastAsia"/>
                <w:b/>
                <w:bCs/>
                <w:highlight w:val="none"/>
                <w:u w:val="none" w:color="auto"/>
                <w:lang w:eastAsia="zh-CN"/>
              </w:rPr>
              <w:t>）</w:t>
            </w:r>
            <w:r>
              <w:rPr>
                <w:rFonts w:hint="eastAsia"/>
                <w:b/>
                <w:bCs/>
                <w:highlight w:val="none"/>
                <w:u w:val="none" w:color="auto"/>
                <w:lang w:val="en-US" w:eastAsia="zh-CN"/>
              </w:rPr>
              <w:t>废含油抹布和手套</w:t>
            </w:r>
          </w:p>
          <w:p w14:paraId="02DF6D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项目机械设备的运行和维修过程中产生一定量的</w:t>
            </w:r>
            <w:r>
              <w:rPr>
                <w:rFonts w:hint="eastAsia" w:cs="Times New Roman"/>
                <w:color w:val="auto"/>
                <w:kern w:val="0"/>
                <w:sz w:val="24"/>
                <w:highlight w:val="none"/>
                <w:u w:val="none" w:color="auto"/>
                <w:lang w:val="en-US" w:eastAsia="zh-CN"/>
              </w:rPr>
              <w:t>废含油抹布和手套</w:t>
            </w:r>
            <w:r>
              <w:rPr>
                <w:rFonts w:hint="default" w:ascii="Times New Roman" w:hAnsi="Times New Roman" w:cs="Times New Roman"/>
                <w:bCs/>
                <w:color w:val="auto"/>
                <w:sz w:val="24"/>
                <w:highlight w:val="none"/>
                <w:u w:val="none" w:color="auto"/>
              </w:rPr>
              <w:t>，根据</w:t>
            </w:r>
            <w:r>
              <w:rPr>
                <w:rFonts w:hint="eastAsia" w:cs="Times New Roman"/>
                <w:bCs/>
                <w:color w:val="auto"/>
                <w:sz w:val="24"/>
                <w:highlight w:val="none"/>
                <w:u w:val="none" w:color="auto"/>
                <w:lang w:val="en-US" w:eastAsia="zh-CN"/>
              </w:rPr>
              <w:t>企业</w:t>
            </w:r>
            <w:r>
              <w:rPr>
                <w:rFonts w:hint="default" w:ascii="Times New Roman" w:hAnsi="Times New Roman" w:cs="Times New Roman"/>
                <w:bCs/>
                <w:color w:val="auto"/>
                <w:sz w:val="24"/>
                <w:highlight w:val="none"/>
                <w:u w:val="none" w:color="auto"/>
              </w:rPr>
              <w:t>提供资料，废</w:t>
            </w:r>
            <w:r>
              <w:rPr>
                <w:rFonts w:hint="eastAsia" w:cs="Times New Roman"/>
                <w:bCs/>
                <w:color w:val="auto"/>
                <w:sz w:val="24"/>
                <w:highlight w:val="none"/>
                <w:u w:val="none" w:color="auto"/>
                <w:lang w:val="en-US" w:eastAsia="zh-CN"/>
              </w:rPr>
              <w:t>含油抹布和手套</w:t>
            </w:r>
            <w:r>
              <w:rPr>
                <w:rFonts w:hint="default" w:ascii="Times New Roman" w:hAnsi="Times New Roman" w:cs="Times New Roman"/>
                <w:bCs/>
                <w:color w:val="auto"/>
                <w:sz w:val="24"/>
                <w:highlight w:val="none"/>
                <w:u w:val="none" w:color="auto"/>
              </w:rPr>
              <w:t>产生量为</w:t>
            </w:r>
            <w:r>
              <w:rPr>
                <w:rFonts w:hint="eastAsia" w:cs="Times New Roman"/>
                <w:bCs/>
                <w:color w:val="auto"/>
                <w:sz w:val="24"/>
                <w:highlight w:val="none"/>
                <w:u w:val="none" w:color="auto"/>
                <w:lang w:val="en-US" w:eastAsia="zh-CN"/>
              </w:rPr>
              <w:t>0.006</w:t>
            </w:r>
            <w:r>
              <w:rPr>
                <w:rFonts w:hint="default" w:ascii="Times New Roman" w:hAnsi="Times New Roman" w:cs="Times New Roman"/>
                <w:bCs/>
                <w:color w:val="auto"/>
                <w:sz w:val="24"/>
                <w:highlight w:val="none"/>
                <w:u w:val="none" w:color="auto"/>
              </w:rPr>
              <w:t>t/a。</w:t>
            </w:r>
          </w:p>
          <w:p w14:paraId="1ADF583A">
            <w:pPr>
              <w:pStyle w:val="75"/>
              <w:ind w:firstLine="480"/>
              <w:rPr>
                <w:rFonts w:hint="eastAsia"/>
                <w:b/>
                <w:bCs/>
                <w:highlight w:val="none"/>
                <w:u w:val="none" w:color="auto"/>
                <w:lang w:eastAsia="zh-CN"/>
              </w:rPr>
            </w:pPr>
            <w:r>
              <w:rPr>
                <w:rFonts w:hint="default" w:ascii="Times New Roman" w:hAnsi="Times New Roman" w:cs="Times New Roman"/>
                <w:color w:val="auto"/>
                <w:kern w:val="0"/>
                <w:sz w:val="24"/>
                <w:highlight w:val="none"/>
                <w:u w:val="none" w:color="auto"/>
                <w:lang w:val="en-US" w:eastAsia="zh-CN"/>
              </w:rPr>
              <w:t>根据《国家危险废物名录》（2025年版），废</w:t>
            </w:r>
            <w:r>
              <w:rPr>
                <w:rFonts w:hint="eastAsia" w:ascii="Times New Roman" w:cs="Times New Roman"/>
                <w:color w:val="auto"/>
                <w:kern w:val="0"/>
                <w:sz w:val="24"/>
                <w:highlight w:val="none"/>
                <w:u w:val="none" w:color="auto"/>
                <w:lang w:val="en-US" w:eastAsia="zh-CN"/>
              </w:rPr>
              <w:t>含油抹布和手套</w:t>
            </w:r>
            <w:r>
              <w:rPr>
                <w:rFonts w:hint="default" w:ascii="Times New Roman" w:hAnsi="Times New Roman" w:cs="Times New Roman"/>
                <w:color w:val="auto"/>
                <w:kern w:val="0"/>
                <w:sz w:val="24"/>
                <w:highlight w:val="none"/>
                <w:u w:val="none" w:color="auto"/>
                <w:lang w:val="en-US" w:eastAsia="zh-CN"/>
              </w:rPr>
              <w:t>属于危险废物。废</w:t>
            </w:r>
            <w:r>
              <w:rPr>
                <w:rFonts w:hint="eastAsia" w:ascii="Times New Roman" w:cs="Times New Roman"/>
                <w:color w:val="auto"/>
                <w:kern w:val="0"/>
                <w:sz w:val="24"/>
                <w:highlight w:val="none"/>
                <w:u w:val="none" w:color="auto"/>
                <w:lang w:val="en-US" w:eastAsia="zh-CN"/>
              </w:rPr>
              <w:t>含油抹布和手套</w:t>
            </w:r>
            <w:r>
              <w:rPr>
                <w:rFonts w:hint="default" w:ascii="Times New Roman" w:hAnsi="Times New Roman" w:eastAsia="宋体" w:cs="Times New Roman"/>
                <w:color w:val="auto"/>
                <w:kern w:val="0"/>
                <w:sz w:val="24"/>
                <w:szCs w:val="21"/>
                <w:highlight w:val="none"/>
                <w:u w:val="none" w:color="auto"/>
                <w:lang w:val="en-US" w:eastAsia="zh-CN" w:bidi="ar-SA"/>
              </w:rPr>
              <w:t>桶</w:t>
            </w:r>
            <w:r>
              <w:rPr>
                <w:rFonts w:hint="default" w:ascii="Times New Roman" w:hAnsi="Times New Roman" w:cs="Times New Roman"/>
                <w:color w:val="auto"/>
                <w:kern w:val="0"/>
                <w:sz w:val="24"/>
                <w:highlight w:val="none"/>
                <w:u w:val="none" w:color="auto"/>
                <w:lang w:val="en-US" w:eastAsia="zh-CN"/>
              </w:rPr>
              <w:t>废物类别</w:t>
            </w:r>
            <w:r>
              <w:rPr>
                <w:rFonts w:hint="default" w:ascii="Times New Roman" w:hAnsi="Times New Roman" w:cs="Times New Roman"/>
                <w:bCs/>
                <w:color w:val="auto"/>
                <w:sz w:val="24"/>
                <w:highlight w:val="none"/>
                <w:u w:val="none" w:color="auto"/>
              </w:rPr>
              <w:t>为HW</w:t>
            </w:r>
            <w:r>
              <w:rPr>
                <w:rFonts w:hint="eastAsia" w:ascii="Times New Roman" w:cs="Times New Roman"/>
                <w:bCs/>
                <w:color w:val="auto"/>
                <w:sz w:val="24"/>
                <w:highlight w:val="none"/>
                <w:u w:val="none" w:color="auto"/>
                <w:lang w:val="en-US" w:eastAsia="zh-CN"/>
              </w:rPr>
              <w:t>49</w:t>
            </w:r>
            <w:r>
              <w:rPr>
                <w:rFonts w:hint="default" w:ascii="Times New Roman" w:hAnsi="Times New Roman" w:cs="Times New Roman"/>
                <w:bCs/>
                <w:color w:val="auto"/>
                <w:sz w:val="24"/>
                <w:highlight w:val="none"/>
                <w:u w:val="none" w:color="auto"/>
              </w:rPr>
              <w:t>-</w:t>
            </w:r>
            <w:r>
              <w:rPr>
                <w:rFonts w:hint="eastAsia" w:ascii="Times New Roman" w:cs="Times New Roman"/>
                <w:bCs/>
                <w:color w:val="auto"/>
                <w:sz w:val="24"/>
                <w:highlight w:val="none"/>
                <w:u w:val="none" w:color="auto"/>
                <w:lang w:val="en-US" w:eastAsia="zh-CN"/>
              </w:rPr>
              <w:t>其他废物</w:t>
            </w:r>
            <w:r>
              <w:rPr>
                <w:rFonts w:hint="default" w:ascii="Times New Roman" w:hAnsi="Times New Roman" w:cs="Times New Roman"/>
                <w:bCs/>
                <w:color w:val="auto"/>
                <w:sz w:val="24"/>
                <w:highlight w:val="none"/>
                <w:u w:val="none" w:color="auto"/>
              </w:rPr>
              <w:t>，危废代码为900-</w:t>
            </w:r>
            <w:r>
              <w:rPr>
                <w:rFonts w:hint="eastAsia" w:ascii="Times New Roman" w:cs="Times New Roman"/>
                <w:bCs/>
                <w:color w:val="auto"/>
                <w:sz w:val="24"/>
                <w:highlight w:val="none"/>
                <w:u w:val="none" w:color="auto"/>
                <w:lang w:val="en-US" w:eastAsia="zh-CN"/>
              </w:rPr>
              <w:t>041</w:t>
            </w:r>
            <w:r>
              <w:rPr>
                <w:rFonts w:hint="default" w:ascii="Times New Roman" w:hAnsi="Times New Roman" w:cs="Times New Roman"/>
                <w:bCs/>
                <w:color w:val="auto"/>
                <w:sz w:val="24"/>
                <w:highlight w:val="none"/>
                <w:u w:val="none" w:color="auto"/>
              </w:rPr>
              <w:t>-</w:t>
            </w:r>
            <w:r>
              <w:rPr>
                <w:rFonts w:hint="eastAsia" w:ascii="Times New Roman" w:cs="Times New Roman"/>
                <w:bCs/>
                <w:color w:val="auto"/>
                <w:sz w:val="24"/>
                <w:highlight w:val="none"/>
                <w:u w:val="none" w:color="auto"/>
                <w:lang w:val="en-US" w:eastAsia="zh-CN"/>
              </w:rPr>
              <w:t>49</w:t>
            </w:r>
            <w:r>
              <w:rPr>
                <w:rFonts w:hint="default" w:ascii="Times New Roman" w:hAnsi="Times New Roman" w:cs="Times New Roman"/>
                <w:bCs/>
                <w:color w:val="auto"/>
                <w:sz w:val="24"/>
                <w:highlight w:val="none"/>
                <w:u w:val="none" w:color="auto"/>
              </w:rPr>
              <w:t>，危险特性为T，I</w:t>
            </w:r>
            <w:r>
              <w:rPr>
                <w:rFonts w:hint="default" w:ascii="Times New Roman" w:hAnsi="Times New Roman" w:cs="Times New Roman"/>
                <w:bCs/>
                <w:color w:val="auto"/>
                <w:sz w:val="24"/>
                <w:highlight w:val="none"/>
                <w:u w:val="none" w:color="auto"/>
                <w:lang w:val="en-US" w:eastAsia="zh-CN"/>
              </w:rPr>
              <w:t>n</w:t>
            </w:r>
            <w:r>
              <w:rPr>
                <w:rFonts w:hint="default" w:ascii="Times New Roman" w:hAnsi="Times New Roman" w:cs="Times New Roman"/>
                <w:bCs/>
                <w:color w:val="auto"/>
                <w:sz w:val="24"/>
                <w:highlight w:val="none"/>
                <w:u w:val="none" w:color="auto"/>
              </w:rPr>
              <w:t>。</w:t>
            </w:r>
            <w:r>
              <w:rPr>
                <w:rFonts w:hint="default" w:ascii="Times New Roman" w:hAnsi="Times New Roman" w:eastAsia="宋体" w:cs="Times New Roman"/>
                <w:color w:val="000000"/>
                <w:kern w:val="0"/>
                <w:lang w:val="en-US" w:eastAsia="zh-CN" w:bidi="ar"/>
              </w:rPr>
              <w:t>收集暂存于危废暂存间后，</w:t>
            </w:r>
            <w:r>
              <w:rPr>
                <w:rFonts w:hint="default" w:ascii="Times New Roman" w:hAnsi="Times New Roman" w:eastAsia="宋体" w:cs="Times New Roman"/>
                <w:color w:val="000000"/>
                <w:kern w:val="0"/>
                <w:lang w:bidi="ar"/>
              </w:rPr>
              <w:t>定期交</w:t>
            </w:r>
            <w:r>
              <w:rPr>
                <w:rFonts w:hint="default" w:ascii="Times New Roman" w:hAnsi="Times New Roman" w:eastAsia="宋体" w:cs="Times New Roman"/>
                <w:color w:val="000000"/>
                <w:kern w:val="0"/>
                <w:lang w:val="en-US" w:eastAsia="zh-CN" w:bidi="ar"/>
              </w:rPr>
              <w:t>由</w:t>
            </w:r>
            <w:r>
              <w:rPr>
                <w:rFonts w:hint="default" w:ascii="Times New Roman" w:hAnsi="Times New Roman" w:eastAsia="宋体" w:cs="Times New Roman"/>
                <w:color w:val="000000"/>
                <w:kern w:val="0"/>
                <w:lang w:bidi="ar"/>
              </w:rPr>
              <w:t>有资质单位处理。</w:t>
            </w:r>
          </w:p>
          <w:p w14:paraId="6979D1BC">
            <w:pPr>
              <w:pStyle w:val="40"/>
              <w:bidi w:val="0"/>
              <w:rPr>
                <w:rFonts w:hint="eastAsia" w:eastAsia="宋体"/>
                <w:b/>
                <w:bCs/>
                <w:u w:val="none" w:color="auto"/>
                <w:lang w:eastAsia="zh-CN"/>
              </w:rPr>
            </w:pPr>
            <w:r>
              <w:rPr>
                <w:rFonts w:hint="eastAsia"/>
                <w:b/>
                <w:bCs/>
                <w:highlight w:val="none"/>
                <w:u w:val="none" w:color="auto"/>
                <w:lang w:eastAsia="zh-CN"/>
              </w:rPr>
              <w:t>（</w:t>
            </w:r>
            <w:r>
              <w:rPr>
                <w:rFonts w:hint="eastAsia"/>
                <w:b/>
                <w:bCs/>
                <w:highlight w:val="none"/>
                <w:u w:val="none" w:color="auto"/>
                <w:lang w:val="en-US" w:eastAsia="zh-CN"/>
              </w:rPr>
              <w:t>10</w:t>
            </w:r>
            <w:r>
              <w:rPr>
                <w:rFonts w:hint="eastAsia"/>
                <w:b/>
                <w:bCs/>
                <w:highlight w:val="none"/>
                <w:u w:val="none" w:color="auto"/>
                <w:lang w:eastAsia="zh-CN"/>
              </w:rPr>
              <w:t>）</w:t>
            </w:r>
            <w:r>
              <w:rPr>
                <w:rFonts w:hint="eastAsia"/>
                <w:b/>
                <w:bCs/>
                <w:u w:val="none" w:color="auto"/>
              </w:rPr>
              <w:t>生活垃圾</w:t>
            </w:r>
          </w:p>
          <w:p w14:paraId="7D80BF0C">
            <w:pPr>
              <w:pStyle w:val="40"/>
              <w:bidi w:val="0"/>
              <w:rPr>
                <w:u w:val="none" w:color="auto"/>
              </w:rPr>
            </w:pPr>
            <w:r>
              <w:rPr>
                <w:rFonts w:hint="eastAsia"/>
                <w:u w:val="none" w:color="auto"/>
              </w:rPr>
              <w:t>项目劳动定员</w:t>
            </w:r>
            <w:r>
              <w:rPr>
                <w:rFonts w:hint="eastAsia"/>
                <w:u w:val="none" w:color="auto"/>
                <w:lang w:val="en-US" w:eastAsia="zh-CN"/>
              </w:rPr>
              <w:t>80</w:t>
            </w:r>
            <w:r>
              <w:rPr>
                <w:rFonts w:hint="eastAsia"/>
                <w:u w:val="none" w:color="auto"/>
              </w:rPr>
              <w:t>人，生活垃圾产生量按照</w:t>
            </w:r>
            <w:r>
              <w:rPr>
                <w:u w:val="none" w:color="auto"/>
              </w:rPr>
              <w:t>0.5kg/</w:t>
            </w:r>
            <w:r>
              <w:rPr>
                <w:rFonts w:hint="eastAsia"/>
                <w:u w:val="none" w:color="auto"/>
              </w:rPr>
              <w:t>人</w:t>
            </w:r>
            <w:r>
              <w:rPr>
                <w:u w:val="none" w:color="auto"/>
              </w:rPr>
              <w:t>.d</w:t>
            </w:r>
            <w:r>
              <w:rPr>
                <w:rFonts w:hint="eastAsia"/>
                <w:u w:val="none" w:color="auto"/>
              </w:rPr>
              <w:t>计，则生活垃圾产生量</w:t>
            </w:r>
            <w:r>
              <w:rPr>
                <w:rFonts w:hint="eastAsia"/>
                <w:u w:val="none" w:color="auto"/>
                <w:lang w:val="en-US" w:eastAsia="zh-CN"/>
              </w:rPr>
              <w:t>0.04t</w:t>
            </w:r>
            <w:r>
              <w:rPr>
                <w:u w:val="none" w:color="auto"/>
              </w:rPr>
              <w:t>/d</w:t>
            </w:r>
            <w:r>
              <w:rPr>
                <w:rFonts w:hint="eastAsia"/>
                <w:u w:val="none" w:color="auto"/>
              </w:rPr>
              <w:t>（</w:t>
            </w:r>
            <w:r>
              <w:rPr>
                <w:rFonts w:hint="eastAsia"/>
                <w:u w:val="none" w:color="auto"/>
                <w:lang w:val="en-US" w:eastAsia="zh-CN"/>
              </w:rPr>
              <w:t>12</w:t>
            </w:r>
            <w:r>
              <w:rPr>
                <w:u w:val="none" w:color="auto"/>
              </w:rPr>
              <w:t>t/a</w:t>
            </w:r>
            <w:r>
              <w:rPr>
                <w:rFonts w:hint="eastAsia"/>
                <w:u w:val="none" w:color="auto"/>
              </w:rPr>
              <w:t>）。生活垃圾集中至厂区垃圾</w:t>
            </w:r>
            <w:r>
              <w:rPr>
                <w:rFonts w:hint="eastAsia"/>
                <w:u w:val="none" w:color="auto"/>
                <w:lang w:val="en-US" w:eastAsia="zh-CN"/>
              </w:rPr>
              <w:t>桶</w:t>
            </w:r>
            <w:r>
              <w:rPr>
                <w:rFonts w:hint="eastAsia"/>
                <w:u w:val="none" w:color="auto"/>
              </w:rPr>
              <w:t>，送往周边生活垃圾中转站处置。</w:t>
            </w:r>
          </w:p>
          <w:p w14:paraId="0859078B">
            <w:pPr>
              <w:pStyle w:val="40"/>
              <w:bidi w:val="0"/>
              <w:rPr>
                <w:u w:val="none" w:color="auto"/>
              </w:rPr>
            </w:pPr>
            <w:r>
              <w:rPr>
                <w:u w:val="none" w:color="auto"/>
              </w:rPr>
              <w:t>综上，本项目运营期固废产生及处置情况如下表。</w:t>
            </w:r>
          </w:p>
          <w:p w14:paraId="2FA455AD">
            <w:pPr>
              <w:pStyle w:val="42"/>
              <w:bidi w:val="0"/>
              <w:rPr>
                <w:u w:val="none" w:color="auto"/>
              </w:rPr>
            </w:pPr>
            <w:r>
              <w:rPr>
                <w:u w:val="none" w:color="auto"/>
              </w:rPr>
              <w:t>表4-</w:t>
            </w:r>
            <w:r>
              <w:rPr>
                <w:rFonts w:hint="eastAsia"/>
                <w:u w:val="none" w:color="auto"/>
                <w:lang w:val="en-US" w:eastAsia="zh-CN"/>
              </w:rPr>
              <w:t>21</w:t>
            </w:r>
            <w:r>
              <w:rPr>
                <w:rFonts w:hint="eastAsia"/>
                <w:u w:val="none" w:color="auto"/>
              </w:rPr>
              <w:t xml:space="preserve"> </w:t>
            </w:r>
            <w:r>
              <w:rPr>
                <w:u w:val="none" w:color="auto"/>
              </w:rPr>
              <w:t xml:space="preserve"> 固体废物产生及处置一览表</w:t>
            </w:r>
          </w:p>
          <w:tbl>
            <w:tblPr>
              <w:tblStyle w:val="34"/>
              <w:tblW w:w="4998" w:type="pc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94"/>
              <w:gridCol w:w="904"/>
              <w:gridCol w:w="1345"/>
              <w:gridCol w:w="919"/>
              <w:gridCol w:w="722"/>
              <w:gridCol w:w="904"/>
              <w:gridCol w:w="850"/>
              <w:gridCol w:w="823"/>
              <w:gridCol w:w="1312"/>
            </w:tblGrid>
            <w:tr w14:paraId="1EEE5C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98" w:type="pct"/>
                  <w:tcBorders>
                    <w:tl2br w:val="nil"/>
                    <w:tr2bl w:val="nil"/>
                  </w:tcBorders>
                  <w:noWrap w:val="0"/>
                  <w:vAlign w:val="center"/>
                </w:tcPr>
                <w:p w14:paraId="4C919F2F">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ascii="Times New Roman" w:hAnsi="Times New Roman" w:cs="Times New Roman"/>
                      <w:b w:val="0"/>
                      <w:bCs w:val="0"/>
                      <w:color w:val="auto"/>
                      <w:sz w:val="21"/>
                      <w:szCs w:val="21"/>
                    </w:rPr>
                    <w:t>序号</w:t>
                  </w:r>
                </w:p>
              </w:tc>
              <w:tc>
                <w:tcPr>
                  <w:tcW w:w="546" w:type="pct"/>
                  <w:tcBorders>
                    <w:tl2br w:val="nil"/>
                    <w:tr2bl w:val="nil"/>
                  </w:tcBorders>
                  <w:noWrap w:val="0"/>
                  <w:vAlign w:val="center"/>
                </w:tcPr>
                <w:p w14:paraId="344FDECA">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ascii="Times New Roman" w:hAnsi="Times New Roman" w:cs="Times New Roman"/>
                      <w:b w:val="0"/>
                      <w:bCs w:val="0"/>
                      <w:color w:val="auto"/>
                      <w:sz w:val="21"/>
                      <w:szCs w:val="21"/>
                    </w:rPr>
                    <w:t>名称</w:t>
                  </w:r>
                </w:p>
              </w:tc>
              <w:tc>
                <w:tcPr>
                  <w:tcW w:w="812" w:type="pct"/>
                  <w:tcBorders>
                    <w:tl2br w:val="nil"/>
                    <w:tr2bl w:val="nil"/>
                  </w:tcBorders>
                  <w:noWrap w:val="0"/>
                  <w:vAlign w:val="center"/>
                </w:tcPr>
                <w:p w14:paraId="27D3A941">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ascii="Times New Roman" w:hAnsi="Times New Roman" w:cs="Times New Roman"/>
                      <w:b w:val="0"/>
                      <w:bCs w:val="0"/>
                      <w:color w:val="auto"/>
                      <w:sz w:val="21"/>
                      <w:szCs w:val="21"/>
                    </w:rPr>
                    <w:t>类别及代码</w:t>
                  </w:r>
                </w:p>
              </w:tc>
              <w:tc>
                <w:tcPr>
                  <w:tcW w:w="555" w:type="pct"/>
                  <w:tcBorders>
                    <w:tl2br w:val="nil"/>
                    <w:tr2bl w:val="nil"/>
                  </w:tcBorders>
                  <w:noWrap w:val="0"/>
                  <w:vAlign w:val="center"/>
                </w:tcPr>
                <w:p w14:paraId="76697543">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ascii="Times New Roman" w:hAnsi="Times New Roman" w:cs="Times New Roman"/>
                      <w:b w:val="0"/>
                      <w:bCs w:val="0"/>
                      <w:color w:val="auto"/>
                      <w:sz w:val="21"/>
                      <w:szCs w:val="21"/>
                    </w:rPr>
                    <w:t>来源</w:t>
                  </w:r>
                </w:p>
              </w:tc>
              <w:tc>
                <w:tcPr>
                  <w:tcW w:w="436" w:type="pct"/>
                  <w:tcBorders>
                    <w:tl2br w:val="nil"/>
                    <w:tr2bl w:val="nil"/>
                  </w:tcBorders>
                  <w:noWrap w:val="0"/>
                  <w:vAlign w:val="center"/>
                </w:tcPr>
                <w:p w14:paraId="2561AE7B">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ascii="Times New Roman" w:hAnsi="Times New Roman" w:cs="Times New Roman"/>
                      <w:b w:val="0"/>
                      <w:bCs w:val="0"/>
                      <w:color w:val="auto"/>
                      <w:sz w:val="21"/>
                      <w:szCs w:val="21"/>
                    </w:rPr>
                    <w:t>形态</w:t>
                  </w:r>
                </w:p>
              </w:tc>
              <w:tc>
                <w:tcPr>
                  <w:tcW w:w="546" w:type="pct"/>
                  <w:tcBorders>
                    <w:tl2br w:val="nil"/>
                    <w:tr2bl w:val="nil"/>
                  </w:tcBorders>
                  <w:noWrap w:val="0"/>
                  <w:vAlign w:val="center"/>
                </w:tcPr>
                <w:p w14:paraId="674C77FA">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ascii="Times New Roman" w:hAnsi="Times New Roman" w:cs="Times New Roman"/>
                      <w:b w:val="0"/>
                      <w:bCs w:val="0"/>
                      <w:color w:val="auto"/>
                      <w:sz w:val="21"/>
                      <w:szCs w:val="21"/>
                    </w:rPr>
                    <w:t>产生量</w:t>
                  </w:r>
                </w:p>
              </w:tc>
              <w:tc>
                <w:tcPr>
                  <w:tcW w:w="513" w:type="pct"/>
                  <w:tcBorders>
                    <w:tl2br w:val="nil"/>
                    <w:tr2bl w:val="nil"/>
                  </w:tcBorders>
                  <w:noWrap w:val="0"/>
                  <w:vAlign w:val="center"/>
                </w:tcPr>
                <w:p w14:paraId="2B6A7E41">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ascii="Times New Roman" w:hAnsi="Times New Roman" w:cs="Times New Roman"/>
                      <w:b w:val="0"/>
                      <w:bCs w:val="0"/>
                      <w:color w:val="auto"/>
                      <w:sz w:val="21"/>
                      <w:szCs w:val="21"/>
                    </w:rPr>
                    <w:t>处理量</w:t>
                  </w:r>
                </w:p>
              </w:tc>
              <w:tc>
                <w:tcPr>
                  <w:tcW w:w="497" w:type="pct"/>
                  <w:tcBorders>
                    <w:tl2br w:val="nil"/>
                    <w:tr2bl w:val="nil"/>
                  </w:tcBorders>
                  <w:noWrap w:val="0"/>
                  <w:vAlign w:val="center"/>
                </w:tcPr>
                <w:p w14:paraId="0001F0F5">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ascii="Times New Roman" w:hAnsi="Times New Roman" w:cs="Times New Roman"/>
                      <w:b w:val="0"/>
                      <w:bCs w:val="0"/>
                      <w:color w:val="auto"/>
                      <w:sz w:val="21"/>
                      <w:szCs w:val="21"/>
                    </w:rPr>
                    <w:t>危险特性</w:t>
                  </w:r>
                </w:p>
              </w:tc>
              <w:tc>
                <w:tcPr>
                  <w:tcW w:w="792" w:type="pct"/>
                  <w:tcBorders>
                    <w:tl2br w:val="nil"/>
                    <w:tr2bl w:val="nil"/>
                  </w:tcBorders>
                  <w:noWrap w:val="0"/>
                  <w:vAlign w:val="center"/>
                </w:tcPr>
                <w:p w14:paraId="72E46D09">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ascii="Times New Roman" w:hAnsi="Times New Roman" w:cs="Times New Roman"/>
                      <w:b w:val="0"/>
                      <w:bCs w:val="0"/>
                      <w:color w:val="auto"/>
                      <w:sz w:val="21"/>
                      <w:szCs w:val="21"/>
                    </w:rPr>
                    <w:t>污染防治措施</w:t>
                  </w:r>
                </w:p>
              </w:tc>
            </w:tr>
            <w:tr w14:paraId="2B7A09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298" w:type="pct"/>
                  <w:tcBorders>
                    <w:tl2br w:val="nil"/>
                    <w:tr2bl w:val="nil"/>
                  </w:tcBorders>
                  <w:noWrap w:val="0"/>
                  <w:vAlign w:val="center"/>
                </w:tcPr>
                <w:p w14:paraId="4BF5AE13">
                  <w:pPr>
                    <w:pStyle w:val="76"/>
                    <w:bidi w:val="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1</w:t>
                  </w:r>
                </w:p>
              </w:tc>
              <w:tc>
                <w:tcPr>
                  <w:tcW w:w="546" w:type="pct"/>
                  <w:tcBorders>
                    <w:tl2br w:val="nil"/>
                    <w:tr2bl w:val="nil"/>
                  </w:tcBorders>
                  <w:noWrap w:val="0"/>
                  <w:vAlign w:val="center"/>
                </w:tcPr>
                <w:p w14:paraId="3FBC92F3">
                  <w:pPr>
                    <w:pStyle w:val="76"/>
                    <w:bidi w:val="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废边角料</w:t>
                  </w:r>
                </w:p>
              </w:tc>
              <w:tc>
                <w:tcPr>
                  <w:tcW w:w="812" w:type="pct"/>
                  <w:tcBorders>
                    <w:tl2br w:val="nil"/>
                    <w:tr2bl w:val="nil"/>
                  </w:tcBorders>
                  <w:noWrap w:val="0"/>
                  <w:vAlign w:val="center"/>
                </w:tcPr>
                <w:p w14:paraId="2FCCA6EA">
                  <w:pPr>
                    <w:pStyle w:val="76"/>
                    <w:bidi w:val="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SW</w:t>
                  </w:r>
                  <w:r>
                    <w:rPr>
                      <w:rFonts w:hint="eastAsia" w:ascii="Times New Roman" w:hAnsi="Times New Roman" w:cs="Times New Roman"/>
                      <w:b w:val="0"/>
                      <w:bCs w:val="0"/>
                      <w:color w:val="auto"/>
                      <w:sz w:val="21"/>
                      <w:szCs w:val="21"/>
                      <w:vertAlign w:val="baseline"/>
                      <w:lang w:val="en-US" w:eastAsia="zh-CN"/>
                    </w:rPr>
                    <w:t>17</w:t>
                  </w:r>
                </w:p>
                <w:p w14:paraId="153D2FC4">
                  <w:pPr>
                    <w:pStyle w:val="76"/>
                    <w:bidi w:val="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900-0</w:t>
                  </w:r>
                  <w:r>
                    <w:rPr>
                      <w:rFonts w:hint="eastAsia" w:ascii="Times New Roman" w:hAnsi="Times New Roman" w:cs="Times New Roman"/>
                      <w:b w:val="0"/>
                      <w:bCs w:val="0"/>
                      <w:color w:val="auto"/>
                      <w:sz w:val="21"/>
                      <w:szCs w:val="21"/>
                      <w:vertAlign w:val="baseline"/>
                      <w:lang w:val="en-US" w:eastAsia="zh-CN"/>
                    </w:rPr>
                    <w:t>02</w:t>
                  </w:r>
                  <w:r>
                    <w:rPr>
                      <w:rFonts w:hint="eastAsia" w:ascii="Times New Roman" w:hAnsi="Times New Roman" w:eastAsia="宋体" w:cs="Times New Roman"/>
                      <w:b w:val="0"/>
                      <w:bCs w:val="0"/>
                      <w:color w:val="auto"/>
                      <w:sz w:val="21"/>
                      <w:szCs w:val="21"/>
                      <w:vertAlign w:val="baseline"/>
                      <w:lang w:val="en-US" w:eastAsia="zh-CN"/>
                    </w:rPr>
                    <w:t>-S</w:t>
                  </w:r>
                  <w:r>
                    <w:rPr>
                      <w:rFonts w:hint="eastAsia" w:ascii="Times New Roman" w:hAnsi="Times New Roman" w:cs="Times New Roman"/>
                      <w:b w:val="0"/>
                      <w:bCs w:val="0"/>
                      <w:color w:val="auto"/>
                      <w:sz w:val="21"/>
                      <w:szCs w:val="21"/>
                      <w:vertAlign w:val="baseline"/>
                      <w:lang w:val="en-US" w:eastAsia="zh-CN"/>
                    </w:rPr>
                    <w:t>17</w:t>
                  </w:r>
                </w:p>
              </w:tc>
              <w:tc>
                <w:tcPr>
                  <w:tcW w:w="555" w:type="pct"/>
                  <w:tcBorders>
                    <w:tl2br w:val="nil"/>
                    <w:tr2bl w:val="nil"/>
                  </w:tcBorders>
                  <w:noWrap w:val="0"/>
                  <w:vAlign w:val="center"/>
                </w:tcPr>
                <w:p w14:paraId="3247D258">
                  <w:pPr>
                    <w:pStyle w:val="76"/>
                    <w:bidi w:val="0"/>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理线、切脚</w:t>
                  </w:r>
                </w:p>
              </w:tc>
              <w:tc>
                <w:tcPr>
                  <w:tcW w:w="436" w:type="pct"/>
                  <w:tcBorders>
                    <w:tl2br w:val="nil"/>
                    <w:tr2bl w:val="nil"/>
                  </w:tcBorders>
                  <w:noWrap w:val="0"/>
                  <w:vAlign w:val="center"/>
                </w:tcPr>
                <w:p w14:paraId="4BF62514">
                  <w:pPr>
                    <w:pStyle w:val="76"/>
                    <w:bidi w:val="0"/>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固态</w:t>
                  </w:r>
                </w:p>
              </w:tc>
              <w:tc>
                <w:tcPr>
                  <w:tcW w:w="546" w:type="pct"/>
                  <w:tcBorders>
                    <w:tl2br w:val="nil"/>
                    <w:tr2bl w:val="nil"/>
                  </w:tcBorders>
                  <w:shd w:val="clear" w:color="auto" w:fill="auto"/>
                  <w:noWrap w:val="0"/>
                  <w:vAlign w:val="center"/>
                </w:tcPr>
                <w:p w14:paraId="6E8E8400">
                  <w:pPr>
                    <w:pStyle w:val="76"/>
                    <w:bidi w:val="0"/>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cs="Times New Roman"/>
                      <w:b w:val="0"/>
                      <w:bCs w:val="0"/>
                      <w:color w:val="auto"/>
                      <w:kern w:val="2"/>
                      <w:sz w:val="21"/>
                      <w:szCs w:val="21"/>
                      <w:vertAlign w:val="baseline"/>
                      <w:lang w:val="en-US" w:eastAsia="zh-CN" w:bidi="ar-SA"/>
                    </w:rPr>
                    <w:t>0.2</w:t>
                  </w:r>
                </w:p>
              </w:tc>
              <w:tc>
                <w:tcPr>
                  <w:tcW w:w="513" w:type="pct"/>
                  <w:tcBorders>
                    <w:tl2br w:val="nil"/>
                    <w:tr2bl w:val="nil"/>
                  </w:tcBorders>
                  <w:noWrap w:val="0"/>
                  <w:vAlign w:val="center"/>
                </w:tcPr>
                <w:p w14:paraId="46F98357">
                  <w:pPr>
                    <w:pStyle w:val="76"/>
                    <w:bidi w:val="0"/>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0.2</w:t>
                  </w:r>
                </w:p>
              </w:tc>
              <w:tc>
                <w:tcPr>
                  <w:tcW w:w="497" w:type="pct"/>
                  <w:tcBorders>
                    <w:tl2br w:val="nil"/>
                    <w:tr2bl w:val="nil"/>
                  </w:tcBorders>
                  <w:noWrap w:val="0"/>
                  <w:vAlign w:val="center"/>
                </w:tcPr>
                <w:p w14:paraId="4E4D7C50">
                  <w:pPr>
                    <w:pStyle w:val="76"/>
                    <w:bidi w:val="0"/>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w:t>
                  </w:r>
                </w:p>
              </w:tc>
              <w:tc>
                <w:tcPr>
                  <w:tcW w:w="792" w:type="pct"/>
                  <w:vMerge w:val="restart"/>
                  <w:tcBorders>
                    <w:tl2br w:val="nil"/>
                    <w:tr2bl w:val="nil"/>
                  </w:tcBorders>
                  <w:noWrap w:val="0"/>
                  <w:vAlign w:val="center"/>
                </w:tcPr>
                <w:p w14:paraId="578A94C6">
                  <w:pPr>
                    <w:pStyle w:val="76"/>
                    <w:bidi w:val="0"/>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收集后，外售废品回收公司</w:t>
                  </w:r>
                </w:p>
              </w:tc>
            </w:tr>
            <w:tr w14:paraId="392300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298" w:type="pct"/>
                  <w:tcBorders>
                    <w:tl2br w:val="nil"/>
                    <w:tr2bl w:val="nil"/>
                  </w:tcBorders>
                  <w:noWrap w:val="0"/>
                  <w:vAlign w:val="center"/>
                </w:tcPr>
                <w:p w14:paraId="7C93AB6F">
                  <w:pPr>
                    <w:pStyle w:val="76"/>
                    <w:bidi w:val="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2</w:t>
                  </w:r>
                </w:p>
              </w:tc>
              <w:tc>
                <w:tcPr>
                  <w:tcW w:w="546" w:type="pct"/>
                  <w:tcBorders>
                    <w:tl2br w:val="nil"/>
                    <w:tr2bl w:val="nil"/>
                  </w:tcBorders>
                  <w:noWrap w:val="0"/>
                  <w:vAlign w:val="center"/>
                </w:tcPr>
                <w:p w14:paraId="69A9D856">
                  <w:pPr>
                    <w:pStyle w:val="76"/>
                    <w:bidi w:val="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不合格品</w:t>
                  </w:r>
                </w:p>
              </w:tc>
              <w:tc>
                <w:tcPr>
                  <w:tcW w:w="812" w:type="pct"/>
                  <w:tcBorders>
                    <w:tl2br w:val="nil"/>
                    <w:tr2bl w:val="nil"/>
                  </w:tcBorders>
                  <w:noWrap w:val="0"/>
                  <w:vAlign w:val="center"/>
                </w:tcPr>
                <w:p w14:paraId="1763BB3C">
                  <w:pPr>
                    <w:pStyle w:val="76"/>
                    <w:bidi w:val="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SW</w:t>
                  </w:r>
                  <w:r>
                    <w:rPr>
                      <w:rFonts w:hint="eastAsia" w:ascii="Times New Roman" w:hAnsi="Times New Roman" w:cs="Times New Roman"/>
                      <w:b w:val="0"/>
                      <w:bCs w:val="0"/>
                      <w:color w:val="auto"/>
                      <w:sz w:val="21"/>
                      <w:szCs w:val="21"/>
                      <w:vertAlign w:val="baseline"/>
                      <w:lang w:val="en-US" w:eastAsia="zh-CN"/>
                    </w:rPr>
                    <w:t>17</w:t>
                  </w:r>
                </w:p>
                <w:p w14:paraId="25288A0B">
                  <w:pPr>
                    <w:pStyle w:val="76"/>
                    <w:bidi w:val="0"/>
                    <w:jc w:val="center"/>
                    <w:rPr>
                      <w:rFonts w:hint="default" w:ascii="Times New Roman" w:hAnsi="Times New Roman"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vertAlign w:val="baseline"/>
                      <w:lang w:val="en-US" w:eastAsia="zh-CN"/>
                    </w:rPr>
                    <w:t>900-099-S59</w:t>
                  </w:r>
                </w:p>
              </w:tc>
              <w:tc>
                <w:tcPr>
                  <w:tcW w:w="555" w:type="pct"/>
                  <w:tcBorders>
                    <w:tl2br w:val="nil"/>
                    <w:tr2bl w:val="nil"/>
                  </w:tcBorders>
                  <w:noWrap w:val="0"/>
                  <w:vAlign w:val="center"/>
                </w:tcPr>
                <w:p w14:paraId="3FFC9637">
                  <w:pPr>
                    <w:pStyle w:val="76"/>
                    <w:bidi w:val="0"/>
                    <w:ind w:firstLine="0" w:firstLineChars="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成品测试</w:t>
                  </w:r>
                </w:p>
              </w:tc>
              <w:tc>
                <w:tcPr>
                  <w:tcW w:w="436" w:type="pct"/>
                  <w:tcBorders>
                    <w:tl2br w:val="nil"/>
                    <w:tr2bl w:val="nil"/>
                  </w:tcBorders>
                  <w:noWrap w:val="0"/>
                  <w:vAlign w:val="center"/>
                </w:tcPr>
                <w:p w14:paraId="5125D751">
                  <w:pPr>
                    <w:bidi w:val="0"/>
                    <w:ind w:firstLine="0" w:firstLineChars="0"/>
                    <w:jc w:val="center"/>
                    <w:rPr>
                      <w:rFonts w:hint="default" w:ascii="Times New Roman" w:hAnsi="Times New Roman"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固态</w:t>
                  </w:r>
                </w:p>
              </w:tc>
              <w:tc>
                <w:tcPr>
                  <w:tcW w:w="546" w:type="pct"/>
                  <w:tcBorders>
                    <w:tl2br w:val="nil"/>
                    <w:tr2bl w:val="nil"/>
                  </w:tcBorders>
                  <w:shd w:val="clear" w:color="auto" w:fill="auto"/>
                  <w:noWrap w:val="0"/>
                  <w:vAlign w:val="center"/>
                </w:tcPr>
                <w:p w14:paraId="59F0752D">
                  <w:pPr>
                    <w:pStyle w:val="76"/>
                    <w:bidi w:val="0"/>
                    <w:ind w:firstLine="0" w:firstLineChars="0"/>
                    <w:jc w:val="center"/>
                    <w:rPr>
                      <w:rFonts w:hint="default" w:ascii="Times New Roman" w:hAnsi="Times New Roman" w:cs="Times New Roman"/>
                      <w:b w:val="0"/>
                      <w:bCs w:val="0"/>
                      <w:color w:val="auto"/>
                      <w:kern w:val="2"/>
                      <w:sz w:val="21"/>
                      <w:szCs w:val="21"/>
                      <w:vertAlign w:val="baseline"/>
                      <w:lang w:val="en-US" w:eastAsia="zh-CN" w:bidi="ar-SA"/>
                    </w:rPr>
                  </w:pPr>
                  <w:r>
                    <w:rPr>
                      <w:rFonts w:hint="eastAsia" w:ascii="Times New Roman" w:hAnsi="Times New Roman" w:cs="Times New Roman"/>
                      <w:b w:val="0"/>
                      <w:bCs w:val="0"/>
                      <w:color w:val="auto"/>
                      <w:kern w:val="2"/>
                      <w:sz w:val="21"/>
                      <w:szCs w:val="21"/>
                      <w:vertAlign w:val="baseline"/>
                      <w:lang w:val="en-US" w:eastAsia="zh-CN" w:bidi="ar-SA"/>
                    </w:rPr>
                    <w:t>0.1</w:t>
                  </w:r>
                </w:p>
              </w:tc>
              <w:tc>
                <w:tcPr>
                  <w:tcW w:w="513" w:type="pct"/>
                  <w:tcBorders>
                    <w:tl2br w:val="nil"/>
                    <w:tr2bl w:val="nil"/>
                  </w:tcBorders>
                  <w:noWrap w:val="0"/>
                  <w:vAlign w:val="center"/>
                </w:tcPr>
                <w:p w14:paraId="541CD778">
                  <w:pPr>
                    <w:pStyle w:val="76"/>
                    <w:bidi w:val="0"/>
                    <w:ind w:firstLine="0" w:firstLineChars="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0.1</w:t>
                  </w:r>
                </w:p>
              </w:tc>
              <w:tc>
                <w:tcPr>
                  <w:tcW w:w="497" w:type="pct"/>
                  <w:tcBorders>
                    <w:tl2br w:val="nil"/>
                    <w:tr2bl w:val="nil"/>
                  </w:tcBorders>
                  <w:noWrap w:val="0"/>
                  <w:vAlign w:val="center"/>
                </w:tcPr>
                <w:p w14:paraId="447B9C28">
                  <w:pPr>
                    <w:pStyle w:val="76"/>
                    <w:bidi w:val="0"/>
                    <w:ind w:firstLine="0" w:firstLineChars="0"/>
                    <w:jc w:val="center"/>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w:t>
                  </w:r>
                </w:p>
              </w:tc>
              <w:tc>
                <w:tcPr>
                  <w:tcW w:w="792" w:type="pct"/>
                  <w:vMerge w:val="continue"/>
                  <w:tcBorders>
                    <w:tl2br w:val="nil"/>
                    <w:tr2bl w:val="nil"/>
                  </w:tcBorders>
                  <w:shd w:val="clear" w:color="auto" w:fill="auto"/>
                  <w:noWrap w:val="0"/>
                  <w:vAlign w:val="center"/>
                </w:tcPr>
                <w:p w14:paraId="33A2CEE0">
                  <w:pPr>
                    <w:pStyle w:val="76"/>
                    <w:bidi w:val="0"/>
                    <w:ind w:firstLine="0" w:firstLineChars="0"/>
                    <w:jc w:val="center"/>
                    <w:rPr>
                      <w:rFonts w:hint="default" w:ascii="Times New Roman" w:hAnsi="Times New Roman" w:cs="Times New Roman"/>
                      <w:b w:val="0"/>
                      <w:bCs w:val="0"/>
                      <w:color w:val="auto"/>
                      <w:sz w:val="21"/>
                      <w:szCs w:val="21"/>
                      <w:vertAlign w:val="baseline"/>
                      <w:lang w:val="en-US" w:eastAsia="zh-CN"/>
                    </w:rPr>
                  </w:pPr>
                </w:p>
              </w:tc>
            </w:tr>
            <w:tr w14:paraId="24497E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298" w:type="pct"/>
                  <w:tcBorders>
                    <w:tl2br w:val="nil"/>
                    <w:tr2bl w:val="nil"/>
                  </w:tcBorders>
                  <w:noWrap w:val="0"/>
                  <w:vAlign w:val="center"/>
                </w:tcPr>
                <w:p w14:paraId="63070205">
                  <w:pPr>
                    <w:pStyle w:val="76"/>
                    <w:bidi w:val="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3</w:t>
                  </w:r>
                </w:p>
              </w:tc>
              <w:tc>
                <w:tcPr>
                  <w:tcW w:w="546" w:type="pct"/>
                  <w:tcBorders>
                    <w:tl2br w:val="nil"/>
                    <w:tr2bl w:val="nil"/>
                  </w:tcBorders>
                  <w:noWrap w:val="0"/>
                  <w:vAlign w:val="center"/>
                </w:tcPr>
                <w:p w14:paraId="5AEE6950">
                  <w:pPr>
                    <w:pStyle w:val="76"/>
                    <w:bidi w:val="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锡渣</w:t>
                  </w:r>
                </w:p>
              </w:tc>
              <w:tc>
                <w:tcPr>
                  <w:tcW w:w="812" w:type="pct"/>
                  <w:tcBorders>
                    <w:tl2br w:val="nil"/>
                    <w:tr2bl w:val="nil"/>
                  </w:tcBorders>
                  <w:noWrap w:val="0"/>
                  <w:vAlign w:val="center"/>
                </w:tcPr>
                <w:p w14:paraId="2269F770">
                  <w:pPr>
                    <w:pStyle w:val="76"/>
                    <w:bidi w:val="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SW</w:t>
                  </w:r>
                  <w:r>
                    <w:rPr>
                      <w:rFonts w:hint="eastAsia" w:ascii="Times New Roman" w:hAnsi="Times New Roman" w:cs="Times New Roman"/>
                      <w:b w:val="0"/>
                      <w:bCs w:val="0"/>
                      <w:color w:val="auto"/>
                      <w:sz w:val="21"/>
                      <w:szCs w:val="21"/>
                      <w:vertAlign w:val="baseline"/>
                      <w:lang w:val="en-US" w:eastAsia="zh-CN"/>
                    </w:rPr>
                    <w:t>17</w:t>
                  </w:r>
                </w:p>
                <w:p w14:paraId="4F741E30">
                  <w:pPr>
                    <w:pStyle w:val="76"/>
                    <w:bidi w:val="0"/>
                    <w:jc w:val="center"/>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900-0</w:t>
                  </w:r>
                  <w:r>
                    <w:rPr>
                      <w:rFonts w:hint="eastAsia" w:ascii="Times New Roman" w:hAnsi="Times New Roman" w:cs="Times New Roman"/>
                      <w:b w:val="0"/>
                      <w:bCs w:val="0"/>
                      <w:color w:val="auto"/>
                      <w:sz w:val="21"/>
                      <w:szCs w:val="21"/>
                      <w:vertAlign w:val="baseline"/>
                      <w:lang w:val="en-US" w:eastAsia="zh-CN"/>
                    </w:rPr>
                    <w:t>02</w:t>
                  </w:r>
                  <w:r>
                    <w:rPr>
                      <w:rFonts w:hint="eastAsia" w:ascii="Times New Roman" w:hAnsi="Times New Roman" w:eastAsia="宋体" w:cs="Times New Roman"/>
                      <w:b w:val="0"/>
                      <w:bCs w:val="0"/>
                      <w:color w:val="auto"/>
                      <w:sz w:val="21"/>
                      <w:szCs w:val="21"/>
                      <w:vertAlign w:val="baseline"/>
                      <w:lang w:val="en-US" w:eastAsia="zh-CN"/>
                    </w:rPr>
                    <w:t>-S</w:t>
                  </w:r>
                  <w:r>
                    <w:rPr>
                      <w:rFonts w:hint="eastAsia" w:ascii="Times New Roman" w:hAnsi="Times New Roman" w:cs="Times New Roman"/>
                      <w:b w:val="0"/>
                      <w:bCs w:val="0"/>
                      <w:color w:val="auto"/>
                      <w:sz w:val="21"/>
                      <w:szCs w:val="21"/>
                      <w:vertAlign w:val="baseline"/>
                      <w:lang w:val="en-US" w:eastAsia="zh-CN"/>
                    </w:rPr>
                    <w:t>17</w:t>
                  </w:r>
                </w:p>
              </w:tc>
              <w:tc>
                <w:tcPr>
                  <w:tcW w:w="555" w:type="pct"/>
                  <w:tcBorders>
                    <w:tl2br w:val="nil"/>
                    <w:tr2bl w:val="nil"/>
                  </w:tcBorders>
                  <w:noWrap w:val="0"/>
                  <w:vAlign w:val="center"/>
                </w:tcPr>
                <w:p w14:paraId="1332277A">
                  <w:pPr>
                    <w:pStyle w:val="76"/>
                    <w:bidi w:val="0"/>
                    <w:ind w:firstLine="0" w:firstLineChars="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焊锡</w:t>
                  </w:r>
                </w:p>
              </w:tc>
              <w:tc>
                <w:tcPr>
                  <w:tcW w:w="436" w:type="pct"/>
                  <w:tcBorders>
                    <w:tl2br w:val="nil"/>
                    <w:tr2bl w:val="nil"/>
                  </w:tcBorders>
                  <w:noWrap w:val="0"/>
                  <w:vAlign w:val="center"/>
                </w:tcPr>
                <w:p w14:paraId="1D072C85">
                  <w:pPr>
                    <w:bidi w:val="0"/>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固态</w:t>
                  </w:r>
                </w:p>
              </w:tc>
              <w:tc>
                <w:tcPr>
                  <w:tcW w:w="546" w:type="pct"/>
                  <w:tcBorders>
                    <w:tl2br w:val="nil"/>
                    <w:tr2bl w:val="nil"/>
                  </w:tcBorders>
                  <w:shd w:val="clear" w:color="auto" w:fill="auto"/>
                  <w:noWrap w:val="0"/>
                  <w:vAlign w:val="center"/>
                </w:tcPr>
                <w:p w14:paraId="292C08D9">
                  <w:pPr>
                    <w:pStyle w:val="76"/>
                    <w:bidi w:val="0"/>
                    <w:ind w:firstLine="0" w:firstLineChars="0"/>
                    <w:jc w:val="center"/>
                    <w:rPr>
                      <w:rFonts w:hint="default" w:ascii="Times New Roman" w:hAnsi="Times New Roman" w:cs="Times New Roman"/>
                      <w:b w:val="0"/>
                      <w:bCs w:val="0"/>
                      <w:color w:val="auto"/>
                      <w:kern w:val="2"/>
                      <w:sz w:val="21"/>
                      <w:szCs w:val="21"/>
                      <w:vertAlign w:val="baseline"/>
                      <w:lang w:val="en-US" w:eastAsia="zh-CN" w:bidi="ar-SA"/>
                    </w:rPr>
                  </w:pPr>
                  <w:r>
                    <w:rPr>
                      <w:rFonts w:hint="eastAsia" w:ascii="Times New Roman" w:hAnsi="Times New Roman" w:cs="Times New Roman"/>
                      <w:b w:val="0"/>
                      <w:bCs w:val="0"/>
                      <w:color w:val="auto"/>
                      <w:kern w:val="2"/>
                      <w:sz w:val="21"/>
                      <w:szCs w:val="21"/>
                      <w:vertAlign w:val="baseline"/>
                      <w:lang w:val="en-US" w:eastAsia="zh-CN" w:bidi="ar-SA"/>
                    </w:rPr>
                    <w:t>0.01</w:t>
                  </w:r>
                </w:p>
              </w:tc>
              <w:tc>
                <w:tcPr>
                  <w:tcW w:w="513" w:type="pct"/>
                  <w:tcBorders>
                    <w:tl2br w:val="nil"/>
                    <w:tr2bl w:val="nil"/>
                  </w:tcBorders>
                  <w:noWrap w:val="0"/>
                  <w:vAlign w:val="center"/>
                </w:tcPr>
                <w:p w14:paraId="36EFF950">
                  <w:pPr>
                    <w:pStyle w:val="76"/>
                    <w:bidi w:val="0"/>
                    <w:ind w:firstLine="0" w:firstLineChars="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0.01</w:t>
                  </w:r>
                </w:p>
              </w:tc>
              <w:tc>
                <w:tcPr>
                  <w:tcW w:w="497" w:type="pct"/>
                  <w:tcBorders>
                    <w:tl2br w:val="nil"/>
                    <w:tr2bl w:val="nil"/>
                  </w:tcBorders>
                  <w:noWrap w:val="0"/>
                  <w:vAlign w:val="center"/>
                </w:tcPr>
                <w:p w14:paraId="67AF24E1">
                  <w:pPr>
                    <w:pStyle w:val="76"/>
                    <w:bidi w:val="0"/>
                    <w:ind w:firstLine="0" w:firstLineChars="0"/>
                    <w:jc w:val="center"/>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w:t>
                  </w:r>
                </w:p>
              </w:tc>
              <w:tc>
                <w:tcPr>
                  <w:tcW w:w="792" w:type="pct"/>
                  <w:tcBorders>
                    <w:tl2br w:val="nil"/>
                    <w:tr2bl w:val="nil"/>
                  </w:tcBorders>
                  <w:shd w:val="clear" w:color="auto" w:fill="auto"/>
                  <w:noWrap w:val="0"/>
                  <w:vAlign w:val="center"/>
                </w:tcPr>
                <w:p w14:paraId="2EBC29AB">
                  <w:pPr>
                    <w:pStyle w:val="76"/>
                    <w:bidi w:val="0"/>
                    <w:ind w:firstLine="0" w:firstLineChars="0"/>
                    <w:jc w:val="center"/>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收集后交由厂家回收利用</w:t>
                  </w:r>
                </w:p>
              </w:tc>
            </w:tr>
            <w:tr w14:paraId="694658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298" w:type="pct"/>
                  <w:tcBorders>
                    <w:tl2br w:val="nil"/>
                    <w:tr2bl w:val="nil"/>
                  </w:tcBorders>
                  <w:noWrap w:val="0"/>
                  <w:vAlign w:val="center"/>
                </w:tcPr>
                <w:p w14:paraId="51B92C47">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4</w:t>
                  </w:r>
                </w:p>
              </w:tc>
              <w:tc>
                <w:tcPr>
                  <w:tcW w:w="546" w:type="pct"/>
                  <w:tcBorders>
                    <w:tl2br w:val="nil"/>
                    <w:tr2bl w:val="nil"/>
                  </w:tcBorders>
                  <w:noWrap w:val="0"/>
                  <w:vAlign w:val="center"/>
                </w:tcPr>
                <w:p w14:paraId="71DFEBE0">
                  <w:pPr>
                    <w:pStyle w:val="76"/>
                    <w:bidi w:val="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废过滤棉</w:t>
                  </w:r>
                </w:p>
              </w:tc>
              <w:tc>
                <w:tcPr>
                  <w:tcW w:w="812" w:type="pct"/>
                  <w:tcBorders>
                    <w:tl2br w:val="nil"/>
                    <w:tr2bl w:val="nil"/>
                  </w:tcBorders>
                  <w:noWrap w:val="0"/>
                  <w:vAlign w:val="center"/>
                </w:tcPr>
                <w:p w14:paraId="5D898BBA">
                  <w:pPr>
                    <w:pStyle w:val="76"/>
                    <w:bidi w:val="0"/>
                    <w:ind w:firstLine="0" w:firstLineChars="0"/>
                    <w:jc w:val="center"/>
                    <w:rPr>
                      <w:rFonts w:hint="eastAsia" w:ascii="Times New Roman" w:hAnsi="Times New Roman" w:eastAsia="宋体" w:cs="Times New Roman"/>
                      <w:b w:val="0"/>
                      <w:bCs w:val="0"/>
                      <w:color w:val="auto"/>
                      <w:sz w:val="21"/>
                      <w:szCs w:val="21"/>
                      <w:highlight w:val="none"/>
                      <w:u w:val="single" w:color="auto"/>
                      <w:lang w:val="en-US" w:eastAsia="zh-CN"/>
                    </w:rPr>
                  </w:pPr>
                  <w:r>
                    <w:rPr>
                      <w:rFonts w:hint="default" w:ascii="Times New Roman" w:hAnsi="Times New Roman" w:eastAsia="宋体" w:cs="Times New Roman"/>
                      <w:b w:val="0"/>
                      <w:bCs w:val="0"/>
                      <w:color w:val="auto"/>
                      <w:sz w:val="21"/>
                      <w:szCs w:val="21"/>
                      <w:highlight w:val="none"/>
                      <w:u w:val="single" w:color="auto"/>
                    </w:rPr>
                    <w:t>HW</w:t>
                  </w:r>
                  <w:r>
                    <w:rPr>
                      <w:rFonts w:hint="eastAsia" w:ascii="Times New Roman" w:hAnsi="Times New Roman" w:eastAsia="宋体" w:cs="Times New Roman"/>
                      <w:b w:val="0"/>
                      <w:bCs w:val="0"/>
                      <w:color w:val="auto"/>
                      <w:sz w:val="21"/>
                      <w:szCs w:val="21"/>
                      <w:highlight w:val="none"/>
                      <w:u w:val="single" w:color="auto"/>
                      <w:lang w:val="en-US" w:eastAsia="zh-CN"/>
                    </w:rPr>
                    <w:t>49其他废物</w:t>
                  </w:r>
                </w:p>
                <w:p w14:paraId="1608409A">
                  <w:pPr>
                    <w:pStyle w:val="76"/>
                    <w:bidi w:val="0"/>
                    <w:jc w:val="center"/>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u w:val="single" w:color="auto"/>
                    </w:rPr>
                    <w:t>900-</w:t>
                  </w:r>
                  <w:r>
                    <w:rPr>
                      <w:rFonts w:hint="eastAsia" w:ascii="Times New Roman" w:hAnsi="Times New Roman" w:eastAsia="宋体" w:cs="Times New Roman"/>
                      <w:b w:val="0"/>
                      <w:bCs w:val="0"/>
                      <w:color w:val="auto"/>
                      <w:sz w:val="21"/>
                      <w:szCs w:val="21"/>
                      <w:highlight w:val="none"/>
                      <w:u w:val="single" w:color="auto"/>
                      <w:lang w:val="en-US" w:eastAsia="zh-CN"/>
                    </w:rPr>
                    <w:t>0</w:t>
                  </w:r>
                  <w:r>
                    <w:rPr>
                      <w:rFonts w:hint="eastAsia" w:ascii="Times New Roman" w:hAnsi="Times New Roman" w:cs="Times New Roman"/>
                      <w:b w:val="0"/>
                      <w:bCs w:val="0"/>
                      <w:color w:val="auto"/>
                      <w:sz w:val="21"/>
                      <w:szCs w:val="21"/>
                      <w:highlight w:val="none"/>
                      <w:u w:val="single" w:color="auto"/>
                      <w:lang w:val="en-US" w:eastAsia="zh-CN"/>
                    </w:rPr>
                    <w:t>41</w:t>
                  </w:r>
                  <w:r>
                    <w:rPr>
                      <w:rFonts w:hint="default" w:ascii="Times New Roman" w:hAnsi="Times New Roman" w:eastAsia="宋体" w:cs="Times New Roman"/>
                      <w:b w:val="0"/>
                      <w:bCs w:val="0"/>
                      <w:color w:val="auto"/>
                      <w:sz w:val="21"/>
                      <w:szCs w:val="21"/>
                      <w:highlight w:val="none"/>
                      <w:u w:val="single" w:color="auto"/>
                    </w:rPr>
                    <w:t>-</w:t>
                  </w:r>
                  <w:r>
                    <w:rPr>
                      <w:rFonts w:hint="eastAsia" w:ascii="Times New Roman" w:hAnsi="Times New Roman" w:eastAsia="宋体" w:cs="Times New Roman"/>
                      <w:b w:val="0"/>
                      <w:bCs w:val="0"/>
                      <w:color w:val="auto"/>
                      <w:sz w:val="21"/>
                      <w:szCs w:val="21"/>
                      <w:highlight w:val="none"/>
                      <w:u w:val="single" w:color="auto"/>
                      <w:lang w:val="en-US" w:eastAsia="zh-CN"/>
                    </w:rPr>
                    <w:t>49</w:t>
                  </w:r>
                </w:p>
              </w:tc>
              <w:tc>
                <w:tcPr>
                  <w:tcW w:w="555" w:type="pct"/>
                  <w:tcBorders>
                    <w:tl2br w:val="nil"/>
                    <w:tr2bl w:val="nil"/>
                  </w:tcBorders>
                  <w:noWrap w:val="0"/>
                  <w:vAlign w:val="center"/>
                </w:tcPr>
                <w:p w14:paraId="2A0986C5">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废气处理</w:t>
                  </w:r>
                </w:p>
              </w:tc>
              <w:tc>
                <w:tcPr>
                  <w:tcW w:w="436" w:type="pct"/>
                  <w:tcBorders>
                    <w:tl2br w:val="nil"/>
                    <w:tr2bl w:val="nil"/>
                  </w:tcBorders>
                  <w:noWrap w:val="0"/>
                  <w:vAlign w:val="center"/>
                </w:tcPr>
                <w:p w14:paraId="6F8A6CD1">
                  <w:pPr>
                    <w:bidi w:val="0"/>
                    <w:ind w:firstLine="0" w:firstLineChars="0"/>
                    <w:jc w:val="center"/>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u w:val="single" w:color="auto"/>
                      <w:vertAlign w:val="baseline"/>
                      <w:lang w:val="en-US" w:eastAsia="zh-CN"/>
                    </w:rPr>
                    <w:t>固态</w:t>
                  </w:r>
                </w:p>
              </w:tc>
              <w:tc>
                <w:tcPr>
                  <w:tcW w:w="546" w:type="pct"/>
                  <w:tcBorders>
                    <w:tl2br w:val="nil"/>
                    <w:tr2bl w:val="nil"/>
                  </w:tcBorders>
                  <w:shd w:val="clear" w:color="auto" w:fill="auto"/>
                  <w:noWrap w:val="0"/>
                  <w:vAlign w:val="center"/>
                </w:tcPr>
                <w:p w14:paraId="2AF20C7F">
                  <w:pPr>
                    <w:pStyle w:val="76"/>
                    <w:bidi w:val="0"/>
                    <w:ind w:firstLine="0" w:firstLineChars="0"/>
                    <w:jc w:val="center"/>
                    <w:rPr>
                      <w:rFonts w:hint="default" w:ascii="Times New Roman" w:hAnsi="Times New Roman" w:cs="Times New Roman"/>
                      <w:b w:val="0"/>
                      <w:bCs w:val="0"/>
                      <w:color w:val="auto"/>
                      <w:kern w:val="2"/>
                      <w:sz w:val="21"/>
                      <w:szCs w:val="21"/>
                      <w:vertAlign w:val="baseline"/>
                      <w:lang w:val="en-US" w:eastAsia="zh-CN" w:bidi="ar-SA"/>
                    </w:rPr>
                  </w:pPr>
                  <w:r>
                    <w:rPr>
                      <w:rFonts w:hint="eastAsia" w:ascii="Times New Roman" w:hAnsi="Times New Roman" w:cs="Times New Roman"/>
                      <w:b w:val="0"/>
                      <w:bCs w:val="0"/>
                      <w:color w:val="auto"/>
                      <w:kern w:val="2"/>
                      <w:sz w:val="21"/>
                      <w:szCs w:val="21"/>
                      <w:vertAlign w:val="baseline"/>
                      <w:lang w:val="en-US" w:eastAsia="zh-CN" w:bidi="ar-SA"/>
                    </w:rPr>
                    <w:t>0.0003</w:t>
                  </w:r>
                </w:p>
              </w:tc>
              <w:tc>
                <w:tcPr>
                  <w:tcW w:w="513" w:type="pct"/>
                  <w:tcBorders>
                    <w:tl2br w:val="nil"/>
                    <w:tr2bl w:val="nil"/>
                  </w:tcBorders>
                  <w:noWrap w:val="0"/>
                  <w:vAlign w:val="center"/>
                </w:tcPr>
                <w:p w14:paraId="22D0B310">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kern w:val="2"/>
                      <w:sz w:val="21"/>
                      <w:szCs w:val="21"/>
                      <w:vertAlign w:val="baseline"/>
                      <w:lang w:val="en-US" w:eastAsia="zh-CN" w:bidi="ar-SA"/>
                    </w:rPr>
                    <w:t>0.0003</w:t>
                  </w:r>
                </w:p>
              </w:tc>
              <w:tc>
                <w:tcPr>
                  <w:tcW w:w="497" w:type="pct"/>
                  <w:tcBorders>
                    <w:tl2br w:val="nil"/>
                    <w:tr2bl w:val="nil"/>
                  </w:tcBorders>
                  <w:noWrap w:val="0"/>
                  <w:vAlign w:val="center"/>
                </w:tcPr>
                <w:p w14:paraId="299A28A1">
                  <w:pPr>
                    <w:pStyle w:val="76"/>
                    <w:bidi w:val="0"/>
                    <w:ind w:firstLine="0" w:firstLineChars="0"/>
                    <w:jc w:val="center"/>
                    <w:rPr>
                      <w:rFonts w:hint="eastAsia"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u w:val="single" w:color="auto"/>
                      <w:lang w:val="en-US" w:eastAsia="zh-CN"/>
                    </w:rPr>
                    <w:t>T，In</w:t>
                  </w:r>
                </w:p>
              </w:tc>
              <w:tc>
                <w:tcPr>
                  <w:tcW w:w="792" w:type="pct"/>
                  <w:vMerge w:val="restart"/>
                  <w:tcBorders>
                    <w:tl2br w:val="nil"/>
                    <w:tr2bl w:val="nil"/>
                  </w:tcBorders>
                  <w:shd w:val="clear" w:color="auto" w:fill="auto"/>
                  <w:noWrap w:val="0"/>
                  <w:vAlign w:val="center"/>
                </w:tcPr>
                <w:p w14:paraId="3ECEEA37">
                  <w:pPr>
                    <w:pStyle w:val="76"/>
                    <w:bidi w:val="0"/>
                    <w:ind w:firstLine="0" w:firstLineChars="0"/>
                    <w:jc w:val="center"/>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暂存于危废暂存间，委托有资质单位处置</w:t>
                  </w:r>
                </w:p>
              </w:tc>
            </w:tr>
            <w:tr w14:paraId="79DEC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298" w:type="pct"/>
                  <w:tcBorders>
                    <w:tl2br w:val="nil"/>
                    <w:tr2bl w:val="nil"/>
                  </w:tcBorders>
                  <w:noWrap w:val="0"/>
                  <w:vAlign w:val="center"/>
                </w:tcPr>
                <w:p w14:paraId="6DE396AE">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5</w:t>
                  </w:r>
                </w:p>
              </w:tc>
              <w:tc>
                <w:tcPr>
                  <w:tcW w:w="546" w:type="pct"/>
                  <w:tcBorders>
                    <w:tl2br w:val="nil"/>
                    <w:tr2bl w:val="nil"/>
                  </w:tcBorders>
                  <w:noWrap w:val="0"/>
                  <w:vAlign w:val="center"/>
                </w:tcPr>
                <w:p w14:paraId="215797B7">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废活性炭</w:t>
                  </w:r>
                </w:p>
              </w:tc>
              <w:tc>
                <w:tcPr>
                  <w:tcW w:w="812" w:type="pct"/>
                  <w:tcBorders>
                    <w:tl2br w:val="nil"/>
                    <w:tr2bl w:val="nil"/>
                  </w:tcBorders>
                  <w:noWrap w:val="0"/>
                  <w:vAlign w:val="center"/>
                </w:tcPr>
                <w:p w14:paraId="6C4E2B28">
                  <w:pPr>
                    <w:pStyle w:val="76"/>
                    <w:bidi w:val="0"/>
                    <w:ind w:firstLine="0" w:firstLineChars="0"/>
                    <w:jc w:val="center"/>
                    <w:rPr>
                      <w:rFonts w:hint="eastAsia" w:ascii="Times New Roman" w:hAnsi="Times New Roman" w:eastAsia="宋体" w:cs="Times New Roman"/>
                      <w:b w:val="0"/>
                      <w:bCs w:val="0"/>
                      <w:color w:val="auto"/>
                      <w:sz w:val="21"/>
                      <w:szCs w:val="21"/>
                      <w:highlight w:val="none"/>
                      <w:u w:val="single" w:color="auto"/>
                      <w:lang w:val="en-US" w:eastAsia="zh-CN"/>
                    </w:rPr>
                  </w:pPr>
                  <w:r>
                    <w:rPr>
                      <w:rFonts w:hint="default" w:ascii="Times New Roman" w:hAnsi="Times New Roman" w:eastAsia="宋体" w:cs="Times New Roman"/>
                      <w:b w:val="0"/>
                      <w:bCs w:val="0"/>
                      <w:color w:val="auto"/>
                      <w:sz w:val="21"/>
                      <w:szCs w:val="21"/>
                      <w:highlight w:val="none"/>
                      <w:u w:val="single" w:color="auto"/>
                    </w:rPr>
                    <w:t>HW</w:t>
                  </w:r>
                  <w:r>
                    <w:rPr>
                      <w:rFonts w:hint="eastAsia" w:ascii="Times New Roman" w:hAnsi="Times New Roman" w:eastAsia="宋体" w:cs="Times New Roman"/>
                      <w:b w:val="0"/>
                      <w:bCs w:val="0"/>
                      <w:color w:val="auto"/>
                      <w:sz w:val="21"/>
                      <w:szCs w:val="21"/>
                      <w:highlight w:val="none"/>
                      <w:u w:val="single" w:color="auto"/>
                      <w:lang w:val="en-US" w:eastAsia="zh-CN"/>
                    </w:rPr>
                    <w:t>49其他废物</w:t>
                  </w:r>
                </w:p>
                <w:p w14:paraId="6ADE4420">
                  <w:pPr>
                    <w:pStyle w:val="76"/>
                    <w:bidi w:val="0"/>
                    <w:ind w:firstLine="0" w:firstLineChars="0"/>
                    <w:jc w:val="center"/>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u w:val="single" w:color="auto"/>
                    </w:rPr>
                    <w:t>900-</w:t>
                  </w:r>
                  <w:r>
                    <w:rPr>
                      <w:rFonts w:hint="eastAsia" w:ascii="Times New Roman" w:hAnsi="Times New Roman" w:eastAsia="宋体" w:cs="Times New Roman"/>
                      <w:b w:val="0"/>
                      <w:bCs w:val="0"/>
                      <w:color w:val="auto"/>
                      <w:sz w:val="21"/>
                      <w:szCs w:val="21"/>
                      <w:highlight w:val="none"/>
                      <w:u w:val="single" w:color="auto"/>
                      <w:lang w:val="en-US" w:eastAsia="zh-CN"/>
                    </w:rPr>
                    <w:t>039</w:t>
                  </w:r>
                  <w:r>
                    <w:rPr>
                      <w:rFonts w:hint="default" w:ascii="Times New Roman" w:hAnsi="Times New Roman" w:eastAsia="宋体" w:cs="Times New Roman"/>
                      <w:b w:val="0"/>
                      <w:bCs w:val="0"/>
                      <w:color w:val="auto"/>
                      <w:sz w:val="21"/>
                      <w:szCs w:val="21"/>
                      <w:highlight w:val="none"/>
                      <w:u w:val="single" w:color="auto"/>
                    </w:rPr>
                    <w:t>-</w:t>
                  </w:r>
                  <w:r>
                    <w:rPr>
                      <w:rFonts w:hint="eastAsia" w:ascii="Times New Roman" w:hAnsi="Times New Roman" w:eastAsia="宋体" w:cs="Times New Roman"/>
                      <w:b w:val="0"/>
                      <w:bCs w:val="0"/>
                      <w:color w:val="auto"/>
                      <w:sz w:val="21"/>
                      <w:szCs w:val="21"/>
                      <w:highlight w:val="none"/>
                      <w:u w:val="single" w:color="auto"/>
                      <w:lang w:val="en-US" w:eastAsia="zh-CN"/>
                    </w:rPr>
                    <w:t>49</w:t>
                  </w:r>
                </w:p>
              </w:tc>
              <w:tc>
                <w:tcPr>
                  <w:tcW w:w="555" w:type="pct"/>
                  <w:tcBorders>
                    <w:tl2br w:val="nil"/>
                    <w:tr2bl w:val="nil"/>
                  </w:tcBorders>
                  <w:noWrap w:val="0"/>
                  <w:vAlign w:val="center"/>
                </w:tcPr>
                <w:p w14:paraId="61499B10">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废气处理</w:t>
                  </w:r>
                </w:p>
              </w:tc>
              <w:tc>
                <w:tcPr>
                  <w:tcW w:w="436" w:type="pct"/>
                  <w:tcBorders>
                    <w:tl2br w:val="nil"/>
                    <w:tr2bl w:val="nil"/>
                  </w:tcBorders>
                  <w:noWrap w:val="0"/>
                  <w:vAlign w:val="center"/>
                </w:tcPr>
                <w:p w14:paraId="2A7BD3C3">
                  <w:pPr>
                    <w:bidi w:val="0"/>
                    <w:ind w:firstLine="0" w:firstLineChars="0"/>
                    <w:jc w:val="center"/>
                    <w:rPr>
                      <w:rFonts w:hint="eastAsia"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固态</w:t>
                  </w:r>
                </w:p>
              </w:tc>
              <w:tc>
                <w:tcPr>
                  <w:tcW w:w="546" w:type="pct"/>
                  <w:tcBorders>
                    <w:tl2br w:val="nil"/>
                    <w:tr2bl w:val="nil"/>
                  </w:tcBorders>
                  <w:shd w:val="clear" w:color="auto" w:fill="auto"/>
                  <w:noWrap w:val="0"/>
                  <w:vAlign w:val="center"/>
                </w:tcPr>
                <w:p w14:paraId="6A0B037E">
                  <w:pPr>
                    <w:pStyle w:val="76"/>
                    <w:bidi w:val="0"/>
                    <w:ind w:firstLine="0" w:firstLineChars="0"/>
                    <w:jc w:val="center"/>
                    <w:rPr>
                      <w:rFonts w:hint="eastAsia" w:ascii="Times New Roman" w:hAnsi="Times New Roman" w:cs="Times New Roman"/>
                      <w:b w:val="0"/>
                      <w:bCs w:val="0"/>
                      <w:color w:val="auto"/>
                      <w:kern w:val="2"/>
                      <w:sz w:val="21"/>
                      <w:szCs w:val="21"/>
                      <w:vertAlign w:val="baseline"/>
                      <w:lang w:val="en-US" w:eastAsia="zh-CN" w:bidi="ar-SA"/>
                    </w:rPr>
                  </w:pPr>
                  <w:r>
                    <w:rPr>
                      <w:rFonts w:hint="eastAsia" w:ascii="Times New Roman" w:hAnsi="Times New Roman" w:cs="Times New Roman"/>
                      <w:b w:val="0"/>
                      <w:bCs w:val="0"/>
                      <w:color w:val="auto"/>
                      <w:sz w:val="21"/>
                      <w:szCs w:val="21"/>
                      <w:u w:val="single" w:color="auto"/>
                      <w:vertAlign w:val="baseline"/>
                      <w:lang w:val="en-US" w:eastAsia="zh-CN"/>
                    </w:rPr>
                    <w:t>2.7185</w:t>
                  </w:r>
                </w:p>
              </w:tc>
              <w:tc>
                <w:tcPr>
                  <w:tcW w:w="513" w:type="pct"/>
                  <w:tcBorders>
                    <w:tl2br w:val="nil"/>
                    <w:tr2bl w:val="nil"/>
                  </w:tcBorders>
                  <w:noWrap w:val="0"/>
                  <w:vAlign w:val="center"/>
                </w:tcPr>
                <w:p w14:paraId="3B459439">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2.7185</w:t>
                  </w:r>
                </w:p>
              </w:tc>
              <w:tc>
                <w:tcPr>
                  <w:tcW w:w="497" w:type="pct"/>
                  <w:tcBorders>
                    <w:tl2br w:val="nil"/>
                    <w:tr2bl w:val="nil"/>
                  </w:tcBorders>
                  <w:noWrap w:val="0"/>
                  <w:vAlign w:val="center"/>
                </w:tcPr>
                <w:p w14:paraId="12287873">
                  <w:pPr>
                    <w:bidi w:val="0"/>
                    <w:ind w:firstLine="0" w:firstLineChars="0"/>
                    <w:jc w:val="center"/>
                    <w:rPr>
                      <w:rFonts w:hint="eastAsia" w:ascii="Times New Roman" w:hAnsi="Times New Roman" w:cs="Times New Roman"/>
                      <w:b w:val="0"/>
                      <w:bCs w:val="0"/>
                      <w:color w:val="auto"/>
                      <w:sz w:val="21"/>
                      <w:szCs w:val="21"/>
                      <w:lang w:val="en-US" w:eastAsia="zh-CN"/>
                    </w:rPr>
                  </w:pPr>
                  <w:r>
                    <w:rPr>
                      <w:rFonts w:hint="eastAsia" w:cs="Times New Roman"/>
                      <w:b w:val="0"/>
                      <w:bCs w:val="0"/>
                      <w:color w:val="auto"/>
                      <w:sz w:val="21"/>
                      <w:szCs w:val="21"/>
                      <w:u w:val="single" w:color="auto"/>
                      <w:lang w:val="en-US" w:eastAsia="zh-CN"/>
                    </w:rPr>
                    <w:t>T</w:t>
                  </w:r>
                </w:p>
              </w:tc>
              <w:tc>
                <w:tcPr>
                  <w:tcW w:w="792" w:type="pct"/>
                  <w:vMerge w:val="continue"/>
                  <w:tcBorders>
                    <w:tl2br w:val="nil"/>
                    <w:tr2bl w:val="nil"/>
                  </w:tcBorders>
                  <w:shd w:val="clear" w:color="auto" w:fill="auto"/>
                  <w:noWrap w:val="0"/>
                  <w:vAlign w:val="center"/>
                </w:tcPr>
                <w:p w14:paraId="0E4F829D">
                  <w:pPr>
                    <w:pStyle w:val="76"/>
                    <w:bidi w:val="0"/>
                    <w:ind w:firstLine="0" w:firstLineChars="0"/>
                    <w:jc w:val="center"/>
                    <w:rPr>
                      <w:rFonts w:hint="eastAsia" w:ascii="Times New Roman" w:hAnsi="Times New Roman" w:cs="Times New Roman"/>
                      <w:b w:val="0"/>
                      <w:bCs w:val="0"/>
                      <w:color w:val="auto"/>
                      <w:sz w:val="21"/>
                      <w:szCs w:val="21"/>
                      <w:lang w:val="en-US" w:eastAsia="zh-CN"/>
                    </w:rPr>
                  </w:pPr>
                </w:p>
              </w:tc>
            </w:tr>
            <w:tr w14:paraId="580EC7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298" w:type="pct"/>
                  <w:tcBorders>
                    <w:tl2br w:val="nil"/>
                    <w:tr2bl w:val="nil"/>
                  </w:tcBorders>
                  <w:noWrap w:val="0"/>
                  <w:vAlign w:val="center"/>
                </w:tcPr>
                <w:p w14:paraId="6996B42E">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6</w:t>
                  </w:r>
                </w:p>
              </w:tc>
              <w:tc>
                <w:tcPr>
                  <w:tcW w:w="546" w:type="pct"/>
                  <w:tcBorders>
                    <w:tl2br w:val="nil"/>
                    <w:tr2bl w:val="nil"/>
                  </w:tcBorders>
                  <w:noWrap w:val="0"/>
                  <w:vAlign w:val="center"/>
                </w:tcPr>
                <w:p w14:paraId="58EDC002">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废原料桶</w:t>
                  </w:r>
                </w:p>
              </w:tc>
              <w:tc>
                <w:tcPr>
                  <w:tcW w:w="812" w:type="pct"/>
                  <w:tcBorders>
                    <w:tl2br w:val="nil"/>
                    <w:tr2bl w:val="nil"/>
                  </w:tcBorders>
                  <w:noWrap w:val="0"/>
                  <w:vAlign w:val="center"/>
                </w:tcPr>
                <w:p w14:paraId="3DB88CC6">
                  <w:pPr>
                    <w:pStyle w:val="76"/>
                    <w:bidi w:val="0"/>
                    <w:ind w:firstLine="0" w:firstLineChars="0"/>
                    <w:jc w:val="center"/>
                    <w:rPr>
                      <w:rFonts w:hint="eastAsia" w:ascii="Times New Roman" w:hAnsi="Times New Roman" w:eastAsia="宋体" w:cs="Times New Roman"/>
                      <w:b w:val="0"/>
                      <w:bCs w:val="0"/>
                      <w:color w:val="auto"/>
                      <w:sz w:val="21"/>
                      <w:szCs w:val="21"/>
                      <w:highlight w:val="none"/>
                      <w:u w:val="single" w:color="auto"/>
                      <w:lang w:val="en-US" w:eastAsia="zh-CN"/>
                    </w:rPr>
                  </w:pPr>
                  <w:r>
                    <w:rPr>
                      <w:rFonts w:hint="default" w:ascii="Times New Roman" w:hAnsi="Times New Roman" w:eastAsia="宋体" w:cs="Times New Roman"/>
                      <w:b w:val="0"/>
                      <w:bCs w:val="0"/>
                      <w:color w:val="auto"/>
                      <w:sz w:val="21"/>
                      <w:szCs w:val="21"/>
                      <w:highlight w:val="none"/>
                      <w:u w:val="single" w:color="auto"/>
                    </w:rPr>
                    <w:t>HW</w:t>
                  </w:r>
                  <w:r>
                    <w:rPr>
                      <w:rFonts w:hint="eastAsia" w:ascii="Times New Roman" w:hAnsi="Times New Roman" w:eastAsia="宋体" w:cs="Times New Roman"/>
                      <w:b w:val="0"/>
                      <w:bCs w:val="0"/>
                      <w:color w:val="auto"/>
                      <w:sz w:val="21"/>
                      <w:szCs w:val="21"/>
                      <w:highlight w:val="none"/>
                      <w:u w:val="single" w:color="auto"/>
                      <w:lang w:val="en-US" w:eastAsia="zh-CN"/>
                    </w:rPr>
                    <w:t>49其他废物</w:t>
                  </w:r>
                </w:p>
                <w:p w14:paraId="49264974">
                  <w:pPr>
                    <w:pStyle w:val="76"/>
                    <w:bidi w:val="0"/>
                    <w:ind w:firstLine="0" w:firstLineChars="0"/>
                    <w:jc w:val="center"/>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u w:val="single" w:color="auto"/>
                    </w:rPr>
                    <w:t>900-</w:t>
                  </w:r>
                  <w:r>
                    <w:rPr>
                      <w:rFonts w:hint="eastAsia" w:ascii="Times New Roman" w:hAnsi="Times New Roman" w:eastAsia="宋体" w:cs="Times New Roman"/>
                      <w:b w:val="0"/>
                      <w:bCs w:val="0"/>
                      <w:color w:val="auto"/>
                      <w:sz w:val="21"/>
                      <w:szCs w:val="21"/>
                      <w:highlight w:val="none"/>
                      <w:u w:val="single" w:color="auto"/>
                      <w:lang w:val="en-US" w:eastAsia="zh-CN"/>
                    </w:rPr>
                    <w:t>041</w:t>
                  </w:r>
                  <w:r>
                    <w:rPr>
                      <w:rFonts w:hint="default" w:ascii="Times New Roman" w:hAnsi="Times New Roman" w:eastAsia="宋体" w:cs="Times New Roman"/>
                      <w:b w:val="0"/>
                      <w:bCs w:val="0"/>
                      <w:color w:val="auto"/>
                      <w:sz w:val="21"/>
                      <w:szCs w:val="21"/>
                      <w:highlight w:val="none"/>
                      <w:u w:val="single" w:color="auto"/>
                    </w:rPr>
                    <w:t>-</w:t>
                  </w:r>
                  <w:r>
                    <w:rPr>
                      <w:rFonts w:hint="eastAsia" w:ascii="Times New Roman" w:hAnsi="Times New Roman" w:eastAsia="宋体" w:cs="Times New Roman"/>
                      <w:b w:val="0"/>
                      <w:bCs w:val="0"/>
                      <w:color w:val="auto"/>
                      <w:sz w:val="21"/>
                      <w:szCs w:val="21"/>
                      <w:highlight w:val="none"/>
                      <w:u w:val="single" w:color="auto"/>
                      <w:lang w:val="en-US" w:eastAsia="zh-CN"/>
                    </w:rPr>
                    <w:t>49</w:t>
                  </w:r>
                </w:p>
              </w:tc>
              <w:tc>
                <w:tcPr>
                  <w:tcW w:w="555" w:type="pct"/>
                  <w:tcBorders>
                    <w:tl2br w:val="nil"/>
                    <w:tr2bl w:val="nil"/>
                  </w:tcBorders>
                  <w:noWrap w:val="0"/>
                  <w:vAlign w:val="center"/>
                </w:tcPr>
                <w:p w14:paraId="03438EA2">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原料</w:t>
                  </w:r>
                </w:p>
              </w:tc>
              <w:tc>
                <w:tcPr>
                  <w:tcW w:w="436" w:type="pct"/>
                  <w:tcBorders>
                    <w:tl2br w:val="nil"/>
                    <w:tr2bl w:val="nil"/>
                  </w:tcBorders>
                  <w:noWrap w:val="0"/>
                  <w:vAlign w:val="center"/>
                </w:tcPr>
                <w:p w14:paraId="5B4DF5EE">
                  <w:pPr>
                    <w:bidi w:val="0"/>
                    <w:ind w:firstLine="0" w:firstLineChars="0"/>
                    <w:jc w:val="center"/>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u w:val="single" w:color="auto"/>
                      <w:vertAlign w:val="baseline"/>
                      <w:lang w:val="en-US" w:eastAsia="zh-CN"/>
                    </w:rPr>
                    <w:t>固态</w:t>
                  </w:r>
                </w:p>
              </w:tc>
              <w:tc>
                <w:tcPr>
                  <w:tcW w:w="546" w:type="pct"/>
                  <w:tcBorders>
                    <w:tl2br w:val="nil"/>
                    <w:tr2bl w:val="nil"/>
                  </w:tcBorders>
                  <w:shd w:val="clear" w:color="auto" w:fill="auto"/>
                  <w:noWrap w:val="0"/>
                  <w:vAlign w:val="center"/>
                </w:tcPr>
                <w:p w14:paraId="48096028">
                  <w:pPr>
                    <w:pStyle w:val="76"/>
                    <w:bidi w:val="0"/>
                    <w:ind w:firstLine="0" w:firstLineChars="0"/>
                    <w:jc w:val="center"/>
                    <w:rPr>
                      <w:rFonts w:hint="eastAsia" w:ascii="Times New Roman" w:hAnsi="Times New Roman" w:cs="Times New Roman"/>
                      <w:b w:val="0"/>
                      <w:bCs w:val="0"/>
                      <w:color w:val="auto"/>
                      <w:kern w:val="2"/>
                      <w:sz w:val="21"/>
                      <w:szCs w:val="21"/>
                      <w:vertAlign w:val="baseline"/>
                      <w:lang w:val="en-US" w:eastAsia="zh-CN" w:bidi="ar-SA"/>
                    </w:rPr>
                  </w:pPr>
                  <w:r>
                    <w:rPr>
                      <w:rFonts w:hint="eastAsia" w:ascii="Times New Roman" w:hAnsi="Times New Roman" w:cs="Times New Roman"/>
                      <w:b w:val="0"/>
                      <w:bCs w:val="0"/>
                      <w:color w:val="auto"/>
                      <w:sz w:val="21"/>
                      <w:szCs w:val="21"/>
                      <w:u w:val="single" w:color="auto"/>
                      <w:vertAlign w:val="baseline"/>
                      <w:lang w:val="en-US" w:eastAsia="zh-CN"/>
                    </w:rPr>
                    <w:t>0.05</w:t>
                  </w:r>
                </w:p>
              </w:tc>
              <w:tc>
                <w:tcPr>
                  <w:tcW w:w="513" w:type="pct"/>
                  <w:tcBorders>
                    <w:tl2br w:val="nil"/>
                    <w:tr2bl w:val="nil"/>
                  </w:tcBorders>
                  <w:noWrap w:val="0"/>
                  <w:vAlign w:val="center"/>
                </w:tcPr>
                <w:p w14:paraId="299D4202">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0.05</w:t>
                  </w:r>
                </w:p>
              </w:tc>
              <w:tc>
                <w:tcPr>
                  <w:tcW w:w="497" w:type="pct"/>
                  <w:tcBorders>
                    <w:tl2br w:val="nil"/>
                    <w:tr2bl w:val="nil"/>
                  </w:tcBorders>
                  <w:noWrap w:val="0"/>
                  <w:vAlign w:val="center"/>
                </w:tcPr>
                <w:p w14:paraId="40AE7B46">
                  <w:pPr>
                    <w:bidi w:val="0"/>
                    <w:ind w:firstLine="0" w:firstLineChars="0"/>
                    <w:jc w:val="center"/>
                    <w:rPr>
                      <w:rFonts w:hint="eastAsia" w:ascii="Times New Roman" w:hAnsi="Times New Roman" w:cs="Times New Roman"/>
                      <w:b w:val="0"/>
                      <w:bCs w:val="0"/>
                      <w:color w:val="auto"/>
                      <w:sz w:val="21"/>
                      <w:szCs w:val="21"/>
                      <w:lang w:val="en-US" w:eastAsia="zh-CN"/>
                    </w:rPr>
                  </w:pPr>
                  <w:r>
                    <w:rPr>
                      <w:rFonts w:hint="eastAsia" w:cs="Times New Roman"/>
                      <w:b w:val="0"/>
                      <w:bCs w:val="0"/>
                      <w:color w:val="auto"/>
                      <w:sz w:val="21"/>
                      <w:szCs w:val="21"/>
                      <w:u w:val="single" w:color="auto"/>
                      <w:lang w:val="en-US" w:eastAsia="zh-CN"/>
                    </w:rPr>
                    <w:t>T，In</w:t>
                  </w:r>
                </w:p>
              </w:tc>
              <w:tc>
                <w:tcPr>
                  <w:tcW w:w="792" w:type="pct"/>
                  <w:vMerge w:val="continue"/>
                  <w:tcBorders>
                    <w:tl2br w:val="nil"/>
                    <w:tr2bl w:val="nil"/>
                  </w:tcBorders>
                  <w:shd w:val="clear" w:color="auto" w:fill="auto"/>
                  <w:noWrap w:val="0"/>
                  <w:vAlign w:val="center"/>
                </w:tcPr>
                <w:p w14:paraId="7328FCA6">
                  <w:pPr>
                    <w:pStyle w:val="76"/>
                    <w:bidi w:val="0"/>
                    <w:ind w:firstLine="0" w:firstLineChars="0"/>
                    <w:jc w:val="center"/>
                    <w:rPr>
                      <w:rFonts w:hint="eastAsia" w:ascii="Times New Roman" w:hAnsi="Times New Roman" w:cs="Times New Roman"/>
                      <w:b w:val="0"/>
                      <w:bCs w:val="0"/>
                      <w:color w:val="auto"/>
                      <w:sz w:val="21"/>
                      <w:szCs w:val="21"/>
                      <w:lang w:val="en-US" w:eastAsia="zh-CN"/>
                    </w:rPr>
                  </w:pPr>
                </w:p>
              </w:tc>
            </w:tr>
            <w:tr w14:paraId="4FA54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298" w:type="pct"/>
                  <w:tcBorders>
                    <w:tl2br w:val="nil"/>
                    <w:tr2bl w:val="nil"/>
                  </w:tcBorders>
                  <w:noWrap w:val="0"/>
                  <w:vAlign w:val="center"/>
                </w:tcPr>
                <w:p w14:paraId="2AB26DB3">
                  <w:pPr>
                    <w:pStyle w:val="76"/>
                    <w:bidi w:val="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7</w:t>
                  </w:r>
                </w:p>
              </w:tc>
              <w:tc>
                <w:tcPr>
                  <w:tcW w:w="546" w:type="pct"/>
                  <w:tcBorders>
                    <w:tl2br w:val="nil"/>
                    <w:tr2bl w:val="nil"/>
                  </w:tcBorders>
                  <w:noWrap w:val="0"/>
                  <w:vAlign w:val="center"/>
                </w:tcPr>
                <w:p w14:paraId="78DAB69C">
                  <w:pPr>
                    <w:pStyle w:val="76"/>
                    <w:bidi w:val="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废润滑油</w:t>
                  </w:r>
                </w:p>
              </w:tc>
              <w:tc>
                <w:tcPr>
                  <w:tcW w:w="812" w:type="pct"/>
                  <w:tcBorders>
                    <w:tl2br w:val="nil"/>
                    <w:tr2bl w:val="nil"/>
                  </w:tcBorders>
                  <w:noWrap w:val="0"/>
                  <w:vAlign w:val="center"/>
                </w:tcPr>
                <w:p w14:paraId="49C072B0">
                  <w:pPr>
                    <w:pStyle w:val="76"/>
                    <w:bidi w:val="0"/>
                    <w:jc w:val="center"/>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u w:val="none" w:color="auto"/>
                    </w:rPr>
                    <w:t>HW08废矿物油与含矿物油废物900-214-08</w:t>
                  </w:r>
                </w:p>
              </w:tc>
              <w:tc>
                <w:tcPr>
                  <w:tcW w:w="555" w:type="pct"/>
                  <w:tcBorders>
                    <w:tl2br w:val="nil"/>
                    <w:tr2bl w:val="nil"/>
                  </w:tcBorders>
                  <w:noWrap w:val="0"/>
                  <w:vAlign w:val="center"/>
                </w:tcPr>
                <w:p w14:paraId="642829E5">
                  <w:pPr>
                    <w:pStyle w:val="76"/>
                    <w:bidi w:val="0"/>
                    <w:ind w:firstLine="0" w:firstLineChars="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设备维修、保养</w:t>
                  </w:r>
                </w:p>
              </w:tc>
              <w:tc>
                <w:tcPr>
                  <w:tcW w:w="436" w:type="pct"/>
                  <w:tcBorders>
                    <w:tl2br w:val="nil"/>
                    <w:tr2bl w:val="nil"/>
                  </w:tcBorders>
                  <w:noWrap w:val="0"/>
                  <w:vAlign w:val="center"/>
                </w:tcPr>
                <w:p w14:paraId="1A57DE13">
                  <w:pPr>
                    <w:bidi w:val="0"/>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液态</w:t>
                  </w:r>
                </w:p>
              </w:tc>
              <w:tc>
                <w:tcPr>
                  <w:tcW w:w="546" w:type="pct"/>
                  <w:tcBorders>
                    <w:tl2br w:val="nil"/>
                    <w:tr2bl w:val="nil"/>
                  </w:tcBorders>
                  <w:shd w:val="clear" w:color="auto" w:fill="auto"/>
                  <w:noWrap w:val="0"/>
                  <w:vAlign w:val="center"/>
                </w:tcPr>
                <w:p w14:paraId="7F445825">
                  <w:pPr>
                    <w:pStyle w:val="76"/>
                    <w:bidi w:val="0"/>
                    <w:ind w:firstLine="0" w:firstLineChars="0"/>
                    <w:jc w:val="center"/>
                    <w:rPr>
                      <w:rFonts w:hint="default" w:ascii="Times New Roman" w:hAnsi="Times New Roman" w:cs="Times New Roman"/>
                      <w:b w:val="0"/>
                      <w:bCs w:val="0"/>
                      <w:color w:val="auto"/>
                      <w:kern w:val="2"/>
                      <w:sz w:val="21"/>
                      <w:szCs w:val="21"/>
                      <w:vertAlign w:val="baseline"/>
                      <w:lang w:val="en-US" w:eastAsia="zh-CN" w:bidi="ar-SA"/>
                    </w:rPr>
                  </w:pPr>
                  <w:r>
                    <w:rPr>
                      <w:rFonts w:hint="eastAsia" w:ascii="Times New Roman" w:hAnsi="Times New Roman" w:cs="Times New Roman"/>
                      <w:b w:val="0"/>
                      <w:bCs w:val="0"/>
                      <w:color w:val="auto"/>
                      <w:kern w:val="2"/>
                      <w:sz w:val="21"/>
                      <w:szCs w:val="21"/>
                      <w:vertAlign w:val="baseline"/>
                      <w:lang w:val="en-US" w:eastAsia="zh-CN" w:bidi="ar-SA"/>
                    </w:rPr>
                    <w:t>0.04</w:t>
                  </w:r>
                </w:p>
              </w:tc>
              <w:tc>
                <w:tcPr>
                  <w:tcW w:w="850" w:type="dxa"/>
                  <w:tcBorders>
                    <w:tl2br w:val="nil"/>
                    <w:tr2bl w:val="nil"/>
                  </w:tcBorders>
                  <w:noWrap w:val="0"/>
                  <w:vAlign w:val="center"/>
                </w:tcPr>
                <w:p w14:paraId="246C2C97">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kern w:val="2"/>
                      <w:sz w:val="21"/>
                      <w:szCs w:val="21"/>
                      <w:vertAlign w:val="baseline"/>
                      <w:lang w:val="en-US" w:eastAsia="zh-CN" w:bidi="ar-SA"/>
                    </w:rPr>
                    <w:t>0.04</w:t>
                  </w:r>
                </w:p>
              </w:tc>
              <w:tc>
                <w:tcPr>
                  <w:tcW w:w="497" w:type="pct"/>
                  <w:tcBorders>
                    <w:tl2br w:val="nil"/>
                    <w:tr2bl w:val="nil"/>
                  </w:tcBorders>
                  <w:noWrap w:val="0"/>
                  <w:vAlign w:val="center"/>
                </w:tcPr>
                <w:p w14:paraId="4AC778D3">
                  <w:pPr>
                    <w:pStyle w:val="76"/>
                    <w:bidi w:val="0"/>
                    <w:ind w:firstLine="0" w:firstLineChars="0"/>
                    <w:jc w:val="center"/>
                    <w:rPr>
                      <w:rFonts w:hint="eastAsia" w:ascii="Times New Roman" w:hAnsi="Times New Roman" w:cs="Times New Roman"/>
                      <w:b w:val="0"/>
                      <w:bCs w:val="0"/>
                      <w:color w:val="auto"/>
                      <w:sz w:val="21"/>
                      <w:szCs w:val="21"/>
                      <w:lang w:val="en-US" w:eastAsia="zh-CN"/>
                    </w:rPr>
                  </w:pPr>
                  <w:r>
                    <w:rPr>
                      <w:rFonts w:hint="eastAsia" w:cs="Times New Roman"/>
                      <w:b w:val="0"/>
                      <w:bCs w:val="0"/>
                      <w:color w:val="auto"/>
                      <w:lang w:val="en-US" w:eastAsia="zh-CN"/>
                    </w:rPr>
                    <w:t>T，I</w:t>
                  </w:r>
                </w:p>
              </w:tc>
              <w:tc>
                <w:tcPr>
                  <w:tcW w:w="792" w:type="pct"/>
                  <w:vMerge w:val="continue"/>
                  <w:tcBorders>
                    <w:tl2br w:val="nil"/>
                    <w:tr2bl w:val="nil"/>
                  </w:tcBorders>
                  <w:shd w:val="clear" w:color="auto" w:fill="auto"/>
                  <w:noWrap w:val="0"/>
                  <w:vAlign w:val="center"/>
                </w:tcPr>
                <w:p w14:paraId="2C76AC6D">
                  <w:pPr>
                    <w:pStyle w:val="76"/>
                    <w:bidi w:val="0"/>
                    <w:ind w:firstLine="0" w:firstLineChars="0"/>
                    <w:jc w:val="center"/>
                    <w:rPr>
                      <w:rFonts w:hint="eastAsia" w:ascii="Times New Roman" w:hAnsi="Times New Roman" w:cs="Times New Roman"/>
                      <w:b w:val="0"/>
                      <w:bCs w:val="0"/>
                      <w:color w:val="auto"/>
                      <w:sz w:val="21"/>
                      <w:szCs w:val="21"/>
                      <w:lang w:val="en-US" w:eastAsia="zh-CN"/>
                    </w:rPr>
                  </w:pPr>
                </w:p>
              </w:tc>
            </w:tr>
            <w:tr w14:paraId="74BA7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298" w:type="pct"/>
                  <w:tcBorders>
                    <w:tl2br w:val="nil"/>
                    <w:tr2bl w:val="nil"/>
                  </w:tcBorders>
                  <w:noWrap w:val="0"/>
                  <w:vAlign w:val="center"/>
                </w:tcPr>
                <w:p w14:paraId="469A2C03">
                  <w:pPr>
                    <w:pStyle w:val="76"/>
                    <w:bidi w:val="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8</w:t>
                  </w:r>
                </w:p>
              </w:tc>
              <w:tc>
                <w:tcPr>
                  <w:tcW w:w="546" w:type="pct"/>
                  <w:tcBorders>
                    <w:tl2br w:val="nil"/>
                    <w:tr2bl w:val="nil"/>
                  </w:tcBorders>
                  <w:noWrap w:val="0"/>
                  <w:vAlign w:val="center"/>
                </w:tcPr>
                <w:p w14:paraId="705FC97B">
                  <w:pPr>
                    <w:pStyle w:val="76"/>
                    <w:bidi w:val="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废润滑油桶</w:t>
                  </w:r>
                </w:p>
              </w:tc>
              <w:tc>
                <w:tcPr>
                  <w:tcW w:w="812" w:type="pct"/>
                  <w:tcBorders>
                    <w:tl2br w:val="nil"/>
                    <w:tr2bl w:val="nil"/>
                  </w:tcBorders>
                  <w:noWrap w:val="0"/>
                  <w:vAlign w:val="center"/>
                </w:tcPr>
                <w:p w14:paraId="5BE680C2">
                  <w:pPr>
                    <w:pStyle w:val="76"/>
                    <w:bidi w:val="0"/>
                    <w:ind w:firstLine="0" w:firstLineChars="0"/>
                    <w:jc w:val="center"/>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u w:val="single" w:color="auto"/>
                    </w:rPr>
                    <w:t>HW</w:t>
                  </w:r>
                  <w:r>
                    <w:rPr>
                      <w:rFonts w:hint="eastAsia" w:ascii="Times New Roman" w:hAnsi="Times New Roman" w:eastAsia="宋体" w:cs="Times New Roman"/>
                      <w:b w:val="0"/>
                      <w:bCs w:val="0"/>
                      <w:color w:val="auto"/>
                      <w:sz w:val="21"/>
                      <w:szCs w:val="21"/>
                      <w:highlight w:val="none"/>
                      <w:u w:val="single" w:color="auto"/>
                      <w:lang w:val="en-US" w:eastAsia="zh-CN"/>
                    </w:rPr>
                    <w:t>49其他废物</w:t>
                  </w:r>
                  <w:r>
                    <w:rPr>
                      <w:rFonts w:hint="default" w:ascii="Times New Roman" w:hAnsi="Times New Roman" w:eastAsia="宋体" w:cs="Times New Roman"/>
                      <w:b w:val="0"/>
                      <w:bCs w:val="0"/>
                      <w:color w:val="auto"/>
                      <w:sz w:val="21"/>
                      <w:szCs w:val="21"/>
                      <w:highlight w:val="none"/>
                      <w:u w:val="single" w:color="auto"/>
                    </w:rPr>
                    <w:t>900-</w:t>
                  </w:r>
                  <w:r>
                    <w:rPr>
                      <w:rFonts w:hint="eastAsia" w:ascii="Times New Roman" w:hAnsi="Times New Roman" w:eastAsia="宋体" w:cs="Times New Roman"/>
                      <w:b w:val="0"/>
                      <w:bCs w:val="0"/>
                      <w:color w:val="auto"/>
                      <w:sz w:val="21"/>
                      <w:szCs w:val="21"/>
                      <w:highlight w:val="none"/>
                      <w:u w:val="single" w:color="auto"/>
                      <w:lang w:val="en-US" w:eastAsia="zh-CN"/>
                    </w:rPr>
                    <w:t>0</w:t>
                  </w:r>
                  <w:r>
                    <w:rPr>
                      <w:rFonts w:hint="eastAsia" w:ascii="Times New Roman" w:hAnsi="Times New Roman" w:cs="Times New Roman"/>
                      <w:b w:val="0"/>
                      <w:bCs w:val="0"/>
                      <w:color w:val="auto"/>
                      <w:sz w:val="21"/>
                      <w:szCs w:val="21"/>
                      <w:highlight w:val="none"/>
                      <w:u w:val="single" w:color="auto"/>
                      <w:lang w:val="en-US" w:eastAsia="zh-CN"/>
                    </w:rPr>
                    <w:t>41</w:t>
                  </w:r>
                  <w:r>
                    <w:rPr>
                      <w:rFonts w:hint="default" w:ascii="Times New Roman" w:hAnsi="Times New Roman" w:eastAsia="宋体" w:cs="Times New Roman"/>
                      <w:b w:val="0"/>
                      <w:bCs w:val="0"/>
                      <w:color w:val="auto"/>
                      <w:sz w:val="21"/>
                      <w:szCs w:val="21"/>
                      <w:highlight w:val="none"/>
                      <w:u w:val="single" w:color="auto"/>
                    </w:rPr>
                    <w:t>-</w:t>
                  </w:r>
                  <w:r>
                    <w:rPr>
                      <w:rFonts w:hint="eastAsia" w:ascii="Times New Roman" w:hAnsi="Times New Roman" w:eastAsia="宋体" w:cs="Times New Roman"/>
                      <w:b w:val="0"/>
                      <w:bCs w:val="0"/>
                      <w:color w:val="auto"/>
                      <w:sz w:val="21"/>
                      <w:szCs w:val="21"/>
                      <w:highlight w:val="none"/>
                      <w:u w:val="single" w:color="auto"/>
                      <w:lang w:val="en-US" w:eastAsia="zh-CN"/>
                    </w:rPr>
                    <w:t>49</w:t>
                  </w:r>
                </w:p>
              </w:tc>
              <w:tc>
                <w:tcPr>
                  <w:tcW w:w="555" w:type="pct"/>
                  <w:tcBorders>
                    <w:tl2br w:val="nil"/>
                    <w:tr2bl w:val="nil"/>
                  </w:tcBorders>
                  <w:noWrap w:val="0"/>
                  <w:vAlign w:val="center"/>
                </w:tcPr>
                <w:p w14:paraId="631EBD71">
                  <w:pPr>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设备维修、保养</w:t>
                  </w:r>
                </w:p>
              </w:tc>
              <w:tc>
                <w:tcPr>
                  <w:tcW w:w="436" w:type="pct"/>
                  <w:tcBorders>
                    <w:tl2br w:val="nil"/>
                    <w:tr2bl w:val="nil"/>
                  </w:tcBorders>
                  <w:noWrap w:val="0"/>
                  <w:vAlign w:val="center"/>
                </w:tcPr>
                <w:p w14:paraId="5360CE11">
                  <w:pPr>
                    <w:bidi w:val="0"/>
                    <w:ind w:firstLine="0" w:firstLineChars="0"/>
                    <w:jc w:val="center"/>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u w:val="single" w:color="auto"/>
                      <w:vertAlign w:val="baseline"/>
                      <w:lang w:val="en-US" w:eastAsia="zh-CN"/>
                    </w:rPr>
                    <w:t>固态</w:t>
                  </w:r>
                </w:p>
              </w:tc>
              <w:tc>
                <w:tcPr>
                  <w:tcW w:w="546" w:type="pct"/>
                  <w:tcBorders>
                    <w:tl2br w:val="nil"/>
                    <w:tr2bl w:val="nil"/>
                  </w:tcBorders>
                  <w:shd w:val="clear" w:color="auto" w:fill="auto"/>
                  <w:noWrap w:val="0"/>
                  <w:vAlign w:val="center"/>
                </w:tcPr>
                <w:p w14:paraId="3EA379C7">
                  <w:pPr>
                    <w:pStyle w:val="76"/>
                    <w:bidi w:val="0"/>
                    <w:ind w:firstLine="0" w:firstLineChars="0"/>
                    <w:jc w:val="center"/>
                    <w:rPr>
                      <w:rFonts w:hint="default" w:ascii="Times New Roman" w:hAnsi="Times New Roman" w:cs="Times New Roman"/>
                      <w:b w:val="0"/>
                      <w:bCs w:val="0"/>
                      <w:color w:val="auto"/>
                      <w:kern w:val="2"/>
                      <w:sz w:val="21"/>
                      <w:szCs w:val="21"/>
                      <w:vertAlign w:val="baseline"/>
                      <w:lang w:val="en-US" w:eastAsia="zh-CN" w:bidi="ar-SA"/>
                    </w:rPr>
                  </w:pPr>
                  <w:r>
                    <w:rPr>
                      <w:rFonts w:hint="eastAsia" w:ascii="Times New Roman" w:hAnsi="Times New Roman" w:cs="Times New Roman"/>
                      <w:b w:val="0"/>
                      <w:bCs w:val="0"/>
                      <w:color w:val="auto"/>
                      <w:kern w:val="2"/>
                      <w:sz w:val="21"/>
                      <w:szCs w:val="21"/>
                      <w:vertAlign w:val="baseline"/>
                      <w:lang w:val="en-US" w:eastAsia="zh-CN" w:bidi="ar-SA"/>
                    </w:rPr>
                    <w:t>0.005</w:t>
                  </w:r>
                </w:p>
              </w:tc>
              <w:tc>
                <w:tcPr>
                  <w:tcW w:w="850" w:type="dxa"/>
                  <w:tcBorders>
                    <w:tl2br w:val="nil"/>
                    <w:tr2bl w:val="nil"/>
                  </w:tcBorders>
                  <w:noWrap w:val="0"/>
                  <w:vAlign w:val="center"/>
                </w:tcPr>
                <w:p w14:paraId="5CD353F5">
                  <w:pPr>
                    <w:pStyle w:val="76"/>
                    <w:bidi w:val="0"/>
                    <w:ind w:firstLine="0" w:firstLineChars="0"/>
                    <w:jc w:val="center"/>
                    <w:rPr>
                      <w:rFonts w:hint="eastAsia"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kern w:val="2"/>
                      <w:sz w:val="21"/>
                      <w:szCs w:val="21"/>
                      <w:vertAlign w:val="baseline"/>
                      <w:lang w:val="en-US" w:eastAsia="zh-CN" w:bidi="ar-SA"/>
                    </w:rPr>
                    <w:t>0.005</w:t>
                  </w:r>
                </w:p>
              </w:tc>
              <w:tc>
                <w:tcPr>
                  <w:tcW w:w="497" w:type="pct"/>
                  <w:tcBorders>
                    <w:tl2br w:val="nil"/>
                    <w:tr2bl w:val="nil"/>
                  </w:tcBorders>
                  <w:noWrap w:val="0"/>
                  <w:vAlign w:val="center"/>
                </w:tcPr>
                <w:p w14:paraId="30F3B018">
                  <w:pPr>
                    <w:pStyle w:val="76"/>
                    <w:bidi w:val="0"/>
                    <w:ind w:firstLine="0" w:firstLineChars="0"/>
                    <w:jc w:val="center"/>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u w:val="single" w:color="auto"/>
                      <w:lang w:val="en-US" w:eastAsia="zh-CN"/>
                    </w:rPr>
                    <w:t>T，In</w:t>
                  </w:r>
                </w:p>
              </w:tc>
              <w:tc>
                <w:tcPr>
                  <w:tcW w:w="792" w:type="pct"/>
                  <w:vMerge w:val="continue"/>
                  <w:tcBorders>
                    <w:tl2br w:val="nil"/>
                    <w:tr2bl w:val="nil"/>
                  </w:tcBorders>
                  <w:shd w:val="clear" w:color="auto" w:fill="auto"/>
                  <w:noWrap w:val="0"/>
                  <w:vAlign w:val="center"/>
                </w:tcPr>
                <w:p w14:paraId="3231ABC3">
                  <w:pPr>
                    <w:pStyle w:val="76"/>
                    <w:bidi w:val="0"/>
                    <w:ind w:firstLine="0" w:firstLineChars="0"/>
                    <w:jc w:val="center"/>
                    <w:rPr>
                      <w:rFonts w:hint="eastAsia" w:ascii="Times New Roman" w:hAnsi="Times New Roman" w:cs="Times New Roman"/>
                      <w:b w:val="0"/>
                      <w:bCs w:val="0"/>
                      <w:color w:val="auto"/>
                      <w:sz w:val="21"/>
                      <w:szCs w:val="21"/>
                      <w:lang w:val="en-US" w:eastAsia="zh-CN"/>
                    </w:rPr>
                  </w:pPr>
                </w:p>
              </w:tc>
            </w:tr>
            <w:tr w14:paraId="1D7E5C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298" w:type="pct"/>
                  <w:tcBorders>
                    <w:tl2br w:val="nil"/>
                    <w:tr2bl w:val="nil"/>
                  </w:tcBorders>
                  <w:noWrap w:val="0"/>
                  <w:vAlign w:val="center"/>
                </w:tcPr>
                <w:p w14:paraId="076F51D2">
                  <w:pPr>
                    <w:pStyle w:val="76"/>
                    <w:bidi w:val="0"/>
                    <w:jc w:val="center"/>
                    <w:rPr>
                      <w:rFonts w:hint="default" w:ascii="Times New Roman" w:hAnsi="Times New Roman" w:cs="Times New Roman"/>
                      <w:b w:val="0"/>
                      <w:bCs w:val="0"/>
                      <w:color w:val="auto"/>
                      <w:sz w:val="21"/>
                      <w:szCs w:val="21"/>
                      <w:u w:val="single" w:color="auto"/>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9</w:t>
                  </w:r>
                </w:p>
              </w:tc>
              <w:tc>
                <w:tcPr>
                  <w:tcW w:w="546" w:type="pct"/>
                  <w:tcBorders>
                    <w:tl2br w:val="nil"/>
                    <w:tr2bl w:val="nil"/>
                  </w:tcBorders>
                  <w:noWrap w:val="0"/>
                  <w:vAlign w:val="center"/>
                </w:tcPr>
                <w:p w14:paraId="6CFF197C">
                  <w:pPr>
                    <w:pStyle w:val="76"/>
                    <w:bidi w:val="0"/>
                    <w:ind w:firstLine="0" w:firstLineChars="0"/>
                    <w:jc w:val="center"/>
                    <w:rPr>
                      <w:rFonts w:hint="default" w:ascii="Times New Roman" w:hAnsi="Times New Roman" w:cs="Times New Roman"/>
                      <w:b w:val="0"/>
                      <w:bCs w:val="0"/>
                      <w:color w:val="auto"/>
                      <w:sz w:val="21"/>
                      <w:szCs w:val="21"/>
                      <w:u w:val="single" w:color="auto"/>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废含油抹布和手套</w:t>
                  </w:r>
                </w:p>
              </w:tc>
              <w:tc>
                <w:tcPr>
                  <w:tcW w:w="812" w:type="pct"/>
                  <w:tcBorders>
                    <w:tl2br w:val="nil"/>
                    <w:tr2bl w:val="nil"/>
                  </w:tcBorders>
                  <w:noWrap w:val="0"/>
                  <w:vAlign w:val="center"/>
                </w:tcPr>
                <w:p w14:paraId="1D5F0603">
                  <w:pPr>
                    <w:bidi w:val="0"/>
                    <w:ind w:firstLine="0" w:firstLineChars="0"/>
                    <w:jc w:val="center"/>
                    <w:rPr>
                      <w:rFonts w:hint="default" w:ascii="Times New Roman" w:hAnsi="Times New Roman" w:eastAsia="宋体" w:cs="Times New Roman"/>
                      <w:bCs/>
                      <w:color w:val="auto"/>
                      <w:sz w:val="21"/>
                      <w:szCs w:val="21"/>
                      <w:highlight w:val="none"/>
                      <w:u w:val="single" w:color="auto"/>
                      <w:lang w:val="en-US" w:eastAsia="zh-CN"/>
                    </w:rPr>
                  </w:pPr>
                  <w:r>
                    <w:rPr>
                      <w:rFonts w:hint="default" w:ascii="Times New Roman" w:hAnsi="Times New Roman" w:eastAsia="宋体" w:cs="Times New Roman"/>
                      <w:b w:val="0"/>
                      <w:bCs w:val="0"/>
                      <w:color w:val="auto"/>
                      <w:sz w:val="21"/>
                      <w:szCs w:val="21"/>
                      <w:highlight w:val="none"/>
                      <w:u w:val="single" w:color="auto"/>
                    </w:rPr>
                    <w:t>HW</w:t>
                  </w:r>
                  <w:r>
                    <w:rPr>
                      <w:rFonts w:hint="eastAsia" w:ascii="Times New Roman" w:hAnsi="Times New Roman" w:eastAsia="宋体" w:cs="Times New Roman"/>
                      <w:b w:val="0"/>
                      <w:bCs w:val="0"/>
                      <w:color w:val="auto"/>
                      <w:sz w:val="21"/>
                      <w:szCs w:val="21"/>
                      <w:highlight w:val="none"/>
                      <w:u w:val="single" w:color="auto"/>
                      <w:lang w:val="en-US" w:eastAsia="zh-CN"/>
                    </w:rPr>
                    <w:t>49其他废物</w:t>
                  </w:r>
                  <w:r>
                    <w:rPr>
                      <w:rFonts w:hint="default" w:ascii="Times New Roman" w:hAnsi="Times New Roman" w:eastAsia="宋体" w:cs="Times New Roman"/>
                      <w:b w:val="0"/>
                      <w:bCs w:val="0"/>
                      <w:color w:val="auto"/>
                      <w:sz w:val="21"/>
                      <w:szCs w:val="21"/>
                      <w:highlight w:val="none"/>
                      <w:u w:val="single" w:color="auto"/>
                    </w:rPr>
                    <w:t>900-</w:t>
                  </w:r>
                  <w:r>
                    <w:rPr>
                      <w:rFonts w:hint="eastAsia" w:ascii="Times New Roman" w:hAnsi="Times New Roman" w:eastAsia="宋体" w:cs="Times New Roman"/>
                      <w:b w:val="0"/>
                      <w:bCs w:val="0"/>
                      <w:color w:val="auto"/>
                      <w:sz w:val="21"/>
                      <w:szCs w:val="21"/>
                      <w:highlight w:val="none"/>
                      <w:u w:val="single" w:color="auto"/>
                      <w:lang w:val="en-US" w:eastAsia="zh-CN"/>
                    </w:rPr>
                    <w:t>0</w:t>
                  </w:r>
                  <w:r>
                    <w:rPr>
                      <w:rFonts w:hint="eastAsia" w:ascii="Times New Roman" w:hAnsi="Times New Roman" w:cs="Times New Roman"/>
                      <w:b w:val="0"/>
                      <w:bCs w:val="0"/>
                      <w:color w:val="auto"/>
                      <w:sz w:val="21"/>
                      <w:szCs w:val="21"/>
                      <w:highlight w:val="none"/>
                      <w:u w:val="single" w:color="auto"/>
                      <w:lang w:val="en-US" w:eastAsia="zh-CN"/>
                    </w:rPr>
                    <w:t>41</w:t>
                  </w:r>
                  <w:r>
                    <w:rPr>
                      <w:rFonts w:hint="default" w:ascii="Times New Roman" w:hAnsi="Times New Roman" w:eastAsia="宋体" w:cs="Times New Roman"/>
                      <w:b w:val="0"/>
                      <w:bCs w:val="0"/>
                      <w:color w:val="auto"/>
                      <w:sz w:val="21"/>
                      <w:szCs w:val="21"/>
                      <w:highlight w:val="none"/>
                      <w:u w:val="single" w:color="auto"/>
                    </w:rPr>
                    <w:t>-</w:t>
                  </w:r>
                  <w:r>
                    <w:rPr>
                      <w:rFonts w:hint="eastAsia" w:ascii="Times New Roman" w:hAnsi="Times New Roman" w:eastAsia="宋体" w:cs="Times New Roman"/>
                      <w:b w:val="0"/>
                      <w:bCs w:val="0"/>
                      <w:color w:val="auto"/>
                      <w:sz w:val="21"/>
                      <w:szCs w:val="21"/>
                      <w:highlight w:val="none"/>
                      <w:u w:val="single" w:color="auto"/>
                      <w:lang w:val="en-US" w:eastAsia="zh-CN"/>
                    </w:rPr>
                    <w:t>4</w:t>
                  </w:r>
                </w:p>
              </w:tc>
              <w:tc>
                <w:tcPr>
                  <w:tcW w:w="555" w:type="pct"/>
                  <w:tcBorders>
                    <w:tl2br w:val="nil"/>
                    <w:tr2bl w:val="nil"/>
                  </w:tcBorders>
                  <w:noWrap w:val="0"/>
                  <w:vAlign w:val="center"/>
                </w:tcPr>
                <w:p w14:paraId="5ABC44FD">
                  <w:pPr>
                    <w:bidi w:val="0"/>
                    <w:ind w:firstLine="0" w:firstLineChars="0"/>
                    <w:jc w:val="center"/>
                    <w:rPr>
                      <w:rFonts w:hint="default" w:ascii="Times New Roman" w:hAnsi="Times New Roman" w:cs="Times New Roman"/>
                      <w:b w:val="0"/>
                      <w:bCs w:val="0"/>
                      <w:color w:val="auto"/>
                      <w:sz w:val="21"/>
                      <w:szCs w:val="21"/>
                      <w:u w:val="single" w:color="auto"/>
                      <w:vertAlign w:val="baseline"/>
                      <w:lang w:val="en-US" w:eastAsia="zh-CN"/>
                    </w:rPr>
                  </w:pPr>
                  <w:r>
                    <w:rPr>
                      <w:rFonts w:hint="eastAsia" w:ascii="Times New Roman" w:hAnsi="Times New Roman" w:cs="Times New Roman"/>
                      <w:b w:val="0"/>
                      <w:bCs w:val="0"/>
                      <w:color w:val="auto"/>
                      <w:sz w:val="21"/>
                      <w:szCs w:val="21"/>
                      <w:vertAlign w:val="baseline"/>
                      <w:lang w:val="en-US" w:eastAsia="zh-CN"/>
                    </w:rPr>
                    <w:t>设备维修、保养</w:t>
                  </w:r>
                </w:p>
              </w:tc>
              <w:tc>
                <w:tcPr>
                  <w:tcW w:w="436" w:type="pct"/>
                  <w:tcBorders>
                    <w:tl2br w:val="nil"/>
                    <w:tr2bl w:val="nil"/>
                  </w:tcBorders>
                  <w:noWrap w:val="0"/>
                  <w:vAlign w:val="center"/>
                </w:tcPr>
                <w:p w14:paraId="01382A11">
                  <w:pPr>
                    <w:bidi w:val="0"/>
                    <w:ind w:firstLine="0" w:firstLineChars="0"/>
                    <w:jc w:val="center"/>
                    <w:rPr>
                      <w:rFonts w:hint="default" w:ascii="Times New Roman" w:hAnsi="Times New Roman" w:cs="Times New Roman"/>
                      <w:b w:val="0"/>
                      <w:bCs w:val="0"/>
                      <w:color w:val="auto"/>
                      <w:sz w:val="21"/>
                      <w:szCs w:val="21"/>
                      <w:u w:val="single" w:color="auto"/>
                      <w:vertAlign w:val="baseline"/>
                      <w:lang w:val="en-US" w:eastAsia="zh-CN"/>
                    </w:rPr>
                  </w:pPr>
                  <w:r>
                    <w:rPr>
                      <w:rFonts w:hint="eastAsia" w:cs="Times New Roman"/>
                      <w:b w:val="0"/>
                      <w:bCs w:val="0"/>
                      <w:color w:val="auto"/>
                      <w:sz w:val="21"/>
                      <w:szCs w:val="21"/>
                      <w:u w:val="single" w:color="auto"/>
                      <w:vertAlign w:val="baseline"/>
                      <w:lang w:val="en-US" w:eastAsia="zh-CN"/>
                    </w:rPr>
                    <w:t>固态</w:t>
                  </w:r>
                </w:p>
              </w:tc>
              <w:tc>
                <w:tcPr>
                  <w:tcW w:w="546" w:type="pct"/>
                  <w:tcBorders>
                    <w:tl2br w:val="nil"/>
                    <w:tr2bl w:val="nil"/>
                  </w:tcBorders>
                  <w:noWrap w:val="0"/>
                  <w:vAlign w:val="center"/>
                </w:tcPr>
                <w:p w14:paraId="72F23F95">
                  <w:pPr>
                    <w:pStyle w:val="76"/>
                    <w:bidi w:val="0"/>
                    <w:ind w:firstLine="0" w:firstLineChars="0"/>
                    <w:jc w:val="center"/>
                    <w:rPr>
                      <w:rFonts w:hint="default" w:ascii="Times New Roman" w:hAnsi="Times New Roman" w:cs="Times New Roman"/>
                      <w:b w:val="0"/>
                      <w:bCs w:val="0"/>
                      <w:color w:val="auto"/>
                      <w:sz w:val="21"/>
                      <w:szCs w:val="21"/>
                      <w:u w:val="single" w:color="auto"/>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0.006</w:t>
                  </w:r>
                </w:p>
              </w:tc>
              <w:tc>
                <w:tcPr>
                  <w:tcW w:w="850" w:type="dxa"/>
                  <w:tcBorders>
                    <w:tl2br w:val="nil"/>
                    <w:tr2bl w:val="nil"/>
                  </w:tcBorders>
                  <w:noWrap w:val="0"/>
                  <w:vAlign w:val="center"/>
                </w:tcPr>
                <w:p w14:paraId="3D0B0189">
                  <w:pPr>
                    <w:pStyle w:val="76"/>
                    <w:bidi w:val="0"/>
                    <w:ind w:firstLine="0" w:firstLineChars="0"/>
                    <w:jc w:val="center"/>
                    <w:rPr>
                      <w:rFonts w:hint="default" w:ascii="Times New Roman" w:hAnsi="Times New Roman" w:cs="Times New Roman"/>
                      <w:b w:val="0"/>
                      <w:bCs w:val="0"/>
                      <w:color w:val="auto"/>
                      <w:sz w:val="21"/>
                      <w:szCs w:val="21"/>
                      <w:u w:val="single" w:color="auto"/>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0.006</w:t>
                  </w:r>
                </w:p>
              </w:tc>
              <w:tc>
                <w:tcPr>
                  <w:tcW w:w="497" w:type="pct"/>
                  <w:tcBorders>
                    <w:tl2br w:val="nil"/>
                    <w:tr2bl w:val="nil"/>
                  </w:tcBorders>
                  <w:noWrap w:val="0"/>
                  <w:vAlign w:val="center"/>
                </w:tcPr>
                <w:p w14:paraId="33694FE1">
                  <w:pPr>
                    <w:bidi w:val="0"/>
                    <w:ind w:firstLine="0" w:firstLineChars="0"/>
                    <w:jc w:val="center"/>
                    <w:rPr>
                      <w:rFonts w:hint="default" w:ascii="Times New Roman" w:hAnsi="Times New Roman" w:cs="Times New Roman"/>
                      <w:b w:val="0"/>
                      <w:bCs w:val="0"/>
                      <w:color w:val="auto"/>
                      <w:sz w:val="21"/>
                      <w:szCs w:val="21"/>
                      <w:u w:val="single" w:color="auto"/>
                      <w:lang w:val="en-US" w:eastAsia="zh-CN"/>
                    </w:rPr>
                  </w:pPr>
                  <w:r>
                    <w:rPr>
                      <w:rFonts w:hint="default" w:ascii="Times New Roman" w:hAnsi="Times New Roman" w:cs="Times New Roman"/>
                      <w:b w:val="0"/>
                      <w:bCs w:val="0"/>
                      <w:color w:val="auto"/>
                      <w:sz w:val="21"/>
                      <w:szCs w:val="21"/>
                      <w:u w:val="single" w:color="auto"/>
                      <w:lang w:val="en-US" w:eastAsia="zh-CN"/>
                    </w:rPr>
                    <w:t>T，In</w:t>
                  </w:r>
                </w:p>
              </w:tc>
              <w:tc>
                <w:tcPr>
                  <w:tcW w:w="792" w:type="pct"/>
                  <w:vMerge w:val="continue"/>
                  <w:tcBorders>
                    <w:tl2br w:val="nil"/>
                    <w:tr2bl w:val="nil"/>
                  </w:tcBorders>
                  <w:noWrap w:val="0"/>
                  <w:vAlign w:val="center"/>
                </w:tcPr>
                <w:p w14:paraId="5F428E1B">
                  <w:pPr>
                    <w:pStyle w:val="76"/>
                    <w:bidi w:val="0"/>
                    <w:ind w:firstLine="0" w:firstLineChars="0"/>
                    <w:jc w:val="center"/>
                    <w:rPr>
                      <w:rFonts w:hint="default" w:ascii="Times New Roman" w:hAnsi="Times New Roman" w:cs="Times New Roman"/>
                      <w:b w:val="0"/>
                      <w:bCs w:val="0"/>
                      <w:color w:val="auto"/>
                      <w:sz w:val="21"/>
                      <w:szCs w:val="21"/>
                      <w:lang w:val="en-US" w:eastAsia="zh-CN"/>
                    </w:rPr>
                  </w:pPr>
                </w:p>
              </w:tc>
            </w:tr>
            <w:tr w14:paraId="1E1EC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298" w:type="pct"/>
                  <w:tcBorders>
                    <w:tl2br w:val="nil"/>
                    <w:tr2bl w:val="nil"/>
                  </w:tcBorders>
                  <w:noWrap w:val="0"/>
                  <w:vAlign w:val="center"/>
                </w:tcPr>
                <w:p w14:paraId="13DB55A2">
                  <w:pPr>
                    <w:pStyle w:val="76"/>
                    <w:bidi w:val="0"/>
                    <w:jc w:val="center"/>
                    <w:rPr>
                      <w:rFonts w:hint="default" w:ascii="Times New Roman" w:hAnsi="Times New Roman" w:cs="Times New Roman"/>
                      <w:b w:val="0"/>
                      <w:bCs w:val="0"/>
                      <w:color w:val="auto"/>
                      <w:sz w:val="21"/>
                      <w:szCs w:val="21"/>
                      <w:u w:val="single" w:color="auto"/>
                      <w:vertAlign w:val="baseline"/>
                      <w:lang w:val="en-US" w:eastAsia="zh-CN"/>
                    </w:rPr>
                  </w:pPr>
                  <w:r>
                    <w:rPr>
                      <w:rFonts w:hint="eastAsia" w:ascii="Times New Roman" w:hAnsi="Times New Roman" w:cs="Times New Roman"/>
                      <w:b w:val="0"/>
                      <w:bCs w:val="0"/>
                      <w:color w:val="auto"/>
                      <w:sz w:val="21"/>
                      <w:szCs w:val="21"/>
                      <w:u w:val="single" w:color="auto"/>
                      <w:vertAlign w:val="baseline"/>
                      <w:lang w:val="en-US" w:eastAsia="zh-CN"/>
                    </w:rPr>
                    <w:t>10</w:t>
                  </w:r>
                </w:p>
              </w:tc>
              <w:tc>
                <w:tcPr>
                  <w:tcW w:w="546" w:type="pct"/>
                  <w:tcBorders>
                    <w:tl2br w:val="nil"/>
                    <w:tr2bl w:val="nil"/>
                  </w:tcBorders>
                  <w:noWrap w:val="0"/>
                  <w:vAlign w:val="center"/>
                </w:tcPr>
                <w:p w14:paraId="406FE69A">
                  <w:pPr>
                    <w:pStyle w:val="76"/>
                    <w:bidi w:val="0"/>
                    <w:ind w:firstLine="0" w:firstLineChars="0"/>
                    <w:jc w:val="center"/>
                    <w:rPr>
                      <w:rFonts w:hint="default" w:ascii="Times New Roman" w:hAnsi="Times New Roman" w:cs="Times New Roman"/>
                      <w:b w:val="0"/>
                      <w:bCs w:val="0"/>
                      <w:color w:val="auto"/>
                      <w:sz w:val="21"/>
                      <w:szCs w:val="21"/>
                      <w:u w:val="single" w:color="auto"/>
                      <w:vertAlign w:val="baseline"/>
                      <w:lang w:val="en-US" w:eastAsia="zh-CN"/>
                    </w:rPr>
                  </w:pPr>
                  <w:r>
                    <w:rPr>
                      <w:rFonts w:hint="eastAsia" w:ascii="Times New Roman" w:hAnsi="Times New Roman" w:cs="Times New Roman"/>
                      <w:b w:val="0"/>
                      <w:bCs w:val="0"/>
                      <w:color w:val="auto"/>
                      <w:sz w:val="21"/>
                      <w:szCs w:val="21"/>
                      <w:vertAlign w:val="baseline"/>
                      <w:lang w:val="en-US" w:eastAsia="zh-CN"/>
                    </w:rPr>
                    <w:t>生活垃圾</w:t>
                  </w:r>
                </w:p>
              </w:tc>
              <w:tc>
                <w:tcPr>
                  <w:tcW w:w="812" w:type="pct"/>
                  <w:tcBorders>
                    <w:tl2br w:val="nil"/>
                    <w:tr2bl w:val="nil"/>
                  </w:tcBorders>
                  <w:noWrap w:val="0"/>
                  <w:vAlign w:val="center"/>
                </w:tcPr>
                <w:p w14:paraId="4BFDA1F8">
                  <w:pPr>
                    <w:pStyle w:val="76"/>
                    <w:bidi w:val="0"/>
                    <w:ind w:firstLine="0" w:firstLineChars="0"/>
                    <w:jc w:val="center"/>
                    <w:rPr>
                      <w:rFonts w:hint="eastAsia" w:ascii="Times New Roman" w:hAnsi="Times New Roman" w:cs="Times New Roman"/>
                      <w:b w:val="0"/>
                      <w:bCs w:val="0"/>
                      <w:color w:val="auto"/>
                      <w:sz w:val="21"/>
                      <w:szCs w:val="21"/>
                      <w:highlight w:val="none"/>
                      <w:u w:val="single" w:color="auto"/>
                      <w:lang w:val="en-US" w:eastAsia="zh-CN"/>
                    </w:rPr>
                  </w:pPr>
                  <w:r>
                    <w:rPr>
                      <w:rFonts w:hint="eastAsia" w:ascii="Times New Roman" w:hAnsi="Times New Roman" w:cs="Times New Roman"/>
                      <w:b w:val="0"/>
                      <w:bCs w:val="0"/>
                      <w:color w:val="auto"/>
                      <w:sz w:val="21"/>
                      <w:szCs w:val="21"/>
                      <w:lang w:val="en-US" w:eastAsia="zh-CN"/>
                    </w:rPr>
                    <w:t>/</w:t>
                  </w:r>
                </w:p>
              </w:tc>
              <w:tc>
                <w:tcPr>
                  <w:tcW w:w="555" w:type="pct"/>
                  <w:tcBorders>
                    <w:tl2br w:val="nil"/>
                    <w:tr2bl w:val="nil"/>
                  </w:tcBorders>
                  <w:noWrap w:val="0"/>
                  <w:vAlign w:val="center"/>
                </w:tcPr>
                <w:p w14:paraId="56EB979F">
                  <w:pPr>
                    <w:pStyle w:val="76"/>
                    <w:bidi w:val="0"/>
                    <w:ind w:firstLine="0" w:firstLineChars="0"/>
                    <w:jc w:val="center"/>
                    <w:rPr>
                      <w:rFonts w:hint="default" w:ascii="Times New Roman" w:hAnsi="Times New Roman" w:cs="Times New Roman"/>
                      <w:b w:val="0"/>
                      <w:bCs w:val="0"/>
                      <w:color w:val="auto"/>
                      <w:sz w:val="21"/>
                      <w:szCs w:val="21"/>
                      <w:u w:val="single" w:color="auto"/>
                      <w:vertAlign w:val="baseline"/>
                      <w:lang w:val="en-US" w:eastAsia="zh-CN"/>
                    </w:rPr>
                  </w:pPr>
                  <w:r>
                    <w:rPr>
                      <w:rFonts w:hint="eastAsia" w:ascii="Times New Roman" w:hAnsi="Times New Roman" w:cs="Times New Roman"/>
                      <w:b w:val="0"/>
                      <w:bCs w:val="0"/>
                      <w:color w:val="auto"/>
                      <w:sz w:val="21"/>
                      <w:szCs w:val="21"/>
                      <w:vertAlign w:val="baseline"/>
                      <w:lang w:val="en-US" w:eastAsia="zh-CN"/>
                    </w:rPr>
                    <w:t>员工生活</w:t>
                  </w:r>
                </w:p>
              </w:tc>
              <w:tc>
                <w:tcPr>
                  <w:tcW w:w="436" w:type="pct"/>
                  <w:tcBorders>
                    <w:tl2br w:val="nil"/>
                    <w:tr2bl w:val="nil"/>
                  </w:tcBorders>
                  <w:noWrap w:val="0"/>
                  <w:vAlign w:val="center"/>
                </w:tcPr>
                <w:p w14:paraId="6031A2AD">
                  <w:pPr>
                    <w:pStyle w:val="76"/>
                    <w:bidi w:val="0"/>
                    <w:ind w:firstLine="0" w:firstLineChars="0"/>
                    <w:jc w:val="center"/>
                    <w:rPr>
                      <w:rFonts w:hint="default" w:cs="Times New Roman"/>
                      <w:b w:val="0"/>
                      <w:bCs w:val="0"/>
                      <w:color w:val="auto"/>
                      <w:sz w:val="21"/>
                      <w:szCs w:val="21"/>
                      <w:u w:val="single" w:color="auto"/>
                      <w:vertAlign w:val="baseline"/>
                      <w:lang w:val="en-US" w:eastAsia="zh-CN"/>
                    </w:rPr>
                  </w:pPr>
                  <w:r>
                    <w:rPr>
                      <w:rFonts w:hint="eastAsia" w:ascii="Times New Roman" w:hAnsi="Times New Roman" w:cs="Times New Roman"/>
                      <w:b w:val="0"/>
                      <w:bCs w:val="0"/>
                      <w:color w:val="auto"/>
                      <w:sz w:val="21"/>
                      <w:szCs w:val="21"/>
                      <w:vertAlign w:val="baseline"/>
                      <w:lang w:val="en-US" w:eastAsia="zh-CN"/>
                    </w:rPr>
                    <w:t>/</w:t>
                  </w:r>
                </w:p>
              </w:tc>
              <w:tc>
                <w:tcPr>
                  <w:tcW w:w="546" w:type="pct"/>
                  <w:tcBorders>
                    <w:tl2br w:val="nil"/>
                    <w:tr2bl w:val="nil"/>
                  </w:tcBorders>
                  <w:noWrap w:val="0"/>
                  <w:vAlign w:val="center"/>
                </w:tcPr>
                <w:p w14:paraId="2CED700B">
                  <w:pPr>
                    <w:pStyle w:val="76"/>
                    <w:bidi w:val="0"/>
                    <w:ind w:firstLine="0" w:firstLineChars="0"/>
                    <w:jc w:val="center"/>
                    <w:rPr>
                      <w:rFonts w:hint="default" w:ascii="Times New Roman" w:hAnsi="Times New Roman" w:cs="Times New Roman"/>
                      <w:b w:val="0"/>
                      <w:bCs w:val="0"/>
                      <w:color w:val="auto"/>
                      <w:sz w:val="21"/>
                      <w:szCs w:val="21"/>
                      <w:u w:val="single" w:color="auto"/>
                      <w:vertAlign w:val="baseline"/>
                      <w:lang w:val="en-US" w:eastAsia="zh-CN"/>
                    </w:rPr>
                  </w:pPr>
                  <w:r>
                    <w:rPr>
                      <w:rFonts w:hint="eastAsia" w:ascii="Times New Roman" w:hAnsi="Times New Roman" w:cs="Times New Roman"/>
                      <w:b w:val="0"/>
                      <w:bCs w:val="0"/>
                      <w:color w:val="auto"/>
                      <w:sz w:val="21"/>
                      <w:szCs w:val="21"/>
                      <w:vertAlign w:val="baseline"/>
                      <w:lang w:val="en-US" w:eastAsia="zh-CN"/>
                    </w:rPr>
                    <w:t>12</w:t>
                  </w:r>
                </w:p>
              </w:tc>
              <w:tc>
                <w:tcPr>
                  <w:tcW w:w="513" w:type="pct"/>
                  <w:tcBorders>
                    <w:tl2br w:val="nil"/>
                    <w:tr2bl w:val="nil"/>
                  </w:tcBorders>
                  <w:noWrap w:val="0"/>
                  <w:vAlign w:val="center"/>
                </w:tcPr>
                <w:p w14:paraId="163C4421">
                  <w:pPr>
                    <w:pStyle w:val="76"/>
                    <w:bidi w:val="0"/>
                    <w:ind w:firstLine="0" w:firstLineChars="0"/>
                    <w:jc w:val="center"/>
                    <w:rPr>
                      <w:rFonts w:hint="default" w:ascii="Times New Roman" w:hAnsi="Times New Roman" w:cs="Times New Roman"/>
                      <w:b w:val="0"/>
                      <w:bCs w:val="0"/>
                      <w:color w:val="auto"/>
                      <w:sz w:val="21"/>
                      <w:szCs w:val="21"/>
                      <w:u w:val="single" w:color="auto"/>
                      <w:vertAlign w:val="baseline"/>
                      <w:lang w:val="en-US" w:eastAsia="zh-CN"/>
                    </w:rPr>
                  </w:pPr>
                  <w:r>
                    <w:rPr>
                      <w:rFonts w:hint="eastAsia" w:ascii="Times New Roman" w:hAnsi="Times New Roman" w:cs="Times New Roman"/>
                      <w:b w:val="0"/>
                      <w:bCs w:val="0"/>
                      <w:color w:val="auto"/>
                      <w:sz w:val="21"/>
                      <w:szCs w:val="21"/>
                      <w:vertAlign w:val="baseline"/>
                      <w:lang w:val="en-US" w:eastAsia="zh-CN"/>
                    </w:rPr>
                    <w:t>12</w:t>
                  </w:r>
                </w:p>
              </w:tc>
              <w:tc>
                <w:tcPr>
                  <w:tcW w:w="497" w:type="pct"/>
                  <w:tcBorders>
                    <w:tl2br w:val="nil"/>
                    <w:tr2bl w:val="nil"/>
                  </w:tcBorders>
                  <w:noWrap w:val="0"/>
                  <w:vAlign w:val="center"/>
                </w:tcPr>
                <w:p w14:paraId="027F0B3F">
                  <w:pPr>
                    <w:bidi w:val="0"/>
                    <w:ind w:firstLine="0" w:firstLineChars="0"/>
                    <w:jc w:val="center"/>
                    <w:rPr>
                      <w:rFonts w:hint="default" w:cs="Times New Roman"/>
                      <w:b w:val="0"/>
                      <w:bCs w:val="0"/>
                      <w:color w:val="auto"/>
                      <w:sz w:val="21"/>
                      <w:szCs w:val="21"/>
                      <w:u w:val="single" w:color="auto"/>
                      <w:lang w:val="en-US" w:eastAsia="zh-CN"/>
                    </w:rPr>
                  </w:pPr>
                  <w:r>
                    <w:rPr>
                      <w:rFonts w:hint="eastAsia" w:cs="Times New Roman"/>
                      <w:b w:val="0"/>
                      <w:bCs w:val="0"/>
                      <w:color w:val="auto"/>
                      <w:sz w:val="21"/>
                      <w:szCs w:val="21"/>
                      <w:lang w:val="en-US" w:eastAsia="zh-CN"/>
                    </w:rPr>
                    <w:t>/</w:t>
                  </w:r>
                </w:p>
              </w:tc>
              <w:tc>
                <w:tcPr>
                  <w:tcW w:w="792" w:type="pct"/>
                  <w:tcBorders>
                    <w:tl2br w:val="nil"/>
                    <w:tr2bl w:val="nil"/>
                  </w:tcBorders>
                  <w:noWrap w:val="0"/>
                  <w:vAlign w:val="center"/>
                </w:tcPr>
                <w:p w14:paraId="76E0FEA7">
                  <w:pPr>
                    <w:pStyle w:val="76"/>
                    <w:bidi w:val="0"/>
                    <w:ind w:firstLine="0" w:firstLineChars="0"/>
                    <w:jc w:val="center"/>
                    <w:rPr>
                      <w:rFonts w:hint="default"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垃圾桶收集交由环卫部门处置</w:t>
                  </w:r>
                </w:p>
              </w:tc>
            </w:tr>
          </w:tbl>
          <w:p w14:paraId="562FE22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color w:val="000000" w:themeColor="text1"/>
                <w:u w:val="none" w:color="auto"/>
                <w:lang w:val="en-US" w:eastAsia="zh-CN"/>
                <w14:textFill>
                  <w14:solidFill>
                    <w14:schemeClr w14:val="tx1"/>
                  </w14:solidFill>
                </w14:textFill>
              </w:rPr>
            </w:pPr>
            <w:r>
              <w:rPr>
                <w:rFonts w:hint="eastAsia"/>
                <w:b/>
                <w:bCs/>
                <w:color w:val="000000" w:themeColor="text1"/>
                <w:u w:val="none" w:color="auto"/>
                <w14:textFill>
                  <w14:solidFill>
                    <w14:schemeClr w14:val="tx1"/>
                  </w14:solidFill>
                </w14:textFill>
              </w:rPr>
              <w:t>2、</w:t>
            </w:r>
            <w:r>
              <w:rPr>
                <w:rFonts w:hint="eastAsia"/>
                <w:b/>
                <w:bCs/>
                <w:color w:val="000000" w:themeColor="text1"/>
                <w:u w:val="none" w:color="auto"/>
                <w:lang w:val="en-US" w:eastAsia="zh-CN"/>
                <w14:textFill>
                  <w14:solidFill>
                    <w14:schemeClr w14:val="tx1"/>
                  </w14:solidFill>
                </w14:textFill>
              </w:rPr>
              <w:t>环境管理要求</w:t>
            </w:r>
          </w:p>
          <w:p w14:paraId="440DBC55">
            <w:pPr>
              <w:pStyle w:val="73"/>
              <w:bidi w:val="0"/>
              <w:jc w:val="left"/>
              <w:rPr>
                <w:rFonts w:hint="default" w:ascii="Times New Roman" w:hAnsi="Times New Roman" w:cs="Times New Roman"/>
                <w:b/>
                <w:bCs w:val="0"/>
                <w:color w:val="auto"/>
              </w:rPr>
            </w:pPr>
            <w:r>
              <w:rPr>
                <w:rFonts w:hint="eastAsia" w:ascii="Times New Roman" w:hAnsi="Times New Roman" w:cs="Times New Roman"/>
                <w:b/>
                <w:bCs w:val="0"/>
                <w:color w:val="auto"/>
                <w:lang w:val="en-US" w:eastAsia="zh-CN"/>
              </w:rPr>
              <w:t>2</w:t>
            </w:r>
            <w:r>
              <w:rPr>
                <w:rFonts w:hint="default" w:ascii="Times New Roman" w:hAnsi="Times New Roman" w:cs="Times New Roman"/>
                <w:b/>
                <w:bCs w:val="0"/>
                <w:color w:val="auto"/>
              </w:rPr>
              <w:t>.1 一般固废管理要求</w:t>
            </w:r>
          </w:p>
          <w:p w14:paraId="28A12B16">
            <w:pPr>
              <w:pStyle w:val="73"/>
              <w:bidi w:val="0"/>
              <w:rPr>
                <w:rFonts w:hint="default" w:ascii="Times New Roman" w:hAnsi="Times New Roman" w:cs="Times New Roman"/>
                <w:color w:val="auto"/>
                <w:u w:val="none" w:color="auto"/>
              </w:rPr>
            </w:pPr>
            <w:r>
              <w:rPr>
                <w:rFonts w:hint="default" w:ascii="Times New Roman" w:hAnsi="Times New Roman" w:cs="Times New Roman"/>
                <w:color w:val="auto"/>
                <w:u w:val="none" w:color="auto"/>
              </w:rPr>
              <w:t>本环评建议</w:t>
            </w:r>
            <w:r>
              <w:rPr>
                <w:rFonts w:hint="default" w:ascii="Times New Roman" w:hAnsi="Times New Roman" w:cs="Times New Roman"/>
                <w:color w:val="auto"/>
                <w:u w:val="none" w:color="auto"/>
                <w:lang w:eastAsia="zh-CN"/>
              </w:rPr>
              <w:t>建设单位</w:t>
            </w:r>
            <w:r>
              <w:rPr>
                <w:rFonts w:hint="default" w:ascii="Times New Roman" w:hAnsi="Times New Roman" w:cs="Times New Roman"/>
                <w:color w:val="auto"/>
                <w:u w:val="none" w:color="auto"/>
              </w:rPr>
              <w:t>应严格按照《一般工业固体废物贮存和填埋污染控制标准》（GB18599-2020）、《中华人民共和国</w:t>
            </w:r>
            <w:r>
              <w:rPr>
                <w:rFonts w:hint="eastAsia" w:ascii="Times New Roman" w:hAnsi="Times New Roman" w:cs="Times New Roman"/>
                <w:color w:val="auto"/>
                <w:u w:val="none" w:color="auto"/>
                <w:lang w:val="en-US" w:eastAsia="zh-CN"/>
              </w:rPr>
              <w:t>生态环境法典</w:t>
            </w:r>
            <w:r>
              <w:rPr>
                <w:rFonts w:hint="default" w:ascii="Times New Roman" w:hAnsi="Times New Roman" w:cs="Times New Roman"/>
                <w:color w:val="auto"/>
                <w:u w:val="none" w:color="auto"/>
              </w:rPr>
              <w:t>》的有关规定，建设必要的固体废物分类收集和临时贮存设施，具体要求如下：</w:t>
            </w:r>
          </w:p>
          <w:p w14:paraId="01EA9B5D">
            <w:pPr>
              <w:pStyle w:val="73"/>
              <w:bidi w:val="0"/>
              <w:rPr>
                <w:rFonts w:hint="default" w:ascii="Times New Roman" w:hAnsi="Times New Roman" w:cs="Times New Roman"/>
                <w:color w:val="auto"/>
                <w:u w:val="none" w:color="auto"/>
              </w:rPr>
            </w:pPr>
            <w:r>
              <w:rPr>
                <w:rFonts w:hint="default" w:ascii="Times New Roman" w:hAnsi="Times New Roman" w:cs="Times New Roman"/>
                <w:color w:val="auto"/>
                <w:u w:val="none" w:color="auto"/>
              </w:rPr>
              <w:t>①一般工业固体废物应分类收集、储存，不能混存。</w:t>
            </w:r>
          </w:p>
          <w:p w14:paraId="6992C588">
            <w:pPr>
              <w:pStyle w:val="73"/>
              <w:bidi w:val="0"/>
              <w:rPr>
                <w:rFonts w:hint="default" w:ascii="Times New Roman" w:hAnsi="Times New Roman" w:cs="Times New Roman"/>
                <w:color w:val="auto"/>
                <w:u w:val="none" w:color="auto"/>
              </w:rPr>
            </w:pPr>
            <w:r>
              <w:rPr>
                <w:rFonts w:hint="default" w:ascii="Times New Roman" w:hAnsi="Times New Roman" w:cs="Times New Roman"/>
                <w:color w:val="auto"/>
                <w:u w:val="none" w:color="auto"/>
              </w:rPr>
              <w:t>②一般工业固体废物临时储存地点必须建有</w:t>
            </w:r>
            <w:r>
              <w:rPr>
                <w:rFonts w:hint="eastAsia" w:ascii="Times New Roman" w:hAnsi="Times New Roman" w:cs="Times New Roman"/>
                <w:color w:val="auto"/>
                <w:u w:val="none" w:color="auto"/>
                <w:lang w:eastAsia="zh-CN"/>
              </w:rPr>
              <w:t>防雨棚</w:t>
            </w:r>
            <w:r>
              <w:rPr>
                <w:rFonts w:hint="default" w:ascii="Times New Roman" w:hAnsi="Times New Roman" w:cs="Times New Roman"/>
                <w:color w:val="auto"/>
                <w:u w:val="none" w:color="auto"/>
              </w:rPr>
              <w:t>，不允许露天堆放，以防雨水冲刷，雨水通过场地四周导流渠流向雨水排放管；临时堆放场地应为水泥铺设地面，以防渗漏。</w:t>
            </w:r>
          </w:p>
          <w:p w14:paraId="3F6A3D4D">
            <w:pPr>
              <w:pStyle w:val="73"/>
              <w:bidi w:val="0"/>
              <w:rPr>
                <w:rFonts w:hint="default" w:ascii="Times New Roman" w:hAnsi="Times New Roman" w:cs="Times New Roman"/>
                <w:color w:val="auto"/>
                <w:u w:val="none" w:color="auto"/>
              </w:rPr>
            </w:pPr>
            <w:r>
              <w:rPr>
                <w:rFonts w:hint="default" w:ascii="Times New Roman" w:hAnsi="Times New Roman" w:cs="Times New Roman"/>
                <w:color w:val="auto"/>
                <w:u w:val="none" w:color="auto"/>
              </w:rPr>
              <w:t>③储存场应加强监督管理，按GB15562.2设置环境保护图形标志。</w:t>
            </w:r>
          </w:p>
          <w:p w14:paraId="49877758">
            <w:pPr>
              <w:pStyle w:val="73"/>
              <w:bidi w:val="0"/>
              <w:rPr>
                <w:rFonts w:hint="default" w:ascii="Times New Roman" w:hAnsi="Times New Roman" w:cs="Times New Roman"/>
                <w:color w:val="auto"/>
                <w:u w:val="none" w:color="auto"/>
                <w:lang w:val="en-US" w:eastAsia="zh-CN"/>
              </w:rPr>
            </w:pPr>
            <w:r>
              <w:rPr>
                <w:rFonts w:hint="default" w:ascii="Times New Roman" w:hAnsi="Times New Roman" w:cs="Times New Roman"/>
                <w:color w:val="auto"/>
                <w:u w:val="none" w:color="auto"/>
                <w:lang w:val="en-US" w:eastAsia="zh-CN"/>
              </w:rPr>
              <w:t>④建立档案制度，将临时储存的一般工业固体废物的种类、数量和外运的一般工业固体废物的种类、数量详细记录在案，长期保存，供随时查阅。</w:t>
            </w:r>
          </w:p>
          <w:p w14:paraId="1060EB8A">
            <w:pPr>
              <w:pStyle w:val="73"/>
              <w:bidi w:val="0"/>
              <w:rPr>
                <w:rFonts w:hint="default" w:ascii="Times New Roman" w:hAnsi="Times New Roman" w:cs="Times New Roman"/>
                <w:b/>
                <w:bCs w:val="0"/>
                <w:color w:val="auto"/>
                <w:u w:val="none" w:color="auto"/>
                <w:lang w:val="en-US" w:eastAsia="zh-CN"/>
              </w:rPr>
            </w:pPr>
            <w:r>
              <w:rPr>
                <w:rFonts w:hint="eastAsia" w:ascii="Times New Roman" w:hAnsi="Times New Roman" w:cs="Times New Roman"/>
                <w:b/>
                <w:bCs w:val="0"/>
                <w:color w:val="auto"/>
                <w:u w:val="none" w:color="auto"/>
                <w:lang w:val="en-US" w:eastAsia="zh-CN"/>
              </w:rPr>
              <w:t>2</w:t>
            </w:r>
            <w:r>
              <w:rPr>
                <w:rFonts w:hint="default" w:ascii="Times New Roman" w:hAnsi="Times New Roman" w:cs="Times New Roman"/>
                <w:b/>
                <w:bCs w:val="0"/>
                <w:color w:val="auto"/>
                <w:u w:val="none" w:color="auto"/>
                <w:lang w:val="en-US" w:eastAsia="zh-CN"/>
              </w:rPr>
              <w:t>.2 危险废物管理要求</w:t>
            </w:r>
          </w:p>
          <w:p w14:paraId="6C059497">
            <w:pPr>
              <w:pStyle w:val="73"/>
              <w:bidi w:val="0"/>
              <w:rPr>
                <w:rFonts w:hint="eastAsia" w:ascii="Times New Roman" w:hAnsi="Times New Roman" w:cs="Times New Roman"/>
                <w:b w:val="0"/>
                <w:bCs/>
                <w:color w:val="auto"/>
                <w:u w:val="none" w:color="auto"/>
                <w:lang w:val="en-US" w:eastAsia="zh-CN"/>
              </w:rPr>
            </w:pPr>
            <w:r>
              <w:rPr>
                <w:rFonts w:hint="eastAsia" w:ascii="Times New Roman" w:hAnsi="Times New Roman" w:cs="Times New Roman"/>
                <w:b w:val="0"/>
                <w:bCs/>
                <w:color w:val="auto"/>
                <w:u w:val="none" w:color="auto"/>
                <w:lang w:val="en-US" w:eastAsia="zh-CN"/>
              </w:rPr>
              <w:t>①危废的收集</w:t>
            </w:r>
          </w:p>
          <w:p w14:paraId="042F1B0A">
            <w:pPr>
              <w:pStyle w:val="73"/>
              <w:bidi w:val="0"/>
              <w:rPr>
                <w:rFonts w:hint="default" w:ascii="Times New Roman" w:hAnsi="Times New Roman" w:cs="Times New Roman"/>
                <w:b w:val="0"/>
                <w:bCs/>
                <w:color w:val="auto"/>
                <w:u w:val="none" w:color="auto"/>
                <w:lang w:val="en-US" w:eastAsia="zh-CN"/>
              </w:rPr>
            </w:pPr>
            <w:r>
              <w:rPr>
                <w:rFonts w:hint="default" w:ascii="Times New Roman" w:hAnsi="Times New Roman" w:cs="Times New Roman"/>
                <w:b w:val="0"/>
                <w:bCs/>
                <w:color w:val="auto"/>
                <w:u w:val="none" w:color="auto"/>
                <w:lang w:val="en-US" w:eastAsia="zh-CN"/>
              </w:rPr>
              <w:t>危险废物收集过程应按照《危险废物收集贮存运输技术规范》(HJ2025-2012)的要求:</w:t>
            </w:r>
          </w:p>
          <w:p w14:paraId="57185180">
            <w:pPr>
              <w:pStyle w:val="73"/>
              <w:bidi w:val="0"/>
              <w:rPr>
                <w:rFonts w:hint="default" w:ascii="Times New Roman" w:hAnsi="Times New Roman" w:cs="Times New Roman"/>
                <w:b w:val="0"/>
                <w:bCs/>
                <w:color w:val="auto"/>
                <w:u w:val="none" w:color="auto"/>
                <w:lang w:val="en-US" w:eastAsia="zh-CN"/>
              </w:rPr>
            </w:pPr>
            <w:r>
              <w:rPr>
                <w:rFonts w:hint="default" w:ascii="Times New Roman" w:hAnsi="Times New Roman" w:cs="Times New Roman"/>
                <w:b w:val="0"/>
                <w:bCs/>
                <w:color w:val="auto"/>
                <w:u w:val="none" w:color="auto"/>
                <w:lang w:val="en-US" w:eastAsia="zh-CN"/>
              </w:rPr>
              <w:t>a.根据危废产生的工艺特征、排放周期、特性、管理计划等因素制定详细的收集计划。收集计划包括收集任务概述、收集目标及原则、危险废物特性评估危险废物收集量估算、收集作业范围和方法、收集设备与包装容器、安全生产与个人防护、工程防护与事故应急、进度安排与组织管理等。</w:t>
            </w:r>
          </w:p>
          <w:p w14:paraId="5CA6261E">
            <w:pPr>
              <w:pStyle w:val="73"/>
              <w:bidi w:val="0"/>
              <w:rPr>
                <w:rFonts w:hint="default" w:ascii="Times New Roman" w:hAnsi="Times New Roman" w:cs="Times New Roman"/>
                <w:b w:val="0"/>
                <w:bCs/>
                <w:color w:val="auto"/>
                <w:u w:val="none" w:color="auto"/>
                <w:lang w:val="en-US" w:eastAsia="zh-CN"/>
              </w:rPr>
            </w:pPr>
            <w:r>
              <w:rPr>
                <w:rFonts w:hint="default" w:ascii="Times New Roman" w:hAnsi="Times New Roman" w:cs="Times New Roman"/>
                <w:b w:val="0"/>
                <w:bCs/>
                <w:color w:val="auto"/>
                <w:u w:val="none" w:color="auto"/>
                <w:lang w:val="en-US" w:eastAsia="zh-CN"/>
              </w:rPr>
              <w:t>b.制定危废收集操作规程，内容包括适用范围、操作程序和方法、专用设备和工具、转移和交接、安全保障和应急防护等</w:t>
            </w:r>
          </w:p>
          <w:p w14:paraId="4BE813D8">
            <w:pPr>
              <w:pStyle w:val="73"/>
              <w:bidi w:val="0"/>
              <w:rPr>
                <w:rFonts w:hint="default" w:ascii="Times New Roman" w:hAnsi="Times New Roman" w:cs="Times New Roman"/>
                <w:b w:val="0"/>
                <w:bCs/>
                <w:color w:val="auto"/>
                <w:u w:val="none" w:color="auto"/>
                <w:lang w:val="en-US" w:eastAsia="zh-CN"/>
              </w:rPr>
            </w:pPr>
            <w:r>
              <w:rPr>
                <w:rFonts w:hint="default" w:ascii="Times New Roman" w:hAnsi="Times New Roman" w:cs="Times New Roman"/>
                <w:b w:val="0"/>
                <w:bCs/>
                <w:color w:val="auto"/>
                <w:u w:val="none" w:color="auto"/>
                <w:lang w:val="en-US" w:eastAsia="zh-CN"/>
              </w:rPr>
              <w:t>c.危废收集和转运作业人员根据工作需要配备必要的个人防护设备，如手套防护镜、防护服、防毒面具或口罩等。</w:t>
            </w:r>
          </w:p>
          <w:p w14:paraId="608C5CD4">
            <w:pPr>
              <w:pStyle w:val="73"/>
              <w:bidi w:val="0"/>
              <w:rPr>
                <w:rFonts w:hint="default" w:ascii="Times New Roman" w:hAnsi="Times New Roman" w:cs="Times New Roman"/>
                <w:b w:val="0"/>
                <w:bCs/>
                <w:color w:val="auto"/>
                <w:u w:val="none" w:color="auto"/>
                <w:lang w:val="en-US" w:eastAsia="zh-CN"/>
              </w:rPr>
            </w:pPr>
            <w:r>
              <w:rPr>
                <w:rFonts w:hint="default" w:ascii="Times New Roman" w:hAnsi="Times New Roman" w:cs="Times New Roman"/>
                <w:b w:val="0"/>
                <w:bCs/>
                <w:color w:val="auto"/>
                <w:u w:val="none" w:color="auto"/>
                <w:lang w:val="en-US" w:eastAsia="zh-CN"/>
              </w:rPr>
              <w:t>d.在危废收集和转运过程中，采取相应的安全防护和污染防治措施，包括防爆、防火、防泄漏、防飞扬、防雨或其他防止污染环境的措施。</w:t>
            </w:r>
          </w:p>
          <w:p w14:paraId="48484CD6">
            <w:pPr>
              <w:pStyle w:val="73"/>
              <w:bidi w:val="0"/>
              <w:rPr>
                <w:rFonts w:hint="default" w:ascii="Times New Roman" w:hAnsi="Times New Roman" w:cs="Times New Roman"/>
                <w:b w:val="0"/>
                <w:bCs/>
                <w:color w:val="auto"/>
                <w:u w:val="none" w:color="auto"/>
                <w:lang w:val="en-US" w:eastAsia="zh-CN"/>
              </w:rPr>
            </w:pPr>
            <w:r>
              <w:rPr>
                <w:rFonts w:hint="default" w:ascii="Times New Roman" w:hAnsi="Times New Roman" w:cs="Times New Roman"/>
                <w:b w:val="0"/>
                <w:bCs/>
                <w:color w:val="auto"/>
                <w:u w:val="none" w:color="auto"/>
                <w:lang w:val="en-US" w:eastAsia="zh-CN"/>
              </w:rPr>
              <w:t>e.危险废物收集时应根据数量、危险特性、物理形态、运输要求等因素选择合适的包装形式。</w:t>
            </w:r>
          </w:p>
          <w:p w14:paraId="7C93B2F6">
            <w:pPr>
              <w:pStyle w:val="66"/>
              <w:keepNext w:val="0"/>
              <w:keepLines w:val="0"/>
              <w:pageBreakBefore w:val="0"/>
              <w:widowControl/>
              <w:kinsoku/>
              <w:wordWrap/>
              <w:overflowPunct/>
              <w:topLinePunct w:val="0"/>
              <w:autoSpaceDE/>
              <w:autoSpaceDN/>
              <w:bidi w:val="0"/>
              <w:adjustRightInd w:val="0"/>
              <w:snapToGrid w:val="0"/>
              <w:spacing w:before="0" w:after="0" w:line="360" w:lineRule="auto"/>
              <w:ind w:right="0" w:firstLine="480" w:firstLineChars="200"/>
              <w:jc w:val="left"/>
              <w:textAlignment w:val="auto"/>
              <w:rPr>
                <w:rFonts w:hint="eastAsia" w:cs="Times New Roman"/>
                <w:color w:val="auto"/>
                <w:sz w:val="24"/>
                <w:szCs w:val="24"/>
                <w:u w:val="none" w:color="auto"/>
                <w:lang w:val="en-US" w:eastAsia="zh-CN"/>
              </w:rPr>
            </w:pPr>
            <w:r>
              <w:rPr>
                <w:rFonts w:hint="eastAsia" w:cs="Times New Roman"/>
                <w:color w:val="auto"/>
                <w:sz w:val="24"/>
                <w:szCs w:val="24"/>
                <w:u w:val="none" w:color="auto"/>
                <w:lang w:val="en-US" w:eastAsia="zh-CN"/>
              </w:rPr>
              <w:t>②危废的转移</w:t>
            </w:r>
          </w:p>
          <w:p w14:paraId="7E5FD6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none" w:color="auto"/>
                <w:lang w:val="en-US" w:eastAsia="zh-CN"/>
              </w:rPr>
            </w:pPr>
            <w:r>
              <w:rPr>
                <w:rFonts w:hint="default"/>
                <w:sz w:val="24"/>
                <w:szCs w:val="24"/>
                <w:u w:val="none" w:color="auto"/>
                <w:lang w:val="en-US" w:eastAsia="zh-CN"/>
              </w:rPr>
              <w:t>危险废物的转移应严格按照《危险废物转移管理办法》(2022年1月1日实实行，危险废物移出人、危险废物承运人、危险废物接受人(以下分别简称施)移出人、承运人和接受人)在危险废物转移过程中应当采取防扬散、防流失、防渗漏或者其他防止污染环境的措施，不得自倾倒、堆放、丢弃、遗撒危险废物并对所造成的环境污染及生态破坏依法承担责任。移出人、承运人、接受人应当依法制定突发环境事件的防范措施和应急预案，并报有关部门备案;发生危险废物突发环境事件时，应当立即采取有效措施消除或者减轻对环境的污染危害，并按相关规定向事故发生地有关部门报告，接受调查处理。</w:t>
            </w:r>
          </w:p>
          <w:p w14:paraId="0D304B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none" w:color="auto"/>
                <w:lang w:val="en-US" w:eastAsia="zh-CN"/>
              </w:rPr>
            </w:pPr>
            <w:r>
              <w:rPr>
                <w:rFonts w:hint="default"/>
                <w:sz w:val="24"/>
                <w:szCs w:val="24"/>
                <w:u w:val="none" w:color="auto"/>
                <w:lang w:val="en-US" w:eastAsia="zh-CN"/>
              </w:rPr>
              <w:t>A、对承运人或者接受人的主体资格和技术能力进行核实,依法签订书面合同，并在合同中约定运输、贮存、利用、处置危险废物的污染防治要求及相关责任:B、制定危险废物管理计划，明确拟转移危险废物的种类、重量(数量)和流向等信息;</w:t>
            </w:r>
          </w:p>
          <w:p w14:paraId="283FB2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none" w:color="auto"/>
                <w:lang w:val="en-US" w:eastAsia="zh-CN"/>
              </w:rPr>
            </w:pPr>
            <w:r>
              <w:rPr>
                <w:rFonts w:hint="default"/>
                <w:sz w:val="24"/>
                <w:szCs w:val="24"/>
                <w:u w:val="none" w:color="auto"/>
                <w:lang w:val="en-US" w:eastAsia="zh-CN"/>
              </w:rPr>
              <w:t>C、建立危险废物管理台账，对转移的危险废物进行计量称重，如实记录、妥善保管转移危险废物的种类、重量(数量)和接收人等相关信息:</w:t>
            </w:r>
          </w:p>
          <w:p w14:paraId="24827F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none" w:color="auto"/>
                <w:lang w:val="en-US" w:eastAsia="zh-CN"/>
              </w:rPr>
            </w:pPr>
            <w:r>
              <w:rPr>
                <w:rFonts w:hint="default"/>
                <w:sz w:val="24"/>
                <w:szCs w:val="24"/>
                <w:u w:val="none" w:color="auto"/>
                <w:lang w:val="en-US" w:eastAsia="zh-CN"/>
              </w:rPr>
              <w:t>D、填写、运行危险废物转移联单，在危险废物转移联单中如实填写移出人承运人、接收人信息，转移危险废物的种类、重量(数量)、危险特性等信息以及突发环境事件的防范措施等:</w:t>
            </w:r>
          </w:p>
          <w:p w14:paraId="00E412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none" w:color="auto"/>
                <w:lang w:val="en-US" w:eastAsia="zh-CN"/>
              </w:rPr>
            </w:pPr>
            <w:r>
              <w:rPr>
                <w:rFonts w:hint="default"/>
                <w:sz w:val="24"/>
                <w:szCs w:val="24"/>
                <w:u w:val="none" w:color="auto"/>
                <w:lang w:val="en-US" w:eastAsia="zh-CN"/>
              </w:rPr>
              <w:t>E、及时核实接收人贮存、利用或者处置相关危险废物情况;移出人应当按照国家有关要求开展危险废物鉴别。</w:t>
            </w:r>
          </w:p>
          <w:p w14:paraId="30F0E4AF">
            <w:pPr>
              <w:pStyle w:val="58"/>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Times New Roman" w:hAnsi="Times New Roman" w:cs="Times New Roman"/>
                <w:color w:val="auto"/>
                <w:kern w:val="0"/>
                <w:sz w:val="24"/>
                <w:szCs w:val="24"/>
                <w:u w:val="none" w:color="auto"/>
                <w:lang w:val="en-US" w:eastAsia="zh-CN" w:bidi="ar-SA"/>
              </w:rPr>
            </w:pPr>
            <w:r>
              <w:rPr>
                <w:rFonts w:hint="eastAsia" w:ascii="Times New Roman" w:hAnsi="Times New Roman" w:eastAsia="宋体" w:cs="Times New Roman"/>
                <w:color w:val="auto"/>
                <w:kern w:val="0"/>
                <w:sz w:val="24"/>
                <w:szCs w:val="24"/>
                <w:u w:val="none" w:color="auto"/>
                <w:lang w:val="en-US" w:eastAsia="zh-CN" w:bidi="ar-SA"/>
              </w:rPr>
              <w:t>③</w:t>
            </w:r>
            <w:r>
              <w:rPr>
                <w:rFonts w:hint="eastAsia" w:ascii="Times New Roman" w:hAnsi="Times New Roman" w:cs="Times New Roman"/>
                <w:color w:val="auto"/>
                <w:kern w:val="0"/>
                <w:sz w:val="24"/>
                <w:szCs w:val="24"/>
                <w:u w:val="none" w:color="auto"/>
                <w:lang w:val="en-US" w:eastAsia="zh-CN" w:bidi="ar-SA"/>
              </w:rPr>
              <w:t>危废的运输</w:t>
            </w:r>
          </w:p>
          <w:p w14:paraId="65CEE1B0">
            <w:pPr>
              <w:pStyle w:val="66"/>
              <w:keepNext w:val="0"/>
              <w:keepLines w:val="0"/>
              <w:pageBreakBefore w:val="0"/>
              <w:widowControl/>
              <w:kinsoku/>
              <w:wordWrap/>
              <w:overflowPunct/>
              <w:topLinePunct w:val="0"/>
              <w:autoSpaceDE/>
              <w:autoSpaceDN/>
              <w:bidi w:val="0"/>
              <w:adjustRightInd w:val="0"/>
              <w:snapToGrid w:val="0"/>
              <w:spacing w:before="0" w:after="0" w:line="360" w:lineRule="auto"/>
              <w:ind w:right="0" w:firstLine="480" w:firstLineChars="200"/>
              <w:jc w:val="left"/>
              <w:textAlignment w:val="auto"/>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sz w:val="24"/>
                <w:szCs w:val="24"/>
                <w:u w:val="none" w:color="auto"/>
                <w:lang w:val="en-US" w:eastAsia="zh-CN"/>
              </w:rPr>
              <w:t>根据中华人民共和国国务院令第344号《危险化学品安全管理条例》、《危险废物转移管理办法》的有关规定，在危险废弃物外运至处置单位时必须严格遵守以下要求:根据中华人民共和国国务院令第344号《危险化学品安全管理条例》《危险废物转移管理办法》的有关规定，在危险废弃物外运至处置单位时必须严格遵守以下要求:</w:t>
            </w:r>
          </w:p>
          <w:p w14:paraId="196DB138">
            <w:pPr>
              <w:pStyle w:val="66"/>
              <w:keepNext w:val="0"/>
              <w:keepLines w:val="0"/>
              <w:pageBreakBefore w:val="0"/>
              <w:widowControl/>
              <w:kinsoku/>
              <w:wordWrap/>
              <w:overflowPunct/>
              <w:topLinePunct w:val="0"/>
              <w:autoSpaceDE/>
              <w:autoSpaceDN/>
              <w:bidi w:val="0"/>
              <w:adjustRightInd w:val="0"/>
              <w:snapToGrid w:val="0"/>
              <w:spacing w:before="0" w:after="0" w:line="360" w:lineRule="auto"/>
              <w:ind w:right="0" w:firstLine="480" w:firstLineChars="200"/>
              <w:jc w:val="left"/>
              <w:textAlignment w:val="auto"/>
              <w:rPr>
                <w:rFonts w:hint="default" w:ascii="Times New Roman" w:hAnsi="Times New Roman" w:eastAsia="宋体" w:cs="Times New Roman"/>
                <w:sz w:val="24"/>
                <w:szCs w:val="24"/>
                <w:u w:val="none" w:color="auto"/>
                <w:lang w:val="en-US" w:eastAsia="zh-CN"/>
              </w:rPr>
            </w:pPr>
            <w:r>
              <w:rPr>
                <w:rFonts w:hint="default" w:ascii="Times New Roman" w:hAnsi="Times New Roman" w:eastAsia="宋体" w:cs="Times New Roman"/>
                <w:sz w:val="24"/>
                <w:szCs w:val="24"/>
                <w:u w:val="none" w:color="auto"/>
                <w:lang w:val="en-US" w:eastAsia="zh-CN"/>
              </w:rPr>
              <w:t>a.做好每次外运处置废弃物的运输登记，认真填写危险废物转移联单(每种废物填写一份联单)，并加盖公司公章，经运输单位核实验收签字后，将联单第联副联自留存档:将联单第二联交移出地环境保护行政主管部门;第三联及其余各联交付运输单位，随危险废物转移运行:第四联交接收单位:第五联交接受地环保局。</w:t>
            </w:r>
          </w:p>
          <w:p w14:paraId="4C7902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b.废弃物处置单位的运输人员必须掌握危险化学品运输的安全知识，了解所运载的危险化学品的性质、危害特性、包装容器的使用特性和发生意外时的应急措施。运输车辆必须具有车辆危险货物运输许可证。驾驶人员必须由取得驾驶执照的熟练人员担任。</w:t>
            </w:r>
          </w:p>
          <w:p w14:paraId="08AB5E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c.处置单位在运输危险废弃物时必须配备押运人员,并随时处于押运人员的监管之下，不得超装、超载，严格按照所在城市规定的行车时间和行车路线行驶不得进入危险化学品运输车辆禁止通行的区域。</w:t>
            </w:r>
          </w:p>
          <w:p w14:paraId="1AEE91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d.危险废弃物在运输途中若发生被盗、丢失、流散、</w:t>
            </w:r>
            <w:r>
              <w:rPr>
                <w:rFonts w:hint="eastAsia" w:cs="Times New Roman"/>
                <w:color w:val="auto"/>
                <w:sz w:val="24"/>
                <w:szCs w:val="24"/>
                <w:u w:val="none" w:color="auto"/>
                <w:lang w:eastAsia="zh-CN"/>
              </w:rPr>
              <w:t>泄漏</w:t>
            </w:r>
            <w:r>
              <w:rPr>
                <w:rFonts w:hint="default" w:ascii="Times New Roman" w:hAnsi="Times New Roman" w:cs="Times New Roman"/>
                <w:color w:val="auto"/>
                <w:sz w:val="24"/>
                <w:szCs w:val="24"/>
                <w:u w:val="none" w:color="auto"/>
              </w:rPr>
              <w:t>等情况时，公司及押运人员必须立即向当地公安部门报告，并采取一切可能的警示措施。</w:t>
            </w:r>
          </w:p>
          <w:p w14:paraId="2FC40D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e.一旦发生废弃物泄漏事故,公司和废弃物处置单位都应积极协助有关部门采取必要的安全措施，减少事故损失，防止事故蔓延、扩大:针对事故对人体、动植物、土壤、水源、空气造成的现实危害和可能产生的危害，应迅速采取封闭、隔离、洗消等措施，并对事故造成的危害进行监测、处置，直至符合国家环境保护标准。</w:t>
            </w:r>
          </w:p>
          <w:p w14:paraId="1D075D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危险废物的转移运输必须包装，以防止和避免在运输工程中散扬、渗漏、流失等污染环境、制定出操作管理制度。危险废物的包装执行《危险货物运输包装通用技术条件》(GB12463-2009)及《危险货物包装标志》(GB190-2009)。应严格按照《危险化学品安全管理条例》等规定执行。应制定定期考察制度，对车辆、人员、防护措施等进行全方位地考察，以确保安全运输。严格执行危险品运输各项规定。运输车辆需挂有明显的标志，以便引起其他车辆的重视。</w:t>
            </w:r>
          </w:p>
          <w:p w14:paraId="683126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lang w:val="en-US" w:eastAsia="zh-CN"/>
              </w:rPr>
            </w:pPr>
            <w:r>
              <w:rPr>
                <w:rFonts w:hint="default" w:ascii="Times New Roman" w:hAnsi="Times New Roman" w:cs="Times New Roman"/>
                <w:color w:val="auto"/>
                <w:sz w:val="24"/>
                <w:szCs w:val="24"/>
                <w:u w:val="none" w:color="auto"/>
                <w:lang w:val="en-US" w:eastAsia="zh-CN"/>
              </w:rPr>
              <w:t>④危险废物贮存污染控制标准</w:t>
            </w:r>
          </w:p>
          <w:p w14:paraId="09EFF229">
            <w:pPr>
              <w:pStyle w:val="58"/>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a 危险废物暂存场所应按照《危险废物贮存污染控制标准》(GB18597-2023)建设。</w:t>
            </w:r>
          </w:p>
          <w:p w14:paraId="14FB2264">
            <w:pPr>
              <w:pStyle w:val="58"/>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b 基础必须防渗，基础防渗层为粘土层，其厚度在1m以上，渗透系数应小于1.0x10</w:t>
            </w:r>
            <w:r>
              <w:rPr>
                <w:rFonts w:hint="eastAsia" w:ascii="Times New Roman" w:cs="Times New Roman"/>
                <w:u w:val="none" w:color="auto"/>
                <w:vertAlign w:val="superscript"/>
                <w:lang w:val="en-US" w:eastAsia="zh-CN"/>
              </w:rPr>
              <w:t>-7</w:t>
            </w:r>
            <w:r>
              <w:rPr>
                <w:rFonts w:hint="default" w:ascii="Times New Roman" w:hAnsi="Times New Roman" w:eastAsia="宋体" w:cs="Times New Roman"/>
                <w:u w:val="none" w:color="auto"/>
                <w:lang w:val="en-US" w:eastAsia="zh-CN"/>
              </w:rPr>
              <w:t>cm/s，基础防渗层也可用厚度在2mm以上的高密度聚乙烯或其他人工防渗材料组成，渗透系数应小于1.0x10</w:t>
            </w:r>
            <w:r>
              <w:rPr>
                <w:rFonts w:hint="default" w:ascii="Times New Roman" w:hAnsi="Times New Roman" w:eastAsia="宋体" w:cs="Times New Roman"/>
                <w:u w:val="none" w:color="auto"/>
                <w:vertAlign w:val="superscript"/>
                <w:lang w:val="en-US" w:eastAsia="zh-CN"/>
              </w:rPr>
              <w:t>-</w:t>
            </w:r>
            <w:r>
              <w:rPr>
                <w:rFonts w:hint="eastAsia" w:ascii="Times New Roman" w:cs="Times New Roman"/>
                <w:u w:val="none" w:color="auto"/>
                <w:vertAlign w:val="superscript"/>
                <w:lang w:val="en-US" w:eastAsia="zh-CN"/>
              </w:rPr>
              <w:t>1</w:t>
            </w:r>
            <w:r>
              <w:rPr>
                <w:rFonts w:hint="default" w:ascii="Times New Roman" w:hAnsi="Times New Roman" w:eastAsia="宋体" w:cs="Times New Roman"/>
                <w:u w:val="none" w:color="auto"/>
                <w:vertAlign w:val="superscript"/>
                <w:lang w:val="en-US" w:eastAsia="zh-CN"/>
              </w:rPr>
              <w:t>0</w:t>
            </w:r>
            <w:r>
              <w:rPr>
                <w:rFonts w:hint="default" w:ascii="Times New Roman" w:hAnsi="Times New Roman" w:eastAsia="宋体" w:cs="Times New Roman"/>
                <w:u w:val="none" w:color="auto"/>
                <w:lang w:val="en-US" w:eastAsia="zh-CN"/>
              </w:rPr>
              <w:t>cm/s;</w:t>
            </w:r>
          </w:p>
          <w:p w14:paraId="61D3D15F">
            <w:pPr>
              <w:pStyle w:val="58"/>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c 必须做好危险废物情况的记录，记录上须注明危险废物的名称、来源、数量、特性和包装容器的类别、入库日期、存放库位、废物出库日期及接收单位名</w:t>
            </w:r>
          </w:p>
          <w:p w14:paraId="0CD28825">
            <w:pPr>
              <w:pStyle w:val="58"/>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称。</w:t>
            </w:r>
          </w:p>
          <w:p w14:paraId="7EC37E83">
            <w:pPr>
              <w:pStyle w:val="58"/>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d</w:t>
            </w:r>
            <w:r>
              <w:rPr>
                <w:rFonts w:hint="eastAsia" w:ascii="Times New Roman" w:hAnsi="Times New Roman" w:eastAsia="宋体" w:cs="Times New Roman"/>
                <w:u w:val="none" w:color="auto"/>
                <w:lang w:val="en-US" w:eastAsia="zh-CN"/>
              </w:rPr>
              <w:t xml:space="preserve"> </w:t>
            </w:r>
            <w:r>
              <w:rPr>
                <w:rFonts w:hint="default" w:ascii="Times New Roman" w:hAnsi="Times New Roman" w:eastAsia="宋体" w:cs="Times New Roman"/>
                <w:u w:val="none" w:color="auto"/>
                <w:lang w:val="en-US" w:eastAsia="zh-CN"/>
              </w:rPr>
              <w:t>危险废物的记录和货单在危险废物转运后应继续保留5年。</w:t>
            </w:r>
          </w:p>
          <w:p w14:paraId="2E2AE586">
            <w:pPr>
              <w:pStyle w:val="58"/>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e</w:t>
            </w:r>
            <w:r>
              <w:rPr>
                <w:rFonts w:hint="eastAsia" w:ascii="Times New Roman" w:hAnsi="Times New Roman" w:eastAsia="宋体" w:cs="Times New Roman"/>
                <w:u w:val="none" w:color="auto"/>
                <w:lang w:val="en-US" w:eastAsia="zh-CN"/>
              </w:rPr>
              <w:t xml:space="preserve"> </w:t>
            </w:r>
            <w:r>
              <w:rPr>
                <w:rFonts w:hint="default" w:ascii="Times New Roman" w:hAnsi="Times New Roman" w:eastAsia="宋体" w:cs="Times New Roman"/>
                <w:u w:val="none" w:color="auto"/>
                <w:lang w:val="en-US" w:eastAsia="zh-CN"/>
              </w:rPr>
              <w:t>必须定期对所贮存的危险废物包装容器及贮存设施进行检查，发现破损，应及时采取措施清理更换。</w:t>
            </w:r>
          </w:p>
          <w:p w14:paraId="100E9F11">
            <w:pPr>
              <w:pStyle w:val="58"/>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f</w:t>
            </w:r>
            <w:r>
              <w:rPr>
                <w:rFonts w:hint="eastAsia" w:ascii="Times New Roman" w:hAnsi="Times New Roman" w:eastAsia="宋体" w:cs="Times New Roman"/>
                <w:u w:val="none" w:color="auto"/>
                <w:lang w:val="en-US" w:eastAsia="zh-CN"/>
              </w:rPr>
              <w:t xml:space="preserve"> </w:t>
            </w:r>
            <w:r>
              <w:rPr>
                <w:rFonts w:hint="default" w:ascii="Times New Roman" w:hAnsi="Times New Roman" w:eastAsia="宋体" w:cs="Times New Roman"/>
                <w:u w:val="none" w:color="auto"/>
                <w:lang w:val="en-US" w:eastAsia="zh-CN"/>
              </w:rPr>
              <w:t>危险废物贮存设施内清理出来的泄漏物，一律按危险废物处理。</w:t>
            </w:r>
          </w:p>
          <w:p w14:paraId="261DF5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lang w:val="en-US" w:eastAsia="zh-CN"/>
              </w:rPr>
            </w:pPr>
            <w:r>
              <w:rPr>
                <w:rFonts w:hint="default" w:ascii="Times New Roman" w:hAnsi="Times New Roman" w:cs="Times New Roman"/>
                <w:color w:val="auto"/>
                <w:sz w:val="24"/>
                <w:szCs w:val="24"/>
                <w:u w:val="none" w:color="auto"/>
                <w:lang w:val="en-US" w:eastAsia="zh-CN"/>
              </w:rPr>
              <w:t>⑤项目产生的危废在厂区内临时贮存，贮存设施应满足如下要求:</w:t>
            </w:r>
          </w:p>
          <w:p w14:paraId="1A2F99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a应建有堵截泄漏的裙角，地面与裙角要用坚固防渗的材料建造。应有隔离设施、报警装置和防风、防晒、防雨设施;</w:t>
            </w:r>
          </w:p>
          <w:p w14:paraId="2D365E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b用于存放液体、半固体危险废物的地方，还须有耐腐蚀的硬化地面，地面无裂隙:</w:t>
            </w:r>
          </w:p>
          <w:p w14:paraId="0CB4A1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d不相容的危险废物堆放区必须有隔离间隔断:</w:t>
            </w:r>
          </w:p>
          <w:p w14:paraId="7351D7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e衬层上需建有渗滤液收集清除系统、径流疏导系统:</w:t>
            </w:r>
          </w:p>
          <w:p w14:paraId="038529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eastAsia" w:cs="Times New Roman"/>
                <w:color w:val="auto"/>
                <w:sz w:val="24"/>
                <w:szCs w:val="24"/>
                <w:u w:val="none" w:color="auto"/>
                <w:lang w:val="en-US" w:eastAsia="zh-CN"/>
              </w:rPr>
              <w:t>⑥</w:t>
            </w:r>
            <w:r>
              <w:rPr>
                <w:rFonts w:hint="default" w:ascii="Times New Roman" w:hAnsi="Times New Roman" w:cs="Times New Roman"/>
                <w:color w:val="auto"/>
                <w:sz w:val="24"/>
                <w:szCs w:val="24"/>
                <w:u w:val="none" w:color="auto"/>
              </w:rPr>
              <w:t>危险废物贮存容器应满足:</w:t>
            </w:r>
          </w:p>
          <w:p w14:paraId="07ADED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a使用符合标准的容器盛装危险废物:应定期对暂时贮存危险废物包装及设施进行检查，发现破损，及时采取措施清理更换;</w:t>
            </w:r>
          </w:p>
          <w:p w14:paraId="3A66B3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b装载危险废物的容器及材质要满足相应的强度要求:</w:t>
            </w:r>
          </w:p>
          <w:p w14:paraId="28F346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c装载危险废物的容器必须完好无损。</w:t>
            </w:r>
          </w:p>
          <w:p w14:paraId="1092A4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d盛装危险废物的容器材质和衬里要与危险废物相容，不相互反应。危险废物堆放场所选址、平面布置、设计原则及危险废物的堆放要求等，必须满足《危险废物</w:t>
            </w:r>
            <w:r>
              <w:rPr>
                <w:rFonts w:hint="eastAsia" w:cs="Times New Roman"/>
                <w:color w:val="auto"/>
                <w:sz w:val="24"/>
                <w:szCs w:val="24"/>
                <w:u w:val="none" w:color="auto"/>
                <w:lang w:val="en-US" w:eastAsia="zh-CN"/>
              </w:rPr>
              <w:t>贮存</w:t>
            </w:r>
            <w:r>
              <w:rPr>
                <w:rFonts w:hint="default" w:ascii="Times New Roman" w:hAnsi="Times New Roman" w:cs="Times New Roman"/>
                <w:color w:val="auto"/>
                <w:sz w:val="24"/>
                <w:szCs w:val="24"/>
                <w:u w:val="none" w:color="auto"/>
              </w:rPr>
              <w:t>污染控制标准》(GB18597-2023)相关要求。危险废物贮存间必须按(GB15562.2)的规定设置警示标志，周围应设置围墙或其它防护栅栏，配备通讯设齐照明设施、安全防护服装及工具，并设有应急防护设施。</w:t>
            </w:r>
          </w:p>
          <w:p w14:paraId="11A5C9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eastAsia" w:cs="Times New Roman"/>
                <w:color w:val="auto"/>
                <w:sz w:val="24"/>
                <w:szCs w:val="24"/>
                <w:u w:val="none" w:color="auto"/>
                <w:lang w:val="en-US" w:eastAsia="zh-CN"/>
              </w:rPr>
              <w:t>⑦</w:t>
            </w:r>
            <w:r>
              <w:rPr>
                <w:rFonts w:hint="default" w:ascii="Times New Roman" w:hAnsi="Times New Roman" w:cs="Times New Roman"/>
                <w:color w:val="auto"/>
                <w:sz w:val="24"/>
                <w:szCs w:val="24"/>
                <w:u w:val="none" w:color="auto"/>
              </w:rPr>
              <w:t>危险废物的标识</w:t>
            </w:r>
          </w:p>
          <w:p w14:paraId="49DE46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危险废物的容器和包装物以及收集、贮存、运输、处置危险废物的设施、场所，必须设置危险废物识别标识。</w:t>
            </w:r>
          </w:p>
          <w:p w14:paraId="149AC0F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lang w:val="en-US" w:eastAsia="zh-CN"/>
              </w:rPr>
            </w:pPr>
            <w:r>
              <w:rPr>
                <w:rFonts w:hint="eastAsia" w:eastAsia="宋体"/>
                <w:sz w:val="24"/>
                <w:szCs w:val="24"/>
                <w:u w:val="none" w:color="auto"/>
                <w:lang w:eastAsia="zh-CN"/>
              </w:rPr>
              <w:t>在落实好以上</w:t>
            </w:r>
            <w:r>
              <w:rPr>
                <w:rFonts w:hint="eastAsia"/>
                <w:sz w:val="24"/>
                <w:szCs w:val="24"/>
                <w:u w:val="none" w:color="auto"/>
                <w:lang w:eastAsia="zh-CN"/>
              </w:rPr>
              <w:t>各项</w:t>
            </w:r>
            <w:r>
              <w:rPr>
                <w:rFonts w:hint="eastAsia" w:eastAsia="宋体"/>
                <w:sz w:val="24"/>
                <w:szCs w:val="24"/>
                <w:u w:val="none" w:color="auto"/>
                <w:lang w:eastAsia="zh-CN"/>
              </w:rPr>
              <w:t>污染防治措施后，本</w:t>
            </w:r>
            <w:r>
              <w:rPr>
                <w:rFonts w:hint="eastAsia"/>
                <w:sz w:val="24"/>
                <w:szCs w:val="24"/>
                <w:u w:val="none" w:color="auto"/>
                <w:lang w:eastAsia="zh-CN"/>
              </w:rPr>
              <w:t>项目</w:t>
            </w:r>
            <w:r>
              <w:rPr>
                <w:rFonts w:hint="eastAsia" w:eastAsia="宋体"/>
                <w:sz w:val="24"/>
                <w:szCs w:val="24"/>
                <w:u w:val="none" w:color="auto"/>
                <w:lang w:eastAsia="zh-CN"/>
              </w:rPr>
              <w:t>生产过程中产生的</w:t>
            </w:r>
            <w:r>
              <w:rPr>
                <w:rFonts w:hint="eastAsia"/>
                <w:sz w:val="24"/>
                <w:szCs w:val="24"/>
                <w:u w:val="none" w:color="auto"/>
                <w:lang w:eastAsia="zh-CN"/>
              </w:rPr>
              <w:t>各类</w:t>
            </w:r>
            <w:r>
              <w:rPr>
                <w:rFonts w:hint="eastAsia" w:eastAsia="宋体"/>
                <w:sz w:val="24"/>
                <w:szCs w:val="24"/>
                <w:u w:val="none" w:color="auto"/>
                <w:lang w:eastAsia="zh-CN"/>
              </w:rPr>
              <w:t>固体废物均可得到妥善处置，不会造成二次污染。</w:t>
            </w:r>
          </w:p>
          <w:p w14:paraId="582269AB">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Autospacing="0" w:afterAutospacing="0" w:line="360" w:lineRule="auto"/>
              <w:ind w:leftChars="0" w:firstLine="480" w:firstLineChars="200"/>
              <w:textAlignment w:val="auto"/>
              <w:rPr>
                <w:rFonts w:hint="default"/>
                <w:b/>
                <w:bCs/>
                <w:color w:val="000000" w:themeColor="text1"/>
                <w:u w:val="none" w:color="auto"/>
                <w:lang w:val="en-US" w:eastAsia="zh-CN"/>
                <w14:textFill>
                  <w14:solidFill>
                    <w14:schemeClr w14:val="tx1"/>
                  </w14:solidFill>
                </w14:textFill>
              </w:rPr>
            </w:pPr>
            <w:r>
              <w:rPr>
                <w:rFonts w:hint="eastAsia" w:eastAsia="宋体"/>
                <w:sz w:val="24"/>
                <w:szCs w:val="24"/>
                <w:u w:val="none" w:color="auto"/>
                <w:lang w:eastAsia="zh-CN"/>
              </w:rPr>
              <w:t>在落实好以上</w:t>
            </w:r>
            <w:r>
              <w:rPr>
                <w:rFonts w:hint="eastAsia"/>
                <w:sz w:val="24"/>
                <w:szCs w:val="24"/>
                <w:u w:val="none" w:color="auto"/>
                <w:lang w:eastAsia="zh-CN"/>
              </w:rPr>
              <w:t>各项</w:t>
            </w:r>
            <w:r>
              <w:rPr>
                <w:rFonts w:hint="eastAsia" w:eastAsia="宋体"/>
                <w:sz w:val="24"/>
                <w:szCs w:val="24"/>
                <w:u w:val="none" w:color="auto"/>
                <w:lang w:eastAsia="zh-CN"/>
              </w:rPr>
              <w:t>污染防治措施后，本</w:t>
            </w:r>
            <w:r>
              <w:rPr>
                <w:rFonts w:hint="eastAsia"/>
                <w:sz w:val="24"/>
                <w:szCs w:val="24"/>
                <w:u w:val="none" w:color="auto"/>
                <w:lang w:eastAsia="zh-CN"/>
              </w:rPr>
              <w:t>项目</w:t>
            </w:r>
            <w:r>
              <w:rPr>
                <w:rFonts w:hint="eastAsia" w:eastAsia="宋体"/>
                <w:sz w:val="24"/>
                <w:szCs w:val="24"/>
                <w:u w:val="none" w:color="auto"/>
                <w:lang w:eastAsia="zh-CN"/>
              </w:rPr>
              <w:t>生产过程中产生的</w:t>
            </w:r>
            <w:r>
              <w:rPr>
                <w:rFonts w:hint="eastAsia"/>
                <w:sz w:val="24"/>
                <w:szCs w:val="24"/>
                <w:u w:val="none" w:color="auto"/>
                <w:lang w:eastAsia="zh-CN"/>
              </w:rPr>
              <w:t>各类</w:t>
            </w:r>
            <w:r>
              <w:rPr>
                <w:rFonts w:hint="eastAsia" w:eastAsia="宋体"/>
                <w:sz w:val="24"/>
                <w:szCs w:val="24"/>
                <w:u w:val="none" w:color="auto"/>
                <w:lang w:eastAsia="zh-CN"/>
              </w:rPr>
              <w:t>固体废物均可得到妥善处置，不会造成二次污染。</w:t>
            </w:r>
          </w:p>
          <w:p w14:paraId="31AD52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00" w:themeColor="text1"/>
                <w:szCs w:val="24"/>
                <w:u w:val="none" w:color="auto"/>
                <w14:textFill>
                  <w14:solidFill>
                    <w14:schemeClr w14:val="tx1"/>
                  </w14:solidFill>
                </w14:textFill>
              </w:rPr>
            </w:pPr>
            <w:r>
              <w:rPr>
                <w:rFonts w:hint="eastAsia"/>
                <w:color w:val="000000" w:themeColor="text1"/>
                <w:szCs w:val="24"/>
                <w:u w:val="none" w:color="auto"/>
                <w14:textFill>
                  <w14:solidFill>
                    <w14:schemeClr w14:val="tx1"/>
                  </w14:solidFill>
                </w14:textFill>
              </w:rPr>
              <w:t>本项目</w:t>
            </w:r>
            <w:r>
              <w:rPr>
                <w:color w:val="000000" w:themeColor="text1"/>
                <w:szCs w:val="24"/>
                <w:u w:val="none" w:color="auto"/>
                <w14:textFill>
                  <w14:solidFill>
                    <w14:schemeClr w14:val="tx1"/>
                  </w14:solidFill>
                </w14:textFill>
              </w:rPr>
              <w:t>一般固废暂存间按《一般工业固体废物贮存和填埋污染控制标准》（GB18599-2020）的规定设置环保图形标志，并严禁危险废物和生活垃圾混入。一般固废暂存间应做好“四防”（防风、防雨、防晒、防渗漏）措施。不同种类一般固废分类堆放，定期外运资源回收单位综合利用，不得随意堆放、丢弃、遗撒、擅自倾倒。</w:t>
            </w:r>
          </w:p>
          <w:p w14:paraId="505BE8B7">
            <w:pPr>
              <w:pStyle w:val="40"/>
              <w:bidi w:val="0"/>
              <w:rPr>
                <w:rFonts w:hint="default"/>
                <w:b/>
                <w:bCs/>
                <w:u w:val="none" w:color="auto"/>
                <w:lang w:val="en-US" w:eastAsia="zh-CN"/>
              </w:rPr>
            </w:pPr>
            <w:r>
              <w:rPr>
                <w:b/>
                <w:bCs/>
                <w:u w:val="none" w:color="auto"/>
              </w:rPr>
              <w:t>五、</w:t>
            </w:r>
            <w:r>
              <w:rPr>
                <w:rFonts w:hint="eastAsia"/>
                <w:b/>
                <w:bCs/>
                <w:u w:val="none" w:color="auto"/>
              </w:rPr>
              <w:t>项目</w:t>
            </w:r>
            <w:r>
              <w:rPr>
                <w:b/>
                <w:bCs/>
                <w:u w:val="none" w:color="auto"/>
              </w:rPr>
              <w:t>地下水、土壤</w:t>
            </w:r>
            <w:r>
              <w:rPr>
                <w:rFonts w:hint="eastAsia"/>
                <w:b/>
                <w:bCs/>
                <w:u w:val="none" w:color="auto"/>
                <w:lang w:val="en-US" w:eastAsia="zh-CN"/>
              </w:rPr>
              <w:t>环境影响分析</w:t>
            </w:r>
          </w:p>
          <w:p w14:paraId="5C9A1934">
            <w:pPr>
              <w:pStyle w:val="40"/>
              <w:bidi w:val="0"/>
              <w:rPr>
                <w:u w:val="none" w:color="auto"/>
              </w:rPr>
            </w:pPr>
            <w:r>
              <w:rPr>
                <w:rFonts w:hint="eastAsia"/>
                <w:u w:val="none" w:color="auto"/>
                <w:lang w:val="en-US" w:eastAsia="zh-CN"/>
              </w:rPr>
              <w:t>项目所在区供水均由市政管网供给，目前，该区域生产、生活均无采用地下水，因此，不会改变地下水系统原有的水动力平衡条件，也不会造成局部地下水水位下降等不利影响。本项目对土壤、地下环境产生影响的环节是污水处理区域等，本项目采取分区防渗的措施防止渗漏污染。</w:t>
            </w:r>
          </w:p>
          <w:p w14:paraId="1BE21B12">
            <w:pPr>
              <w:pStyle w:val="40"/>
              <w:bidi w:val="0"/>
              <w:rPr>
                <w:u w:val="none" w:color="auto"/>
              </w:rPr>
            </w:pPr>
            <w:r>
              <w:rPr>
                <w:rFonts w:hint="eastAsia"/>
                <w:u w:val="none" w:color="auto"/>
                <w:lang w:val="en-US" w:eastAsia="zh-CN"/>
              </w:rPr>
              <w:t>根据本项目可能泄漏至地面区域污染物的性质和生产单元的构筑方式，划分为重点污染防治区、一般污染防治区和非污染防治区。具体防渗情况见下表。</w:t>
            </w:r>
          </w:p>
          <w:p w14:paraId="371ADE10">
            <w:pPr>
              <w:pStyle w:val="42"/>
              <w:bidi w:val="0"/>
              <w:rPr>
                <w:rFonts w:hint="default"/>
                <w:u w:val="none" w:color="auto"/>
                <w:lang w:val="en-US" w:eastAsia="zh-CN"/>
              </w:rPr>
            </w:pPr>
            <w:r>
              <w:rPr>
                <w:u w:val="none" w:color="auto"/>
              </w:rPr>
              <w:t>表4-</w:t>
            </w:r>
            <w:r>
              <w:rPr>
                <w:rFonts w:hint="eastAsia"/>
                <w:u w:val="none" w:color="auto"/>
                <w:lang w:val="en-US" w:eastAsia="zh-CN"/>
              </w:rPr>
              <w:t>22</w:t>
            </w:r>
            <w:r>
              <w:rPr>
                <w:rFonts w:hint="eastAsia"/>
                <w:u w:val="none" w:color="auto"/>
              </w:rPr>
              <w:t xml:space="preserve"> </w:t>
            </w:r>
            <w:r>
              <w:rPr>
                <w:rFonts w:hint="eastAsia"/>
                <w:u w:val="none" w:color="auto"/>
                <w:lang w:val="en-US" w:eastAsia="zh-CN"/>
              </w:rPr>
              <w:t xml:space="preserve"> 本项目防渗分区情况</w:t>
            </w:r>
          </w:p>
          <w:tbl>
            <w:tblPr>
              <w:tblStyle w:val="33"/>
              <w:tblW w:w="4998"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625"/>
              <w:gridCol w:w="2501"/>
              <w:gridCol w:w="4147"/>
            </w:tblGrid>
            <w:tr w14:paraId="7BD9DF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82" w:type="pct"/>
                  <w:noWrap w:val="0"/>
                  <w:vAlign w:val="center"/>
                </w:tcPr>
                <w:p w14:paraId="741A9895">
                  <w:pPr>
                    <w:pStyle w:val="41"/>
                    <w:bidi w:val="0"/>
                    <w:rPr>
                      <w:rFonts w:hint="default"/>
                      <w:sz w:val="21"/>
                      <w:szCs w:val="21"/>
                      <w:u w:val="none" w:color="auto"/>
                      <w:lang w:val="en-US" w:eastAsia="zh-CN"/>
                    </w:rPr>
                  </w:pPr>
                  <w:r>
                    <w:rPr>
                      <w:rFonts w:hint="eastAsia"/>
                      <w:sz w:val="21"/>
                      <w:szCs w:val="21"/>
                      <w:u w:val="none" w:color="auto"/>
                      <w:lang w:val="en-US" w:eastAsia="zh-CN"/>
                    </w:rPr>
                    <w:t>分区类别</w:t>
                  </w:r>
                </w:p>
              </w:tc>
              <w:tc>
                <w:tcPr>
                  <w:tcW w:w="1511" w:type="pct"/>
                  <w:noWrap w:val="0"/>
                  <w:vAlign w:val="center"/>
                </w:tcPr>
                <w:p w14:paraId="5BAC2EDD">
                  <w:pPr>
                    <w:pStyle w:val="41"/>
                    <w:bidi w:val="0"/>
                    <w:rPr>
                      <w:rFonts w:hint="eastAsia"/>
                      <w:sz w:val="21"/>
                      <w:szCs w:val="21"/>
                      <w:u w:val="none" w:color="auto"/>
                      <w:lang w:val="en-US" w:eastAsia="zh-CN"/>
                    </w:rPr>
                  </w:pPr>
                  <w:r>
                    <w:rPr>
                      <w:rFonts w:hint="eastAsia"/>
                      <w:sz w:val="21"/>
                      <w:szCs w:val="21"/>
                      <w:u w:val="none" w:color="auto"/>
                      <w:lang w:val="en-US" w:eastAsia="zh-CN"/>
                    </w:rPr>
                    <w:t>范围</w:t>
                  </w:r>
                </w:p>
              </w:tc>
              <w:tc>
                <w:tcPr>
                  <w:tcW w:w="2505" w:type="pct"/>
                  <w:noWrap w:val="0"/>
                  <w:vAlign w:val="center"/>
                </w:tcPr>
                <w:p w14:paraId="2DFB40A7">
                  <w:pPr>
                    <w:pStyle w:val="41"/>
                    <w:bidi w:val="0"/>
                    <w:rPr>
                      <w:rFonts w:hint="default"/>
                      <w:sz w:val="21"/>
                      <w:szCs w:val="21"/>
                      <w:u w:val="none" w:color="auto"/>
                      <w:lang w:val="en-US" w:eastAsia="zh-CN"/>
                    </w:rPr>
                  </w:pPr>
                  <w:r>
                    <w:rPr>
                      <w:rFonts w:hint="eastAsia"/>
                      <w:sz w:val="21"/>
                      <w:szCs w:val="21"/>
                      <w:u w:val="none" w:color="auto"/>
                      <w:lang w:val="en-US" w:eastAsia="zh-CN"/>
                    </w:rPr>
                    <w:t>防渗标准</w:t>
                  </w:r>
                </w:p>
              </w:tc>
            </w:tr>
            <w:tr w14:paraId="49592F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82" w:type="pct"/>
                  <w:vMerge w:val="restart"/>
                  <w:noWrap w:val="0"/>
                  <w:vAlign w:val="center"/>
                </w:tcPr>
                <w:p w14:paraId="1157895B">
                  <w:pPr>
                    <w:pStyle w:val="41"/>
                    <w:bidi w:val="0"/>
                    <w:rPr>
                      <w:rFonts w:hint="default"/>
                      <w:sz w:val="21"/>
                      <w:szCs w:val="21"/>
                      <w:u w:val="none" w:color="auto"/>
                      <w:lang w:val="en-US" w:eastAsia="zh-CN"/>
                    </w:rPr>
                  </w:pPr>
                  <w:r>
                    <w:rPr>
                      <w:rFonts w:hint="eastAsia"/>
                      <w:sz w:val="21"/>
                      <w:szCs w:val="21"/>
                      <w:u w:val="none" w:color="auto"/>
                      <w:lang w:val="en-US" w:eastAsia="zh-CN"/>
                    </w:rPr>
                    <w:t>重点防渗区</w:t>
                  </w:r>
                </w:p>
              </w:tc>
              <w:tc>
                <w:tcPr>
                  <w:tcW w:w="1511" w:type="pct"/>
                  <w:noWrap w:val="0"/>
                  <w:vAlign w:val="center"/>
                </w:tcPr>
                <w:p w14:paraId="79125E06">
                  <w:pPr>
                    <w:pStyle w:val="41"/>
                    <w:bidi w:val="0"/>
                    <w:rPr>
                      <w:rFonts w:hint="default"/>
                      <w:sz w:val="21"/>
                      <w:szCs w:val="21"/>
                      <w:u w:val="none" w:color="auto"/>
                      <w:lang w:val="en-US" w:eastAsia="zh-CN"/>
                    </w:rPr>
                  </w:pPr>
                  <w:r>
                    <w:rPr>
                      <w:rFonts w:hint="eastAsia"/>
                      <w:sz w:val="21"/>
                      <w:szCs w:val="21"/>
                      <w:u w:val="none" w:color="auto"/>
                      <w:lang w:val="en-US" w:eastAsia="zh-CN"/>
                    </w:rPr>
                    <w:t>危废暂存间</w:t>
                  </w:r>
                </w:p>
              </w:tc>
              <w:tc>
                <w:tcPr>
                  <w:tcW w:w="2505" w:type="pct"/>
                  <w:noWrap w:val="0"/>
                  <w:vAlign w:val="center"/>
                </w:tcPr>
                <w:p w14:paraId="4FBD6749">
                  <w:pPr>
                    <w:ind w:firstLine="0" w:firstLineChars="0"/>
                    <w:jc w:val="center"/>
                    <w:rPr>
                      <w:rFonts w:hint="eastAsia"/>
                      <w:sz w:val="21"/>
                      <w:szCs w:val="21"/>
                      <w:u w:val="none" w:color="auto"/>
                      <w:lang w:val="en-US" w:eastAsia="zh-CN"/>
                    </w:rPr>
                  </w:pPr>
                  <w:r>
                    <w:rPr>
                      <w:rFonts w:hint="eastAsia"/>
                      <w:color w:val="auto"/>
                      <w:sz w:val="21"/>
                      <w:szCs w:val="21"/>
                      <w:u w:val="none" w:color="auto"/>
                    </w:rPr>
                    <w:t>防渗层至少1m厚粘土层（渗透系数≤1×10</w:t>
                  </w:r>
                  <w:r>
                    <w:rPr>
                      <w:rFonts w:hint="eastAsia"/>
                      <w:color w:val="auto"/>
                      <w:sz w:val="21"/>
                      <w:szCs w:val="21"/>
                      <w:u w:val="none" w:color="auto"/>
                      <w:vertAlign w:val="superscript"/>
                    </w:rPr>
                    <w:t>-10</w:t>
                  </w:r>
                  <w:r>
                    <w:rPr>
                      <w:rFonts w:hint="eastAsia"/>
                      <w:color w:val="auto"/>
                      <w:sz w:val="21"/>
                      <w:szCs w:val="21"/>
                      <w:u w:val="none" w:color="auto"/>
                    </w:rPr>
                    <w:t>cm/s），或2mm厚高密度聚乙烯，或至少2mm厚的其它人工材料，渗透系数≤1×10</w:t>
                  </w:r>
                  <w:r>
                    <w:rPr>
                      <w:rFonts w:hint="eastAsia"/>
                      <w:color w:val="auto"/>
                      <w:sz w:val="21"/>
                      <w:szCs w:val="21"/>
                      <w:u w:val="none" w:color="auto"/>
                      <w:vertAlign w:val="superscript"/>
                    </w:rPr>
                    <w:t>-10</w:t>
                  </w:r>
                  <w:r>
                    <w:rPr>
                      <w:rFonts w:hint="eastAsia"/>
                      <w:color w:val="auto"/>
                      <w:sz w:val="21"/>
                      <w:szCs w:val="21"/>
                      <w:u w:val="none" w:color="auto"/>
                    </w:rPr>
                    <w:t>cm/s”</w:t>
                  </w:r>
                  <w:r>
                    <w:rPr>
                      <w:rFonts w:hint="eastAsia"/>
                      <w:color w:val="auto"/>
                      <w:sz w:val="21"/>
                      <w:szCs w:val="21"/>
                      <w:u w:val="none" w:color="auto"/>
                      <w:lang w:eastAsia="zh-CN"/>
                    </w:rPr>
                    <w:t>，或</w:t>
                  </w:r>
                  <w:r>
                    <w:rPr>
                      <w:color w:val="auto"/>
                      <w:sz w:val="21"/>
                      <w:szCs w:val="21"/>
                      <w:u w:val="none" w:color="auto"/>
                    </w:rPr>
                    <w:t>参照GB18598执行</w:t>
                  </w:r>
                </w:p>
              </w:tc>
            </w:tr>
            <w:tr w14:paraId="08A2FD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82" w:type="pct"/>
                  <w:vMerge w:val="continue"/>
                  <w:noWrap w:val="0"/>
                  <w:vAlign w:val="center"/>
                </w:tcPr>
                <w:p w14:paraId="6A62244D">
                  <w:pPr>
                    <w:pStyle w:val="41"/>
                    <w:bidi w:val="0"/>
                    <w:rPr>
                      <w:rFonts w:hint="eastAsia"/>
                      <w:sz w:val="21"/>
                      <w:szCs w:val="21"/>
                      <w:u w:val="none" w:color="auto"/>
                      <w:lang w:val="en-US" w:eastAsia="zh-CN"/>
                    </w:rPr>
                  </w:pPr>
                </w:p>
              </w:tc>
              <w:tc>
                <w:tcPr>
                  <w:tcW w:w="1511" w:type="pct"/>
                  <w:noWrap w:val="0"/>
                  <w:vAlign w:val="center"/>
                </w:tcPr>
                <w:p w14:paraId="7D9D02E1">
                  <w:pPr>
                    <w:pStyle w:val="41"/>
                    <w:bidi w:val="0"/>
                    <w:rPr>
                      <w:rFonts w:hint="eastAsia"/>
                      <w:sz w:val="21"/>
                      <w:szCs w:val="21"/>
                      <w:u w:val="none" w:color="auto"/>
                      <w:lang w:val="en-US" w:eastAsia="zh-CN"/>
                    </w:rPr>
                  </w:pPr>
                  <w:r>
                    <w:rPr>
                      <w:rFonts w:hint="eastAsia"/>
                      <w:sz w:val="21"/>
                      <w:szCs w:val="21"/>
                      <w:u w:val="none" w:color="auto"/>
                      <w:lang w:val="en-US" w:eastAsia="zh-CN"/>
                    </w:rPr>
                    <w:t>危化品库、含浸房</w:t>
                  </w:r>
                </w:p>
              </w:tc>
              <w:tc>
                <w:tcPr>
                  <w:tcW w:w="2505" w:type="pct"/>
                  <w:noWrap w:val="0"/>
                  <w:vAlign w:val="center"/>
                </w:tcPr>
                <w:p w14:paraId="5A763962">
                  <w:pPr>
                    <w:ind w:firstLine="0" w:firstLineChars="0"/>
                    <w:jc w:val="center"/>
                    <w:rPr>
                      <w:rFonts w:hint="eastAsia"/>
                      <w:color w:val="auto"/>
                      <w:sz w:val="21"/>
                      <w:szCs w:val="21"/>
                      <w:u w:val="none" w:color="auto"/>
                    </w:rPr>
                  </w:pPr>
                  <w:r>
                    <w:rPr>
                      <w:color w:val="auto"/>
                      <w:sz w:val="21"/>
                      <w:szCs w:val="21"/>
                      <w:u w:val="none" w:color="auto"/>
                    </w:rPr>
                    <w:t>等效黏土防渗层Mb≥</w:t>
                  </w:r>
                  <w:r>
                    <w:rPr>
                      <w:rFonts w:hint="eastAsia"/>
                      <w:color w:val="auto"/>
                      <w:sz w:val="21"/>
                      <w:szCs w:val="21"/>
                      <w:u w:val="none" w:color="auto"/>
                      <w:lang w:val="en-US" w:eastAsia="zh-CN"/>
                    </w:rPr>
                    <w:t>6</w:t>
                  </w:r>
                  <w:r>
                    <w:rPr>
                      <w:color w:val="auto"/>
                      <w:sz w:val="21"/>
                      <w:szCs w:val="21"/>
                      <w:u w:val="none" w:color="auto"/>
                    </w:rPr>
                    <w:t>m，K≤1×10</w:t>
                  </w:r>
                  <w:r>
                    <w:rPr>
                      <w:color w:val="auto"/>
                      <w:sz w:val="21"/>
                      <w:szCs w:val="21"/>
                      <w:u w:val="none" w:color="auto"/>
                      <w:vertAlign w:val="superscript"/>
                    </w:rPr>
                    <w:t>-7</w:t>
                  </w:r>
                  <w:r>
                    <w:rPr>
                      <w:color w:val="auto"/>
                      <w:sz w:val="21"/>
                      <w:szCs w:val="21"/>
                      <w:u w:val="none" w:color="auto"/>
                    </w:rPr>
                    <w:t>cm/s；</w:t>
                  </w:r>
                </w:p>
              </w:tc>
            </w:tr>
            <w:tr w14:paraId="559E55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57" w:hRule="atLeast"/>
              </w:trPr>
              <w:tc>
                <w:tcPr>
                  <w:tcW w:w="982" w:type="pct"/>
                  <w:noWrap w:val="0"/>
                  <w:vAlign w:val="center"/>
                </w:tcPr>
                <w:p w14:paraId="43C4970D">
                  <w:pPr>
                    <w:pStyle w:val="41"/>
                    <w:bidi w:val="0"/>
                    <w:rPr>
                      <w:rFonts w:hint="default"/>
                      <w:sz w:val="21"/>
                      <w:szCs w:val="21"/>
                      <w:u w:val="none" w:color="auto"/>
                      <w:lang w:val="en-US" w:eastAsia="zh-CN"/>
                    </w:rPr>
                  </w:pPr>
                  <w:r>
                    <w:rPr>
                      <w:rFonts w:hint="eastAsia"/>
                      <w:sz w:val="21"/>
                      <w:szCs w:val="21"/>
                      <w:u w:val="none" w:color="auto"/>
                      <w:lang w:val="en-US" w:eastAsia="zh-CN"/>
                    </w:rPr>
                    <w:t>一般防渗区</w:t>
                  </w:r>
                </w:p>
              </w:tc>
              <w:tc>
                <w:tcPr>
                  <w:tcW w:w="1511" w:type="pct"/>
                  <w:noWrap w:val="0"/>
                  <w:vAlign w:val="center"/>
                </w:tcPr>
                <w:p w14:paraId="6C04298D">
                  <w:pPr>
                    <w:pStyle w:val="41"/>
                    <w:bidi w:val="0"/>
                    <w:rPr>
                      <w:rFonts w:hint="default"/>
                      <w:sz w:val="21"/>
                      <w:szCs w:val="21"/>
                      <w:u w:val="none" w:color="auto"/>
                      <w:lang w:val="en-US" w:eastAsia="zh-CN"/>
                    </w:rPr>
                  </w:pPr>
                  <w:r>
                    <w:rPr>
                      <w:rFonts w:hint="eastAsia"/>
                      <w:sz w:val="21"/>
                      <w:szCs w:val="21"/>
                      <w:u w:val="none" w:color="auto"/>
                      <w:lang w:val="en-US" w:eastAsia="zh-CN"/>
                    </w:rPr>
                    <w:t>生产车间</w:t>
                  </w:r>
                </w:p>
              </w:tc>
              <w:tc>
                <w:tcPr>
                  <w:tcW w:w="2505" w:type="pct"/>
                  <w:noWrap w:val="0"/>
                  <w:vAlign w:val="center"/>
                </w:tcPr>
                <w:p w14:paraId="16FCE9CF">
                  <w:pPr>
                    <w:ind w:firstLine="0" w:firstLineChars="0"/>
                    <w:jc w:val="center"/>
                    <w:rPr>
                      <w:rFonts w:hint="eastAsia"/>
                      <w:sz w:val="21"/>
                      <w:szCs w:val="21"/>
                      <w:u w:val="none" w:color="auto"/>
                      <w:lang w:val="en-US" w:eastAsia="zh-CN"/>
                    </w:rPr>
                  </w:pPr>
                  <w:r>
                    <w:rPr>
                      <w:color w:val="auto"/>
                      <w:sz w:val="21"/>
                      <w:szCs w:val="21"/>
                      <w:u w:val="none" w:color="auto"/>
                    </w:rPr>
                    <w:t>等效黏土防渗层Mb≥1.5m，K≤1×10</w:t>
                  </w:r>
                  <w:r>
                    <w:rPr>
                      <w:color w:val="auto"/>
                      <w:sz w:val="21"/>
                      <w:szCs w:val="21"/>
                      <w:u w:val="none" w:color="auto"/>
                      <w:vertAlign w:val="superscript"/>
                    </w:rPr>
                    <w:t>-7</w:t>
                  </w:r>
                  <w:r>
                    <w:rPr>
                      <w:color w:val="auto"/>
                      <w:sz w:val="21"/>
                      <w:szCs w:val="21"/>
                      <w:u w:val="none" w:color="auto"/>
                    </w:rPr>
                    <w:t>cm/s；</w:t>
                  </w:r>
                </w:p>
              </w:tc>
            </w:tr>
            <w:tr w14:paraId="0F39B7C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82" w:type="pct"/>
                  <w:noWrap w:val="0"/>
                  <w:vAlign w:val="center"/>
                </w:tcPr>
                <w:p w14:paraId="55940C51">
                  <w:pPr>
                    <w:pStyle w:val="41"/>
                    <w:bidi w:val="0"/>
                    <w:rPr>
                      <w:rFonts w:hint="default"/>
                      <w:sz w:val="21"/>
                      <w:szCs w:val="21"/>
                      <w:u w:val="none" w:color="auto"/>
                      <w:lang w:val="en-US" w:eastAsia="zh-CN"/>
                    </w:rPr>
                  </w:pPr>
                  <w:r>
                    <w:rPr>
                      <w:rFonts w:hint="eastAsia"/>
                      <w:sz w:val="21"/>
                      <w:szCs w:val="21"/>
                      <w:u w:val="none" w:color="auto"/>
                      <w:lang w:val="en-US" w:eastAsia="zh-CN"/>
                    </w:rPr>
                    <w:t>非污染防渗区</w:t>
                  </w:r>
                </w:p>
              </w:tc>
              <w:tc>
                <w:tcPr>
                  <w:tcW w:w="1511" w:type="pct"/>
                  <w:noWrap w:val="0"/>
                  <w:vAlign w:val="center"/>
                </w:tcPr>
                <w:p w14:paraId="4E21181E">
                  <w:pPr>
                    <w:pStyle w:val="41"/>
                    <w:bidi w:val="0"/>
                    <w:rPr>
                      <w:rFonts w:hint="default"/>
                      <w:sz w:val="21"/>
                      <w:szCs w:val="21"/>
                      <w:u w:val="none" w:color="auto"/>
                      <w:lang w:val="en-US" w:eastAsia="zh-CN"/>
                    </w:rPr>
                  </w:pPr>
                  <w:r>
                    <w:rPr>
                      <w:rFonts w:hint="eastAsia"/>
                      <w:sz w:val="21"/>
                      <w:szCs w:val="21"/>
                      <w:u w:val="none" w:color="auto"/>
                      <w:lang w:val="en-US" w:eastAsia="zh-CN"/>
                    </w:rPr>
                    <w:t>办公生活区、道路等区域</w:t>
                  </w:r>
                </w:p>
              </w:tc>
              <w:tc>
                <w:tcPr>
                  <w:tcW w:w="2505" w:type="pct"/>
                  <w:noWrap w:val="0"/>
                  <w:vAlign w:val="center"/>
                </w:tcPr>
                <w:p w14:paraId="10C75329">
                  <w:pPr>
                    <w:pStyle w:val="41"/>
                    <w:bidi w:val="0"/>
                    <w:rPr>
                      <w:rFonts w:hint="default"/>
                      <w:sz w:val="21"/>
                      <w:szCs w:val="21"/>
                      <w:u w:val="none" w:color="auto"/>
                      <w:lang w:val="en-US" w:eastAsia="zh-CN"/>
                    </w:rPr>
                  </w:pPr>
                  <w:r>
                    <w:rPr>
                      <w:rFonts w:hint="eastAsia"/>
                      <w:sz w:val="21"/>
                      <w:szCs w:val="21"/>
                      <w:u w:val="none" w:color="auto"/>
                      <w:lang w:val="en-US" w:eastAsia="zh-CN"/>
                    </w:rPr>
                    <w:t>地面硬化</w:t>
                  </w:r>
                </w:p>
              </w:tc>
            </w:tr>
          </w:tbl>
          <w:p w14:paraId="366AF104">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val="0"/>
                <w:color w:val="auto"/>
                <w:sz w:val="24"/>
                <w:szCs w:val="24"/>
                <w:u w:val="none" w:color="auto"/>
                <w:lang w:val="en-US" w:eastAsia="zh-CN"/>
              </w:rPr>
            </w:pPr>
            <w:r>
              <w:rPr>
                <w:rFonts w:hint="eastAsia" w:cs="Times New Roman"/>
                <w:b/>
                <w:bCs w:val="0"/>
                <w:color w:val="auto"/>
                <w:sz w:val="24"/>
                <w:szCs w:val="24"/>
                <w:u w:val="none" w:color="auto"/>
                <w:lang w:val="en-US" w:eastAsia="zh-CN"/>
              </w:rPr>
              <w:t>六</w:t>
            </w:r>
            <w:r>
              <w:rPr>
                <w:rFonts w:hint="default" w:ascii="Times New Roman" w:hAnsi="Times New Roman" w:cs="Times New Roman"/>
                <w:b/>
                <w:bCs w:val="0"/>
                <w:color w:val="auto"/>
                <w:sz w:val="24"/>
                <w:szCs w:val="24"/>
                <w:u w:val="none" w:color="auto"/>
                <w:lang w:val="en-US" w:eastAsia="zh-CN"/>
              </w:rPr>
              <w:t>、生态环境</w:t>
            </w:r>
          </w:p>
          <w:p w14:paraId="3C009E3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b/>
                <w:bCs/>
                <w:u w:val="none" w:color="auto"/>
              </w:rPr>
            </w:pPr>
            <w:r>
              <w:rPr>
                <w:rFonts w:hint="default" w:ascii="Times New Roman" w:hAnsi="Times New Roman" w:cs="Times New Roman"/>
                <w:color w:val="auto"/>
                <w:sz w:val="24"/>
                <w:szCs w:val="24"/>
                <w:u w:val="none" w:color="auto"/>
                <w:lang w:val="en-US" w:eastAsia="zh-CN"/>
              </w:rPr>
              <w:t>本项目位于</w:t>
            </w:r>
            <w:r>
              <w:rPr>
                <w:rFonts w:hint="eastAsia" w:cs="Times New Roman"/>
                <w:color w:val="auto"/>
                <w:sz w:val="24"/>
                <w:szCs w:val="24"/>
                <w:u w:val="none" w:color="auto"/>
                <w:lang w:val="en-US" w:eastAsia="zh-CN"/>
              </w:rPr>
              <w:t>怀化市高新技术产业开发区管理委员会中方片区管理办公室泸阳片区（众力创新园1栋南区第2层）</w:t>
            </w:r>
            <w:r>
              <w:rPr>
                <w:rFonts w:hint="default" w:ascii="Times New Roman" w:hAnsi="Times New Roman" w:cs="Times New Roman"/>
                <w:color w:val="auto"/>
                <w:sz w:val="24"/>
                <w:szCs w:val="24"/>
                <w:u w:val="none" w:color="auto"/>
                <w:lang w:val="en-US" w:eastAsia="zh-CN"/>
              </w:rPr>
              <w:t>，项目用地范围内无生态环境保护目标，本环评建议企业在厂区周边进行绿化。</w:t>
            </w:r>
          </w:p>
          <w:p w14:paraId="479FA3ED">
            <w:pPr>
              <w:pStyle w:val="40"/>
              <w:bidi w:val="0"/>
              <w:rPr>
                <w:b/>
                <w:bCs/>
                <w:u w:val="none" w:color="auto"/>
              </w:rPr>
            </w:pPr>
            <w:r>
              <w:rPr>
                <w:rFonts w:hint="eastAsia"/>
                <w:b/>
                <w:bCs/>
                <w:u w:val="none" w:color="auto"/>
                <w:lang w:val="en-US" w:eastAsia="zh-CN"/>
              </w:rPr>
              <w:t>七</w:t>
            </w:r>
            <w:r>
              <w:rPr>
                <w:rFonts w:hint="eastAsia"/>
                <w:b/>
                <w:bCs/>
                <w:u w:val="none" w:color="auto"/>
              </w:rPr>
              <w:t>、环境风险影响分析</w:t>
            </w:r>
          </w:p>
          <w:p w14:paraId="44611BB7">
            <w:pPr>
              <w:pStyle w:val="40"/>
              <w:bidi w:val="0"/>
              <w:rPr>
                <w:rFonts w:hint="default"/>
                <w:lang w:val="en-US" w:eastAsia="zh-CN"/>
              </w:rPr>
            </w:pPr>
            <w:r>
              <w:rPr>
                <w:rFonts w:hint="eastAsia"/>
                <w:lang w:val="en-US" w:eastAsia="zh-CN"/>
              </w:rPr>
              <w:t>1、风险调查</w:t>
            </w:r>
          </w:p>
          <w:p w14:paraId="42F84806">
            <w:pPr>
              <w:spacing w:line="360" w:lineRule="auto"/>
              <w:ind w:firstLine="480" w:firstLineChars="200"/>
              <w:rPr>
                <w:rFonts w:hint="eastAsia"/>
                <w:lang w:val="en-US" w:eastAsia="zh-CN"/>
              </w:rPr>
            </w:pPr>
            <w:r>
              <w:rPr>
                <w:rFonts w:hint="eastAsia"/>
                <w:lang w:val="en-US" w:eastAsia="zh-CN"/>
              </w:rPr>
              <w:t>根据《危险化学品重大危险源辨别》(GB18218-2018)、《建设项目环境风险评价技术导则》(H169-2018)及《企业突发环境事件风险分级方法》(HJ941-2018)，项目风险物质为环氧树脂AB胶、绝缘漆、稀释剂、助焊剂、废活性炭、废原料桶，项目危险物质风险源情况、Q值计算情况、可能影响途径详见下表所示。</w:t>
            </w:r>
          </w:p>
          <w:p w14:paraId="3CA154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sz w:val="21"/>
                <w:szCs w:val="21"/>
                <w:lang w:val="en-US" w:eastAsia="zh-CN"/>
              </w:rPr>
            </w:pPr>
            <w:r>
              <w:rPr>
                <w:rFonts w:hint="eastAsia"/>
                <w:b/>
                <w:bCs/>
                <w:sz w:val="21"/>
                <w:szCs w:val="21"/>
                <w:lang w:val="en-US" w:eastAsia="zh-CN"/>
              </w:rPr>
              <w:t>表4-23风险物质储存量与临界量比值结果:</w:t>
            </w:r>
          </w:p>
          <w:tbl>
            <w:tblPr>
              <w:tblStyle w:val="34"/>
              <w:tblW w:w="0" w:type="auto"/>
              <w:tblInd w:w="-1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2"/>
              <w:gridCol w:w="1275"/>
              <w:gridCol w:w="1680"/>
              <w:gridCol w:w="988"/>
              <w:gridCol w:w="1184"/>
              <w:gridCol w:w="1184"/>
              <w:gridCol w:w="1183"/>
            </w:tblGrid>
            <w:tr w14:paraId="3A378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2" w:type="dxa"/>
                  <w:tcBorders>
                    <w:tl2br w:val="nil"/>
                    <w:tr2bl w:val="nil"/>
                  </w:tcBorders>
                  <w:vAlign w:val="center"/>
                </w:tcPr>
                <w:p w14:paraId="27D98F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序号</w:t>
                  </w:r>
                </w:p>
              </w:tc>
              <w:tc>
                <w:tcPr>
                  <w:tcW w:w="1275" w:type="dxa"/>
                  <w:tcBorders>
                    <w:tl2br w:val="nil"/>
                    <w:tr2bl w:val="nil"/>
                  </w:tcBorders>
                  <w:vAlign w:val="center"/>
                </w:tcPr>
                <w:p w14:paraId="77E6DF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物质名称</w:t>
                  </w:r>
                </w:p>
              </w:tc>
              <w:tc>
                <w:tcPr>
                  <w:tcW w:w="1680" w:type="dxa"/>
                  <w:tcBorders>
                    <w:tl2br w:val="nil"/>
                    <w:tr2bl w:val="nil"/>
                  </w:tcBorders>
                  <w:vAlign w:val="center"/>
                </w:tcPr>
                <w:p w14:paraId="14A81B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所含危险物质</w:t>
                  </w:r>
                </w:p>
              </w:tc>
              <w:tc>
                <w:tcPr>
                  <w:tcW w:w="988" w:type="dxa"/>
                  <w:tcBorders>
                    <w:tl2br w:val="nil"/>
                    <w:tr2bl w:val="nil"/>
                  </w:tcBorders>
                  <w:vAlign w:val="center"/>
                </w:tcPr>
                <w:p w14:paraId="7F37A8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储存位置</w:t>
                  </w:r>
                </w:p>
              </w:tc>
              <w:tc>
                <w:tcPr>
                  <w:tcW w:w="1184" w:type="dxa"/>
                  <w:tcBorders>
                    <w:tl2br w:val="nil"/>
                    <w:tr2bl w:val="nil"/>
                  </w:tcBorders>
                  <w:vAlign w:val="center"/>
                </w:tcPr>
                <w:p w14:paraId="0FD387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厂区最大储存量（t）</w:t>
                  </w:r>
                </w:p>
              </w:tc>
              <w:tc>
                <w:tcPr>
                  <w:tcW w:w="1184" w:type="dxa"/>
                  <w:tcBorders>
                    <w:tl2br w:val="nil"/>
                    <w:tr2bl w:val="nil"/>
                  </w:tcBorders>
                  <w:vAlign w:val="center"/>
                </w:tcPr>
                <w:p w14:paraId="4344B6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临界量（t）</w:t>
                  </w:r>
                </w:p>
              </w:tc>
              <w:tc>
                <w:tcPr>
                  <w:tcW w:w="1183" w:type="dxa"/>
                  <w:tcBorders>
                    <w:tl2br w:val="nil"/>
                    <w:tr2bl w:val="nil"/>
                  </w:tcBorders>
                  <w:vAlign w:val="center"/>
                </w:tcPr>
                <w:p w14:paraId="7BD017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q/Q</w:t>
                  </w:r>
                </w:p>
              </w:tc>
            </w:tr>
            <w:tr w14:paraId="701F9B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2" w:type="dxa"/>
                  <w:tcBorders>
                    <w:tl2br w:val="nil"/>
                    <w:tr2bl w:val="nil"/>
                  </w:tcBorders>
                  <w:vAlign w:val="center"/>
                </w:tcPr>
                <w:p w14:paraId="74DF37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1</w:t>
                  </w:r>
                </w:p>
              </w:tc>
              <w:tc>
                <w:tcPr>
                  <w:tcW w:w="1275" w:type="dxa"/>
                  <w:tcBorders>
                    <w:tl2br w:val="nil"/>
                    <w:tr2bl w:val="nil"/>
                  </w:tcBorders>
                  <w:vAlign w:val="center"/>
                </w:tcPr>
                <w:p w14:paraId="7D3A37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废过滤棉</w:t>
                  </w:r>
                </w:p>
              </w:tc>
              <w:tc>
                <w:tcPr>
                  <w:tcW w:w="1680" w:type="dxa"/>
                  <w:tcBorders>
                    <w:tl2br w:val="nil"/>
                    <w:tr2bl w:val="nil"/>
                  </w:tcBorders>
                  <w:vAlign w:val="center"/>
                </w:tcPr>
                <w:p w14:paraId="04CA70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t>健康危险急性毒性物质。(类别2、类别3)</w:t>
                  </w:r>
                </w:p>
              </w:tc>
              <w:tc>
                <w:tcPr>
                  <w:tcW w:w="988" w:type="dxa"/>
                  <w:tcBorders>
                    <w:tl2br w:val="nil"/>
                    <w:tr2bl w:val="nil"/>
                  </w:tcBorders>
                  <w:vAlign w:val="center"/>
                </w:tcPr>
                <w:p w14:paraId="0413F7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危废暂存间</w:t>
                  </w:r>
                </w:p>
              </w:tc>
              <w:tc>
                <w:tcPr>
                  <w:tcW w:w="1184" w:type="dxa"/>
                  <w:tcBorders>
                    <w:tl2br w:val="nil"/>
                    <w:tr2bl w:val="nil"/>
                  </w:tcBorders>
                  <w:vAlign w:val="center"/>
                </w:tcPr>
                <w:p w14:paraId="26AFF0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0.0003</w:t>
                  </w:r>
                </w:p>
              </w:tc>
              <w:tc>
                <w:tcPr>
                  <w:tcW w:w="1184" w:type="dxa"/>
                  <w:tcBorders>
                    <w:tl2br w:val="nil"/>
                    <w:tr2bl w:val="nil"/>
                  </w:tcBorders>
                  <w:vAlign w:val="center"/>
                </w:tcPr>
                <w:p w14:paraId="52FCB4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50</w:t>
                  </w:r>
                </w:p>
              </w:tc>
              <w:tc>
                <w:tcPr>
                  <w:tcW w:w="1183" w:type="dxa"/>
                  <w:tcBorders>
                    <w:tl2br w:val="nil"/>
                    <w:tr2bl w:val="nil"/>
                  </w:tcBorders>
                  <w:vAlign w:val="center"/>
                </w:tcPr>
                <w:p w14:paraId="26619D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0.000006</w:t>
                  </w:r>
                </w:p>
              </w:tc>
            </w:tr>
            <w:tr w14:paraId="5D3AC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2" w:type="dxa"/>
                  <w:tcBorders>
                    <w:tl2br w:val="nil"/>
                    <w:tr2bl w:val="nil"/>
                  </w:tcBorders>
                  <w:vAlign w:val="center"/>
                </w:tcPr>
                <w:p w14:paraId="1A104E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2</w:t>
                  </w:r>
                </w:p>
              </w:tc>
              <w:tc>
                <w:tcPr>
                  <w:tcW w:w="1275" w:type="dxa"/>
                  <w:tcBorders>
                    <w:tl2br w:val="nil"/>
                    <w:tr2bl w:val="nil"/>
                  </w:tcBorders>
                  <w:vAlign w:val="center"/>
                </w:tcPr>
                <w:p w14:paraId="72EB0B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废润滑油</w:t>
                  </w:r>
                </w:p>
              </w:tc>
              <w:tc>
                <w:tcPr>
                  <w:tcW w:w="1680" w:type="dxa"/>
                  <w:tcBorders>
                    <w:tl2br w:val="nil"/>
                    <w:tr2bl w:val="nil"/>
                  </w:tcBorders>
                  <w:vAlign w:val="center"/>
                </w:tcPr>
                <w:p w14:paraId="500BF1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t>健康危险急性毒性物质。(类别2、类别3)</w:t>
                  </w:r>
                </w:p>
              </w:tc>
              <w:tc>
                <w:tcPr>
                  <w:tcW w:w="988" w:type="dxa"/>
                  <w:tcBorders>
                    <w:tl2br w:val="nil"/>
                    <w:tr2bl w:val="nil"/>
                  </w:tcBorders>
                  <w:vAlign w:val="center"/>
                </w:tcPr>
                <w:p w14:paraId="1F974B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危废暂存间</w:t>
                  </w:r>
                </w:p>
              </w:tc>
              <w:tc>
                <w:tcPr>
                  <w:tcW w:w="1184" w:type="dxa"/>
                  <w:tcBorders>
                    <w:tl2br w:val="nil"/>
                    <w:tr2bl w:val="nil"/>
                  </w:tcBorders>
                  <w:vAlign w:val="center"/>
                </w:tcPr>
                <w:p w14:paraId="44AFFF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0.04</w:t>
                  </w:r>
                </w:p>
              </w:tc>
              <w:tc>
                <w:tcPr>
                  <w:tcW w:w="1184" w:type="dxa"/>
                  <w:tcBorders>
                    <w:tl2br w:val="nil"/>
                    <w:tr2bl w:val="nil"/>
                  </w:tcBorders>
                  <w:vAlign w:val="center"/>
                </w:tcPr>
                <w:p w14:paraId="641FB1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50</w:t>
                  </w:r>
                </w:p>
              </w:tc>
              <w:tc>
                <w:tcPr>
                  <w:tcW w:w="1183" w:type="dxa"/>
                  <w:tcBorders>
                    <w:tl2br w:val="nil"/>
                    <w:tr2bl w:val="nil"/>
                  </w:tcBorders>
                  <w:vAlign w:val="center"/>
                </w:tcPr>
                <w:p w14:paraId="565B1C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0.0008</w:t>
                  </w:r>
                </w:p>
              </w:tc>
            </w:tr>
            <w:tr w14:paraId="5EA62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2" w:type="dxa"/>
                  <w:tcBorders>
                    <w:tl2br w:val="nil"/>
                    <w:tr2bl w:val="nil"/>
                  </w:tcBorders>
                  <w:vAlign w:val="center"/>
                </w:tcPr>
                <w:p w14:paraId="006DB0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3</w:t>
                  </w:r>
                </w:p>
              </w:tc>
              <w:tc>
                <w:tcPr>
                  <w:tcW w:w="1275" w:type="dxa"/>
                  <w:tcBorders>
                    <w:tl2br w:val="nil"/>
                    <w:tr2bl w:val="nil"/>
                  </w:tcBorders>
                  <w:vAlign w:val="center"/>
                </w:tcPr>
                <w:p w14:paraId="3668AE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废润滑油桶</w:t>
                  </w:r>
                </w:p>
              </w:tc>
              <w:tc>
                <w:tcPr>
                  <w:tcW w:w="1680" w:type="dxa"/>
                  <w:tcBorders>
                    <w:tl2br w:val="nil"/>
                    <w:tr2bl w:val="nil"/>
                  </w:tcBorders>
                  <w:vAlign w:val="center"/>
                </w:tcPr>
                <w:p w14:paraId="3DBCE2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t>健康危险急性毒性物质。(类别2、类别3)</w:t>
                  </w:r>
                </w:p>
              </w:tc>
              <w:tc>
                <w:tcPr>
                  <w:tcW w:w="988" w:type="dxa"/>
                  <w:tcBorders>
                    <w:tl2br w:val="nil"/>
                    <w:tr2bl w:val="nil"/>
                  </w:tcBorders>
                  <w:vAlign w:val="center"/>
                </w:tcPr>
                <w:p w14:paraId="72155A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危废暂存间</w:t>
                  </w:r>
                </w:p>
              </w:tc>
              <w:tc>
                <w:tcPr>
                  <w:tcW w:w="1184" w:type="dxa"/>
                  <w:tcBorders>
                    <w:tl2br w:val="nil"/>
                    <w:tr2bl w:val="nil"/>
                  </w:tcBorders>
                  <w:vAlign w:val="center"/>
                </w:tcPr>
                <w:p w14:paraId="7B1AA0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0.005</w:t>
                  </w:r>
                </w:p>
              </w:tc>
              <w:tc>
                <w:tcPr>
                  <w:tcW w:w="1184" w:type="dxa"/>
                  <w:tcBorders>
                    <w:tl2br w:val="nil"/>
                    <w:tr2bl w:val="nil"/>
                  </w:tcBorders>
                  <w:vAlign w:val="center"/>
                </w:tcPr>
                <w:p w14:paraId="112CAE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50</w:t>
                  </w:r>
                </w:p>
              </w:tc>
              <w:tc>
                <w:tcPr>
                  <w:tcW w:w="1183" w:type="dxa"/>
                  <w:tcBorders>
                    <w:tl2br w:val="nil"/>
                    <w:tr2bl w:val="nil"/>
                  </w:tcBorders>
                  <w:vAlign w:val="center"/>
                </w:tcPr>
                <w:p w14:paraId="0B21AA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0.0001</w:t>
                  </w:r>
                </w:p>
              </w:tc>
            </w:tr>
            <w:tr w14:paraId="4193FF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2" w:type="dxa"/>
                  <w:tcBorders>
                    <w:tl2br w:val="nil"/>
                    <w:tr2bl w:val="nil"/>
                  </w:tcBorders>
                  <w:vAlign w:val="center"/>
                </w:tcPr>
                <w:p w14:paraId="3C8874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4</w:t>
                  </w:r>
                </w:p>
              </w:tc>
              <w:tc>
                <w:tcPr>
                  <w:tcW w:w="1275" w:type="dxa"/>
                  <w:tcBorders>
                    <w:tl2br w:val="nil"/>
                    <w:tr2bl w:val="nil"/>
                  </w:tcBorders>
                  <w:vAlign w:val="center"/>
                </w:tcPr>
                <w:p w14:paraId="091026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废含油抹布和手套</w:t>
                  </w:r>
                </w:p>
              </w:tc>
              <w:tc>
                <w:tcPr>
                  <w:tcW w:w="1680" w:type="dxa"/>
                  <w:tcBorders>
                    <w:tl2br w:val="nil"/>
                    <w:tr2bl w:val="nil"/>
                  </w:tcBorders>
                  <w:vAlign w:val="center"/>
                </w:tcPr>
                <w:p w14:paraId="439255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t>健康危险急性毒性物质。(类别2、类别3)</w:t>
                  </w:r>
                </w:p>
              </w:tc>
              <w:tc>
                <w:tcPr>
                  <w:tcW w:w="988" w:type="dxa"/>
                  <w:tcBorders>
                    <w:tl2br w:val="nil"/>
                    <w:tr2bl w:val="nil"/>
                  </w:tcBorders>
                  <w:vAlign w:val="center"/>
                </w:tcPr>
                <w:p w14:paraId="705660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危废暂存间</w:t>
                  </w:r>
                </w:p>
              </w:tc>
              <w:tc>
                <w:tcPr>
                  <w:tcW w:w="1184" w:type="dxa"/>
                  <w:tcBorders>
                    <w:tl2br w:val="nil"/>
                    <w:tr2bl w:val="nil"/>
                  </w:tcBorders>
                  <w:vAlign w:val="center"/>
                </w:tcPr>
                <w:p w14:paraId="1B74A6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0.006</w:t>
                  </w:r>
                </w:p>
              </w:tc>
              <w:tc>
                <w:tcPr>
                  <w:tcW w:w="1184" w:type="dxa"/>
                  <w:tcBorders>
                    <w:tl2br w:val="nil"/>
                    <w:tr2bl w:val="nil"/>
                  </w:tcBorders>
                  <w:vAlign w:val="center"/>
                </w:tcPr>
                <w:p w14:paraId="3E265B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50</w:t>
                  </w:r>
                </w:p>
              </w:tc>
              <w:tc>
                <w:tcPr>
                  <w:tcW w:w="1183" w:type="dxa"/>
                  <w:tcBorders>
                    <w:tl2br w:val="nil"/>
                    <w:tr2bl w:val="nil"/>
                  </w:tcBorders>
                  <w:vAlign w:val="center"/>
                </w:tcPr>
                <w:p w14:paraId="583D87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0.00012</w:t>
                  </w:r>
                </w:p>
              </w:tc>
            </w:tr>
            <w:tr w14:paraId="3B5E5D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2" w:type="dxa"/>
                  <w:tcBorders>
                    <w:tl2br w:val="nil"/>
                    <w:tr2bl w:val="nil"/>
                  </w:tcBorders>
                  <w:vAlign w:val="center"/>
                </w:tcPr>
                <w:p w14:paraId="0F3CBA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5</w:t>
                  </w:r>
                </w:p>
              </w:tc>
              <w:tc>
                <w:tcPr>
                  <w:tcW w:w="1275" w:type="dxa"/>
                  <w:tcBorders>
                    <w:tl2br w:val="nil"/>
                    <w:tr2bl w:val="nil"/>
                  </w:tcBorders>
                  <w:vAlign w:val="center"/>
                </w:tcPr>
                <w:p w14:paraId="4BC38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废活性炭</w:t>
                  </w:r>
                </w:p>
              </w:tc>
              <w:tc>
                <w:tcPr>
                  <w:tcW w:w="1680" w:type="dxa"/>
                  <w:tcBorders>
                    <w:tl2br w:val="nil"/>
                    <w:tr2bl w:val="nil"/>
                  </w:tcBorders>
                  <w:vAlign w:val="center"/>
                </w:tcPr>
                <w:p w14:paraId="66BA2E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t>健康危险急性毒性物质。(类别2、类别3)</w:t>
                  </w:r>
                </w:p>
              </w:tc>
              <w:tc>
                <w:tcPr>
                  <w:tcW w:w="988" w:type="dxa"/>
                  <w:tcBorders>
                    <w:tl2br w:val="nil"/>
                    <w:tr2bl w:val="nil"/>
                  </w:tcBorders>
                  <w:vAlign w:val="center"/>
                </w:tcPr>
                <w:p w14:paraId="41AA9D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危废暂存间</w:t>
                  </w:r>
                </w:p>
              </w:tc>
              <w:tc>
                <w:tcPr>
                  <w:tcW w:w="1184" w:type="dxa"/>
                  <w:tcBorders>
                    <w:tl2br w:val="nil"/>
                    <w:tr2bl w:val="nil"/>
                  </w:tcBorders>
                  <w:vAlign w:val="center"/>
                </w:tcPr>
                <w:p w14:paraId="0ECC54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0.3</w:t>
                  </w:r>
                </w:p>
              </w:tc>
              <w:tc>
                <w:tcPr>
                  <w:tcW w:w="1184" w:type="dxa"/>
                  <w:tcBorders>
                    <w:tl2br w:val="nil"/>
                    <w:tr2bl w:val="nil"/>
                  </w:tcBorders>
                  <w:vAlign w:val="center"/>
                </w:tcPr>
                <w:p w14:paraId="347318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50</w:t>
                  </w:r>
                </w:p>
              </w:tc>
              <w:tc>
                <w:tcPr>
                  <w:tcW w:w="1183" w:type="dxa"/>
                  <w:tcBorders>
                    <w:tl2br w:val="nil"/>
                    <w:tr2bl w:val="nil"/>
                  </w:tcBorders>
                  <w:vAlign w:val="center"/>
                </w:tcPr>
                <w:p w14:paraId="0DF332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0.006</w:t>
                  </w:r>
                </w:p>
              </w:tc>
            </w:tr>
            <w:tr w14:paraId="6ACBFB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2" w:type="dxa"/>
                  <w:tcBorders>
                    <w:tl2br w:val="nil"/>
                    <w:tr2bl w:val="nil"/>
                  </w:tcBorders>
                  <w:vAlign w:val="center"/>
                </w:tcPr>
                <w:p w14:paraId="699447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6</w:t>
                  </w:r>
                </w:p>
              </w:tc>
              <w:tc>
                <w:tcPr>
                  <w:tcW w:w="1275" w:type="dxa"/>
                  <w:tcBorders>
                    <w:tl2br w:val="nil"/>
                    <w:tr2bl w:val="nil"/>
                  </w:tcBorders>
                  <w:vAlign w:val="center"/>
                </w:tcPr>
                <w:p w14:paraId="5F784B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废原料桶</w:t>
                  </w:r>
                </w:p>
              </w:tc>
              <w:tc>
                <w:tcPr>
                  <w:tcW w:w="1680" w:type="dxa"/>
                  <w:tcBorders>
                    <w:tl2br w:val="nil"/>
                    <w:tr2bl w:val="nil"/>
                  </w:tcBorders>
                  <w:vAlign w:val="center"/>
                </w:tcPr>
                <w:p w14:paraId="31795C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t>健康危险急性毒性物质。(类别2、类别3)</w:t>
                  </w:r>
                </w:p>
              </w:tc>
              <w:tc>
                <w:tcPr>
                  <w:tcW w:w="988" w:type="dxa"/>
                  <w:tcBorders>
                    <w:tl2br w:val="nil"/>
                    <w:tr2bl w:val="nil"/>
                  </w:tcBorders>
                  <w:vAlign w:val="center"/>
                </w:tcPr>
                <w:p w14:paraId="4CA564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危废暂存间</w:t>
                  </w:r>
                </w:p>
              </w:tc>
              <w:tc>
                <w:tcPr>
                  <w:tcW w:w="1184" w:type="dxa"/>
                  <w:tcBorders>
                    <w:tl2br w:val="nil"/>
                    <w:tr2bl w:val="nil"/>
                  </w:tcBorders>
                  <w:vAlign w:val="center"/>
                </w:tcPr>
                <w:p w14:paraId="170E25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0.04</w:t>
                  </w:r>
                </w:p>
              </w:tc>
              <w:tc>
                <w:tcPr>
                  <w:tcW w:w="1184" w:type="dxa"/>
                  <w:tcBorders>
                    <w:tl2br w:val="nil"/>
                    <w:tr2bl w:val="nil"/>
                  </w:tcBorders>
                  <w:vAlign w:val="center"/>
                </w:tcPr>
                <w:p w14:paraId="4F62C9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50</w:t>
                  </w:r>
                </w:p>
              </w:tc>
              <w:tc>
                <w:tcPr>
                  <w:tcW w:w="1183" w:type="dxa"/>
                  <w:tcBorders>
                    <w:tl2br w:val="nil"/>
                    <w:tr2bl w:val="nil"/>
                  </w:tcBorders>
                  <w:vAlign w:val="center"/>
                </w:tcPr>
                <w:p w14:paraId="2082A8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0.0008</w:t>
                  </w:r>
                </w:p>
              </w:tc>
            </w:tr>
            <w:tr w14:paraId="4C2DD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2" w:type="dxa"/>
                  <w:tcBorders>
                    <w:tl2br w:val="nil"/>
                    <w:tr2bl w:val="nil"/>
                  </w:tcBorders>
                  <w:vAlign w:val="center"/>
                </w:tcPr>
                <w:p w14:paraId="43231E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7</w:t>
                  </w:r>
                </w:p>
              </w:tc>
              <w:tc>
                <w:tcPr>
                  <w:tcW w:w="1275" w:type="dxa"/>
                  <w:tcBorders>
                    <w:tl2br w:val="nil"/>
                    <w:tr2bl w:val="nil"/>
                  </w:tcBorders>
                  <w:vAlign w:val="center"/>
                </w:tcPr>
                <w:p w14:paraId="5806CB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绝缘漆</w:t>
                  </w:r>
                </w:p>
              </w:tc>
              <w:tc>
                <w:tcPr>
                  <w:tcW w:w="1680" w:type="dxa"/>
                  <w:tcBorders>
                    <w:tl2br w:val="nil"/>
                    <w:tr2bl w:val="nil"/>
                  </w:tcBorders>
                  <w:vAlign w:val="center"/>
                </w:tcPr>
                <w:p w14:paraId="374788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二甲苯（CAS号1330-20-7）</w:t>
                  </w:r>
                </w:p>
              </w:tc>
              <w:tc>
                <w:tcPr>
                  <w:tcW w:w="988" w:type="dxa"/>
                  <w:tcBorders>
                    <w:tl2br w:val="nil"/>
                    <w:tr2bl w:val="nil"/>
                  </w:tcBorders>
                  <w:vAlign w:val="center"/>
                </w:tcPr>
                <w:p w14:paraId="4DF0C6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危化品库</w:t>
                  </w:r>
                </w:p>
              </w:tc>
              <w:tc>
                <w:tcPr>
                  <w:tcW w:w="1184" w:type="dxa"/>
                  <w:tcBorders>
                    <w:tl2br w:val="nil"/>
                    <w:tr2bl w:val="nil"/>
                  </w:tcBorders>
                  <w:vAlign w:val="center"/>
                </w:tcPr>
                <w:p w14:paraId="30BC3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0.085</w:t>
                  </w:r>
                </w:p>
              </w:tc>
              <w:tc>
                <w:tcPr>
                  <w:tcW w:w="1184" w:type="dxa"/>
                  <w:tcBorders>
                    <w:tl2br w:val="nil"/>
                    <w:tr2bl w:val="nil"/>
                  </w:tcBorders>
                  <w:vAlign w:val="center"/>
                </w:tcPr>
                <w:p w14:paraId="54E346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10</w:t>
                  </w:r>
                </w:p>
              </w:tc>
              <w:tc>
                <w:tcPr>
                  <w:tcW w:w="1183" w:type="dxa"/>
                  <w:tcBorders>
                    <w:tl2br w:val="nil"/>
                    <w:tr2bl w:val="nil"/>
                  </w:tcBorders>
                  <w:vAlign w:val="center"/>
                </w:tcPr>
                <w:p w14:paraId="10E5FB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0.0085</w:t>
                  </w:r>
                </w:p>
              </w:tc>
            </w:tr>
            <w:tr w14:paraId="5A71D3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2" w:type="dxa"/>
                  <w:tcBorders>
                    <w:tl2br w:val="nil"/>
                    <w:tr2bl w:val="nil"/>
                  </w:tcBorders>
                  <w:vAlign w:val="center"/>
                </w:tcPr>
                <w:p w14:paraId="7C315C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8</w:t>
                  </w:r>
                </w:p>
              </w:tc>
              <w:tc>
                <w:tcPr>
                  <w:tcW w:w="1275" w:type="dxa"/>
                  <w:tcBorders>
                    <w:tl2br w:val="nil"/>
                    <w:tr2bl w:val="nil"/>
                  </w:tcBorders>
                  <w:vAlign w:val="center"/>
                </w:tcPr>
                <w:p w14:paraId="73CF87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稀释剂</w:t>
                  </w:r>
                </w:p>
              </w:tc>
              <w:tc>
                <w:tcPr>
                  <w:tcW w:w="1680" w:type="dxa"/>
                  <w:tcBorders>
                    <w:tl2br w:val="nil"/>
                    <w:tr2bl w:val="nil"/>
                  </w:tcBorders>
                  <w:vAlign w:val="center"/>
                </w:tcPr>
                <w:p w14:paraId="75016F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t>健康危险急性毒性物质。(类别2、类别3)</w:t>
                  </w:r>
                </w:p>
              </w:tc>
              <w:tc>
                <w:tcPr>
                  <w:tcW w:w="988" w:type="dxa"/>
                  <w:tcBorders>
                    <w:tl2br w:val="nil"/>
                    <w:tr2bl w:val="nil"/>
                  </w:tcBorders>
                  <w:vAlign w:val="center"/>
                </w:tcPr>
                <w:p w14:paraId="77DC17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危化品库</w:t>
                  </w:r>
                </w:p>
              </w:tc>
              <w:tc>
                <w:tcPr>
                  <w:tcW w:w="1184" w:type="dxa"/>
                  <w:tcBorders>
                    <w:tl2br w:val="nil"/>
                    <w:tr2bl w:val="nil"/>
                  </w:tcBorders>
                  <w:vAlign w:val="center"/>
                </w:tcPr>
                <w:p w14:paraId="0CE8A2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0.075</w:t>
                  </w:r>
                </w:p>
              </w:tc>
              <w:tc>
                <w:tcPr>
                  <w:tcW w:w="1184" w:type="dxa"/>
                  <w:tcBorders>
                    <w:tl2br w:val="nil"/>
                    <w:tr2bl w:val="nil"/>
                  </w:tcBorders>
                  <w:vAlign w:val="center"/>
                </w:tcPr>
                <w:p w14:paraId="0E3BF0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50</w:t>
                  </w:r>
                </w:p>
              </w:tc>
              <w:tc>
                <w:tcPr>
                  <w:tcW w:w="1183" w:type="dxa"/>
                  <w:tcBorders>
                    <w:tl2br w:val="nil"/>
                    <w:tr2bl w:val="nil"/>
                  </w:tcBorders>
                  <w:vAlign w:val="center"/>
                </w:tcPr>
                <w:p w14:paraId="13BFA8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0.0015</w:t>
                  </w:r>
                </w:p>
              </w:tc>
            </w:tr>
            <w:tr w14:paraId="175E2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2" w:type="dxa"/>
                  <w:tcBorders>
                    <w:tl2br w:val="nil"/>
                    <w:tr2bl w:val="nil"/>
                  </w:tcBorders>
                  <w:vAlign w:val="center"/>
                </w:tcPr>
                <w:p w14:paraId="21530D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9</w:t>
                  </w:r>
                </w:p>
              </w:tc>
              <w:tc>
                <w:tcPr>
                  <w:tcW w:w="1275" w:type="dxa"/>
                  <w:tcBorders>
                    <w:tl2br w:val="nil"/>
                    <w:tr2bl w:val="nil"/>
                  </w:tcBorders>
                  <w:vAlign w:val="center"/>
                </w:tcPr>
                <w:p w14:paraId="2CF454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环氧树脂AB胶</w:t>
                  </w:r>
                </w:p>
              </w:tc>
              <w:tc>
                <w:tcPr>
                  <w:tcW w:w="1680" w:type="dxa"/>
                  <w:tcBorders>
                    <w:tl2br w:val="nil"/>
                    <w:tr2bl w:val="nil"/>
                  </w:tcBorders>
                  <w:vAlign w:val="center"/>
                </w:tcPr>
                <w:p w14:paraId="6BEA9C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t>健康危险急性毒性物质。(类别2、类别3)</w:t>
                  </w:r>
                </w:p>
              </w:tc>
              <w:tc>
                <w:tcPr>
                  <w:tcW w:w="988" w:type="dxa"/>
                  <w:tcBorders>
                    <w:tl2br w:val="nil"/>
                    <w:tr2bl w:val="nil"/>
                  </w:tcBorders>
                  <w:vAlign w:val="center"/>
                </w:tcPr>
                <w:p w14:paraId="07D49C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危化品库</w:t>
                  </w:r>
                </w:p>
              </w:tc>
              <w:tc>
                <w:tcPr>
                  <w:tcW w:w="1184" w:type="dxa"/>
                  <w:tcBorders>
                    <w:tl2br w:val="nil"/>
                    <w:tr2bl w:val="nil"/>
                  </w:tcBorders>
                  <w:vAlign w:val="center"/>
                </w:tcPr>
                <w:p w14:paraId="4FD97F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0.01</w:t>
                  </w:r>
                </w:p>
              </w:tc>
              <w:tc>
                <w:tcPr>
                  <w:tcW w:w="1184" w:type="dxa"/>
                  <w:tcBorders>
                    <w:tl2br w:val="nil"/>
                    <w:tr2bl w:val="nil"/>
                  </w:tcBorders>
                  <w:vAlign w:val="center"/>
                </w:tcPr>
                <w:p w14:paraId="043EB6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50</w:t>
                  </w:r>
                </w:p>
              </w:tc>
              <w:tc>
                <w:tcPr>
                  <w:tcW w:w="1183" w:type="dxa"/>
                  <w:tcBorders>
                    <w:tl2br w:val="nil"/>
                    <w:tr2bl w:val="nil"/>
                  </w:tcBorders>
                  <w:vAlign w:val="center"/>
                </w:tcPr>
                <w:p w14:paraId="70DDFD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0.0002</w:t>
                  </w:r>
                </w:p>
              </w:tc>
            </w:tr>
            <w:tr w14:paraId="540B49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2" w:type="dxa"/>
                  <w:tcBorders>
                    <w:tl2br w:val="nil"/>
                    <w:tr2bl w:val="nil"/>
                  </w:tcBorders>
                  <w:vAlign w:val="center"/>
                </w:tcPr>
                <w:p w14:paraId="25728C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10</w:t>
                  </w:r>
                </w:p>
              </w:tc>
              <w:tc>
                <w:tcPr>
                  <w:tcW w:w="1275" w:type="dxa"/>
                  <w:tcBorders>
                    <w:tl2br w:val="nil"/>
                    <w:tr2bl w:val="nil"/>
                  </w:tcBorders>
                  <w:vAlign w:val="center"/>
                </w:tcPr>
                <w:p w14:paraId="2980A0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助焊剂</w:t>
                  </w:r>
                </w:p>
              </w:tc>
              <w:tc>
                <w:tcPr>
                  <w:tcW w:w="1680" w:type="dxa"/>
                  <w:tcBorders>
                    <w:tl2br w:val="nil"/>
                    <w:tr2bl w:val="nil"/>
                  </w:tcBorders>
                  <w:vAlign w:val="center"/>
                </w:tcPr>
                <w:p w14:paraId="4F2D1D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甲醇（CAS号67-56-1）、异丙醇（CAS号67-63-0）</w:t>
                  </w:r>
                </w:p>
              </w:tc>
              <w:tc>
                <w:tcPr>
                  <w:tcW w:w="988" w:type="dxa"/>
                  <w:tcBorders>
                    <w:tl2br w:val="nil"/>
                    <w:tr2bl w:val="nil"/>
                  </w:tcBorders>
                  <w:vAlign w:val="center"/>
                </w:tcPr>
                <w:p w14:paraId="24EFF6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危化品库</w:t>
                  </w:r>
                </w:p>
              </w:tc>
              <w:tc>
                <w:tcPr>
                  <w:tcW w:w="1184" w:type="dxa"/>
                  <w:tcBorders>
                    <w:tl2br w:val="nil"/>
                    <w:tr2bl w:val="nil"/>
                  </w:tcBorders>
                  <w:vAlign w:val="center"/>
                </w:tcPr>
                <w:p w14:paraId="0AE78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0.02</w:t>
                  </w:r>
                </w:p>
              </w:tc>
              <w:tc>
                <w:tcPr>
                  <w:tcW w:w="1184" w:type="dxa"/>
                  <w:tcBorders>
                    <w:tl2br w:val="nil"/>
                    <w:tr2bl w:val="nil"/>
                  </w:tcBorders>
                  <w:vAlign w:val="center"/>
                </w:tcPr>
                <w:p w14:paraId="081934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10</w:t>
                  </w:r>
                </w:p>
              </w:tc>
              <w:tc>
                <w:tcPr>
                  <w:tcW w:w="1183" w:type="dxa"/>
                  <w:tcBorders>
                    <w:tl2br w:val="nil"/>
                    <w:tr2bl w:val="nil"/>
                  </w:tcBorders>
                  <w:vAlign w:val="center"/>
                </w:tcPr>
                <w:p w14:paraId="67C86D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0.002</w:t>
                  </w:r>
                </w:p>
              </w:tc>
            </w:tr>
            <w:tr w14:paraId="4984C5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093" w:type="dxa"/>
                  <w:gridSpan w:val="6"/>
                  <w:tcBorders>
                    <w:tl2br w:val="nil"/>
                    <w:tr2bl w:val="nil"/>
                  </w:tcBorders>
                  <w:vAlign w:val="center"/>
                </w:tcPr>
                <w:p w14:paraId="37F616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合计</w:t>
                  </w:r>
                </w:p>
              </w:tc>
              <w:tc>
                <w:tcPr>
                  <w:tcW w:w="1183" w:type="dxa"/>
                  <w:tcBorders>
                    <w:tl2br w:val="nil"/>
                    <w:tr2bl w:val="nil"/>
                  </w:tcBorders>
                  <w:vAlign w:val="center"/>
                </w:tcPr>
                <w:p w14:paraId="024803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0.019</w:t>
                  </w:r>
                </w:p>
              </w:tc>
            </w:tr>
            <w:tr w14:paraId="6AC27C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276" w:type="dxa"/>
                  <w:gridSpan w:val="7"/>
                  <w:tcBorders>
                    <w:tl2br w:val="nil"/>
                    <w:tr2bl w:val="nil"/>
                  </w:tcBorders>
                  <w:vAlign w:val="center"/>
                </w:tcPr>
                <w:p w14:paraId="66F0F0B1">
                  <w:pPr>
                    <w:bidi w:val="0"/>
                    <w:rPr>
                      <w:rFonts w:hint="default"/>
                      <w:b w:val="0"/>
                      <w:bCs w:val="0"/>
                      <w:color w:val="000000" w:themeColor="text1"/>
                      <w:sz w:val="21"/>
                      <w:szCs w:val="21"/>
                      <w:u w:val="single" w:color="auto"/>
                      <w:vertAlign w:val="baseline"/>
                      <w:lang w:val="en-US" w:eastAsia="zh-CN"/>
                      <w14:textFill>
                        <w14:solidFill>
                          <w14:schemeClr w14:val="tx1"/>
                        </w14:solidFill>
                      </w14:textFill>
                    </w:rPr>
                  </w:pPr>
                  <w:r>
                    <w:rPr>
                      <w:rFonts w:hint="eastAsia"/>
                      <w:b w:val="0"/>
                      <w:bCs w:val="0"/>
                      <w:color w:val="000000" w:themeColor="text1"/>
                      <w:sz w:val="21"/>
                      <w:szCs w:val="21"/>
                      <w:u w:val="single" w:color="auto"/>
                      <w:vertAlign w:val="baseline"/>
                      <w:lang w:val="en-US" w:eastAsia="zh-CN"/>
                      <w14:textFill>
                        <w14:solidFill>
                          <w14:schemeClr w14:val="tx1"/>
                        </w14:solidFill>
                      </w14:textFill>
                    </w:rPr>
                    <w:t>注：绝缘漆、助焊剂的临界量参考《建设项目环境风险评价技术导则》(HJ169-2018)附录B中表B.1突发环境事件风险物质及临界量，其中绝缘漆主要成分为二甲苯（临界量10t），助焊剂主要成分为甲醇（临界量10t）和异丙醇（临界量10t）；</w:t>
                  </w:r>
                  <w:r>
                    <w:rPr>
                      <w:rFonts w:hint="eastAsia"/>
                      <w:sz w:val="21"/>
                      <w:szCs w:val="21"/>
                      <w:u w:val="single" w:color="auto"/>
                      <w:lang w:val="en-US" w:eastAsia="zh-CN"/>
                    </w:rPr>
                    <w:t>其余风险物质</w:t>
                  </w:r>
                  <w:r>
                    <w:rPr>
                      <w:rFonts w:hint="eastAsia"/>
                      <w:sz w:val="21"/>
                      <w:szCs w:val="21"/>
                      <w:u w:val="single" w:color="auto"/>
                    </w:rPr>
                    <w:t>参考“风险导则”B.2其他危险物质临界量推荐值中“健康危险急性毒性物质类别2、类别3”，其临界量取50t计算。</w:t>
                  </w:r>
                </w:p>
              </w:tc>
            </w:tr>
          </w:tbl>
          <w:p w14:paraId="1277E27C">
            <w:pPr>
              <w:spacing w:line="360" w:lineRule="auto"/>
              <w:ind w:firstLine="480" w:firstLineChars="200"/>
              <w:rPr>
                <w:rFonts w:hint="eastAsia" w:ascii="Times New Roman" w:hAnsi="Times New Roman"/>
                <w:b w:val="0"/>
                <w:bCs w:val="0"/>
                <w:color w:val="000000" w:themeColor="text1"/>
                <w:sz w:val="24"/>
                <w:szCs w:val="32"/>
                <w:u w:val="none" w:color="auto"/>
                <w:lang w:val="en-US" w:eastAsia="zh-CN"/>
                <w14:textFill>
                  <w14:solidFill>
                    <w14:schemeClr w14:val="tx1"/>
                  </w14:solidFill>
                </w14:textFill>
              </w:rPr>
            </w:pPr>
            <w:r>
              <w:rPr>
                <w:rFonts w:hint="eastAsia" w:ascii="Times New Roman" w:hAnsi="Times New Roman"/>
                <w:b w:val="0"/>
                <w:bCs w:val="0"/>
                <w:color w:val="000000" w:themeColor="text1"/>
                <w:sz w:val="24"/>
                <w:szCs w:val="32"/>
                <w:u w:val="none" w:color="auto"/>
                <w:lang w:val="en-US" w:eastAsia="zh-CN"/>
                <w14:textFill>
                  <w14:solidFill>
                    <w14:schemeClr w14:val="tx1"/>
                  </w14:solidFill>
                </w14:textFill>
              </w:rPr>
              <w:t>根据上表计算结果，本项目风险物质未超过临界量，Q</w:t>
            </w:r>
            <w:r>
              <w:rPr>
                <w:rFonts w:hint="eastAsia"/>
                <w:b w:val="0"/>
                <w:bCs w:val="0"/>
                <w:color w:val="000000" w:themeColor="text1"/>
                <w:sz w:val="24"/>
                <w:szCs w:val="32"/>
                <w:u w:val="none" w:color="auto"/>
                <w:lang w:val="en-US" w:eastAsia="zh-CN"/>
                <w14:textFill>
                  <w14:solidFill>
                    <w14:schemeClr w14:val="tx1"/>
                  </w14:solidFill>
                </w14:textFill>
              </w:rPr>
              <w:t>=</w:t>
            </w:r>
            <w:r>
              <w:rPr>
                <w:rFonts w:hint="eastAsia" w:ascii="Times New Roman" w:hAnsi="Times New Roman"/>
                <w:b w:val="0"/>
                <w:bCs w:val="0"/>
                <w:color w:val="000000" w:themeColor="text1"/>
                <w:sz w:val="24"/>
                <w:szCs w:val="32"/>
                <w:u w:val="none" w:color="auto"/>
                <w:lang w:val="en-US" w:eastAsia="zh-CN"/>
                <w14:textFill>
                  <w14:solidFill>
                    <w14:schemeClr w14:val="tx1"/>
                  </w14:solidFill>
                </w14:textFill>
              </w:rPr>
              <w:t>0.0</w:t>
            </w:r>
            <w:r>
              <w:rPr>
                <w:rFonts w:hint="eastAsia"/>
                <w:b w:val="0"/>
                <w:bCs w:val="0"/>
                <w:color w:val="000000" w:themeColor="text1"/>
                <w:sz w:val="24"/>
                <w:szCs w:val="32"/>
                <w:u w:val="none" w:color="auto"/>
                <w:lang w:val="en-US" w:eastAsia="zh-CN"/>
                <w14:textFill>
                  <w14:solidFill>
                    <w14:schemeClr w14:val="tx1"/>
                  </w14:solidFill>
                </w14:textFill>
              </w:rPr>
              <w:t>19</w:t>
            </w:r>
            <w:r>
              <w:rPr>
                <w:rFonts w:hint="eastAsia" w:ascii="Times New Roman" w:hAnsi="Times New Roman"/>
                <w:b w:val="0"/>
                <w:bCs w:val="0"/>
                <w:color w:val="000000" w:themeColor="text1"/>
                <w:sz w:val="24"/>
                <w:szCs w:val="32"/>
                <w:u w:val="none" w:color="auto"/>
                <w:lang w:val="en-US" w:eastAsia="zh-CN"/>
                <w14:textFill>
                  <w14:solidFill>
                    <w14:schemeClr w14:val="tx1"/>
                  </w14:solidFill>
                </w14:textFill>
              </w:rPr>
              <w:t>&lt;1，风险潜势为I,无需开展专题评价，需明确有毒有害和易燃易爆等危险物质和风险源分布情况及可能影响途径，并提出相应环境风险防范措施。</w:t>
            </w:r>
          </w:p>
          <w:p w14:paraId="4D5C97FA">
            <w:pPr>
              <w:spacing w:line="360" w:lineRule="auto"/>
              <w:ind w:firstLine="480" w:firstLineChars="200"/>
              <w:rPr>
                <w:rFonts w:hint="eastAsia" w:ascii="Times New Roman" w:hAnsi="Times New Roman"/>
                <w:b w:val="0"/>
                <w:bCs w:val="0"/>
                <w:color w:val="000000" w:themeColor="text1"/>
                <w:sz w:val="24"/>
                <w:szCs w:val="32"/>
                <w:u w:val="single" w:color="auto"/>
                <w:lang w:val="en-US" w:eastAsia="zh-CN"/>
                <w14:textFill>
                  <w14:solidFill>
                    <w14:schemeClr w14:val="tx1"/>
                  </w14:solidFill>
                </w14:textFill>
              </w:rPr>
            </w:pPr>
            <w:r>
              <w:rPr>
                <w:rFonts w:hint="eastAsia" w:ascii="Times New Roman" w:hAnsi="Times New Roman"/>
                <w:b w:val="0"/>
                <w:bCs w:val="0"/>
                <w:color w:val="000000" w:themeColor="text1"/>
                <w:sz w:val="24"/>
                <w:szCs w:val="32"/>
                <w:u w:val="single" w:color="auto"/>
                <w:lang w:val="en-US" w:eastAsia="zh-CN"/>
                <w14:textFill>
                  <w14:solidFill>
                    <w14:schemeClr w14:val="tx1"/>
                  </w14:solidFill>
                </w14:textFill>
              </w:rPr>
              <w:t>本项目建设完成后，根据关于印发《湖南省突发环境事件应急预案管理办法(修订版)》的通知(湘环发(2024)49号)，涉及生产、加工、使用、存储或释放、运输危险化学品、危险废物，以及存在环境风险的新污染物和涉重金属物质的:涉及尾矿库包括湿式堆存工业废渣库(场)、电厂灰渣库(场)的:环境影响评价文件中有要求的企业事业单位，当其环境风险物质的Q&lt;1时，结合该企业事业单位的Q、M、E值的实际情况，对该单位环境应急预案实行备案或豁免管理。</w:t>
            </w:r>
          </w:p>
          <w:p w14:paraId="01F8E860">
            <w:pPr>
              <w:pStyle w:val="40"/>
              <w:bidi w:val="0"/>
              <w:rPr>
                <w:rFonts w:hint="default"/>
                <w:b/>
                <w:bCs/>
                <w:u w:val="none" w:color="auto"/>
                <w:lang w:val="en-US" w:eastAsia="zh-CN"/>
              </w:rPr>
            </w:pPr>
            <w:r>
              <w:rPr>
                <w:rFonts w:hint="eastAsia"/>
                <w:b/>
                <w:bCs/>
                <w:u w:val="none" w:color="auto"/>
                <w:lang w:val="en-US" w:eastAsia="zh-CN"/>
              </w:rPr>
              <w:t>2</w:t>
            </w:r>
            <w:r>
              <w:rPr>
                <w:b/>
                <w:bCs/>
                <w:u w:val="none" w:color="auto"/>
              </w:rPr>
              <w:t>、</w:t>
            </w:r>
            <w:r>
              <w:rPr>
                <w:rFonts w:hint="default"/>
                <w:b/>
                <w:bCs/>
                <w:u w:val="none" w:color="auto"/>
                <w:lang w:val="en-US" w:eastAsia="zh-CN"/>
              </w:rPr>
              <w:t>环境风险识别</w:t>
            </w:r>
            <w:r>
              <w:rPr>
                <w:rFonts w:hint="eastAsia"/>
                <w:b/>
                <w:bCs/>
                <w:u w:val="none" w:color="auto"/>
                <w:lang w:val="en-US" w:eastAsia="zh-CN"/>
              </w:rPr>
              <w:t>及分析</w:t>
            </w:r>
          </w:p>
          <w:p w14:paraId="404DD6AA">
            <w:pPr>
              <w:pStyle w:val="40"/>
              <w:bidi w:val="0"/>
              <w:rPr>
                <w:rFonts w:hint="default"/>
                <w:u w:val="none" w:color="auto"/>
                <w:lang w:val="en-US" w:eastAsia="zh-CN"/>
              </w:rPr>
            </w:pPr>
            <w:r>
              <w:rPr>
                <w:rFonts w:hint="default"/>
                <w:u w:val="none" w:color="auto"/>
                <w:lang w:val="en-US" w:eastAsia="zh-CN"/>
              </w:rPr>
              <w:t>本项目建成后，运营期风险识别结果见表4-</w:t>
            </w:r>
            <w:r>
              <w:rPr>
                <w:rFonts w:hint="eastAsia"/>
                <w:u w:val="none" w:color="auto"/>
                <w:lang w:val="en-US" w:eastAsia="zh-CN"/>
              </w:rPr>
              <w:t>24</w:t>
            </w:r>
            <w:r>
              <w:rPr>
                <w:rFonts w:hint="default"/>
                <w:u w:val="none" w:color="auto"/>
                <w:lang w:val="en-US" w:eastAsia="zh-CN"/>
              </w:rPr>
              <w:t>。</w:t>
            </w:r>
          </w:p>
          <w:p w14:paraId="2922267F">
            <w:pPr>
              <w:pStyle w:val="42"/>
              <w:bidi w:val="0"/>
              <w:rPr>
                <w:rFonts w:hint="default"/>
                <w:u w:val="none" w:color="auto"/>
                <w:lang w:val="en-US" w:eastAsia="zh-CN"/>
              </w:rPr>
            </w:pPr>
            <w:r>
              <w:rPr>
                <w:rFonts w:hint="default"/>
                <w:u w:val="none" w:color="auto"/>
                <w:lang w:val="en-US" w:eastAsia="zh-CN"/>
              </w:rPr>
              <w:t>表4-</w:t>
            </w:r>
            <w:r>
              <w:rPr>
                <w:rFonts w:hint="eastAsia"/>
                <w:u w:val="none" w:color="auto"/>
                <w:lang w:val="en-US" w:eastAsia="zh-CN"/>
              </w:rPr>
              <w:t>24</w:t>
            </w:r>
            <w:r>
              <w:rPr>
                <w:rFonts w:hint="default"/>
                <w:u w:val="none" w:color="auto"/>
                <w:lang w:val="en-US" w:eastAsia="zh-CN"/>
              </w:rPr>
              <w:t xml:space="preserve"> 风险识别结果</w:t>
            </w:r>
          </w:p>
          <w:tbl>
            <w:tblPr>
              <w:tblStyle w:val="33"/>
              <w:tblW w:w="4992" w:type="pct"/>
              <w:tblInd w:w="-15"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682"/>
              <w:gridCol w:w="1189"/>
              <w:gridCol w:w="2769"/>
              <w:gridCol w:w="2177"/>
              <w:gridCol w:w="1446"/>
            </w:tblGrid>
            <w:tr w14:paraId="5D211A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413" w:type="pct"/>
                  <w:tcBorders>
                    <w:tl2br w:val="nil"/>
                    <w:tr2bl w:val="nil"/>
                  </w:tcBorders>
                  <w:noWrap w:val="0"/>
                  <w:vAlign w:val="center"/>
                </w:tcPr>
                <w:p w14:paraId="4669F2FE">
                  <w:pPr>
                    <w:pStyle w:val="41"/>
                    <w:bidi w:val="0"/>
                    <w:rPr>
                      <w:u w:val="none" w:color="auto"/>
                    </w:rPr>
                  </w:pPr>
                  <w:r>
                    <w:rPr>
                      <w:rFonts w:hint="eastAsia"/>
                      <w:u w:val="none" w:color="auto"/>
                    </w:rPr>
                    <w:t>序号</w:t>
                  </w:r>
                </w:p>
              </w:tc>
              <w:tc>
                <w:tcPr>
                  <w:tcW w:w="719" w:type="pct"/>
                  <w:tcBorders>
                    <w:tl2br w:val="nil"/>
                    <w:tr2bl w:val="nil"/>
                  </w:tcBorders>
                  <w:noWrap w:val="0"/>
                  <w:vAlign w:val="center"/>
                </w:tcPr>
                <w:p w14:paraId="5EA92DB3">
                  <w:pPr>
                    <w:pStyle w:val="41"/>
                    <w:bidi w:val="0"/>
                    <w:rPr>
                      <w:u w:val="none" w:color="auto"/>
                    </w:rPr>
                  </w:pPr>
                  <w:r>
                    <w:rPr>
                      <w:rFonts w:hint="eastAsia"/>
                      <w:u w:val="none" w:color="auto"/>
                    </w:rPr>
                    <w:t>风险源</w:t>
                  </w:r>
                </w:p>
              </w:tc>
              <w:tc>
                <w:tcPr>
                  <w:tcW w:w="1674" w:type="pct"/>
                  <w:tcBorders>
                    <w:tl2br w:val="nil"/>
                    <w:tr2bl w:val="nil"/>
                  </w:tcBorders>
                  <w:noWrap w:val="0"/>
                  <w:vAlign w:val="center"/>
                </w:tcPr>
                <w:p w14:paraId="6538EC6F">
                  <w:pPr>
                    <w:pStyle w:val="41"/>
                    <w:bidi w:val="0"/>
                    <w:rPr>
                      <w:u w:val="none" w:color="auto"/>
                    </w:rPr>
                  </w:pPr>
                  <w:r>
                    <w:rPr>
                      <w:rFonts w:hint="eastAsia"/>
                      <w:u w:val="none" w:color="auto"/>
                    </w:rPr>
                    <w:t>风险物质</w:t>
                  </w:r>
                </w:p>
              </w:tc>
              <w:tc>
                <w:tcPr>
                  <w:tcW w:w="1316" w:type="pct"/>
                  <w:tcBorders>
                    <w:tl2br w:val="nil"/>
                    <w:tr2bl w:val="nil"/>
                  </w:tcBorders>
                  <w:noWrap w:val="0"/>
                  <w:vAlign w:val="center"/>
                </w:tcPr>
                <w:p w14:paraId="02E08C3F">
                  <w:pPr>
                    <w:pStyle w:val="41"/>
                    <w:bidi w:val="0"/>
                    <w:rPr>
                      <w:u w:val="none" w:color="auto"/>
                    </w:rPr>
                  </w:pPr>
                  <w:r>
                    <w:rPr>
                      <w:rFonts w:hint="eastAsia"/>
                      <w:u w:val="none" w:color="auto"/>
                    </w:rPr>
                    <w:t>可能影响途径</w:t>
                  </w:r>
                </w:p>
              </w:tc>
              <w:tc>
                <w:tcPr>
                  <w:tcW w:w="874" w:type="pct"/>
                  <w:tcBorders>
                    <w:tl2br w:val="nil"/>
                    <w:tr2bl w:val="nil"/>
                  </w:tcBorders>
                  <w:noWrap w:val="0"/>
                  <w:vAlign w:val="center"/>
                </w:tcPr>
                <w:p w14:paraId="4C7520A4">
                  <w:pPr>
                    <w:pStyle w:val="41"/>
                    <w:bidi w:val="0"/>
                    <w:rPr>
                      <w:u w:val="none" w:color="auto"/>
                    </w:rPr>
                  </w:pPr>
                  <w:r>
                    <w:rPr>
                      <w:rFonts w:hint="eastAsia"/>
                      <w:u w:val="none" w:color="auto"/>
                    </w:rPr>
                    <w:t>环境风险类型</w:t>
                  </w:r>
                </w:p>
              </w:tc>
            </w:tr>
            <w:tr w14:paraId="0089D4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413" w:type="pct"/>
                  <w:tcBorders>
                    <w:tl2br w:val="nil"/>
                    <w:tr2bl w:val="nil"/>
                  </w:tcBorders>
                  <w:noWrap w:val="0"/>
                  <w:vAlign w:val="center"/>
                </w:tcPr>
                <w:p w14:paraId="3F04CA9B">
                  <w:pPr>
                    <w:pStyle w:val="41"/>
                    <w:bidi w:val="0"/>
                    <w:rPr>
                      <w:rFonts w:hint="eastAsia"/>
                      <w:u w:val="none" w:color="auto"/>
                      <w:lang w:eastAsia="zh-CN"/>
                    </w:rPr>
                  </w:pPr>
                  <w:r>
                    <w:rPr>
                      <w:rFonts w:hint="default"/>
                      <w:u w:val="none" w:color="auto"/>
                      <w:lang w:val="en-US" w:eastAsia="zh-CN"/>
                    </w:rPr>
                    <w:t>1</w:t>
                  </w:r>
                </w:p>
              </w:tc>
              <w:tc>
                <w:tcPr>
                  <w:tcW w:w="719" w:type="pct"/>
                  <w:tcBorders>
                    <w:tl2br w:val="nil"/>
                    <w:tr2bl w:val="nil"/>
                  </w:tcBorders>
                  <w:noWrap w:val="0"/>
                  <w:vAlign w:val="center"/>
                </w:tcPr>
                <w:p w14:paraId="58DAB86B">
                  <w:pPr>
                    <w:pStyle w:val="41"/>
                    <w:bidi w:val="0"/>
                    <w:rPr>
                      <w:u w:val="none" w:color="auto"/>
                    </w:rPr>
                  </w:pPr>
                  <w:r>
                    <w:rPr>
                      <w:rFonts w:hint="eastAsia"/>
                      <w:u w:val="none" w:color="auto"/>
                    </w:rPr>
                    <w:t>废气处理设施</w:t>
                  </w:r>
                </w:p>
              </w:tc>
              <w:tc>
                <w:tcPr>
                  <w:tcW w:w="1674" w:type="pct"/>
                  <w:tcBorders>
                    <w:tl2br w:val="nil"/>
                    <w:tr2bl w:val="nil"/>
                  </w:tcBorders>
                  <w:noWrap w:val="0"/>
                  <w:vAlign w:val="center"/>
                </w:tcPr>
                <w:p w14:paraId="7D8DD7B8">
                  <w:pPr>
                    <w:pStyle w:val="41"/>
                    <w:bidi w:val="0"/>
                    <w:rPr>
                      <w:rFonts w:hint="default"/>
                      <w:u w:val="none" w:color="auto"/>
                      <w:lang w:val="en-US" w:eastAsia="zh-CN"/>
                    </w:rPr>
                  </w:pPr>
                  <w:r>
                    <w:rPr>
                      <w:rFonts w:hint="eastAsia"/>
                      <w:u w:val="single" w:color="auto"/>
                      <w:lang w:val="en-US" w:eastAsia="zh-CN"/>
                    </w:rPr>
                    <w:t>颗粒物、锡及其化合物、VOCs、苯系物</w:t>
                  </w:r>
                </w:p>
              </w:tc>
              <w:tc>
                <w:tcPr>
                  <w:tcW w:w="1316" w:type="pct"/>
                  <w:tcBorders>
                    <w:tl2br w:val="nil"/>
                    <w:tr2bl w:val="nil"/>
                  </w:tcBorders>
                  <w:noWrap w:val="0"/>
                  <w:vAlign w:val="center"/>
                </w:tcPr>
                <w:p w14:paraId="5730F0C1">
                  <w:pPr>
                    <w:pStyle w:val="41"/>
                    <w:bidi w:val="0"/>
                    <w:rPr>
                      <w:u w:val="none" w:color="auto"/>
                    </w:rPr>
                  </w:pPr>
                  <w:r>
                    <w:rPr>
                      <w:rFonts w:hint="eastAsia"/>
                      <w:u w:val="none" w:color="auto"/>
                    </w:rPr>
                    <w:t>非正常排放影响周边大气环境</w:t>
                  </w:r>
                </w:p>
              </w:tc>
              <w:tc>
                <w:tcPr>
                  <w:tcW w:w="874" w:type="pct"/>
                  <w:tcBorders>
                    <w:tl2br w:val="nil"/>
                    <w:tr2bl w:val="nil"/>
                  </w:tcBorders>
                  <w:noWrap w:val="0"/>
                  <w:vAlign w:val="center"/>
                </w:tcPr>
                <w:p w14:paraId="1EAE4E09">
                  <w:pPr>
                    <w:pStyle w:val="41"/>
                    <w:bidi w:val="0"/>
                    <w:rPr>
                      <w:u w:val="none" w:color="auto"/>
                    </w:rPr>
                  </w:pPr>
                  <w:r>
                    <w:rPr>
                      <w:rFonts w:hint="eastAsia"/>
                      <w:u w:val="none" w:color="auto"/>
                    </w:rPr>
                    <w:t>废气处理设施故障</w:t>
                  </w:r>
                </w:p>
              </w:tc>
            </w:tr>
            <w:tr w14:paraId="09498B9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413" w:type="pct"/>
                  <w:tcBorders>
                    <w:tl2br w:val="nil"/>
                    <w:tr2bl w:val="nil"/>
                  </w:tcBorders>
                  <w:noWrap w:val="0"/>
                  <w:vAlign w:val="center"/>
                </w:tcPr>
                <w:p w14:paraId="78DEF1E4">
                  <w:pPr>
                    <w:pStyle w:val="41"/>
                    <w:bidi w:val="0"/>
                    <w:rPr>
                      <w:rFonts w:hint="eastAsia"/>
                      <w:u w:val="none" w:color="auto"/>
                      <w:lang w:eastAsia="zh-CN"/>
                    </w:rPr>
                  </w:pPr>
                  <w:r>
                    <w:rPr>
                      <w:rFonts w:hint="eastAsia"/>
                      <w:u w:val="none" w:color="auto"/>
                      <w:lang w:val="en-US" w:eastAsia="zh-CN"/>
                    </w:rPr>
                    <w:t>2</w:t>
                  </w:r>
                </w:p>
              </w:tc>
              <w:tc>
                <w:tcPr>
                  <w:tcW w:w="719" w:type="pct"/>
                  <w:tcBorders>
                    <w:tl2br w:val="nil"/>
                    <w:tr2bl w:val="nil"/>
                  </w:tcBorders>
                  <w:noWrap w:val="0"/>
                  <w:vAlign w:val="center"/>
                </w:tcPr>
                <w:p w14:paraId="59F6119F">
                  <w:pPr>
                    <w:pStyle w:val="41"/>
                    <w:bidi w:val="0"/>
                    <w:rPr>
                      <w:rFonts w:hint="default" w:eastAsia="宋体"/>
                      <w:u w:val="none" w:color="auto"/>
                      <w:lang w:val="en-US" w:eastAsia="zh-CN"/>
                    </w:rPr>
                  </w:pPr>
                  <w:r>
                    <w:rPr>
                      <w:rFonts w:hint="eastAsia"/>
                      <w:u w:val="none" w:color="auto"/>
                      <w:lang w:val="en-US" w:eastAsia="zh-CN"/>
                    </w:rPr>
                    <w:t>危化品库</w:t>
                  </w:r>
                </w:p>
              </w:tc>
              <w:tc>
                <w:tcPr>
                  <w:tcW w:w="1674" w:type="pct"/>
                  <w:tcBorders>
                    <w:tl2br w:val="nil"/>
                    <w:tr2bl w:val="nil"/>
                  </w:tcBorders>
                  <w:noWrap w:val="0"/>
                  <w:vAlign w:val="center"/>
                </w:tcPr>
                <w:p w14:paraId="075DA9E5">
                  <w:pPr>
                    <w:pStyle w:val="41"/>
                    <w:bidi w:val="0"/>
                    <w:rPr>
                      <w:rFonts w:hint="default"/>
                      <w:u w:val="none" w:color="auto"/>
                      <w:lang w:val="en-US" w:eastAsia="zh-CN"/>
                    </w:rPr>
                  </w:pPr>
                  <w:r>
                    <w:rPr>
                      <w:rFonts w:hint="eastAsia"/>
                      <w:u w:val="none" w:color="auto"/>
                      <w:lang w:val="en-US" w:eastAsia="zh-CN"/>
                    </w:rPr>
                    <w:t>绝缘漆、稀释剂、环氧树脂AB胶、助焊剂</w:t>
                  </w:r>
                </w:p>
              </w:tc>
              <w:tc>
                <w:tcPr>
                  <w:tcW w:w="1316" w:type="pct"/>
                  <w:tcBorders>
                    <w:tl2br w:val="nil"/>
                    <w:tr2bl w:val="nil"/>
                  </w:tcBorders>
                  <w:noWrap w:val="0"/>
                  <w:vAlign w:val="center"/>
                </w:tcPr>
                <w:p w14:paraId="5E84CF18">
                  <w:pPr>
                    <w:pStyle w:val="21"/>
                    <w:jc w:val="center"/>
                    <w:rPr>
                      <w:sz w:val="21"/>
                      <w:szCs w:val="21"/>
                      <w:u w:val="none" w:color="auto"/>
                    </w:rPr>
                  </w:pPr>
                  <w:r>
                    <w:rPr>
                      <w:rFonts w:hint="eastAsia" w:ascii="Times New Roman"/>
                      <w:color w:val="000000"/>
                      <w:sz w:val="21"/>
                      <w:szCs w:val="21"/>
                    </w:rPr>
                    <w:t>泄漏</w:t>
                  </w:r>
                  <w:r>
                    <w:rPr>
                      <w:rFonts w:ascii="Times New Roman"/>
                      <w:color w:val="000000"/>
                      <w:sz w:val="21"/>
                      <w:szCs w:val="21"/>
                    </w:rPr>
                    <w:t>、火灾</w:t>
                  </w:r>
                </w:p>
              </w:tc>
              <w:tc>
                <w:tcPr>
                  <w:tcW w:w="874" w:type="pct"/>
                  <w:tcBorders>
                    <w:tl2br w:val="nil"/>
                    <w:tr2bl w:val="nil"/>
                  </w:tcBorders>
                  <w:noWrap w:val="0"/>
                  <w:vAlign w:val="center"/>
                </w:tcPr>
                <w:p w14:paraId="01BB6AD5">
                  <w:pPr>
                    <w:pStyle w:val="41"/>
                    <w:bidi w:val="0"/>
                    <w:rPr>
                      <w:rFonts w:hint="eastAsia"/>
                      <w:u w:val="none" w:color="auto"/>
                      <w:lang w:eastAsia="zh-CN"/>
                    </w:rPr>
                  </w:pPr>
                  <w:r>
                    <w:rPr>
                      <w:rFonts w:hint="eastAsia" w:ascii="Times New Roman"/>
                      <w:color w:val="000000"/>
                      <w:szCs w:val="21"/>
                      <w:lang w:eastAsia="zh-CN"/>
                    </w:rPr>
                    <w:t>泄漏或火灾可能对周边大气环境、地表水、土壤等造成污染</w:t>
                  </w:r>
                </w:p>
              </w:tc>
            </w:tr>
            <w:tr w14:paraId="5B6D95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413" w:type="pct"/>
                  <w:tcBorders>
                    <w:tl2br w:val="nil"/>
                    <w:tr2bl w:val="nil"/>
                  </w:tcBorders>
                  <w:noWrap w:val="0"/>
                  <w:vAlign w:val="center"/>
                </w:tcPr>
                <w:p w14:paraId="2EDC2786">
                  <w:pPr>
                    <w:pStyle w:val="41"/>
                    <w:bidi w:val="0"/>
                    <w:rPr>
                      <w:rFonts w:hint="default"/>
                      <w:u w:val="none" w:color="auto"/>
                      <w:lang w:val="en-US" w:eastAsia="zh-CN"/>
                    </w:rPr>
                  </w:pPr>
                  <w:r>
                    <w:rPr>
                      <w:rFonts w:hint="eastAsia"/>
                      <w:u w:val="none" w:color="auto"/>
                      <w:lang w:val="en-US" w:eastAsia="zh-CN"/>
                    </w:rPr>
                    <w:t>3</w:t>
                  </w:r>
                </w:p>
              </w:tc>
              <w:tc>
                <w:tcPr>
                  <w:tcW w:w="719" w:type="pct"/>
                  <w:tcBorders>
                    <w:tl2br w:val="nil"/>
                    <w:tr2bl w:val="nil"/>
                  </w:tcBorders>
                  <w:noWrap w:val="0"/>
                  <w:vAlign w:val="center"/>
                </w:tcPr>
                <w:p w14:paraId="6363EF86">
                  <w:pPr>
                    <w:pStyle w:val="41"/>
                    <w:bidi w:val="0"/>
                    <w:rPr>
                      <w:rFonts w:hint="default"/>
                      <w:u w:val="none" w:color="auto"/>
                      <w:lang w:val="en-US" w:eastAsia="zh-CN"/>
                    </w:rPr>
                  </w:pPr>
                  <w:r>
                    <w:rPr>
                      <w:rFonts w:hint="eastAsia"/>
                      <w:u w:val="none" w:color="auto"/>
                      <w:lang w:val="en-US" w:eastAsia="zh-CN"/>
                    </w:rPr>
                    <w:t>危废暂存间</w:t>
                  </w:r>
                </w:p>
              </w:tc>
              <w:tc>
                <w:tcPr>
                  <w:tcW w:w="1674" w:type="pct"/>
                  <w:tcBorders>
                    <w:tl2br w:val="nil"/>
                    <w:tr2bl w:val="nil"/>
                  </w:tcBorders>
                  <w:noWrap w:val="0"/>
                  <w:vAlign w:val="center"/>
                </w:tcPr>
                <w:p w14:paraId="5DF2EFEA">
                  <w:pPr>
                    <w:pStyle w:val="41"/>
                    <w:bidi w:val="0"/>
                    <w:rPr>
                      <w:rFonts w:hint="default"/>
                      <w:u w:val="none" w:color="auto"/>
                      <w:lang w:val="en-US" w:eastAsia="zh-CN"/>
                    </w:rPr>
                  </w:pPr>
                  <w:r>
                    <w:rPr>
                      <w:rFonts w:hint="eastAsia"/>
                      <w:u w:val="none" w:color="auto"/>
                      <w:lang w:val="en-US" w:eastAsia="zh-CN"/>
                    </w:rPr>
                    <w:t>废活性炭、废原料桶</w:t>
                  </w:r>
                </w:p>
              </w:tc>
              <w:tc>
                <w:tcPr>
                  <w:tcW w:w="1316" w:type="pct"/>
                  <w:tcBorders>
                    <w:tl2br w:val="nil"/>
                    <w:tr2bl w:val="nil"/>
                  </w:tcBorders>
                  <w:noWrap w:val="0"/>
                  <w:vAlign w:val="center"/>
                </w:tcPr>
                <w:p w14:paraId="331E5910">
                  <w:pPr>
                    <w:pStyle w:val="21"/>
                    <w:jc w:val="center"/>
                    <w:rPr>
                      <w:rFonts w:hint="eastAsia"/>
                      <w:sz w:val="21"/>
                      <w:szCs w:val="21"/>
                      <w:u w:val="none" w:color="auto"/>
                      <w:lang w:val="en-US" w:eastAsia="zh-CN"/>
                    </w:rPr>
                  </w:pPr>
                  <w:r>
                    <w:rPr>
                      <w:rFonts w:hint="eastAsia" w:ascii="Times New Roman"/>
                      <w:color w:val="000000"/>
                      <w:sz w:val="21"/>
                      <w:szCs w:val="21"/>
                      <w:lang w:eastAsia="zh-CN"/>
                    </w:rPr>
                    <w:t>泄漏、火灾</w:t>
                  </w:r>
                </w:p>
              </w:tc>
              <w:tc>
                <w:tcPr>
                  <w:tcW w:w="874" w:type="pct"/>
                  <w:tcBorders>
                    <w:tl2br w:val="nil"/>
                    <w:tr2bl w:val="nil"/>
                  </w:tcBorders>
                  <w:noWrap w:val="0"/>
                  <w:vAlign w:val="center"/>
                </w:tcPr>
                <w:p w14:paraId="2662CCC9">
                  <w:pPr>
                    <w:pStyle w:val="41"/>
                    <w:bidi w:val="0"/>
                    <w:rPr>
                      <w:rFonts w:hint="eastAsia"/>
                      <w:u w:val="none" w:color="auto"/>
                      <w:lang w:eastAsia="zh-CN"/>
                    </w:rPr>
                  </w:pPr>
                  <w:r>
                    <w:rPr>
                      <w:rFonts w:hint="eastAsia" w:ascii="Times New Roman"/>
                      <w:color w:val="000000"/>
                      <w:szCs w:val="21"/>
                      <w:lang w:eastAsia="zh-CN"/>
                    </w:rPr>
                    <w:t>泄漏或火灾可能对周边大气环境、地表水、土壤等造成污染</w:t>
                  </w:r>
                </w:p>
              </w:tc>
            </w:tr>
          </w:tbl>
          <w:p w14:paraId="3770AB42">
            <w:pPr>
              <w:adjustRightInd w:val="0"/>
              <w:snapToGrid w:val="0"/>
              <w:spacing w:line="360" w:lineRule="auto"/>
              <w:ind w:firstLine="480" w:firstLineChars="200"/>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t>(1)大气:项目废气处理设施故障会造成有机废气未经处理直接进入大气，从而导致周围环境空气污染</w:t>
            </w:r>
            <w:r>
              <w:rPr>
                <w:rFonts w:hint="eastAsia" w:cs="Times New Roman"/>
                <w:b w:val="0"/>
                <w:bCs w:val="0"/>
                <w:color w:val="000000" w:themeColor="text1"/>
                <w:sz w:val="24"/>
                <w:u w:val="none" w:color="auto"/>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t>废</w:t>
            </w:r>
            <w:r>
              <w:rPr>
                <w:rFonts w:hint="eastAsia" w:cs="Times New Roman"/>
                <w:b w:val="0"/>
                <w:bCs w:val="0"/>
                <w:color w:val="000000" w:themeColor="text1"/>
                <w:sz w:val="24"/>
                <w:u w:val="none" w:color="auto"/>
                <w:lang w:val="en-US" w:eastAsia="zh-CN"/>
                <w14:textFill>
                  <w14:solidFill>
                    <w14:schemeClr w14:val="tx1"/>
                  </w14:solidFill>
                </w14:textFill>
              </w:rPr>
              <w:t>原料</w:t>
            </w:r>
            <w:r>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t>桶、</w:t>
            </w:r>
            <w:r>
              <w:rPr>
                <w:rFonts w:hint="eastAsia" w:cs="Times New Roman"/>
                <w:b w:val="0"/>
                <w:bCs w:val="0"/>
                <w:color w:val="000000" w:themeColor="text1"/>
                <w:sz w:val="24"/>
                <w:u w:val="none" w:color="auto"/>
                <w:lang w:val="en-US" w:eastAsia="zh-CN"/>
                <w14:textFill>
                  <w14:solidFill>
                    <w14:schemeClr w14:val="tx1"/>
                  </w14:solidFill>
                </w14:textFill>
              </w:rPr>
              <w:t>废润滑油及油桶、</w:t>
            </w:r>
            <w:r>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t>废活性炭</w:t>
            </w:r>
            <w:r>
              <w:rPr>
                <w:rFonts w:hint="eastAsia" w:cs="Times New Roman"/>
                <w:b w:val="0"/>
                <w:bCs w:val="0"/>
                <w:color w:val="000000" w:themeColor="text1"/>
                <w:sz w:val="24"/>
                <w:u w:val="none" w:color="auto"/>
                <w:lang w:val="en-US" w:eastAsia="zh-CN"/>
                <w14:textFill>
                  <w14:solidFill>
                    <w14:schemeClr w14:val="tx1"/>
                  </w14:solidFill>
                </w14:textFill>
              </w:rPr>
              <w:t>等</w:t>
            </w:r>
            <w:r>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t>泄漏，有害物质暴露在空气中，对大气环境造成影响;当项目厂区内部发生火灾事故时，其产生的高温烟尘及火灾燃烧产物会对周围环境造成二次污染。</w:t>
            </w:r>
          </w:p>
          <w:p w14:paraId="73F14C54">
            <w:pPr>
              <w:adjustRightInd w:val="0"/>
              <w:snapToGrid w:val="0"/>
              <w:spacing w:line="360" w:lineRule="auto"/>
              <w:ind w:firstLine="480" w:firstLineChars="200"/>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t>(2)地表水:项目危废暂存间没有做好防雨、防渗、防腐措施，导致发生泄漏进入周围环境，影响地表水环境，对水生生物产生一定程度的影响;当项目厂区内部发生火灾事故时，灭火过程中产生的消防废水未截留在厂区内，可能会随着地面径流进入雨水管网，直接进入外部水体环境中，污染地表水环境。</w:t>
            </w:r>
          </w:p>
          <w:p w14:paraId="00D8B9AF">
            <w:pPr>
              <w:adjustRightInd w:val="0"/>
              <w:snapToGrid w:val="0"/>
              <w:spacing w:line="360" w:lineRule="auto"/>
              <w:ind w:firstLine="480" w:firstLineChars="200"/>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t>(3)地下水/土壤:污染地表水的有毒有害物质未能及时有效处理，从而进入地下水体和土壤，污染了地下水和土壤环境。</w:t>
            </w:r>
          </w:p>
          <w:p w14:paraId="78DDADEF">
            <w:pPr>
              <w:adjustRightInd w:val="0"/>
              <w:snapToGrid w:val="0"/>
              <w:spacing w:line="360" w:lineRule="auto"/>
              <w:ind w:firstLine="482" w:firstLineChars="200"/>
              <w:rPr>
                <w:rFonts w:hint="default" w:ascii="Times New Roman" w:hAnsi="Times New Roman" w:eastAsia="宋体" w:cs="Times New Roman"/>
                <w:b/>
                <w:bCs/>
                <w:color w:val="000000" w:themeColor="text1"/>
                <w:sz w:val="24"/>
                <w:u w:val="none" w:color="auto"/>
                <w:lang w:val="en-US"/>
                <w14:textFill>
                  <w14:solidFill>
                    <w14:schemeClr w14:val="tx1"/>
                  </w14:solidFill>
                </w14:textFill>
              </w:rPr>
            </w:pPr>
            <w:r>
              <w:rPr>
                <w:rFonts w:hint="eastAsia" w:cs="Times New Roman"/>
                <w:b/>
                <w:bCs/>
                <w:color w:val="000000" w:themeColor="text1"/>
                <w:sz w:val="24"/>
                <w:u w:val="none" w:color="auto"/>
                <w:lang w:val="en-US" w:eastAsia="zh-CN"/>
                <w14:textFill>
                  <w14:solidFill>
                    <w14:schemeClr w14:val="tx1"/>
                  </w14:solidFill>
                </w14:textFill>
              </w:rPr>
              <w:t>3</w:t>
            </w:r>
            <w:r>
              <w:rPr>
                <w:rFonts w:hint="eastAsia" w:ascii="Times New Roman" w:hAnsi="Times New Roman" w:eastAsia="宋体" w:cs="Times New Roman"/>
                <w:b/>
                <w:bCs/>
                <w:color w:val="000000" w:themeColor="text1"/>
                <w:sz w:val="24"/>
                <w:u w:val="none" w:color="auto"/>
                <w:lang w:val="en-US" w:eastAsia="zh-CN"/>
                <w14:textFill>
                  <w14:solidFill>
                    <w14:schemeClr w14:val="tx1"/>
                  </w14:solidFill>
                </w14:textFill>
              </w:rPr>
              <w:t>、环境风险分析</w:t>
            </w:r>
            <w:r>
              <w:rPr>
                <w:rFonts w:hint="eastAsia" w:cs="Times New Roman"/>
                <w:b/>
                <w:bCs/>
                <w:color w:val="000000" w:themeColor="text1"/>
                <w:sz w:val="24"/>
                <w:u w:val="none" w:color="auto"/>
                <w:lang w:val="en-US" w:eastAsia="zh-CN"/>
                <w14:textFill>
                  <w14:solidFill>
                    <w14:schemeClr w14:val="tx1"/>
                  </w14:solidFill>
                </w14:textFill>
              </w:rPr>
              <w:t>及防范措施</w:t>
            </w:r>
          </w:p>
          <w:p w14:paraId="30603CE3">
            <w:pPr>
              <w:adjustRightInd w:val="0"/>
              <w:snapToGrid w:val="0"/>
              <w:spacing w:line="360" w:lineRule="auto"/>
              <w:ind w:firstLine="480" w:firstLineChars="200"/>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u w:val="none" w:color="auto"/>
                <w:lang w:val="en-US" w:eastAsia="zh-CN"/>
                <w14:textFill>
                  <w14:solidFill>
                    <w14:schemeClr w14:val="tx1"/>
                  </w14:solidFill>
                </w14:textFill>
              </w:rPr>
              <w:t>(1)项目废气收集设施破损防范措施:</w:t>
            </w:r>
          </w:p>
          <w:p w14:paraId="6A42F48C">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①项目废气收集设施采用正规设计厂家生产的设备，且安装时按正规要求安装。</w:t>
            </w:r>
          </w:p>
          <w:p w14:paraId="7C5D39E6">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②项目安排专人定期检查维修保养废气收集设施。</w:t>
            </w:r>
          </w:p>
          <w:p w14:paraId="57284D9E">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③当发现废气收集设施有破损时，应当立即停止生产。</w:t>
            </w:r>
          </w:p>
          <w:p w14:paraId="59298869">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(2)火灾伴生/次生物危险防范措施</w:t>
            </w:r>
          </w:p>
          <w:p w14:paraId="2B065B5A">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①在生产过程中，严格控制明火源，避免在易燃物附近使用明火。</w:t>
            </w:r>
          </w:p>
          <w:p w14:paraId="787E49CC">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②实施动火作业时，必须遵守相关安全规定。</w:t>
            </w:r>
          </w:p>
          <w:p w14:paraId="7DAD1441">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③保持通风良好，防止蒸汽和可燃气体聚集。</w:t>
            </w:r>
          </w:p>
          <w:p w14:paraId="754E8DE7">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④及时清理和妥善存放可燃物品。</w:t>
            </w:r>
          </w:p>
          <w:p w14:paraId="6CA8CCC1">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⑤配备合格灭火器材并确保员工熟悉使用方法。</w:t>
            </w:r>
          </w:p>
          <w:p w14:paraId="326B3DC0">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⑥在仓库、车间设置门槛或墁坡，发生应急事故时产生的废水能截留在仓库或车间内，以免废水对周围环境造成二次污染。</w:t>
            </w:r>
          </w:p>
          <w:p w14:paraId="704EAC01">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(3)项目危废暂存间防范措施:</w:t>
            </w:r>
          </w:p>
          <w:p w14:paraId="775848ED">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①项目危险废物定期更换后避免露天存放，需要使用密闭包装桶盛装。</w:t>
            </w:r>
          </w:p>
          <w:p w14:paraId="5C47398E">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②危险废物临时堆放场要做好防风、防雨、防晒;卸料及搬运时要轻拿轻放，以免损坏包装，引起泄漏。</w:t>
            </w:r>
          </w:p>
          <w:p w14:paraId="10A7680E">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（4）项目危化品库防范措施</w:t>
            </w:r>
          </w:p>
          <w:p w14:paraId="2C60682A">
            <w:pPr>
              <w:adjustRightInd w:val="0"/>
              <w:snapToGrid w:val="0"/>
              <w:spacing w:line="360" w:lineRule="auto"/>
              <w:ind w:firstLine="480" w:firstLineChars="200"/>
              <w:rPr>
                <w:rFonts w:hint="default"/>
                <w:b w:val="0"/>
                <w:bCs w:val="0"/>
                <w:u w:val="none" w:color="auto"/>
                <w:lang w:val="en-US" w:eastAsia="zh-CN"/>
              </w:rPr>
            </w:pPr>
            <w:r>
              <w:rPr>
                <w:rFonts w:hint="eastAsia"/>
                <w:b w:val="0"/>
                <w:bCs w:val="0"/>
                <w:u w:val="none" w:color="auto"/>
                <w:lang w:val="en-US" w:eastAsia="zh-CN"/>
              </w:rPr>
              <w:t>①绝缘漆、</w:t>
            </w:r>
            <w:r>
              <w:rPr>
                <w:rFonts w:hint="default"/>
                <w:b w:val="0"/>
                <w:bCs w:val="0"/>
                <w:u w:val="none" w:color="auto"/>
                <w:lang w:val="en-US" w:eastAsia="zh-CN"/>
              </w:rPr>
              <w:t>稀释剂</w:t>
            </w:r>
            <w:r>
              <w:rPr>
                <w:rFonts w:hint="eastAsia"/>
                <w:b w:val="0"/>
                <w:bCs w:val="0"/>
                <w:u w:val="none" w:color="auto"/>
                <w:lang w:val="en-US" w:eastAsia="zh-CN"/>
              </w:rPr>
              <w:t>等危化品</w:t>
            </w:r>
            <w:r>
              <w:rPr>
                <w:rFonts w:hint="default"/>
                <w:b w:val="0"/>
                <w:bCs w:val="0"/>
                <w:u w:val="none" w:color="auto"/>
                <w:lang w:val="en-US" w:eastAsia="zh-CN"/>
              </w:rPr>
              <w:t>必须按规定设置警示标志，分类管理，分类存放;配备必要的危险品事故防范和应急技术装备。</w:t>
            </w:r>
          </w:p>
          <w:p w14:paraId="0D5C3BE7">
            <w:pPr>
              <w:adjustRightInd w:val="0"/>
              <w:snapToGrid w:val="0"/>
              <w:spacing w:line="360" w:lineRule="auto"/>
              <w:ind w:firstLine="480" w:firstLineChars="200"/>
              <w:rPr>
                <w:rFonts w:hint="default"/>
                <w:b w:val="0"/>
                <w:bCs w:val="0"/>
                <w:u w:val="none" w:color="auto"/>
                <w:lang w:val="en-US" w:eastAsia="zh-CN"/>
              </w:rPr>
            </w:pPr>
            <w:r>
              <w:rPr>
                <w:rFonts w:hint="eastAsia"/>
                <w:b w:val="0"/>
                <w:bCs w:val="0"/>
                <w:u w:val="none" w:color="auto"/>
                <w:lang w:val="en-US" w:eastAsia="zh-CN"/>
              </w:rPr>
              <w:t>②</w:t>
            </w:r>
            <w:r>
              <w:rPr>
                <w:rFonts w:hint="default"/>
                <w:b w:val="0"/>
                <w:bCs w:val="0"/>
                <w:u w:val="none" w:color="auto"/>
                <w:lang w:val="en-US" w:eastAsia="zh-CN"/>
              </w:rPr>
              <w:t>根据消防部门的要求配置消防设施。</w:t>
            </w:r>
          </w:p>
          <w:p w14:paraId="1BC6DBB6">
            <w:pPr>
              <w:adjustRightInd w:val="0"/>
              <w:snapToGrid w:val="0"/>
              <w:spacing w:line="360" w:lineRule="auto"/>
              <w:ind w:firstLine="480" w:firstLineChars="200"/>
              <w:rPr>
                <w:rFonts w:hint="default"/>
                <w:b w:val="0"/>
                <w:bCs w:val="0"/>
                <w:u w:val="none" w:color="auto"/>
                <w:lang w:val="en-US" w:eastAsia="zh-CN"/>
              </w:rPr>
            </w:pPr>
            <w:r>
              <w:rPr>
                <w:rFonts w:hint="eastAsia"/>
                <w:b w:val="0"/>
                <w:bCs w:val="0"/>
                <w:u w:val="none" w:color="auto"/>
                <w:lang w:val="en-US" w:eastAsia="zh-CN"/>
              </w:rPr>
              <w:t>③</w:t>
            </w:r>
            <w:r>
              <w:rPr>
                <w:rFonts w:hint="default"/>
                <w:b w:val="0"/>
                <w:bCs w:val="0"/>
                <w:u w:val="none" w:color="auto"/>
                <w:lang w:val="en-US" w:eastAsia="zh-CN"/>
              </w:rPr>
              <w:t>加强工作人员危险品贮存、使用</w:t>
            </w:r>
            <w:r>
              <w:rPr>
                <w:rFonts w:hint="eastAsia"/>
                <w:b w:val="0"/>
                <w:bCs w:val="0"/>
                <w:u w:val="none" w:color="auto"/>
                <w:lang w:val="en-US" w:eastAsia="zh-CN"/>
              </w:rPr>
              <w:t>绝缘漆</w:t>
            </w:r>
            <w:r>
              <w:rPr>
                <w:rFonts w:hint="default"/>
                <w:b w:val="0"/>
                <w:bCs w:val="0"/>
                <w:u w:val="none" w:color="auto"/>
                <w:lang w:val="en-US" w:eastAsia="zh-CN"/>
              </w:rPr>
              <w:t>/稀释剂事故防范和应急技术装备的常识，明确各岗位的职责，实行事故防范岗位责任制。</w:t>
            </w:r>
          </w:p>
          <w:p w14:paraId="6501AB74">
            <w:pPr>
              <w:adjustRightInd w:val="0"/>
              <w:snapToGrid w:val="0"/>
              <w:spacing w:line="360" w:lineRule="auto"/>
              <w:ind w:firstLine="480" w:firstLineChars="200"/>
              <w:rPr>
                <w:rFonts w:hint="default"/>
                <w:b w:val="0"/>
                <w:bCs w:val="0"/>
                <w:u w:val="none" w:color="auto"/>
                <w:lang w:val="en-US" w:eastAsia="zh-CN"/>
              </w:rPr>
            </w:pPr>
            <w:r>
              <w:rPr>
                <w:rFonts w:hint="eastAsia"/>
                <w:b w:val="0"/>
                <w:bCs w:val="0"/>
                <w:u w:val="none" w:color="auto"/>
                <w:lang w:val="en-US" w:eastAsia="zh-CN"/>
              </w:rPr>
              <w:t>④</w:t>
            </w:r>
            <w:r>
              <w:rPr>
                <w:rFonts w:hint="default"/>
                <w:b w:val="0"/>
                <w:bCs w:val="0"/>
                <w:u w:val="none" w:color="auto"/>
                <w:lang w:val="en-US" w:eastAsia="zh-CN"/>
              </w:rPr>
              <w:t>严格按贮存要求设计。严格按照《建筑设计防火规范》(GB50016-2014)等标准规范执行。</w:t>
            </w:r>
          </w:p>
          <w:p w14:paraId="31D1E122">
            <w:pPr>
              <w:adjustRightInd w:val="0"/>
              <w:snapToGrid w:val="0"/>
              <w:spacing w:line="360" w:lineRule="auto"/>
              <w:ind w:firstLine="480" w:firstLineChars="200"/>
              <w:rPr>
                <w:rFonts w:hint="default"/>
                <w:b w:val="0"/>
                <w:bCs w:val="0"/>
                <w:u w:val="none" w:color="auto"/>
                <w:lang w:val="en-US" w:eastAsia="zh-CN"/>
              </w:rPr>
            </w:pPr>
            <w:r>
              <w:rPr>
                <w:rFonts w:hint="eastAsia"/>
                <w:b w:val="0"/>
                <w:bCs w:val="0"/>
                <w:u w:val="none" w:color="auto"/>
                <w:lang w:val="en-US" w:eastAsia="zh-CN"/>
              </w:rPr>
              <w:t>⑤</w:t>
            </w:r>
            <w:r>
              <w:rPr>
                <w:rFonts w:hint="default"/>
                <w:b w:val="0"/>
                <w:bCs w:val="0"/>
                <w:u w:val="none" w:color="auto"/>
                <w:lang w:val="en-US" w:eastAsia="zh-CN"/>
              </w:rPr>
              <w:t>贮存</w:t>
            </w:r>
            <w:r>
              <w:rPr>
                <w:rFonts w:hint="eastAsia"/>
                <w:b w:val="0"/>
                <w:bCs w:val="0"/>
                <w:u w:val="none" w:color="auto"/>
                <w:lang w:val="en-US" w:eastAsia="zh-CN"/>
              </w:rPr>
              <w:t>绝缘漆、</w:t>
            </w:r>
            <w:r>
              <w:rPr>
                <w:rFonts w:hint="default"/>
                <w:b w:val="0"/>
                <w:bCs w:val="0"/>
                <w:u w:val="none" w:color="auto"/>
                <w:lang w:val="en-US" w:eastAsia="zh-CN"/>
              </w:rPr>
              <w:t>稀释剂</w:t>
            </w:r>
            <w:r>
              <w:rPr>
                <w:rFonts w:hint="eastAsia"/>
                <w:b w:val="0"/>
                <w:bCs w:val="0"/>
                <w:u w:val="none" w:color="auto"/>
                <w:lang w:val="en-US" w:eastAsia="zh-CN"/>
              </w:rPr>
              <w:t>等危化品的</w:t>
            </w:r>
            <w:r>
              <w:rPr>
                <w:rFonts w:hint="default"/>
                <w:b w:val="0"/>
                <w:bCs w:val="0"/>
                <w:u w:val="none" w:color="auto"/>
                <w:lang w:val="en-US" w:eastAsia="zh-CN"/>
              </w:rPr>
              <w:t>仓库管理人员，必须经过专业知识培训，持证上岗，同时配备有关的个人防火用品。</w:t>
            </w:r>
          </w:p>
          <w:p w14:paraId="00D1E127">
            <w:pPr>
              <w:adjustRightInd w:val="0"/>
              <w:snapToGrid w:val="0"/>
              <w:spacing w:line="360" w:lineRule="auto"/>
              <w:ind w:firstLine="480" w:firstLineChars="200"/>
              <w:rPr>
                <w:rFonts w:hint="default"/>
                <w:b w:val="0"/>
                <w:bCs w:val="0"/>
                <w:u w:val="none" w:color="auto"/>
                <w:lang w:val="en-US" w:eastAsia="zh-CN"/>
              </w:rPr>
            </w:pPr>
            <w:r>
              <w:rPr>
                <w:rFonts w:hint="eastAsia"/>
                <w:b w:val="0"/>
                <w:bCs w:val="0"/>
                <w:u w:val="none" w:color="auto"/>
                <w:lang w:val="en-US" w:eastAsia="zh-CN"/>
              </w:rPr>
              <w:t>⑥</w:t>
            </w:r>
            <w:r>
              <w:rPr>
                <w:rFonts w:hint="default"/>
                <w:b w:val="0"/>
                <w:bCs w:val="0"/>
                <w:u w:val="none" w:color="auto"/>
                <w:lang w:val="en-US" w:eastAsia="zh-CN"/>
              </w:rPr>
              <w:t>盛装危险化学品容器上必须贴相应的危险化学品标志。</w:t>
            </w:r>
          </w:p>
          <w:p w14:paraId="06ADBEC0">
            <w:pPr>
              <w:adjustRightInd w:val="0"/>
              <w:snapToGrid w:val="0"/>
              <w:spacing w:line="360" w:lineRule="auto"/>
              <w:ind w:firstLine="480" w:firstLineChars="200"/>
              <w:rPr>
                <w:rFonts w:hint="default"/>
                <w:b w:val="0"/>
                <w:bCs w:val="0"/>
                <w:u w:val="none" w:color="auto"/>
                <w:lang w:val="en-US" w:eastAsia="zh-CN"/>
              </w:rPr>
            </w:pPr>
            <w:r>
              <w:rPr>
                <w:rFonts w:hint="eastAsia"/>
                <w:b w:val="0"/>
                <w:bCs w:val="0"/>
                <w:u w:val="none" w:color="auto"/>
                <w:lang w:val="en-US" w:eastAsia="zh-CN"/>
              </w:rPr>
              <w:t>⑦</w:t>
            </w:r>
            <w:r>
              <w:rPr>
                <w:rFonts w:hint="default"/>
                <w:b w:val="0"/>
                <w:bCs w:val="0"/>
                <w:u w:val="none" w:color="auto"/>
                <w:lang w:val="en-US" w:eastAsia="zh-CN"/>
              </w:rPr>
              <w:t>库房、场所的消防设施、用电设施、防雷防静电设施等必须符合国家规定的安全要求。危险废物场所必须有专人24小时看管或者安装24小时监控系统。</w:t>
            </w:r>
          </w:p>
          <w:p w14:paraId="3D25561E">
            <w:pPr>
              <w:adjustRightInd w:val="0"/>
              <w:snapToGrid w:val="0"/>
              <w:spacing w:line="360" w:lineRule="auto"/>
              <w:ind w:firstLine="480" w:firstLineChars="200"/>
              <w:rPr>
                <w:rFonts w:hint="default"/>
                <w:b w:val="0"/>
                <w:bCs w:val="0"/>
                <w:u w:val="none" w:color="auto"/>
                <w:lang w:val="en-US" w:eastAsia="zh-CN"/>
              </w:rPr>
            </w:pPr>
            <w:r>
              <w:rPr>
                <w:rFonts w:hint="eastAsia"/>
                <w:b w:val="0"/>
                <w:bCs w:val="0"/>
                <w:u w:val="none" w:color="auto"/>
                <w:lang w:val="en-US" w:eastAsia="zh-CN"/>
              </w:rPr>
              <w:t>⑧</w:t>
            </w:r>
            <w:r>
              <w:rPr>
                <w:rFonts w:hint="default"/>
                <w:b w:val="0"/>
                <w:bCs w:val="0"/>
                <w:u w:val="none" w:color="auto"/>
                <w:lang w:val="en-US" w:eastAsia="zh-CN"/>
              </w:rPr>
              <w:t>仓库内配备足够数量的消防设备、干粉灭火器、消防沙等等。库房内使用冷光灯、防爆灯具。</w:t>
            </w:r>
          </w:p>
          <w:p w14:paraId="0C83D645">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（5）爆炸风险防范措施</w:t>
            </w:r>
          </w:p>
          <w:p w14:paraId="0ED98B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default"/>
                <w:lang w:val="en-US" w:eastAsia="zh-CN"/>
              </w:rPr>
              <w:t>化学品库房、含浸车间因涉及助焊剂、环氧树脂胶、绝缘漆及绝缘漆稀释剂的存在，这些物质含有的有机溶剂蒸汽能与空气形成爆炸性混合气体。为防范爆炸风险，建设单位拟采取的措施如下:</w:t>
            </w:r>
          </w:p>
          <w:p w14:paraId="5E137D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lang w:val="en-US" w:eastAsia="zh-CN"/>
              </w:rPr>
              <w:t>①</w:t>
            </w:r>
            <w:r>
              <w:rPr>
                <w:rFonts w:hint="default"/>
                <w:lang w:val="en-US" w:eastAsia="zh-CN"/>
              </w:rPr>
              <w:t>在化学品库房、含浸车间，根据安全评价结果，必要时安装可燃气体浓度报警仪，一旦化学品库房、含浸车间有害气体浓度过高，立即进行全面排查，直至查出泄漏源，完成处理后方可继续生产。</w:t>
            </w:r>
          </w:p>
          <w:p w14:paraId="7AD454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lang w:val="en-US" w:eastAsia="zh-CN"/>
              </w:rPr>
              <w:t>②</w:t>
            </w:r>
            <w:r>
              <w:rPr>
                <w:rFonts w:hint="default"/>
                <w:lang w:val="en-US" w:eastAsia="zh-CN"/>
              </w:rPr>
              <w:t>按照项目安全相关评价资料，安装符合要求的安全设施。</w:t>
            </w:r>
          </w:p>
          <w:p w14:paraId="20AFC3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lang w:val="en-US" w:eastAsia="zh-CN"/>
              </w:rPr>
              <w:t>③</w:t>
            </w:r>
            <w:r>
              <w:rPr>
                <w:rFonts w:hint="default"/>
                <w:lang w:val="en-US" w:eastAsia="zh-CN"/>
              </w:rPr>
              <w:t>含浸车间的通风主要依靠环保风机，要加强环保风机的维护，保证含浸车间的通风量。</w:t>
            </w:r>
          </w:p>
          <w:p w14:paraId="627AAC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lang w:val="en-US" w:eastAsia="zh-CN"/>
              </w:rPr>
              <w:t>④</w:t>
            </w:r>
            <w:r>
              <w:rPr>
                <w:rFonts w:hint="default"/>
                <w:lang w:val="en-US" w:eastAsia="zh-CN"/>
              </w:rPr>
              <w:t>加强员工培训，操作人员应充分掌握本项目涉及的风险物质的危险特征，可能发生的风险事故类型以及防范措施。</w:t>
            </w:r>
          </w:p>
          <w:p w14:paraId="5921D1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lang w:val="en-US" w:eastAsia="zh-CN"/>
              </w:rPr>
              <w:t>⑤</w:t>
            </w:r>
            <w:r>
              <w:rPr>
                <w:rFonts w:hint="default"/>
                <w:lang w:val="en-US" w:eastAsia="zh-CN"/>
              </w:rPr>
              <w:t>加强含浸车间设备的操作培训，防止违规或错误操作导致绝缘漆、稀释剂等过多蒸发进入含浸车间。</w:t>
            </w:r>
          </w:p>
          <w:p w14:paraId="62ADF8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lang w:val="en-US" w:eastAsia="zh-CN"/>
              </w:rPr>
              <w:t>⑥</w:t>
            </w:r>
            <w:r>
              <w:rPr>
                <w:rFonts w:hint="default"/>
                <w:lang w:val="en-US" w:eastAsia="zh-CN"/>
              </w:rPr>
              <w:t>购买质量合格的真空含浸设备、烘箱及隧道炉，加强设备检维修，定期对设备进行维护，防止因设备故障形成的风险隐患。</w:t>
            </w:r>
          </w:p>
          <w:p w14:paraId="558DA8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lang w:val="en-US" w:eastAsia="zh-CN"/>
              </w:rPr>
              <w:t>⑦</w:t>
            </w:r>
            <w:r>
              <w:rPr>
                <w:rFonts w:hint="default"/>
                <w:lang w:val="en-US" w:eastAsia="zh-CN"/>
              </w:rPr>
              <w:t>企业突发环境事件应急预案应提出针对化学品库房、含浸车间可能发生的爆炸事故的专项应急处置措施。</w:t>
            </w:r>
          </w:p>
          <w:p w14:paraId="02A975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lang w:val="en-US" w:eastAsia="zh-CN"/>
              </w:rPr>
              <w:t>⑧</w:t>
            </w:r>
            <w:r>
              <w:rPr>
                <w:rFonts w:hint="default"/>
                <w:lang w:val="en-US" w:eastAsia="zh-CN"/>
              </w:rPr>
              <w:t>每次使用完含浸车间后，应打开门，充分通风。</w:t>
            </w:r>
          </w:p>
          <w:p w14:paraId="4933A307">
            <w:pPr>
              <w:adjustRightInd w:val="0"/>
              <w:snapToGrid w:val="0"/>
              <w:spacing w:line="360" w:lineRule="auto"/>
              <w:ind w:firstLine="480" w:firstLineChars="200"/>
              <w:rPr>
                <w:rFonts w:hint="eastAsia"/>
                <w:b w:val="0"/>
                <w:bCs w:val="0"/>
                <w:u w:val="none" w:color="auto"/>
                <w:lang w:val="en-US" w:eastAsia="zh-CN"/>
              </w:rPr>
            </w:pPr>
            <w:r>
              <w:rPr>
                <w:rFonts w:hint="eastAsia"/>
                <w:b w:val="0"/>
                <w:bCs w:val="0"/>
                <w:u w:val="none" w:color="auto"/>
                <w:lang w:val="en-US" w:eastAsia="zh-CN"/>
              </w:rPr>
              <w:t>（6）制定突发环境事件应急预案</w:t>
            </w:r>
          </w:p>
          <w:p w14:paraId="3BBA005C">
            <w:pPr>
              <w:adjustRightInd w:val="0"/>
              <w:snapToGrid w:val="0"/>
              <w:spacing w:line="360" w:lineRule="auto"/>
              <w:ind w:firstLine="480" w:firstLineChars="200"/>
              <w:rPr>
                <w:rFonts w:hint="eastAsia"/>
                <w:b w:val="0"/>
                <w:bCs w:val="0"/>
                <w:u w:val="single" w:color="auto"/>
                <w:lang w:val="en-US" w:eastAsia="zh-CN"/>
              </w:rPr>
            </w:pPr>
            <w:r>
              <w:rPr>
                <w:rFonts w:hint="eastAsia"/>
                <w:b w:val="0"/>
                <w:bCs w:val="0"/>
                <w:u w:val="single" w:color="auto"/>
                <w:lang w:val="en-US" w:eastAsia="zh-CN"/>
              </w:rPr>
              <w:t>根据《湖南省生态环境厅关于印发&lt;湖南省突发环境事件应急预案管理办法(修订版)&gt;的通知》(湘环发(2024)49号)，编制完善公司突发环境事件应急预案，重点针对事故的应对措施;平时进行公众教育和信息发布，并加强应急培训与演练;一旦发生事故，应积极组织应急撤离、落实应急医疗救护，并做好应急环境监测及事故后评估，采取相关善后恢复措施。</w:t>
            </w:r>
          </w:p>
          <w:p w14:paraId="3CB005C5">
            <w:pPr>
              <w:adjustRightInd w:val="0"/>
              <w:snapToGrid w:val="0"/>
              <w:spacing w:line="360" w:lineRule="auto"/>
              <w:ind w:firstLine="480" w:firstLineChars="200"/>
              <w:rPr>
                <w:rFonts w:hint="eastAsia"/>
                <w:b w:val="0"/>
                <w:bCs w:val="0"/>
                <w:u w:val="single" w:color="auto"/>
                <w:lang w:val="en-US" w:eastAsia="zh-CN"/>
              </w:rPr>
            </w:pPr>
            <w:r>
              <w:rPr>
                <w:rFonts w:hint="eastAsia"/>
                <w:b w:val="0"/>
                <w:bCs w:val="0"/>
                <w:u w:val="single" w:color="auto"/>
                <w:lang w:val="en-US" w:eastAsia="zh-CN"/>
              </w:rPr>
              <w:t>综上，通过采取以上措施后，本项目环境风向水平较低。一旦发生火灾事故，及时采取应急措施，在短时间内结束事故风险，且在短时间内通知企业工作人员疏散。在此前提下，本项目事故风险可控。</w:t>
            </w:r>
          </w:p>
          <w:p w14:paraId="68652F5A">
            <w:pPr>
              <w:adjustRightInd w:val="0"/>
              <w:snapToGrid w:val="0"/>
              <w:spacing w:line="360" w:lineRule="auto"/>
              <w:ind w:firstLine="482" w:firstLineChars="200"/>
              <w:rPr>
                <w:rFonts w:hint="eastAsia"/>
                <w:b/>
                <w:bCs/>
                <w:color w:val="000000" w:themeColor="text1"/>
                <w:sz w:val="24"/>
                <w:u w:val="none" w:color="auto"/>
                <w14:textFill>
                  <w14:solidFill>
                    <w14:schemeClr w14:val="tx1"/>
                  </w14:solidFill>
                </w14:textFill>
              </w:rPr>
            </w:pPr>
            <w:r>
              <w:rPr>
                <w:rFonts w:hint="eastAsia"/>
                <w:b/>
                <w:bCs/>
                <w:u w:val="none" w:color="auto"/>
                <w:lang w:val="en-US" w:eastAsia="zh-CN"/>
              </w:rPr>
              <w:t>4、</w:t>
            </w:r>
            <w:r>
              <w:rPr>
                <w:rFonts w:hint="eastAsia"/>
                <w:b/>
                <w:bCs/>
                <w:color w:val="000000" w:themeColor="text1"/>
                <w:sz w:val="24"/>
                <w:u w:val="none" w:color="auto"/>
                <w14:textFill>
                  <w14:solidFill>
                    <w14:schemeClr w14:val="tx1"/>
                  </w14:solidFill>
                </w14:textFill>
              </w:rPr>
              <w:t>环境风险影响分析结论</w:t>
            </w:r>
          </w:p>
          <w:p w14:paraId="6A2D92FF">
            <w:pPr>
              <w:adjustRightInd w:val="0"/>
              <w:snapToGrid w:val="0"/>
              <w:spacing w:line="360" w:lineRule="auto"/>
              <w:ind w:firstLine="480" w:firstLineChars="200"/>
              <w:rPr>
                <w:rFonts w:hint="eastAsia"/>
                <w:color w:val="000000" w:themeColor="text1"/>
                <w:sz w:val="24"/>
                <w:u w:val="none" w:color="auto"/>
                <w14:textFill>
                  <w14:solidFill>
                    <w14:schemeClr w14:val="tx1"/>
                  </w14:solidFill>
                </w14:textFill>
              </w:rPr>
            </w:pP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项目建设后环境风险属于潜势为</w:t>
            </w:r>
            <w: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t>I</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仅需要做简单分析。正常生产情况下，建设单位按照本环评要求加强管理和设备的维护，并设立完善的预防措施，制定严格的安全操作规程和维修维护措施，项目建设后的环境风险在可接受范围内。一旦发生事故，因为防护措施得力并反应迅速，可把事故造成的影响降到最小。所以项目建设后在环境风险方面来说是可接受的</w:t>
            </w:r>
          </w:p>
          <w:p w14:paraId="2707460A">
            <w:pPr>
              <w:pStyle w:val="40"/>
              <w:bidi w:val="0"/>
              <w:rPr>
                <w:rFonts w:hint="default"/>
                <w:lang w:val="en-US" w:eastAsia="zh-CN"/>
              </w:rPr>
            </w:pPr>
            <w:r>
              <w:rPr>
                <w:rFonts w:hint="eastAsia"/>
                <w:lang w:val="en-US" w:eastAsia="zh-CN"/>
              </w:rPr>
              <w:t>建设项目环境风险简单分析内容表见下表：</w:t>
            </w:r>
          </w:p>
          <w:p w14:paraId="2E344C07">
            <w:pPr>
              <w:pStyle w:val="42"/>
              <w:bidi w:val="0"/>
              <w:rPr>
                <w:rFonts w:hint="default"/>
                <w:u w:val="none" w:color="auto"/>
                <w:lang w:val="en-US" w:eastAsia="zh-CN"/>
              </w:rPr>
            </w:pPr>
            <w:r>
              <w:rPr>
                <w:rFonts w:hint="eastAsia"/>
                <w:u w:val="none" w:color="auto"/>
                <w:lang w:val="en-US" w:eastAsia="zh-CN"/>
              </w:rPr>
              <w:t>表4-25  建设项目环境风险简单分析内容表</w:t>
            </w:r>
          </w:p>
          <w:tbl>
            <w:tblPr>
              <w:tblStyle w:val="34"/>
              <w:tblW w:w="4999"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928"/>
              <w:gridCol w:w="6346"/>
            </w:tblGrid>
            <w:tr w14:paraId="3FF140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165" w:type="pct"/>
                  <w:tcBorders>
                    <w:tl2br w:val="nil"/>
                    <w:tr2bl w:val="nil"/>
                  </w:tcBorders>
                  <w:noWrap w:val="0"/>
                  <w:vAlign w:val="center"/>
                </w:tcPr>
                <w:p w14:paraId="34C51403">
                  <w:pPr>
                    <w:pStyle w:val="41"/>
                    <w:bidi w:val="0"/>
                    <w:rPr>
                      <w:rFonts w:hint="default"/>
                      <w:u w:val="none" w:color="auto"/>
                      <w:lang w:val="en-US" w:eastAsia="zh-CN"/>
                    </w:rPr>
                  </w:pPr>
                  <w:r>
                    <w:rPr>
                      <w:rFonts w:hint="eastAsia"/>
                      <w:u w:val="none" w:color="auto"/>
                      <w:lang w:val="en-US" w:eastAsia="zh-CN"/>
                    </w:rPr>
                    <w:t>建设项目名称</w:t>
                  </w:r>
                </w:p>
              </w:tc>
              <w:tc>
                <w:tcPr>
                  <w:tcW w:w="3834" w:type="pct"/>
                  <w:tcBorders>
                    <w:tl2br w:val="nil"/>
                    <w:tr2bl w:val="nil"/>
                  </w:tcBorders>
                  <w:noWrap w:val="0"/>
                  <w:vAlign w:val="center"/>
                </w:tcPr>
                <w:p w14:paraId="29DF881A">
                  <w:pPr>
                    <w:pStyle w:val="41"/>
                    <w:bidi w:val="0"/>
                    <w:rPr>
                      <w:rFonts w:hint="eastAsia"/>
                      <w:u w:val="none" w:color="auto"/>
                    </w:rPr>
                  </w:pPr>
                  <w:r>
                    <w:rPr>
                      <w:rFonts w:hint="eastAsia"/>
                      <w:u w:val="none" w:color="auto"/>
                      <w:lang w:val="en-US" w:eastAsia="zh-CN"/>
                    </w:rPr>
                    <w:t>年产1200万只电子变压器生产线项目</w:t>
                  </w:r>
                </w:p>
              </w:tc>
            </w:tr>
            <w:tr w14:paraId="2A349B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165" w:type="pct"/>
                  <w:tcBorders>
                    <w:tl2br w:val="nil"/>
                    <w:tr2bl w:val="nil"/>
                  </w:tcBorders>
                  <w:noWrap w:val="0"/>
                  <w:vAlign w:val="center"/>
                </w:tcPr>
                <w:p w14:paraId="2EE6F6B7">
                  <w:pPr>
                    <w:pStyle w:val="41"/>
                    <w:bidi w:val="0"/>
                    <w:rPr>
                      <w:rFonts w:hint="default"/>
                      <w:u w:val="none" w:color="auto"/>
                      <w:lang w:val="en-US" w:eastAsia="zh-CN"/>
                    </w:rPr>
                  </w:pPr>
                  <w:r>
                    <w:rPr>
                      <w:rFonts w:hint="eastAsia"/>
                      <w:u w:val="none" w:color="auto"/>
                      <w:lang w:val="en-US" w:eastAsia="zh-CN"/>
                    </w:rPr>
                    <w:t>建设地点</w:t>
                  </w:r>
                </w:p>
              </w:tc>
              <w:tc>
                <w:tcPr>
                  <w:tcW w:w="3834" w:type="pct"/>
                  <w:tcBorders>
                    <w:tl2br w:val="nil"/>
                    <w:tr2bl w:val="nil"/>
                  </w:tcBorders>
                  <w:noWrap w:val="0"/>
                  <w:vAlign w:val="center"/>
                </w:tcPr>
                <w:p w14:paraId="75974493">
                  <w:pPr>
                    <w:pStyle w:val="41"/>
                    <w:bidi w:val="0"/>
                    <w:rPr>
                      <w:rFonts w:hint="eastAsia"/>
                      <w:u w:val="none" w:color="auto"/>
                    </w:rPr>
                  </w:pPr>
                  <w:r>
                    <w:rPr>
                      <w:rFonts w:hint="eastAsia"/>
                      <w:u w:val="none" w:color="auto"/>
                      <w:lang w:val="en-US" w:eastAsia="zh-CN"/>
                    </w:rPr>
                    <w:t>怀化市高新技术产业开发区管理委员会中方片区管理办公室泸阳片区（众力创新园1栋南区第2层）</w:t>
                  </w:r>
                </w:p>
              </w:tc>
            </w:tr>
            <w:tr w14:paraId="6038BE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165" w:type="pct"/>
                  <w:tcBorders>
                    <w:tl2br w:val="nil"/>
                    <w:tr2bl w:val="nil"/>
                  </w:tcBorders>
                  <w:noWrap w:val="0"/>
                  <w:vAlign w:val="center"/>
                </w:tcPr>
                <w:p w14:paraId="544B971F">
                  <w:pPr>
                    <w:pStyle w:val="41"/>
                    <w:bidi w:val="0"/>
                    <w:rPr>
                      <w:rFonts w:hint="eastAsia"/>
                      <w:u w:val="none" w:color="auto"/>
                      <w:lang w:val="en-US" w:eastAsia="zh-CN"/>
                    </w:rPr>
                  </w:pPr>
                  <w:r>
                    <w:rPr>
                      <w:rFonts w:hint="eastAsia"/>
                      <w:u w:val="none" w:color="auto"/>
                      <w:lang w:val="en-US" w:eastAsia="zh-CN"/>
                    </w:rPr>
                    <w:t>地理坐标</w:t>
                  </w:r>
                </w:p>
              </w:tc>
              <w:tc>
                <w:tcPr>
                  <w:tcW w:w="3834" w:type="pct"/>
                  <w:tcBorders>
                    <w:tl2br w:val="nil"/>
                    <w:tr2bl w:val="nil"/>
                  </w:tcBorders>
                  <w:noWrap w:val="0"/>
                  <w:vAlign w:val="center"/>
                </w:tcPr>
                <w:p w14:paraId="41096D2A">
                  <w:pPr>
                    <w:pStyle w:val="41"/>
                    <w:bidi w:val="0"/>
                    <w:rPr>
                      <w:rFonts w:hint="eastAsia"/>
                      <w:u w:val="none" w:color="auto"/>
                    </w:rPr>
                  </w:pPr>
                  <w:r>
                    <w:rPr>
                      <w:rFonts w:hint="default" w:ascii="Times New Roman" w:hAnsi="Times New Roman" w:cs="Times New Roman"/>
                      <w:u w:val="none" w:color="auto"/>
                    </w:rPr>
                    <w:t>东经：11</w:t>
                  </w:r>
                  <w:r>
                    <w:rPr>
                      <w:rFonts w:hint="eastAsia" w:cs="Times New Roman"/>
                      <w:u w:val="none" w:color="auto"/>
                      <w:lang w:val="en-US" w:eastAsia="zh-CN"/>
                    </w:rPr>
                    <w:t>0</w:t>
                  </w:r>
                  <w:r>
                    <w:rPr>
                      <w:rFonts w:hint="default" w:ascii="Times New Roman" w:hAnsi="Times New Roman" w:cs="Times New Roman"/>
                      <w:u w:val="none" w:color="auto"/>
                    </w:rPr>
                    <w:t>°</w:t>
                  </w:r>
                  <w:r>
                    <w:rPr>
                      <w:rFonts w:hint="eastAsia" w:cs="Times New Roman"/>
                      <w:u w:val="none" w:color="auto"/>
                      <w:lang w:val="en-US" w:eastAsia="zh-CN"/>
                    </w:rPr>
                    <w:t>7</w:t>
                  </w:r>
                  <w:r>
                    <w:rPr>
                      <w:rFonts w:hint="default" w:ascii="Times New Roman" w:hAnsi="Times New Roman" w:cs="Times New Roman"/>
                      <w:u w:val="none" w:color="auto"/>
                    </w:rPr>
                    <w:t>′</w:t>
                  </w:r>
                  <w:r>
                    <w:rPr>
                      <w:rFonts w:hint="eastAsia" w:cs="Times New Roman"/>
                      <w:u w:val="none" w:color="auto"/>
                      <w:lang w:val="en-US" w:eastAsia="zh-CN"/>
                    </w:rPr>
                    <w:t>29.548</w:t>
                  </w:r>
                  <w:r>
                    <w:rPr>
                      <w:rFonts w:hint="default" w:ascii="Times New Roman" w:hAnsi="Times New Roman" w:cs="Times New Roman"/>
                      <w:u w:val="none" w:color="auto"/>
                    </w:rPr>
                    <w:t>″，北纬：2</w:t>
                  </w:r>
                  <w:r>
                    <w:rPr>
                      <w:rFonts w:hint="default" w:ascii="Times New Roman" w:hAnsi="Times New Roman" w:cs="Times New Roman"/>
                      <w:u w:val="none" w:color="auto"/>
                      <w:lang w:val="en-US" w:eastAsia="zh-CN"/>
                    </w:rPr>
                    <w:t>7</w:t>
                  </w:r>
                  <w:r>
                    <w:rPr>
                      <w:rFonts w:hint="default" w:ascii="Times New Roman" w:hAnsi="Times New Roman" w:cs="Times New Roman"/>
                      <w:u w:val="none" w:color="auto"/>
                    </w:rPr>
                    <w:t>°</w:t>
                  </w:r>
                  <w:r>
                    <w:rPr>
                      <w:rFonts w:hint="eastAsia" w:cs="Times New Roman"/>
                      <w:u w:val="none" w:color="auto"/>
                      <w:lang w:val="en-US" w:eastAsia="zh-CN"/>
                    </w:rPr>
                    <w:t>38</w:t>
                  </w:r>
                  <w:r>
                    <w:rPr>
                      <w:rFonts w:hint="default" w:ascii="Times New Roman" w:hAnsi="Times New Roman" w:cs="Times New Roman"/>
                      <w:u w:val="none" w:color="auto"/>
                    </w:rPr>
                    <w:t>′</w:t>
                  </w:r>
                  <w:r>
                    <w:rPr>
                      <w:rFonts w:hint="eastAsia" w:cs="Times New Roman"/>
                      <w:u w:val="none" w:color="auto"/>
                      <w:lang w:val="en-US" w:eastAsia="zh-CN"/>
                    </w:rPr>
                    <w:t>56.713</w:t>
                  </w:r>
                  <w:r>
                    <w:rPr>
                      <w:rFonts w:hint="default" w:ascii="Times New Roman" w:hAnsi="Times New Roman" w:cs="Times New Roman"/>
                      <w:u w:val="none" w:color="auto"/>
                    </w:rPr>
                    <w:t>″</w:t>
                  </w:r>
                </w:p>
              </w:tc>
            </w:tr>
            <w:tr w14:paraId="013121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165" w:type="pct"/>
                  <w:tcBorders>
                    <w:tl2br w:val="nil"/>
                    <w:tr2bl w:val="nil"/>
                  </w:tcBorders>
                  <w:noWrap w:val="0"/>
                  <w:vAlign w:val="center"/>
                </w:tcPr>
                <w:p w14:paraId="70777514">
                  <w:pPr>
                    <w:pStyle w:val="41"/>
                    <w:bidi w:val="0"/>
                    <w:rPr>
                      <w:rFonts w:hint="eastAsia"/>
                      <w:u w:val="none" w:color="auto"/>
                      <w:lang w:val="en-US" w:eastAsia="zh-CN"/>
                    </w:rPr>
                  </w:pPr>
                  <w:r>
                    <w:rPr>
                      <w:rFonts w:hint="eastAsia"/>
                      <w:u w:val="none" w:color="auto"/>
                    </w:rPr>
                    <w:t>主要危险物质及分布</w:t>
                  </w:r>
                </w:p>
              </w:tc>
              <w:tc>
                <w:tcPr>
                  <w:tcW w:w="3834" w:type="pct"/>
                  <w:tcBorders>
                    <w:tl2br w:val="nil"/>
                    <w:tr2bl w:val="nil"/>
                  </w:tcBorders>
                  <w:noWrap w:val="0"/>
                  <w:vAlign w:val="center"/>
                </w:tcPr>
                <w:p w14:paraId="64EA07DA">
                  <w:pPr>
                    <w:pStyle w:val="41"/>
                    <w:bidi w:val="0"/>
                    <w:rPr>
                      <w:rFonts w:hint="default"/>
                      <w:u w:val="none" w:color="auto"/>
                      <w:lang w:val="en-US" w:eastAsia="zh-CN"/>
                    </w:rPr>
                  </w:pPr>
                  <w:r>
                    <w:rPr>
                      <w:rFonts w:hint="eastAsia"/>
                      <w:u w:val="none" w:color="auto"/>
                      <w:lang w:val="en-US" w:eastAsia="zh-CN"/>
                    </w:rPr>
                    <w:t>危废暂存间（废活性炭、废原料桶）、危化品库（绝缘漆、稀释剂、环氧树脂AB胶、助焊剂）</w:t>
                  </w:r>
                </w:p>
              </w:tc>
            </w:tr>
            <w:tr w14:paraId="73C978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1165" w:type="pct"/>
                  <w:tcBorders>
                    <w:tl2br w:val="nil"/>
                    <w:tr2bl w:val="nil"/>
                  </w:tcBorders>
                  <w:noWrap w:val="0"/>
                  <w:vAlign w:val="center"/>
                </w:tcPr>
                <w:p w14:paraId="75DBB26B">
                  <w:pPr>
                    <w:pStyle w:val="41"/>
                    <w:bidi w:val="0"/>
                    <w:rPr>
                      <w:rFonts w:hint="default"/>
                      <w:u w:val="none" w:color="auto"/>
                      <w:lang w:val="en-US" w:eastAsia="zh-CN"/>
                    </w:rPr>
                  </w:pPr>
                  <w:r>
                    <w:rPr>
                      <w:rFonts w:hint="eastAsia"/>
                      <w:u w:val="none" w:color="auto"/>
                      <w:lang w:val="en-US" w:eastAsia="zh-CN"/>
                    </w:rPr>
                    <w:t>环境影响途径及危害后果（大气、地表水、地下水等）</w:t>
                  </w:r>
                </w:p>
              </w:tc>
              <w:tc>
                <w:tcPr>
                  <w:tcW w:w="3834" w:type="pct"/>
                  <w:tcBorders>
                    <w:tl2br w:val="nil"/>
                    <w:tr2bl w:val="nil"/>
                  </w:tcBorders>
                  <w:noWrap w:val="0"/>
                  <w:vAlign w:val="center"/>
                </w:tcPr>
                <w:p w14:paraId="022AEFAF">
                  <w:pPr>
                    <w:pStyle w:val="41"/>
                    <w:bidi w:val="0"/>
                    <w:jc w:val="left"/>
                    <w:rPr>
                      <w:rFonts w:hint="eastAsia"/>
                      <w:u w:val="none" w:color="auto"/>
                      <w:lang w:val="en-US" w:eastAsia="zh-CN"/>
                    </w:rPr>
                  </w:pPr>
                  <w:r>
                    <w:rPr>
                      <w:rFonts w:hint="eastAsia"/>
                      <w:u w:val="none" w:color="auto"/>
                      <w:lang w:val="en-US" w:eastAsia="zh-CN"/>
                    </w:rPr>
                    <w:t>(1)大气:项目废气处理设施故障会造成有机废气未经处理直接进入大气，从而导致周围环境空气污染；废原料桶、废过滤棉、废润滑油及油桶、废含油抹布和手套、废活性炭等危险物质泄漏，有害物质暴露在空气中，对大气环境造成影响；当项目厂区内部发生火灾事故时，其产生的高温烟尘及火灾燃烧产物会对周围环境造成二次污染。</w:t>
                  </w:r>
                </w:p>
                <w:p w14:paraId="2C0528A8">
                  <w:pPr>
                    <w:pStyle w:val="41"/>
                    <w:bidi w:val="0"/>
                    <w:jc w:val="left"/>
                    <w:rPr>
                      <w:rFonts w:hint="eastAsia"/>
                      <w:u w:val="none" w:color="auto"/>
                      <w:lang w:val="en-US" w:eastAsia="zh-CN"/>
                    </w:rPr>
                  </w:pPr>
                  <w:r>
                    <w:rPr>
                      <w:rFonts w:hint="eastAsia"/>
                      <w:u w:val="none" w:color="auto"/>
                      <w:lang w:val="en-US" w:eastAsia="zh-CN"/>
                    </w:rPr>
                    <w:t>(2)地表水:项目危废暂存间、危化品库没有做好防雨、防渗、防腐措施，导致发生泄漏进入周围环境，影响地表水环境，对水生生物产生一定程度的影响;当项目厂区内部发生火灾事故时，灭火过程中产生的消防废水未截留在厂区内，可能会随着地面径流进入雨水管网，直接进入外部水体环境中，污染地表水环境。</w:t>
                  </w:r>
                </w:p>
                <w:p w14:paraId="126924CF">
                  <w:pPr>
                    <w:pStyle w:val="41"/>
                    <w:bidi w:val="0"/>
                    <w:jc w:val="left"/>
                    <w:rPr>
                      <w:rFonts w:hint="default"/>
                      <w:u w:val="none" w:color="auto"/>
                      <w:lang w:val="en-US" w:eastAsia="zh-CN"/>
                    </w:rPr>
                  </w:pPr>
                  <w:r>
                    <w:rPr>
                      <w:rFonts w:hint="eastAsia"/>
                      <w:u w:val="none" w:color="auto"/>
                      <w:lang w:val="en-US" w:eastAsia="zh-CN"/>
                    </w:rPr>
                    <w:t>(3)地下水/土壤:污染地表水的有毒有害物质未能及时有效处理，从而进入地下水体和土壤，污染了地下水和土壤环境</w:t>
                  </w:r>
                </w:p>
              </w:tc>
            </w:tr>
            <w:tr w14:paraId="7A8B5D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4" w:hRule="atLeast"/>
              </w:trPr>
              <w:tc>
                <w:tcPr>
                  <w:tcW w:w="1165" w:type="pct"/>
                  <w:tcBorders>
                    <w:tl2br w:val="nil"/>
                    <w:tr2bl w:val="nil"/>
                  </w:tcBorders>
                  <w:noWrap w:val="0"/>
                  <w:vAlign w:val="center"/>
                </w:tcPr>
                <w:p w14:paraId="1A2D5CC6">
                  <w:pPr>
                    <w:pStyle w:val="41"/>
                    <w:bidi w:val="0"/>
                    <w:rPr>
                      <w:rFonts w:hint="default"/>
                      <w:u w:val="none" w:color="auto"/>
                      <w:lang w:val="en-US" w:eastAsia="zh-CN"/>
                    </w:rPr>
                  </w:pPr>
                  <w:r>
                    <w:rPr>
                      <w:rFonts w:hint="eastAsia"/>
                      <w:u w:val="none" w:color="auto"/>
                      <w:lang w:val="en-US" w:eastAsia="zh-CN"/>
                    </w:rPr>
                    <w:t>风险防范措施要求</w:t>
                  </w:r>
                </w:p>
              </w:tc>
              <w:tc>
                <w:tcPr>
                  <w:tcW w:w="3834" w:type="pct"/>
                  <w:tcBorders>
                    <w:tl2br w:val="nil"/>
                    <w:tr2bl w:val="nil"/>
                  </w:tcBorders>
                  <w:noWrap w:val="0"/>
                  <w:vAlign w:val="center"/>
                </w:tcPr>
                <w:p w14:paraId="0A53EBE6">
                  <w:pPr>
                    <w:pStyle w:val="41"/>
                    <w:bidi w:val="0"/>
                    <w:jc w:val="left"/>
                    <w:rPr>
                      <w:rFonts w:hint="eastAsia"/>
                      <w:u w:val="none" w:color="auto"/>
                      <w:lang w:val="en-US" w:eastAsia="zh-CN"/>
                    </w:rPr>
                  </w:pPr>
                  <w:r>
                    <w:rPr>
                      <w:rFonts w:hint="eastAsia"/>
                      <w:u w:val="none" w:color="auto"/>
                      <w:lang w:val="en-US" w:eastAsia="zh-CN"/>
                    </w:rPr>
                    <w:t>1、严格按照《危险废物贮存污染控制标准》(GB18597-2023)的贮存要求等规范设计贮存场所；</w:t>
                  </w:r>
                </w:p>
                <w:p w14:paraId="1A5F1D7E">
                  <w:pPr>
                    <w:pStyle w:val="41"/>
                    <w:bidi w:val="0"/>
                    <w:jc w:val="left"/>
                    <w:rPr>
                      <w:rFonts w:hint="eastAsia"/>
                      <w:u w:val="none" w:color="auto"/>
                      <w:lang w:val="en-US" w:eastAsia="zh-CN"/>
                    </w:rPr>
                  </w:pPr>
                  <w:r>
                    <w:rPr>
                      <w:rFonts w:hint="eastAsia"/>
                      <w:u w:val="none" w:color="auto"/>
                      <w:lang w:val="en-US" w:eastAsia="zh-CN"/>
                    </w:rPr>
                    <w:t>2、远离火源；</w:t>
                  </w:r>
                </w:p>
                <w:p w14:paraId="20400668">
                  <w:pPr>
                    <w:pStyle w:val="41"/>
                    <w:bidi w:val="0"/>
                    <w:jc w:val="left"/>
                    <w:rPr>
                      <w:rFonts w:hint="eastAsia"/>
                      <w:u w:val="none" w:color="auto"/>
                      <w:lang w:val="en-US" w:eastAsia="zh-CN"/>
                    </w:rPr>
                  </w:pPr>
                  <w:r>
                    <w:rPr>
                      <w:rFonts w:hint="eastAsia"/>
                      <w:u w:val="none" w:color="auto"/>
                      <w:lang w:val="en-US" w:eastAsia="zh-CN"/>
                    </w:rPr>
                    <w:t>3、定期检查，加强维护与管理。</w:t>
                  </w:r>
                </w:p>
              </w:tc>
            </w:tr>
            <w:tr w14:paraId="690A2B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5000" w:type="pct"/>
                  <w:gridSpan w:val="2"/>
                  <w:tcBorders>
                    <w:tl2br w:val="nil"/>
                    <w:tr2bl w:val="nil"/>
                  </w:tcBorders>
                  <w:noWrap w:val="0"/>
                  <w:vAlign w:val="center"/>
                </w:tcPr>
                <w:p w14:paraId="5981773B">
                  <w:pPr>
                    <w:pStyle w:val="41"/>
                    <w:bidi w:val="0"/>
                    <w:jc w:val="left"/>
                    <w:rPr>
                      <w:rFonts w:hint="eastAsia"/>
                      <w:u w:val="none" w:color="auto"/>
                      <w:lang w:val="en-US" w:eastAsia="zh-CN"/>
                    </w:rPr>
                  </w:pPr>
                  <w:r>
                    <w:rPr>
                      <w:rFonts w:hint="eastAsia"/>
                      <w:u w:val="none" w:color="auto"/>
                      <w:lang w:val="en-US" w:eastAsia="zh-CN"/>
                    </w:rPr>
                    <w:t>填表说明（列出项目相关信息及评价说明）：</w:t>
                  </w:r>
                </w:p>
                <w:p w14:paraId="5D829995">
                  <w:pPr>
                    <w:pStyle w:val="41"/>
                    <w:bidi w:val="0"/>
                    <w:ind w:firstLine="420" w:firstLineChars="200"/>
                    <w:jc w:val="left"/>
                    <w:rPr>
                      <w:rFonts w:hint="eastAsia"/>
                      <w:u w:val="none" w:color="auto"/>
                    </w:rPr>
                  </w:pPr>
                  <w:r>
                    <w:rPr>
                      <w:rFonts w:hint="eastAsia"/>
                      <w:sz w:val="21"/>
                      <w:szCs w:val="21"/>
                      <w:u w:val="none" w:color="auto"/>
                      <w:lang w:val="en-US" w:eastAsia="zh-CN"/>
                    </w:rPr>
                    <w:t>年产1200万只电子变压器生产线项目环境风险潜势为</w:t>
                  </w:r>
                  <w:r>
                    <w:rPr>
                      <w:rFonts w:hint="default"/>
                      <w:sz w:val="21"/>
                      <w:szCs w:val="21"/>
                      <w:u w:val="none" w:color="auto"/>
                      <w:lang w:val="en-US" w:eastAsia="zh-CN"/>
                    </w:rPr>
                    <w:t>Ⅰ</w:t>
                  </w:r>
                  <w:r>
                    <w:rPr>
                      <w:rFonts w:hint="eastAsia"/>
                      <w:sz w:val="21"/>
                      <w:szCs w:val="21"/>
                      <w:u w:val="none" w:color="auto"/>
                      <w:lang w:val="en-US" w:eastAsia="zh-CN"/>
                    </w:rPr>
                    <w:t>级别，故开展风险评价简单分析并填写此表。通过风险分析，一般情况下风险事故发生概率较低，且即使发生事故后，在及时采取风险控制措施和应急响应后，预计不会对大气、土壤、地表水和地下水造成大的污染威胁，其环境风险是可控的。</w:t>
                  </w:r>
                </w:p>
              </w:tc>
            </w:tr>
          </w:tbl>
          <w:p w14:paraId="366C892E">
            <w:pPr>
              <w:pStyle w:val="40"/>
              <w:bidi w:val="0"/>
              <w:rPr>
                <w:b/>
                <w:bCs/>
                <w:u w:val="none" w:color="auto"/>
              </w:rPr>
            </w:pPr>
            <w:r>
              <w:rPr>
                <w:rFonts w:hint="eastAsia"/>
                <w:b/>
                <w:bCs/>
                <w:u w:val="none" w:color="auto"/>
              </w:rPr>
              <w:t>七、生态影响评价</w:t>
            </w:r>
          </w:p>
          <w:p w14:paraId="2F5C24C6">
            <w:pPr>
              <w:pStyle w:val="40"/>
              <w:bidi w:val="0"/>
              <w:rPr>
                <w:u w:val="none" w:color="auto"/>
              </w:rPr>
            </w:pPr>
            <w:r>
              <w:rPr>
                <w:rFonts w:hint="eastAsia"/>
                <w:u w:val="none" w:color="auto"/>
              </w:rPr>
              <w:t>项目用地范围内不涉及生态环境保护目标，</w:t>
            </w:r>
            <w:r>
              <w:rPr>
                <w:u w:val="none" w:color="auto"/>
              </w:rPr>
              <w:t>无需开展生态环境影响分析。</w:t>
            </w:r>
          </w:p>
          <w:p w14:paraId="7D382089">
            <w:pPr>
              <w:pStyle w:val="40"/>
              <w:bidi w:val="0"/>
              <w:rPr>
                <w:b/>
                <w:bCs/>
                <w:u w:val="none" w:color="auto"/>
              </w:rPr>
            </w:pPr>
            <w:r>
              <w:rPr>
                <w:b/>
                <w:bCs/>
                <w:u w:val="none" w:color="auto"/>
              </w:rPr>
              <w:t>八、电磁辐射</w:t>
            </w:r>
          </w:p>
          <w:p w14:paraId="57D849E7">
            <w:pPr>
              <w:pStyle w:val="40"/>
              <w:bidi w:val="0"/>
              <w:rPr>
                <w:u w:val="none" w:color="auto"/>
              </w:rPr>
            </w:pPr>
            <w:r>
              <w:rPr>
                <w:u w:val="none" w:color="auto"/>
              </w:rPr>
              <w:t>本项目不属于电磁辐射类项目，故不开展电磁辐射影响评价。</w:t>
            </w:r>
          </w:p>
          <w:p w14:paraId="176DECF3">
            <w:pPr>
              <w:pStyle w:val="40"/>
              <w:bidi w:val="0"/>
              <w:rPr>
                <w:b/>
                <w:bCs/>
                <w:u w:val="none" w:color="auto"/>
              </w:rPr>
            </w:pPr>
            <w:r>
              <w:rPr>
                <w:rFonts w:hint="eastAsia"/>
                <w:b/>
                <w:bCs/>
                <w:u w:val="none" w:color="auto"/>
                <w:lang w:val="en-US" w:eastAsia="zh-CN"/>
              </w:rPr>
              <w:t>九、</w:t>
            </w:r>
            <w:r>
              <w:rPr>
                <w:b/>
                <w:bCs/>
                <w:u w:val="none" w:color="auto"/>
              </w:rPr>
              <w:t>环保投资估算</w:t>
            </w:r>
          </w:p>
          <w:p w14:paraId="107F79A8">
            <w:pPr>
              <w:pStyle w:val="40"/>
              <w:bidi w:val="0"/>
              <w:rPr>
                <w:u w:val="none" w:color="auto"/>
              </w:rPr>
            </w:pPr>
            <w:r>
              <w:rPr>
                <w:u w:val="none" w:color="auto"/>
              </w:rPr>
              <w:t>本项目总投资</w:t>
            </w:r>
            <w:r>
              <w:rPr>
                <w:rFonts w:hint="eastAsia"/>
                <w:u w:val="none" w:color="auto"/>
                <w:lang w:val="en-US" w:eastAsia="zh-CN"/>
              </w:rPr>
              <w:t>4900万</w:t>
            </w:r>
            <w:r>
              <w:rPr>
                <w:u w:val="none" w:color="auto"/>
              </w:rPr>
              <w:t>元，其中环保投资</w:t>
            </w:r>
            <w:r>
              <w:rPr>
                <w:rFonts w:hint="eastAsia"/>
                <w:u w:val="none" w:color="auto"/>
                <w:lang w:val="en-US" w:eastAsia="zh-CN"/>
              </w:rPr>
              <w:t>57</w:t>
            </w:r>
            <w:r>
              <w:rPr>
                <w:u w:val="none" w:color="auto"/>
              </w:rPr>
              <w:t>万元，占总投资的</w:t>
            </w:r>
            <w:r>
              <w:rPr>
                <w:rFonts w:hint="eastAsia"/>
                <w:u w:val="none" w:color="auto"/>
                <w:lang w:val="en-US" w:eastAsia="zh-CN"/>
              </w:rPr>
              <w:t>1.16</w:t>
            </w:r>
            <w:r>
              <w:rPr>
                <w:u w:val="none" w:color="auto"/>
              </w:rPr>
              <w:t>%，具体环保投资内容见</w:t>
            </w:r>
            <w:r>
              <w:rPr>
                <w:rFonts w:hint="eastAsia"/>
                <w:u w:val="none" w:color="auto"/>
                <w:lang w:val="en-US" w:eastAsia="zh-CN"/>
              </w:rPr>
              <w:t>下</w:t>
            </w:r>
            <w:r>
              <w:rPr>
                <w:u w:val="none" w:color="auto"/>
              </w:rPr>
              <w:t>表。</w:t>
            </w:r>
          </w:p>
          <w:p w14:paraId="7EFECAEB">
            <w:pPr>
              <w:pStyle w:val="42"/>
              <w:bidi w:val="0"/>
              <w:rPr>
                <w:rFonts w:hint="eastAsia"/>
                <w:u w:val="none" w:color="auto"/>
                <w:lang w:val="en-US" w:eastAsia="zh-CN"/>
              </w:rPr>
            </w:pPr>
            <w:r>
              <w:rPr>
                <w:u w:val="none" w:color="auto"/>
              </w:rPr>
              <w:t>表4-</w:t>
            </w:r>
            <w:r>
              <w:rPr>
                <w:rFonts w:hint="eastAsia"/>
                <w:u w:val="none" w:color="auto"/>
                <w:lang w:val="en-US" w:eastAsia="zh-CN"/>
              </w:rPr>
              <w:t>26</w:t>
            </w:r>
            <w:r>
              <w:rPr>
                <w:u w:val="none" w:color="auto"/>
              </w:rPr>
              <w:t xml:space="preserve"> </w:t>
            </w:r>
            <w:r>
              <w:rPr>
                <w:rFonts w:hint="eastAsia"/>
                <w:u w:val="none" w:color="auto"/>
                <w:lang w:val="en-US" w:eastAsia="zh-CN"/>
              </w:rPr>
              <w:t xml:space="preserve"> </w:t>
            </w:r>
            <w:r>
              <w:rPr>
                <w:u w:val="none" w:color="auto"/>
              </w:rPr>
              <w:t>环保投资内容</w:t>
            </w:r>
            <w:r>
              <w:rPr>
                <w:rFonts w:hint="eastAsia"/>
                <w:u w:val="none" w:color="auto"/>
                <w:lang w:val="en-US" w:eastAsia="zh-CN"/>
              </w:rPr>
              <w:t>一览表</w:t>
            </w:r>
          </w:p>
          <w:tbl>
            <w:tblPr>
              <w:tblStyle w:val="33"/>
              <w:tblW w:w="4998"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701"/>
              <w:gridCol w:w="1089"/>
              <w:gridCol w:w="1437"/>
              <w:gridCol w:w="3879"/>
              <w:gridCol w:w="1167"/>
            </w:tblGrid>
            <w:tr w14:paraId="061DF3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93" w:hRule="atLeast"/>
                <w:jc w:val="center"/>
              </w:trPr>
              <w:tc>
                <w:tcPr>
                  <w:tcW w:w="424" w:type="pct"/>
                  <w:tcBorders>
                    <w:tl2br w:val="nil"/>
                    <w:tr2bl w:val="nil"/>
                  </w:tcBorders>
                  <w:vAlign w:val="center"/>
                </w:tcPr>
                <w:p w14:paraId="582C84A1">
                  <w:pPr>
                    <w:pStyle w:val="41"/>
                    <w:bidi w:val="0"/>
                    <w:rPr>
                      <w:u w:val="none" w:color="auto"/>
                    </w:rPr>
                  </w:pPr>
                  <w:r>
                    <w:rPr>
                      <w:u w:val="none" w:color="auto"/>
                    </w:rPr>
                    <w:t>序号</w:t>
                  </w:r>
                </w:p>
              </w:tc>
              <w:tc>
                <w:tcPr>
                  <w:tcW w:w="658" w:type="pct"/>
                  <w:tcBorders>
                    <w:tl2br w:val="nil"/>
                    <w:tr2bl w:val="nil"/>
                  </w:tcBorders>
                  <w:vAlign w:val="center"/>
                </w:tcPr>
                <w:p w14:paraId="09DBEE86">
                  <w:pPr>
                    <w:pStyle w:val="41"/>
                    <w:bidi w:val="0"/>
                    <w:rPr>
                      <w:u w:val="none" w:color="auto"/>
                    </w:rPr>
                  </w:pPr>
                  <w:r>
                    <w:rPr>
                      <w:u w:val="none" w:color="auto"/>
                    </w:rPr>
                    <w:t>污染类型</w:t>
                  </w:r>
                </w:p>
              </w:tc>
              <w:tc>
                <w:tcPr>
                  <w:tcW w:w="3212" w:type="pct"/>
                  <w:gridSpan w:val="2"/>
                  <w:tcBorders>
                    <w:tl2br w:val="nil"/>
                    <w:tr2bl w:val="nil"/>
                  </w:tcBorders>
                  <w:vAlign w:val="center"/>
                </w:tcPr>
                <w:p w14:paraId="7475ED83">
                  <w:pPr>
                    <w:pStyle w:val="41"/>
                    <w:bidi w:val="0"/>
                    <w:rPr>
                      <w:u w:val="none" w:color="auto"/>
                    </w:rPr>
                  </w:pPr>
                  <w:r>
                    <w:rPr>
                      <w:u w:val="none" w:color="auto"/>
                    </w:rPr>
                    <w:t>防治措施</w:t>
                  </w:r>
                </w:p>
              </w:tc>
              <w:tc>
                <w:tcPr>
                  <w:tcW w:w="705" w:type="pct"/>
                  <w:tcBorders>
                    <w:tl2br w:val="nil"/>
                    <w:tr2bl w:val="nil"/>
                  </w:tcBorders>
                  <w:vAlign w:val="center"/>
                </w:tcPr>
                <w:p w14:paraId="2D2FFFE1">
                  <w:pPr>
                    <w:pStyle w:val="41"/>
                    <w:bidi w:val="0"/>
                    <w:rPr>
                      <w:u w:val="none" w:color="auto"/>
                    </w:rPr>
                  </w:pPr>
                  <w:r>
                    <w:rPr>
                      <w:u w:val="none" w:color="auto"/>
                    </w:rPr>
                    <w:t>预计投资（万元）</w:t>
                  </w:r>
                </w:p>
              </w:tc>
            </w:tr>
            <w:tr w14:paraId="5FCB4B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24" w:type="pct"/>
                  <w:tcBorders>
                    <w:tl2br w:val="nil"/>
                    <w:tr2bl w:val="nil"/>
                  </w:tcBorders>
                  <w:vAlign w:val="center"/>
                </w:tcPr>
                <w:p w14:paraId="21115566">
                  <w:pPr>
                    <w:pStyle w:val="41"/>
                    <w:bidi w:val="0"/>
                    <w:rPr>
                      <w:rFonts w:hint="eastAsia" w:eastAsia="宋体"/>
                      <w:u w:val="none" w:color="auto"/>
                      <w:lang w:val="en-US" w:eastAsia="zh-CN"/>
                    </w:rPr>
                  </w:pPr>
                  <w:r>
                    <w:rPr>
                      <w:rFonts w:hint="eastAsia"/>
                      <w:u w:val="none" w:color="auto"/>
                    </w:rPr>
                    <w:t>1</w:t>
                  </w:r>
                </w:p>
              </w:tc>
              <w:tc>
                <w:tcPr>
                  <w:tcW w:w="658" w:type="pct"/>
                  <w:tcBorders>
                    <w:tl2br w:val="nil"/>
                    <w:tr2bl w:val="nil"/>
                  </w:tcBorders>
                  <w:vAlign w:val="center"/>
                </w:tcPr>
                <w:p w14:paraId="262318B3">
                  <w:pPr>
                    <w:pStyle w:val="41"/>
                    <w:bidi w:val="0"/>
                    <w:rPr>
                      <w:u w:val="none" w:color="auto"/>
                    </w:rPr>
                  </w:pPr>
                  <w:r>
                    <w:rPr>
                      <w:rFonts w:hint="eastAsia"/>
                      <w:u w:val="none" w:color="auto"/>
                    </w:rPr>
                    <w:t>废水</w:t>
                  </w:r>
                </w:p>
              </w:tc>
              <w:tc>
                <w:tcPr>
                  <w:tcW w:w="868" w:type="pct"/>
                  <w:tcBorders>
                    <w:tl2br w:val="nil"/>
                    <w:tr2bl w:val="nil"/>
                  </w:tcBorders>
                  <w:vAlign w:val="center"/>
                </w:tcPr>
                <w:p w14:paraId="691AEE43">
                  <w:pPr>
                    <w:pStyle w:val="41"/>
                    <w:bidi w:val="0"/>
                    <w:rPr>
                      <w:rFonts w:hint="eastAsia"/>
                      <w:u w:val="none" w:color="auto"/>
                      <w:lang w:eastAsia="zh-CN"/>
                    </w:rPr>
                  </w:pPr>
                  <w:r>
                    <w:rPr>
                      <w:rFonts w:hint="eastAsia"/>
                      <w:u w:val="none" w:color="auto"/>
                      <w:lang w:val="en-US" w:eastAsia="zh-CN"/>
                    </w:rPr>
                    <w:t>生活污水</w:t>
                  </w:r>
                </w:p>
              </w:tc>
              <w:tc>
                <w:tcPr>
                  <w:tcW w:w="2343" w:type="pct"/>
                  <w:tcBorders>
                    <w:tl2br w:val="nil"/>
                    <w:tr2bl w:val="nil"/>
                  </w:tcBorders>
                  <w:vAlign w:val="center"/>
                </w:tcPr>
                <w:p w14:paraId="653791D0">
                  <w:pPr>
                    <w:pStyle w:val="41"/>
                    <w:bidi w:val="0"/>
                    <w:rPr>
                      <w:rFonts w:hint="eastAsia"/>
                      <w:u w:val="none" w:color="auto"/>
                      <w:lang w:eastAsia="zh-CN"/>
                    </w:rPr>
                  </w:pPr>
                  <w:r>
                    <w:rPr>
                      <w:rFonts w:hint="eastAsia"/>
                      <w:u w:val="none" w:color="auto"/>
                      <w:lang w:val="en-US" w:eastAsia="zh-CN"/>
                    </w:rPr>
                    <w:t>化粪池</w:t>
                  </w:r>
                </w:p>
              </w:tc>
              <w:tc>
                <w:tcPr>
                  <w:tcW w:w="705" w:type="pct"/>
                  <w:tcBorders>
                    <w:tl2br w:val="nil"/>
                    <w:tr2bl w:val="nil"/>
                  </w:tcBorders>
                  <w:vAlign w:val="center"/>
                </w:tcPr>
                <w:p w14:paraId="3C73E603">
                  <w:pPr>
                    <w:pStyle w:val="41"/>
                    <w:bidi w:val="0"/>
                    <w:rPr>
                      <w:rFonts w:hint="default"/>
                      <w:u w:val="none" w:color="auto"/>
                      <w:lang w:val="en-US" w:eastAsia="zh-CN"/>
                    </w:rPr>
                  </w:pPr>
                  <w:r>
                    <w:rPr>
                      <w:rFonts w:hint="eastAsia"/>
                      <w:u w:val="none" w:color="auto"/>
                      <w:lang w:val="en-US" w:eastAsia="zh-CN"/>
                    </w:rPr>
                    <w:t>5</w:t>
                  </w:r>
                </w:p>
              </w:tc>
            </w:tr>
            <w:tr w14:paraId="7EC959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424" w:type="pct"/>
                  <w:vMerge w:val="restart"/>
                  <w:tcBorders>
                    <w:tl2br w:val="nil"/>
                    <w:tr2bl w:val="nil"/>
                  </w:tcBorders>
                  <w:vAlign w:val="center"/>
                </w:tcPr>
                <w:p w14:paraId="241AC0B0">
                  <w:pPr>
                    <w:pStyle w:val="41"/>
                    <w:bidi w:val="0"/>
                    <w:rPr>
                      <w:u w:val="none" w:color="auto"/>
                    </w:rPr>
                  </w:pPr>
                  <w:r>
                    <w:rPr>
                      <w:rFonts w:hint="eastAsia"/>
                      <w:u w:val="none" w:color="auto"/>
                    </w:rPr>
                    <w:t>2</w:t>
                  </w:r>
                </w:p>
              </w:tc>
              <w:tc>
                <w:tcPr>
                  <w:tcW w:w="658" w:type="pct"/>
                  <w:vMerge w:val="restart"/>
                  <w:tcBorders>
                    <w:tl2br w:val="nil"/>
                    <w:tr2bl w:val="nil"/>
                  </w:tcBorders>
                  <w:vAlign w:val="center"/>
                </w:tcPr>
                <w:p w14:paraId="17A62401">
                  <w:pPr>
                    <w:pStyle w:val="41"/>
                    <w:bidi w:val="0"/>
                    <w:rPr>
                      <w:u w:val="none" w:color="auto"/>
                    </w:rPr>
                  </w:pPr>
                  <w:r>
                    <w:rPr>
                      <w:rFonts w:hint="eastAsia"/>
                      <w:u w:val="none" w:color="auto"/>
                    </w:rPr>
                    <w:t>废气</w:t>
                  </w:r>
                </w:p>
              </w:tc>
              <w:tc>
                <w:tcPr>
                  <w:tcW w:w="868" w:type="pct"/>
                  <w:tcBorders>
                    <w:tl2br w:val="nil"/>
                    <w:tr2bl w:val="nil"/>
                  </w:tcBorders>
                  <w:vAlign w:val="center"/>
                </w:tcPr>
                <w:p w14:paraId="329984A7">
                  <w:pPr>
                    <w:pStyle w:val="41"/>
                    <w:bidi w:val="0"/>
                    <w:rPr>
                      <w:rFonts w:hint="default"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r>
                    <w:rPr>
                      <w:rFonts w:hint="eastAsia" w:cs="Times New Roman"/>
                      <w:color w:val="000000" w:themeColor="text1"/>
                      <w:kern w:val="0"/>
                      <w:sz w:val="21"/>
                      <w:szCs w:val="18"/>
                      <w:u w:val="single" w:color="auto"/>
                      <w:lang w:val="en-US" w:eastAsia="zh-CN" w:bidi="ar-SA"/>
                      <w14:textFill>
                        <w14:solidFill>
                          <w14:schemeClr w14:val="tx1"/>
                        </w14:solidFill>
                      </w14:textFill>
                    </w:rPr>
                    <w:t>焊锡废气</w:t>
                  </w:r>
                </w:p>
              </w:tc>
              <w:tc>
                <w:tcPr>
                  <w:tcW w:w="2343" w:type="pct"/>
                  <w:tcBorders>
                    <w:tl2br w:val="nil"/>
                    <w:tr2bl w:val="nil"/>
                  </w:tcBorders>
                  <w:vAlign w:val="center"/>
                </w:tcPr>
                <w:p w14:paraId="0173A278">
                  <w:pPr>
                    <w:pStyle w:val="41"/>
                    <w:bidi w:val="0"/>
                    <w:rPr>
                      <w:rFonts w:hint="default"/>
                      <w:u w:val="single" w:color="auto"/>
                      <w:lang w:val="en-US" w:eastAsia="zh-CN"/>
                    </w:rPr>
                  </w:pPr>
                  <w:r>
                    <w:rPr>
                      <w:rFonts w:hint="eastAsia"/>
                      <w:u w:val="single" w:color="auto"/>
                      <w:lang w:val="en-US" w:eastAsia="zh-CN"/>
                    </w:rPr>
                    <w:t>集气罩+干式过滤器+二级活性炭吸附+23m排气筒DA001</w:t>
                  </w:r>
                </w:p>
              </w:tc>
              <w:tc>
                <w:tcPr>
                  <w:tcW w:w="705" w:type="pct"/>
                  <w:vMerge w:val="restart"/>
                  <w:tcBorders>
                    <w:tl2br w:val="nil"/>
                    <w:tr2bl w:val="nil"/>
                  </w:tcBorders>
                  <w:vAlign w:val="center"/>
                </w:tcPr>
                <w:p w14:paraId="388335E6">
                  <w:pPr>
                    <w:pStyle w:val="41"/>
                    <w:bidi w:val="0"/>
                    <w:rPr>
                      <w:rFonts w:hint="default"/>
                      <w:u w:val="none" w:color="auto"/>
                      <w:lang w:val="en-US" w:eastAsia="zh-CN"/>
                    </w:rPr>
                  </w:pPr>
                  <w:r>
                    <w:rPr>
                      <w:rFonts w:hint="eastAsia"/>
                      <w:u w:val="none" w:color="auto"/>
                      <w:lang w:val="en-US" w:eastAsia="zh-CN"/>
                    </w:rPr>
                    <w:t>25</w:t>
                  </w:r>
                </w:p>
              </w:tc>
            </w:tr>
            <w:tr w14:paraId="6D415B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24" w:type="pct"/>
                  <w:vMerge w:val="continue"/>
                  <w:tcBorders>
                    <w:tl2br w:val="nil"/>
                    <w:tr2bl w:val="nil"/>
                  </w:tcBorders>
                  <w:vAlign w:val="center"/>
                </w:tcPr>
                <w:p w14:paraId="2CF601DE">
                  <w:pPr>
                    <w:pStyle w:val="41"/>
                    <w:bidi w:val="0"/>
                  </w:pPr>
                </w:p>
              </w:tc>
              <w:tc>
                <w:tcPr>
                  <w:tcW w:w="658" w:type="pct"/>
                  <w:vMerge w:val="continue"/>
                  <w:tcBorders>
                    <w:tl2br w:val="nil"/>
                    <w:tr2bl w:val="nil"/>
                  </w:tcBorders>
                  <w:vAlign w:val="center"/>
                </w:tcPr>
                <w:p w14:paraId="6145435E">
                  <w:pPr>
                    <w:pStyle w:val="41"/>
                    <w:bidi w:val="0"/>
                  </w:pPr>
                </w:p>
              </w:tc>
              <w:tc>
                <w:tcPr>
                  <w:tcW w:w="868" w:type="pct"/>
                  <w:tcBorders>
                    <w:tl2br w:val="nil"/>
                    <w:tr2bl w:val="nil"/>
                  </w:tcBorders>
                  <w:vAlign w:val="center"/>
                </w:tcPr>
                <w:p w14:paraId="1DDC443D">
                  <w:pPr>
                    <w:pStyle w:val="41"/>
                    <w:bidi w:val="0"/>
                    <w:rPr>
                      <w:rFonts w:hint="default"/>
                      <w:u w:val="none" w:color="auto"/>
                      <w:lang w:val="en-US" w:eastAsia="zh-CN"/>
                    </w:rPr>
                  </w:pPr>
                  <w:r>
                    <w:rPr>
                      <w:rFonts w:hint="eastAsia"/>
                      <w:u w:val="none" w:color="auto"/>
                      <w:lang w:val="en-US" w:eastAsia="zh-CN"/>
                    </w:rPr>
                    <w:t>调漆、浸漆、烘干有机废气</w:t>
                  </w:r>
                </w:p>
              </w:tc>
              <w:tc>
                <w:tcPr>
                  <w:tcW w:w="2343" w:type="pct"/>
                  <w:tcBorders>
                    <w:tl2br w:val="nil"/>
                    <w:tr2bl w:val="nil"/>
                  </w:tcBorders>
                  <w:vAlign w:val="center"/>
                </w:tcPr>
                <w:p w14:paraId="73F9B7C0">
                  <w:pPr>
                    <w:pStyle w:val="41"/>
                    <w:bidi w:val="0"/>
                    <w:rPr>
                      <w:rFonts w:hint="default"/>
                      <w:u w:val="none" w:color="auto"/>
                      <w:lang w:val="en-US" w:eastAsia="zh-CN"/>
                    </w:rPr>
                  </w:pPr>
                  <w:r>
                    <w:rPr>
                      <w:rFonts w:hint="eastAsia"/>
                      <w:u w:val="none" w:color="auto"/>
                      <w:lang w:val="en-US" w:eastAsia="zh-CN"/>
                    </w:rPr>
                    <w:t>密闭含浸车间微负压收集+干式过滤器+二级活性炭吸附+23m排气筒DA001</w:t>
                  </w:r>
                </w:p>
              </w:tc>
              <w:tc>
                <w:tcPr>
                  <w:tcW w:w="705" w:type="pct"/>
                  <w:vMerge w:val="continue"/>
                  <w:tcBorders>
                    <w:tl2br w:val="nil"/>
                    <w:tr2bl w:val="nil"/>
                  </w:tcBorders>
                  <w:vAlign w:val="center"/>
                </w:tcPr>
                <w:p w14:paraId="7840363A">
                  <w:pPr>
                    <w:pStyle w:val="41"/>
                    <w:bidi w:val="0"/>
                    <w:rPr>
                      <w:rFonts w:hint="default"/>
                      <w:u w:val="none" w:color="auto"/>
                      <w:lang w:val="en-US" w:eastAsia="zh-CN"/>
                    </w:rPr>
                  </w:pPr>
                </w:p>
              </w:tc>
            </w:tr>
            <w:tr w14:paraId="596652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24" w:type="pct"/>
                  <w:vMerge w:val="continue"/>
                  <w:tcBorders>
                    <w:tl2br w:val="nil"/>
                    <w:tr2bl w:val="nil"/>
                  </w:tcBorders>
                  <w:vAlign w:val="center"/>
                </w:tcPr>
                <w:p w14:paraId="4A70F81D">
                  <w:pPr>
                    <w:pStyle w:val="41"/>
                    <w:bidi w:val="0"/>
                  </w:pPr>
                </w:p>
              </w:tc>
              <w:tc>
                <w:tcPr>
                  <w:tcW w:w="658" w:type="pct"/>
                  <w:vMerge w:val="continue"/>
                  <w:tcBorders>
                    <w:tl2br w:val="nil"/>
                    <w:tr2bl w:val="nil"/>
                  </w:tcBorders>
                  <w:vAlign w:val="center"/>
                </w:tcPr>
                <w:p w14:paraId="3272A149">
                  <w:pPr>
                    <w:pStyle w:val="41"/>
                    <w:bidi w:val="0"/>
                  </w:pPr>
                </w:p>
              </w:tc>
              <w:tc>
                <w:tcPr>
                  <w:tcW w:w="868" w:type="pct"/>
                  <w:tcBorders>
                    <w:tl2br w:val="nil"/>
                    <w:tr2bl w:val="nil"/>
                  </w:tcBorders>
                  <w:vAlign w:val="center"/>
                </w:tcPr>
                <w:p w14:paraId="0A3E10C4">
                  <w:pPr>
                    <w:pStyle w:val="41"/>
                    <w:bidi w:val="0"/>
                    <w:rPr>
                      <w:rFonts w:hint="default"/>
                      <w:u w:val="none" w:color="auto"/>
                      <w:lang w:val="en-US" w:eastAsia="zh-CN"/>
                    </w:rPr>
                  </w:pPr>
                  <w:r>
                    <w:rPr>
                      <w:rFonts w:hint="eastAsia"/>
                      <w:u w:val="none" w:color="auto"/>
                      <w:lang w:val="en-US" w:eastAsia="zh-CN"/>
                    </w:rPr>
                    <w:t>点胶有机废气</w:t>
                  </w:r>
                </w:p>
              </w:tc>
              <w:tc>
                <w:tcPr>
                  <w:tcW w:w="2343" w:type="pct"/>
                  <w:tcBorders>
                    <w:tl2br w:val="nil"/>
                    <w:tr2bl w:val="nil"/>
                  </w:tcBorders>
                  <w:vAlign w:val="center"/>
                </w:tcPr>
                <w:p w14:paraId="0D3E10AC">
                  <w:pPr>
                    <w:pStyle w:val="41"/>
                    <w:bidi w:val="0"/>
                    <w:rPr>
                      <w:rFonts w:hint="default"/>
                      <w:u w:val="none" w:color="auto"/>
                      <w:lang w:val="en-US" w:eastAsia="zh-CN"/>
                    </w:rPr>
                  </w:pPr>
                  <w:r>
                    <w:rPr>
                      <w:rFonts w:hint="eastAsia"/>
                      <w:u w:val="none" w:color="auto"/>
                      <w:lang w:val="en-US" w:eastAsia="zh-CN"/>
                    </w:rPr>
                    <w:t>加强车间通风</w:t>
                  </w:r>
                </w:p>
              </w:tc>
              <w:tc>
                <w:tcPr>
                  <w:tcW w:w="705" w:type="pct"/>
                  <w:tcBorders>
                    <w:tl2br w:val="nil"/>
                    <w:tr2bl w:val="nil"/>
                  </w:tcBorders>
                  <w:vAlign w:val="center"/>
                </w:tcPr>
                <w:p w14:paraId="7241C0BC">
                  <w:pPr>
                    <w:pStyle w:val="41"/>
                    <w:bidi w:val="0"/>
                    <w:rPr>
                      <w:rFonts w:hint="default"/>
                      <w:u w:val="none" w:color="auto"/>
                      <w:lang w:val="en-US" w:eastAsia="zh-CN"/>
                    </w:rPr>
                  </w:pPr>
                  <w:r>
                    <w:rPr>
                      <w:rFonts w:hint="eastAsia"/>
                      <w:u w:val="none" w:color="auto"/>
                      <w:lang w:val="en-US" w:eastAsia="zh-CN"/>
                    </w:rPr>
                    <w:t>0.5</w:t>
                  </w:r>
                </w:p>
              </w:tc>
            </w:tr>
            <w:tr w14:paraId="6D781A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3" w:hRule="atLeast"/>
                <w:jc w:val="center"/>
              </w:trPr>
              <w:tc>
                <w:tcPr>
                  <w:tcW w:w="424" w:type="pct"/>
                  <w:tcBorders>
                    <w:tl2br w:val="nil"/>
                    <w:tr2bl w:val="nil"/>
                  </w:tcBorders>
                  <w:vAlign w:val="center"/>
                </w:tcPr>
                <w:p w14:paraId="44EBFAAB">
                  <w:pPr>
                    <w:pStyle w:val="41"/>
                    <w:bidi w:val="0"/>
                    <w:rPr>
                      <w:u w:val="none" w:color="auto"/>
                    </w:rPr>
                  </w:pPr>
                  <w:r>
                    <w:rPr>
                      <w:rFonts w:hint="eastAsia"/>
                      <w:u w:val="none" w:color="auto"/>
                    </w:rPr>
                    <w:t>3</w:t>
                  </w:r>
                </w:p>
              </w:tc>
              <w:tc>
                <w:tcPr>
                  <w:tcW w:w="658" w:type="pct"/>
                  <w:tcBorders>
                    <w:tl2br w:val="nil"/>
                    <w:tr2bl w:val="nil"/>
                  </w:tcBorders>
                  <w:vAlign w:val="center"/>
                </w:tcPr>
                <w:p w14:paraId="69D144AA">
                  <w:pPr>
                    <w:pStyle w:val="41"/>
                    <w:bidi w:val="0"/>
                    <w:rPr>
                      <w:u w:val="none" w:color="auto"/>
                    </w:rPr>
                  </w:pPr>
                  <w:r>
                    <w:rPr>
                      <w:u w:val="none" w:color="auto"/>
                    </w:rPr>
                    <w:t>噪声</w:t>
                  </w:r>
                </w:p>
              </w:tc>
              <w:tc>
                <w:tcPr>
                  <w:tcW w:w="868" w:type="pct"/>
                  <w:tcBorders>
                    <w:tl2br w:val="nil"/>
                    <w:tr2bl w:val="nil"/>
                  </w:tcBorders>
                  <w:vAlign w:val="center"/>
                </w:tcPr>
                <w:p w14:paraId="62CF0875">
                  <w:pPr>
                    <w:pStyle w:val="41"/>
                    <w:bidi w:val="0"/>
                    <w:rPr>
                      <w:u w:val="none" w:color="auto"/>
                    </w:rPr>
                  </w:pPr>
                  <w:r>
                    <w:rPr>
                      <w:u w:val="none" w:color="auto"/>
                    </w:rPr>
                    <w:t>设备噪声</w:t>
                  </w:r>
                </w:p>
              </w:tc>
              <w:tc>
                <w:tcPr>
                  <w:tcW w:w="2343" w:type="pct"/>
                  <w:tcBorders>
                    <w:tl2br w:val="nil"/>
                    <w:tr2bl w:val="nil"/>
                  </w:tcBorders>
                  <w:vAlign w:val="center"/>
                </w:tcPr>
                <w:p w14:paraId="2EBBB1F1">
                  <w:pPr>
                    <w:pStyle w:val="41"/>
                    <w:bidi w:val="0"/>
                    <w:rPr>
                      <w:rFonts w:hint="eastAsia" w:eastAsia="宋体"/>
                      <w:u w:val="none" w:color="auto"/>
                      <w:lang w:val="en-US" w:eastAsia="zh-CN"/>
                    </w:rPr>
                  </w:pPr>
                  <w:r>
                    <w:rPr>
                      <w:u w:val="none" w:color="auto"/>
                    </w:rPr>
                    <w:t>低噪声设备、减振基座、墙体隔声</w:t>
                  </w:r>
                  <w:r>
                    <w:rPr>
                      <w:rFonts w:hint="eastAsia"/>
                      <w:u w:val="none" w:color="auto"/>
                      <w:lang w:val="en-US" w:eastAsia="zh-CN"/>
                    </w:rPr>
                    <w:t>等</w:t>
                  </w:r>
                </w:p>
              </w:tc>
              <w:tc>
                <w:tcPr>
                  <w:tcW w:w="705" w:type="pct"/>
                  <w:tcBorders>
                    <w:tl2br w:val="nil"/>
                    <w:tr2bl w:val="nil"/>
                  </w:tcBorders>
                  <w:vAlign w:val="center"/>
                </w:tcPr>
                <w:p w14:paraId="31CA46D9">
                  <w:pPr>
                    <w:pStyle w:val="41"/>
                    <w:bidi w:val="0"/>
                    <w:rPr>
                      <w:rFonts w:hint="default"/>
                      <w:u w:val="none" w:color="auto"/>
                      <w:lang w:val="en-US" w:eastAsia="zh-CN"/>
                    </w:rPr>
                  </w:pPr>
                  <w:r>
                    <w:rPr>
                      <w:rFonts w:hint="eastAsia"/>
                      <w:u w:val="none" w:color="auto"/>
                      <w:lang w:val="en-US" w:eastAsia="zh-CN"/>
                    </w:rPr>
                    <w:t>5</w:t>
                  </w:r>
                </w:p>
              </w:tc>
            </w:tr>
            <w:tr w14:paraId="0D332B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3" w:hRule="atLeast"/>
                <w:jc w:val="center"/>
              </w:trPr>
              <w:tc>
                <w:tcPr>
                  <w:tcW w:w="424" w:type="pct"/>
                  <w:vMerge w:val="restart"/>
                  <w:tcBorders>
                    <w:tl2br w:val="nil"/>
                    <w:tr2bl w:val="nil"/>
                  </w:tcBorders>
                  <w:vAlign w:val="center"/>
                </w:tcPr>
                <w:p w14:paraId="25725B3C">
                  <w:pPr>
                    <w:pStyle w:val="41"/>
                    <w:bidi w:val="0"/>
                    <w:rPr>
                      <w:u w:val="none" w:color="auto"/>
                    </w:rPr>
                  </w:pPr>
                  <w:r>
                    <w:rPr>
                      <w:rFonts w:hint="eastAsia"/>
                      <w:u w:val="none" w:color="auto"/>
                    </w:rPr>
                    <w:t>4</w:t>
                  </w:r>
                </w:p>
              </w:tc>
              <w:tc>
                <w:tcPr>
                  <w:tcW w:w="658" w:type="pct"/>
                  <w:vMerge w:val="restart"/>
                  <w:tcBorders>
                    <w:tl2br w:val="nil"/>
                    <w:tr2bl w:val="nil"/>
                  </w:tcBorders>
                  <w:vAlign w:val="center"/>
                </w:tcPr>
                <w:p w14:paraId="239933E2">
                  <w:pPr>
                    <w:pStyle w:val="41"/>
                    <w:bidi w:val="0"/>
                    <w:rPr>
                      <w:u w:val="none" w:color="auto"/>
                    </w:rPr>
                  </w:pPr>
                  <w:r>
                    <w:rPr>
                      <w:rFonts w:hint="eastAsia"/>
                      <w:u w:val="none" w:color="auto"/>
                    </w:rPr>
                    <w:t>固废</w:t>
                  </w:r>
                </w:p>
              </w:tc>
              <w:tc>
                <w:tcPr>
                  <w:tcW w:w="868" w:type="pct"/>
                  <w:tcBorders>
                    <w:tl2br w:val="nil"/>
                    <w:tr2bl w:val="nil"/>
                  </w:tcBorders>
                  <w:vAlign w:val="center"/>
                </w:tcPr>
                <w:p w14:paraId="5335FBFF">
                  <w:pPr>
                    <w:pStyle w:val="41"/>
                    <w:bidi w:val="0"/>
                    <w:rPr>
                      <w:u w:val="none" w:color="auto"/>
                    </w:rPr>
                  </w:pPr>
                  <w:r>
                    <w:rPr>
                      <w:rFonts w:hint="eastAsia"/>
                      <w:u w:val="none" w:color="auto"/>
                    </w:rPr>
                    <w:t>一般固废</w:t>
                  </w:r>
                </w:p>
              </w:tc>
              <w:tc>
                <w:tcPr>
                  <w:tcW w:w="2343" w:type="pct"/>
                  <w:tcBorders>
                    <w:tl2br w:val="nil"/>
                    <w:tr2bl w:val="nil"/>
                  </w:tcBorders>
                  <w:vAlign w:val="center"/>
                </w:tcPr>
                <w:p w14:paraId="6B3BEBFD">
                  <w:pPr>
                    <w:pStyle w:val="41"/>
                    <w:bidi w:val="0"/>
                    <w:rPr>
                      <w:rFonts w:hint="eastAsia"/>
                      <w:u w:val="none" w:color="auto"/>
                      <w:lang w:val="en-US" w:eastAsia="zh-CN"/>
                    </w:rPr>
                  </w:pPr>
                  <w:r>
                    <w:rPr>
                      <w:rFonts w:hint="eastAsia"/>
                      <w:u w:val="none" w:color="auto"/>
                      <w:lang w:val="en-US" w:eastAsia="zh-CN"/>
                    </w:rPr>
                    <w:t>一般固废暂存间（10m</w:t>
                  </w:r>
                  <w:r>
                    <w:rPr>
                      <w:rFonts w:hint="eastAsia"/>
                      <w:u w:val="none" w:color="auto"/>
                      <w:vertAlign w:val="superscript"/>
                      <w:lang w:val="en-US" w:eastAsia="zh-CN"/>
                    </w:rPr>
                    <w:t>2</w:t>
                  </w:r>
                  <w:r>
                    <w:rPr>
                      <w:rFonts w:hint="eastAsia"/>
                      <w:u w:val="none" w:color="auto"/>
                      <w:lang w:val="en-US" w:eastAsia="zh-CN"/>
                    </w:rPr>
                    <w:t>）</w:t>
                  </w:r>
                </w:p>
              </w:tc>
              <w:tc>
                <w:tcPr>
                  <w:tcW w:w="705" w:type="pct"/>
                  <w:tcBorders>
                    <w:tl2br w:val="nil"/>
                    <w:tr2bl w:val="nil"/>
                  </w:tcBorders>
                  <w:vAlign w:val="center"/>
                </w:tcPr>
                <w:p w14:paraId="00DE29AC">
                  <w:pPr>
                    <w:pStyle w:val="41"/>
                    <w:bidi w:val="0"/>
                    <w:rPr>
                      <w:rFonts w:hint="default"/>
                      <w:u w:val="none" w:color="auto"/>
                      <w:lang w:val="en-US" w:eastAsia="zh-CN"/>
                    </w:rPr>
                  </w:pPr>
                  <w:r>
                    <w:rPr>
                      <w:rFonts w:hint="eastAsia"/>
                      <w:u w:val="none" w:color="auto"/>
                      <w:lang w:val="en-US" w:eastAsia="zh-CN"/>
                    </w:rPr>
                    <w:t>3</w:t>
                  </w:r>
                </w:p>
              </w:tc>
            </w:tr>
            <w:tr w14:paraId="4BCC6A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3" w:hRule="atLeast"/>
                <w:jc w:val="center"/>
              </w:trPr>
              <w:tc>
                <w:tcPr>
                  <w:tcW w:w="424" w:type="pct"/>
                  <w:vMerge w:val="continue"/>
                  <w:tcBorders>
                    <w:tl2br w:val="nil"/>
                    <w:tr2bl w:val="nil"/>
                  </w:tcBorders>
                  <w:vAlign w:val="center"/>
                </w:tcPr>
                <w:p w14:paraId="3C18B2F5">
                  <w:pPr>
                    <w:pStyle w:val="41"/>
                    <w:bidi w:val="0"/>
                    <w:rPr>
                      <w:rFonts w:hint="eastAsia"/>
                      <w:u w:val="none" w:color="auto"/>
                    </w:rPr>
                  </w:pPr>
                </w:p>
              </w:tc>
              <w:tc>
                <w:tcPr>
                  <w:tcW w:w="658" w:type="pct"/>
                  <w:vMerge w:val="continue"/>
                  <w:tcBorders>
                    <w:tl2br w:val="nil"/>
                    <w:tr2bl w:val="nil"/>
                  </w:tcBorders>
                  <w:vAlign w:val="center"/>
                </w:tcPr>
                <w:p w14:paraId="5BD0A6B6">
                  <w:pPr>
                    <w:pStyle w:val="41"/>
                    <w:bidi w:val="0"/>
                    <w:rPr>
                      <w:rFonts w:hint="eastAsia"/>
                      <w:u w:val="none" w:color="auto"/>
                    </w:rPr>
                  </w:pPr>
                </w:p>
              </w:tc>
              <w:tc>
                <w:tcPr>
                  <w:tcW w:w="868" w:type="pct"/>
                  <w:tcBorders>
                    <w:tl2br w:val="nil"/>
                    <w:tr2bl w:val="nil"/>
                  </w:tcBorders>
                  <w:vAlign w:val="center"/>
                </w:tcPr>
                <w:p w14:paraId="5D4AB920">
                  <w:pPr>
                    <w:pStyle w:val="41"/>
                    <w:bidi w:val="0"/>
                    <w:rPr>
                      <w:rFonts w:hint="default" w:eastAsia="宋体"/>
                      <w:u w:val="none" w:color="auto"/>
                      <w:lang w:val="en-US" w:eastAsia="zh-CN"/>
                    </w:rPr>
                  </w:pPr>
                  <w:r>
                    <w:rPr>
                      <w:rFonts w:hint="eastAsia"/>
                      <w:u w:val="none" w:color="auto"/>
                      <w:lang w:val="en-US" w:eastAsia="zh-CN"/>
                    </w:rPr>
                    <w:t>危险废物</w:t>
                  </w:r>
                </w:p>
              </w:tc>
              <w:tc>
                <w:tcPr>
                  <w:tcW w:w="2343" w:type="pct"/>
                  <w:tcBorders>
                    <w:tl2br w:val="nil"/>
                    <w:tr2bl w:val="nil"/>
                  </w:tcBorders>
                  <w:vAlign w:val="center"/>
                </w:tcPr>
                <w:p w14:paraId="7436DDBC">
                  <w:pPr>
                    <w:pStyle w:val="41"/>
                    <w:bidi w:val="0"/>
                    <w:rPr>
                      <w:rFonts w:hint="default"/>
                      <w:u w:val="none" w:color="auto"/>
                      <w:lang w:val="en-US" w:eastAsia="zh-CN"/>
                    </w:rPr>
                  </w:pPr>
                  <w:r>
                    <w:rPr>
                      <w:rFonts w:hint="eastAsia"/>
                      <w:u w:val="none" w:color="auto"/>
                      <w:lang w:val="en-US" w:eastAsia="zh-CN"/>
                    </w:rPr>
                    <w:t>危废暂存间（5m</w:t>
                  </w:r>
                  <w:r>
                    <w:rPr>
                      <w:rFonts w:hint="eastAsia"/>
                      <w:u w:val="none" w:color="auto"/>
                      <w:vertAlign w:val="superscript"/>
                      <w:lang w:val="en-US" w:eastAsia="zh-CN"/>
                    </w:rPr>
                    <w:t>2</w:t>
                  </w:r>
                  <w:r>
                    <w:rPr>
                      <w:rFonts w:hint="eastAsia"/>
                      <w:u w:val="none" w:color="auto"/>
                      <w:lang w:val="en-US" w:eastAsia="zh-CN"/>
                    </w:rPr>
                    <w:t>）</w:t>
                  </w:r>
                </w:p>
              </w:tc>
              <w:tc>
                <w:tcPr>
                  <w:tcW w:w="705" w:type="pct"/>
                  <w:tcBorders>
                    <w:tl2br w:val="nil"/>
                    <w:tr2bl w:val="nil"/>
                  </w:tcBorders>
                  <w:vAlign w:val="center"/>
                </w:tcPr>
                <w:p w14:paraId="516EDA5C">
                  <w:pPr>
                    <w:pStyle w:val="41"/>
                    <w:bidi w:val="0"/>
                    <w:rPr>
                      <w:rFonts w:hint="default"/>
                      <w:u w:val="none" w:color="auto"/>
                      <w:lang w:val="en-US" w:eastAsia="zh-CN"/>
                    </w:rPr>
                  </w:pPr>
                  <w:r>
                    <w:rPr>
                      <w:rFonts w:hint="eastAsia"/>
                      <w:u w:val="none" w:color="auto"/>
                      <w:lang w:val="en-US" w:eastAsia="zh-CN"/>
                    </w:rPr>
                    <w:t>8</w:t>
                  </w:r>
                </w:p>
              </w:tc>
            </w:tr>
            <w:tr w14:paraId="58821F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4" w:hRule="atLeast"/>
                <w:jc w:val="center"/>
              </w:trPr>
              <w:tc>
                <w:tcPr>
                  <w:tcW w:w="424" w:type="pct"/>
                  <w:vMerge w:val="continue"/>
                  <w:tcBorders>
                    <w:tl2br w:val="nil"/>
                    <w:tr2bl w:val="nil"/>
                  </w:tcBorders>
                  <w:vAlign w:val="center"/>
                </w:tcPr>
                <w:p w14:paraId="6799C550">
                  <w:pPr>
                    <w:pStyle w:val="41"/>
                    <w:bidi w:val="0"/>
                    <w:rPr>
                      <w:u w:val="none" w:color="auto"/>
                    </w:rPr>
                  </w:pPr>
                </w:p>
              </w:tc>
              <w:tc>
                <w:tcPr>
                  <w:tcW w:w="658" w:type="pct"/>
                  <w:vMerge w:val="continue"/>
                  <w:tcBorders>
                    <w:tl2br w:val="nil"/>
                    <w:tr2bl w:val="nil"/>
                  </w:tcBorders>
                  <w:vAlign w:val="center"/>
                </w:tcPr>
                <w:p w14:paraId="46068E8C">
                  <w:pPr>
                    <w:pStyle w:val="41"/>
                    <w:bidi w:val="0"/>
                    <w:rPr>
                      <w:u w:val="none" w:color="auto"/>
                    </w:rPr>
                  </w:pPr>
                </w:p>
              </w:tc>
              <w:tc>
                <w:tcPr>
                  <w:tcW w:w="868" w:type="pct"/>
                  <w:tcBorders>
                    <w:tl2br w:val="nil"/>
                    <w:tr2bl w:val="nil"/>
                  </w:tcBorders>
                  <w:vAlign w:val="center"/>
                </w:tcPr>
                <w:p w14:paraId="46B73371">
                  <w:pPr>
                    <w:pStyle w:val="41"/>
                    <w:bidi w:val="0"/>
                    <w:rPr>
                      <w:rFonts w:hint="default" w:eastAsia="宋体"/>
                      <w:u w:val="none" w:color="auto"/>
                      <w:lang w:val="en-US" w:eastAsia="zh-CN"/>
                    </w:rPr>
                  </w:pPr>
                  <w:r>
                    <w:rPr>
                      <w:rFonts w:hint="eastAsia"/>
                      <w:u w:val="none" w:color="auto"/>
                      <w:lang w:val="en-US" w:eastAsia="zh-CN"/>
                    </w:rPr>
                    <w:t>生活垃圾</w:t>
                  </w:r>
                </w:p>
              </w:tc>
              <w:tc>
                <w:tcPr>
                  <w:tcW w:w="2343" w:type="pct"/>
                  <w:tcBorders>
                    <w:tl2br w:val="nil"/>
                    <w:tr2bl w:val="nil"/>
                  </w:tcBorders>
                  <w:vAlign w:val="center"/>
                </w:tcPr>
                <w:p w14:paraId="21E201A1">
                  <w:pPr>
                    <w:pStyle w:val="41"/>
                    <w:bidi w:val="0"/>
                    <w:rPr>
                      <w:rFonts w:hint="default"/>
                      <w:u w:val="none" w:color="auto"/>
                      <w:lang w:val="en-US" w:eastAsia="zh-CN"/>
                    </w:rPr>
                  </w:pPr>
                  <w:r>
                    <w:rPr>
                      <w:rFonts w:hint="eastAsia"/>
                      <w:u w:val="none" w:color="auto"/>
                      <w:lang w:val="en-US" w:eastAsia="zh-CN"/>
                    </w:rPr>
                    <w:t>垃圾桶</w:t>
                  </w:r>
                </w:p>
              </w:tc>
              <w:tc>
                <w:tcPr>
                  <w:tcW w:w="705" w:type="pct"/>
                  <w:tcBorders>
                    <w:tl2br w:val="nil"/>
                    <w:tr2bl w:val="nil"/>
                  </w:tcBorders>
                  <w:vAlign w:val="center"/>
                </w:tcPr>
                <w:p w14:paraId="7126D4C2">
                  <w:pPr>
                    <w:pStyle w:val="41"/>
                    <w:bidi w:val="0"/>
                    <w:rPr>
                      <w:rFonts w:hint="default"/>
                      <w:u w:val="none" w:color="auto"/>
                      <w:lang w:val="en-US" w:eastAsia="zh-CN"/>
                    </w:rPr>
                  </w:pPr>
                  <w:r>
                    <w:rPr>
                      <w:rFonts w:hint="eastAsia"/>
                      <w:u w:val="none" w:color="auto"/>
                      <w:lang w:val="en-US" w:eastAsia="zh-CN"/>
                    </w:rPr>
                    <w:t>0.5</w:t>
                  </w:r>
                </w:p>
              </w:tc>
            </w:tr>
            <w:tr w14:paraId="5EE33C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4" w:hRule="atLeast"/>
                <w:jc w:val="center"/>
              </w:trPr>
              <w:tc>
                <w:tcPr>
                  <w:tcW w:w="424" w:type="pct"/>
                  <w:tcBorders>
                    <w:tl2br w:val="nil"/>
                    <w:tr2bl w:val="nil"/>
                  </w:tcBorders>
                  <w:vAlign w:val="center"/>
                </w:tcPr>
                <w:p w14:paraId="2E9020B7">
                  <w:pPr>
                    <w:pStyle w:val="41"/>
                    <w:bidi w:val="0"/>
                    <w:rPr>
                      <w:rFonts w:hint="eastAsia" w:eastAsia="宋体"/>
                      <w:u w:val="none" w:color="auto"/>
                      <w:lang w:val="en-US" w:eastAsia="zh-CN"/>
                    </w:rPr>
                  </w:pPr>
                  <w:r>
                    <w:rPr>
                      <w:rFonts w:hint="eastAsia"/>
                      <w:u w:val="none" w:color="auto"/>
                      <w:lang w:val="en-US" w:eastAsia="zh-CN"/>
                    </w:rPr>
                    <w:t>5</w:t>
                  </w:r>
                </w:p>
              </w:tc>
              <w:tc>
                <w:tcPr>
                  <w:tcW w:w="658" w:type="pct"/>
                  <w:tcBorders>
                    <w:tl2br w:val="nil"/>
                    <w:tr2bl w:val="nil"/>
                  </w:tcBorders>
                  <w:vAlign w:val="center"/>
                </w:tcPr>
                <w:p w14:paraId="551DFF2B">
                  <w:pPr>
                    <w:pStyle w:val="41"/>
                    <w:bidi w:val="0"/>
                    <w:rPr>
                      <w:rFonts w:hint="default" w:eastAsia="宋体"/>
                      <w:u w:val="none" w:color="auto"/>
                      <w:lang w:val="en-US" w:eastAsia="zh-CN"/>
                    </w:rPr>
                  </w:pPr>
                  <w:r>
                    <w:rPr>
                      <w:rFonts w:hint="eastAsia"/>
                      <w:u w:val="none" w:color="auto"/>
                      <w:lang w:val="en-US" w:eastAsia="zh-CN"/>
                    </w:rPr>
                    <w:t>地下水、土壤防护</w:t>
                  </w:r>
                </w:p>
              </w:tc>
              <w:tc>
                <w:tcPr>
                  <w:tcW w:w="3212" w:type="pct"/>
                  <w:gridSpan w:val="2"/>
                  <w:tcBorders>
                    <w:tl2br w:val="nil"/>
                    <w:tr2bl w:val="nil"/>
                  </w:tcBorders>
                  <w:vAlign w:val="center"/>
                </w:tcPr>
                <w:p w14:paraId="40496A15">
                  <w:pPr>
                    <w:pStyle w:val="41"/>
                    <w:bidi w:val="0"/>
                    <w:rPr>
                      <w:rFonts w:hint="eastAsia"/>
                      <w:sz w:val="21"/>
                      <w:szCs w:val="21"/>
                      <w:u w:val="none" w:color="auto"/>
                      <w:lang w:val="en-US" w:eastAsia="zh-CN"/>
                    </w:rPr>
                  </w:pPr>
                  <w:r>
                    <w:rPr>
                      <w:rFonts w:hint="eastAsia"/>
                      <w:sz w:val="21"/>
                      <w:szCs w:val="21"/>
                      <w:u w:val="none" w:color="auto"/>
                      <w:lang w:val="en-US" w:eastAsia="zh-CN"/>
                    </w:rPr>
                    <w:t>对区域按照不同使用功能进行分区防渗。重点防渗区:①危废暂存间、危化品库，在15cmP6级抗渗混凝土楼板基础上涂刷2mm环氧地坪漆并设置防渗PP托盘，各类危废、化学品暂存于托盘上，本项目位于2F，危废间可达到等效2mm高密度聚乙烯膜等人工防渗材料(防渗系数K≤10</w:t>
                  </w:r>
                  <w:r>
                    <w:rPr>
                      <w:rFonts w:hint="eastAsia"/>
                      <w:sz w:val="21"/>
                      <w:szCs w:val="21"/>
                      <w:u w:val="none" w:color="auto"/>
                      <w:vertAlign w:val="superscript"/>
                      <w:lang w:val="en-US" w:eastAsia="zh-CN"/>
                    </w:rPr>
                    <w:t>-10</w:t>
                  </w:r>
                  <w:r>
                    <w:rPr>
                      <w:rFonts w:hint="eastAsia"/>
                      <w:sz w:val="21"/>
                      <w:szCs w:val="21"/>
                      <w:u w:val="none" w:color="auto"/>
                      <w:lang w:val="en-US" w:eastAsia="zh-CN"/>
                    </w:rPr>
                    <w:t>cm/s)的防渗效果，危化品库可达到等效黏土层Mb≥6m，渗透系数K≤10</w:t>
                  </w:r>
                  <w:r>
                    <w:rPr>
                      <w:rFonts w:hint="eastAsia"/>
                      <w:sz w:val="21"/>
                      <w:szCs w:val="21"/>
                      <w:u w:val="none" w:color="auto"/>
                      <w:vertAlign w:val="superscript"/>
                      <w:lang w:val="en-US" w:eastAsia="zh-CN"/>
                    </w:rPr>
                    <w:t>-7</w:t>
                  </w:r>
                  <w:r>
                    <w:rPr>
                      <w:rFonts w:hint="eastAsia"/>
                      <w:sz w:val="21"/>
                      <w:szCs w:val="21"/>
                      <w:u w:val="none" w:color="auto"/>
                      <w:lang w:val="en-US" w:eastAsia="zh-CN"/>
                    </w:rPr>
                    <w:t>cm/s的防渗效果:②含浸车间，在15cmP6级抗渗混凝土楼板基础上，涂刷2mm环氧地坪漆，本项目位于2F，可达到等效黏土层Mb≥6m，渗透系数K≤10</w:t>
                  </w:r>
                  <w:r>
                    <w:rPr>
                      <w:rFonts w:hint="eastAsia"/>
                      <w:sz w:val="21"/>
                      <w:szCs w:val="21"/>
                      <w:u w:val="none" w:color="auto"/>
                      <w:vertAlign w:val="superscript"/>
                      <w:lang w:val="en-US" w:eastAsia="zh-CN"/>
                    </w:rPr>
                    <w:t>-7</w:t>
                  </w:r>
                  <w:r>
                    <w:rPr>
                      <w:rFonts w:hint="eastAsia"/>
                      <w:sz w:val="21"/>
                      <w:szCs w:val="21"/>
                      <w:u w:val="none" w:color="auto"/>
                      <w:lang w:val="en-US" w:eastAsia="zh-CN"/>
                    </w:rPr>
                    <w:t>cm/s的防渗效果。一般防渗区:生产车间主生产区、一般固废暂存区，在15cmP6级抗渗混凝土楼板基础上，涂刷2mm环氧地坪漆，本项目位于2F，可达到等效黏土防渗层Mb≥1.5m、渗透系数K≤10</w:t>
                  </w:r>
                  <w:r>
                    <w:rPr>
                      <w:rFonts w:hint="eastAsia"/>
                      <w:sz w:val="21"/>
                      <w:szCs w:val="21"/>
                      <w:u w:val="none" w:color="auto"/>
                      <w:vertAlign w:val="superscript"/>
                      <w:lang w:val="en-US" w:eastAsia="zh-CN"/>
                    </w:rPr>
                    <w:t>-7</w:t>
                  </w:r>
                  <w:r>
                    <w:rPr>
                      <w:rFonts w:hint="eastAsia"/>
                      <w:sz w:val="21"/>
                      <w:szCs w:val="21"/>
                      <w:u w:val="none" w:color="auto"/>
                      <w:lang w:val="en-US" w:eastAsia="zh-CN"/>
                    </w:rPr>
                    <w:t>m/s的防渗效果。</w:t>
                  </w:r>
                </w:p>
                <w:p w14:paraId="256C79DF">
                  <w:pPr>
                    <w:pStyle w:val="41"/>
                    <w:bidi w:val="0"/>
                    <w:rPr>
                      <w:rFonts w:hint="eastAsia"/>
                      <w:u w:val="none" w:color="auto"/>
                      <w:lang w:val="en-US" w:eastAsia="zh-CN"/>
                    </w:rPr>
                  </w:pPr>
                  <w:r>
                    <w:rPr>
                      <w:rFonts w:hint="eastAsia"/>
                      <w:sz w:val="21"/>
                      <w:szCs w:val="21"/>
                      <w:u w:val="none" w:color="auto"/>
                      <w:lang w:val="en-US" w:eastAsia="zh-CN"/>
                    </w:rPr>
                    <w:t>非污染区:办公区进行地面硬化，铺设地砖，可满足一般硬化的简单防渗要求。</w:t>
                  </w:r>
                </w:p>
              </w:tc>
              <w:tc>
                <w:tcPr>
                  <w:tcW w:w="705" w:type="pct"/>
                  <w:tcBorders>
                    <w:tl2br w:val="nil"/>
                    <w:tr2bl w:val="nil"/>
                  </w:tcBorders>
                  <w:vAlign w:val="center"/>
                </w:tcPr>
                <w:p w14:paraId="773B069C">
                  <w:pPr>
                    <w:pStyle w:val="41"/>
                    <w:bidi w:val="0"/>
                    <w:rPr>
                      <w:rFonts w:hint="default"/>
                      <w:u w:val="none" w:color="auto"/>
                      <w:lang w:val="en-US" w:eastAsia="zh-CN"/>
                    </w:rPr>
                  </w:pPr>
                  <w:r>
                    <w:rPr>
                      <w:rFonts w:hint="eastAsia"/>
                      <w:u w:val="none" w:color="auto"/>
                      <w:lang w:val="en-US" w:eastAsia="zh-CN"/>
                    </w:rPr>
                    <w:t>5</w:t>
                  </w:r>
                </w:p>
              </w:tc>
            </w:tr>
            <w:tr w14:paraId="2744BE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4" w:hRule="atLeast"/>
                <w:jc w:val="center"/>
              </w:trPr>
              <w:tc>
                <w:tcPr>
                  <w:tcW w:w="424" w:type="pct"/>
                  <w:tcBorders>
                    <w:tl2br w:val="nil"/>
                    <w:tr2bl w:val="nil"/>
                  </w:tcBorders>
                  <w:vAlign w:val="center"/>
                </w:tcPr>
                <w:p w14:paraId="4C453EB0">
                  <w:pPr>
                    <w:pStyle w:val="41"/>
                    <w:bidi w:val="0"/>
                    <w:rPr>
                      <w:rFonts w:hint="default"/>
                      <w:u w:val="none" w:color="auto"/>
                      <w:lang w:val="en-US" w:eastAsia="zh-CN"/>
                    </w:rPr>
                  </w:pPr>
                  <w:r>
                    <w:rPr>
                      <w:rFonts w:hint="eastAsia"/>
                      <w:u w:val="none" w:color="auto"/>
                      <w:lang w:val="en-US" w:eastAsia="zh-CN"/>
                    </w:rPr>
                    <w:t>6</w:t>
                  </w:r>
                </w:p>
              </w:tc>
              <w:tc>
                <w:tcPr>
                  <w:tcW w:w="658" w:type="pct"/>
                  <w:tcBorders>
                    <w:tl2br w:val="nil"/>
                    <w:tr2bl w:val="nil"/>
                  </w:tcBorders>
                  <w:vAlign w:val="center"/>
                </w:tcPr>
                <w:p w14:paraId="4AF7EB14">
                  <w:pPr>
                    <w:pStyle w:val="41"/>
                    <w:bidi w:val="0"/>
                    <w:rPr>
                      <w:rFonts w:hint="default"/>
                      <w:u w:val="none" w:color="auto"/>
                      <w:lang w:val="en-US" w:eastAsia="zh-CN"/>
                    </w:rPr>
                  </w:pPr>
                  <w:r>
                    <w:rPr>
                      <w:rFonts w:hint="eastAsia"/>
                      <w:u w:val="none" w:color="auto"/>
                      <w:lang w:val="en-US" w:eastAsia="zh-CN"/>
                    </w:rPr>
                    <w:t>环境风险防范措施</w:t>
                  </w:r>
                </w:p>
              </w:tc>
              <w:tc>
                <w:tcPr>
                  <w:tcW w:w="3212" w:type="pct"/>
                  <w:gridSpan w:val="2"/>
                  <w:tcBorders>
                    <w:tl2br w:val="nil"/>
                    <w:tr2bl w:val="nil"/>
                  </w:tcBorders>
                  <w:vAlign w:val="center"/>
                </w:tcPr>
                <w:p w14:paraId="3575BF66">
                  <w:pPr>
                    <w:pStyle w:val="41"/>
                    <w:bidi w:val="0"/>
                    <w:rPr>
                      <w:rFonts w:hint="eastAsia"/>
                      <w:u w:val="none" w:color="auto"/>
                      <w:lang w:val="en-US" w:eastAsia="zh-CN"/>
                    </w:rPr>
                  </w:pPr>
                  <w:r>
                    <w:rPr>
                      <w:rFonts w:hint="eastAsia"/>
                      <w:u w:val="none" w:color="auto"/>
                      <w:lang w:val="en-US" w:eastAsia="zh-CN"/>
                    </w:rPr>
                    <w:t>按照相关规范设置消防栓、灭火器等消防设施:化学品库房、含浸车间应按照安全评价相关资料，配备符合要求的安全设施;危废暂存间设置5cm立边的PP防渗托盘:化学品库房设置5cm立边的PP防渗托盘:消防设施定期检查、维护，电气线路定期进行检查、维修、保养;对各功能区进行分区防渗;加强无铅熔锡炉、真空含浸机等设备的巡检，及时发现与处置设备内的化学品的跑冒滴漏:加强废气治理设施的维护，防止废气超标排放;编制突发环境事件应急预案，配备应急物资并定期保养，加强应急演练和培训:设置各种指示、警示标志。</w:t>
                  </w:r>
                </w:p>
              </w:tc>
              <w:tc>
                <w:tcPr>
                  <w:tcW w:w="705" w:type="pct"/>
                  <w:tcBorders>
                    <w:tl2br w:val="nil"/>
                    <w:tr2bl w:val="nil"/>
                  </w:tcBorders>
                  <w:vAlign w:val="center"/>
                </w:tcPr>
                <w:p w14:paraId="69AC354E">
                  <w:pPr>
                    <w:pStyle w:val="41"/>
                    <w:bidi w:val="0"/>
                    <w:rPr>
                      <w:rFonts w:hint="default"/>
                      <w:u w:val="none" w:color="auto"/>
                      <w:lang w:val="en-US" w:eastAsia="zh-CN"/>
                    </w:rPr>
                  </w:pPr>
                  <w:r>
                    <w:rPr>
                      <w:rFonts w:hint="eastAsia"/>
                      <w:u w:val="none" w:color="auto"/>
                      <w:lang w:val="en-US" w:eastAsia="zh-CN"/>
                    </w:rPr>
                    <w:t>5</w:t>
                  </w:r>
                </w:p>
              </w:tc>
            </w:tr>
            <w:tr w14:paraId="1FB0FE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294" w:type="pct"/>
                  <w:gridSpan w:val="4"/>
                  <w:tcBorders>
                    <w:tl2br w:val="nil"/>
                    <w:tr2bl w:val="nil"/>
                  </w:tcBorders>
                  <w:vAlign w:val="center"/>
                </w:tcPr>
                <w:p w14:paraId="0968D3FE">
                  <w:pPr>
                    <w:pStyle w:val="41"/>
                    <w:bidi w:val="0"/>
                    <w:rPr>
                      <w:u w:val="none" w:color="auto"/>
                    </w:rPr>
                  </w:pPr>
                  <w:r>
                    <w:rPr>
                      <w:u w:val="none" w:color="auto"/>
                    </w:rPr>
                    <w:t>合计</w:t>
                  </w:r>
                </w:p>
              </w:tc>
              <w:tc>
                <w:tcPr>
                  <w:tcW w:w="705" w:type="pct"/>
                  <w:tcBorders>
                    <w:tl2br w:val="nil"/>
                    <w:tr2bl w:val="nil"/>
                  </w:tcBorders>
                  <w:vAlign w:val="center"/>
                </w:tcPr>
                <w:p w14:paraId="6B4B6209">
                  <w:pPr>
                    <w:pStyle w:val="41"/>
                    <w:bidi w:val="0"/>
                    <w:rPr>
                      <w:rFonts w:hint="default" w:eastAsia="宋体"/>
                      <w:u w:val="none" w:color="auto"/>
                      <w:lang w:val="en-US" w:eastAsia="zh-CN"/>
                    </w:rPr>
                  </w:pPr>
                  <w:r>
                    <w:rPr>
                      <w:rFonts w:hint="eastAsia"/>
                      <w:u w:val="none" w:color="auto"/>
                      <w:lang w:val="en-US" w:eastAsia="zh-CN"/>
                    </w:rPr>
                    <w:t>57</w:t>
                  </w:r>
                </w:p>
              </w:tc>
            </w:tr>
          </w:tbl>
          <w:p w14:paraId="559FD3B1">
            <w:pPr>
              <w:pStyle w:val="40"/>
              <w:bidi w:val="0"/>
              <w:rPr>
                <w:rFonts w:hint="default" w:eastAsia="宋体"/>
                <w:b/>
                <w:bCs/>
                <w:u w:val="none" w:color="auto"/>
                <w:lang w:val="en-US" w:eastAsia="zh-CN"/>
              </w:rPr>
            </w:pPr>
            <w:r>
              <w:rPr>
                <w:rFonts w:hint="eastAsia"/>
                <w:b/>
                <w:bCs/>
                <w:u w:val="none" w:color="auto"/>
                <w:lang w:val="en-US" w:eastAsia="zh-CN"/>
              </w:rPr>
              <w:t>10、竣工环境保护验收</w:t>
            </w:r>
          </w:p>
          <w:p w14:paraId="6D5BB809">
            <w:pPr>
              <w:spacing w:line="360" w:lineRule="auto"/>
              <w:ind w:firstLine="480" w:firstLineChars="200"/>
              <w:rPr>
                <w:rFonts w:hint="eastAsia"/>
                <w:sz w:val="24"/>
                <w:u w:val="none" w:color="auto"/>
              </w:rPr>
            </w:pPr>
            <w:r>
              <w:rPr>
                <w:rFonts w:hint="eastAsia"/>
                <w:sz w:val="24"/>
                <w:u w:val="none" w:color="auto"/>
              </w:rPr>
              <w:t>根据建设项目竣工环境保护验收技术规范和本项目的特点，本项目“三同时”环保设施竣工验收内容见下表。</w:t>
            </w:r>
          </w:p>
          <w:p w14:paraId="565186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sz w:val="21"/>
                <w:szCs w:val="21"/>
                <w:u w:val="none" w:color="auto"/>
              </w:rPr>
            </w:pPr>
            <w:r>
              <w:rPr>
                <w:rFonts w:hint="default" w:ascii="Times New Roman" w:hAnsi="Times New Roman" w:cs="Times New Roman"/>
                <w:b/>
                <w:bCs/>
                <w:color w:val="000000"/>
                <w:sz w:val="21"/>
                <w:szCs w:val="21"/>
                <w:u w:val="none" w:color="auto"/>
              </w:rPr>
              <w:t>表</w:t>
            </w:r>
            <w:r>
              <w:rPr>
                <w:rFonts w:hint="eastAsia" w:ascii="Times New Roman" w:hAnsi="Times New Roman" w:cs="Times New Roman"/>
                <w:b/>
                <w:bCs/>
                <w:color w:val="000000"/>
                <w:sz w:val="21"/>
                <w:szCs w:val="21"/>
                <w:u w:val="none" w:color="auto"/>
                <w:lang w:val="en-US" w:eastAsia="zh-CN"/>
              </w:rPr>
              <w:t>4-</w:t>
            </w:r>
            <w:r>
              <w:rPr>
                <w:rFonts w:hint="eastAsia" w:cs="Times New Roman"/>
                <w:b/>
                <w:bCs/>
                <w:color w:val="000000"/>
                <w:sz w:val="21"/>
                <w:szCs w:val="21"/>
                <w:u w:val="none" w:color="auto"/>
                <w:lang w:val="en-US" w:eastAsia="zh-CN"/>
              </w:rPr>
              <w:t xml:space="preserve">27 </w:t>
            </w:r>
            <w:r>
              <w:rPr>
                <w:rFonts w:hint="default" w:ascii="Times New Roman" w:hAnsi="Times New Roman" w:cs="Times New Roman"/>
                <w:b/>
                <w:bCs/>
                <w:color w:val="000000"/>
                <w:sz w:val="21"/>
                <w:szCs w:val="21"/>
                <w:u w:val="none" w:color="auto"/>
              </w:rPr>
              <w:t xml:space="preserve"> 项目环境保护竣工验收内容</w:t>
            </w:r>
          </w:p>
          <w:tbl>
            <w:tblPr>
              <w:tblStyle w:val="33"/>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68"/>
              <w:gridCol w:w="636"/>
              <w:gridCol w:w="1335"/>
              <w:gridCol w:w="2719"/>
              <w:gridCol w:w="2689"/>
            </w:tblGrid>
            <w:tr w14:paraId="415C4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2" w:type="pct"/>
                  <w:gridSpan w:val="3"/>
                  <w:tcBorders>
                    <w:tl2br w:val="nil"/>
                    <w:tr2bl w:val="nil"/>
                  </w:tcBorders>
                  <w:vAlign w:val="center"/>
                </w:tcPr>
                <w:p w14:paraId="295CC861">
                  <w:pPr>
                    <w:jc w:val="center"/>
                    <w:rPr>
                      <w:rFonts w:hint="default" w:ascii="Times New Roman" w:hAnsi="Times New Roman" w:eastAsia="宋体" w:cs="Times New Roman"/>
                      <w:bCs/>
                      <w:sz w:val="21"/>
                      <w:szCs w:val="21"/>
                      <w:u w:val="none" w:color="auto"/>
                      <w:lang w:eastAsia="zh-CN"/>
                    </w:rPr>
                  </w:pPr>
                  <w:r>
                    <w:rPr>
                      <w:rFonts w:hint="default" w:ascii="Times New Roman" w:hAnsi="Times New Roman" w:cs="Times New Roman"/>
                      <w:bCs/>
                      <w:sz w:val="21"/>
                      <w:szCs w:val="21"/>
                      <w:u w:val="none" w:color="auto"/>
                      <w:lang w:eastAsia="zh-CN"/>
                    </w:rPr>
                    <w:t>类别</w:t>
                  </w:r>
                </w:p>
              </w:tc>
              <w:tc>
                <w:tcPr>
                  <w:tcW w:w="824" w:type="pct"/>
                  <w:tcBorders>
                    <w:tl2br w:val="nil"/>
                    <w:tr2bl w:val="nil"/>
                  </w:tcBorders>
                  <w:vAlign w:val="center"/>
                </w:tcPr>
                <w:p w14:paraId="120A6518">
                  <w:pPr>
                    <w:jc w:val="center"/>
                    <w:rPr>
                      <w:rFonts w:hint="default" w:ascii="Times New Roman" w:hAnsi="Times New Roman" w:cs="Times New Roman"/>
                      <w:bCs/>
                      <w:sz w:val="21"/>
                      <w:szCs w:val="21"/>
                      <w:u w:val="none" w:color="auto"/>
                    </w:rPr>
                  </w:pPr>
                  <w:r>
                    <w:rPr>
                      <w:rFonts w:hint="default" w:ascii="Times New Roman" w:hAnsi="Times New Roman" w:cs="Times New Roman"/>
                      <w:bCs/>
                      <w:sz w:val="21"/>
                      <w:szCs w:val="21"/>
                      <w:u w:val="none" w:color="auto"/>
                    </w:rPr>
                    <w:t>验收项目</w:t>
                  </w:r>
                </w:p>
              </w:tc>
              <w:tc>
                <w:tcPr>
                  <w:tcW w:w="1660" w:type="pct"/>
                  <w:tcBorders>
                    <w:tl2br w:val="nil"/>
                    <w:tr2bl w:val="nil"/>
                  </w:tcBorders>
                  <w:vAlign w:val="center"/>
                </w:tcPr>
                <w:p w14:paraId="19C0D97A">
                  <w:pPr>
                    <w:jc w:val="center"/>
                    <w:rPr>
                      <w:rFonts w:hint="default" w:ascii="Times New Roman" w:hAnsi="Times New Roman" w:cs="Times New Roman"/>
                      <w:bCs/>
                      <w:sz w:val="21"/>
                      <w:szCs w:val="21"/>
                      <w:u w:val="none" w:color="auto"/>
                    </w:rPr>
                  </w:pPr>
                  <w:r>
                    <w:rPr>
                      <w:rFonts w:hint="default" w:ascii="Times New Roman" w:hAnsi="Times New Roman" w:cs="Times New Roman"/>
                      <w:bCs/>
                      <w:sz w:val="21"/>
                      <w:szCs w:val="21"/>
                      <w:u w:val="none" w:color="auto"/>
                    </w:rPr>
                    <w:t>防治措施与工艺</w:t>
                  </w:r>
                </w:p>
              </w:tc>
              <w:tc>
                <w:tcPr>
                  <w:tcW w:w="1642" w:type="pct"/>
                  <w:tcBorders>
                    <w:tl2br w:val="nil"/>
                    <w:tr2bl w:val="nil"/>
                  </w:tcBorders>
                  <w:vAlign w:val="center"/>
                </w:tcPr>
                <w:p w14:paraId="72300CDE">
                  <w:pPr>
                    <w:jc w:val="center"/>
                    <w:rPr>
                      <w:rFonts w:hint="default" w:ascii="Times New Roman" w:hAnsi="Times New Roman" w:cs="Times New Roman"/>
                      <w:bCs/>
                      <w:sz w:val="21"/>
                      <w:szCs w:val="21"/>
                      <w:u w:val="none" w:color="auto"/>
                    </w:rPr>
                  </w:pPr>
                  <w:r>
                    <w:rPr>
                      <w:rFonts w:hint="default" w:ascii="Times New Roman" w:hAnsi="Times New Roman" w:cs="Times New Roman"/>
                      <w:bCs/>
                      <w:sz w:val="21"/>
                      <w:szCs w:val="21"/>
                      <w:u w:val="none" w:color="auto"/>
                    </w:rPr>
                    <w:t>验收标准</w:t>
                  </w:r>
                </w:p>
              </w:tc>
            </w:tr>
            <w:tr w14:paraId="63BAFC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gridSpan w:val="3"/>
                  <w:tcBorders>
                    <w:tl2br w:val="nil"/>
                    <w:tr2bl w:val="nil"/>
                  </w:tcBorders>
                  <w:vAlign w:val="center"/>
                </w:tcPr>
                <w:p w14:paraId="3AA190CE">
                  <w:pPr>
                    <w:jc w:val="center"/>
                    <w:rPr>
                      <w:rFonts w:hint="eastAsia" w:cs="Times New Roman"/>
                      <w:bCs/>
                      <w:sz w:val="21"/>
                      <w:szCs w:val="21"/>
                      <w:u w:val="none" w:color="auto"/>
                      <w:lang w:eastAsia="zh-CN"/>
                    </w:rPr>
                  </w:pPr>
                  <w:r>
                    <w:rPr>
                      <w:rFonts w:hint="default" w:ascii="Times New Roman" w:hAnsi="Times New Roman" w:cs="Times New Roman"/>
                      <w:bCs/>
                      <w:sz w:val="21"/>
                      <w:szCs w:val="21"/>
                      <w:u w:val="none" w:color="auto"/>
                      <w:lang w:val="en-US" w:eastAsia="zh-CN"/>
                    </w:rPr>
                    <w:t>废水</w:t>
                  </w:r>
                </w:p>
              </w:tc>
              <w:tc>
                <w:tcPr>
                  <w:tcW w:w="824" w:type="pct"/>
                  <w:tcBorders>
                    <w:tl2br w:val="nil"/>
                    <w:tr2bl w:val="nil"/>
                  </w:tcBorders>
                  <w:vAlign w:val="center"/>
                </w:tcPr>
                <w:p w14:paraId="6F6287BF">
                  <w:pPr>
                    <w:jc w:val="center"/>
                    <w:rPr>
                      <w:rFonts w:hint="default" w:ascii="Times New Roman" w:hAnsi="Times New Roman" w:cs="Times New Roman"/>
                      <w:sz w:val="21"/>
                      <w:szCs w:val="21"/>
                      <w:u w:val="none" w:color="auto"/>
                      <w:lang w:val="en-US" w:eastAsia="zh-CN"/>
                    </w:rPr>
                  </w:pPr>
                  <w:r>
                    <w:rPr>
                      <w:rFonts w:hint="eastAsia" w:cs="Times New Roman"/>
                      <w:bCs/>
                      <w:sz w:val="21"/>
                      <w:szCs w:val="21"/>
                      <w:u w:val="none" w:color="auto"/>
                      <w:lang w:val="en-US" w:eastAsia="zh-CN"/>
                    </w:rPr>
                    <w:t>生活污水</w:t>
                  </w:r>
                </w:p>
              </w:tc>
              <w:tc>
                <w:tcPr>
                  <w:tcW w:w="1660" w:type="pct"/>
                  <w:tcBorders>
                    <w:tl2br w:val="nil"/>
                    <w:tr2bl w:val="nil"/>
                  </w:tcBorders>
                  <w:vAlign w:val="center"/>
                </w:tcPr>
                <w:p w14:paraId="442F4EEB">
                  <w:pPr>
                    <w:pStyle w:val="41"/>
                    <w:bidi w:val="0"/>
                    <w:rPr>
                      <w:rFonts w:hint="default"/>
                      <w:sz w:val="21"/>
                      <w:szCs w:val="21"/>
                      <w:lang w:val="en-US" w:eastAsia="zh-CN"/>
                    </w:rPr>
                  </w:pPr>
                  <w:r>
                    <w:rPr>
                      <w:rFonts w:hint="eastAsia"/>
                      <w:sz w:val="21"/>
                      <w:szCs w:val="21"/>
                      <w:lang w:eastAsia="zh-CN"/>
                    </w:rPr>
                    <w:t>化粪池</w:t>
                  </w:r>
                  <w:r>
                    <w:rPr>
                      <w:rFonts w:hint="eastAsia"/>
                      <w:sz w:val="21"/>
                      <w:szCs w:val="21"/>
                      <w:lang w:val="en-US" w:eastAsia="zh-CN"/>
                    </w:rPr>
                    <w:t>预处理后通过市政污水管网进入中方产业开发区（泸阳镇）污水处理厂处理达标后外排</w:t>
                  </w:r>
                </w:p>
              </w:tc>
              <w:tc>
                <w:tcPr>
                  <w:tcW w:w="1642" w:type="pct"/>
                  <w:tcBorders>
                    <w:tl2br w:val="nil"/>
                    <w:tr2bl w:val="nil"/>
                  </w:tcBorders>
                  <w:vAlign w:val="center"/>
                </w:tcPr>
                <w:p w14:paraId="7B7038A0">
                  <w:pPr>
                    <w:jc w:val="center"/>
                    <w:rPr>
                      <w:rFonts w:hint="eastAsia" w:cs="Times New Roman"/>
                      <w:kern w:val="2"/>
                      <w:sz w:val="21"/>
                      <w:szCs w:val="21"/>
                      <w:u w:val="none" w:color="auto"/>
                      <w:lang w:val="en-US" w:eastAsia="zh-CN" w:bidi="ar-SA"/>
                    </w:rPr>
                  </w:pPr>
                  <w:r>
                    <w:rPr>
                      <w:rFonts w:hint="eastAsia"/>
                      <w:color w:val="auto"/>
                      <w:sz w:val="21"/>
                      <w:szCs w:val="21"/>
                      <w:u w:val="none" w:color="auto"/>
                      <w:lang w:val="en-US" w:eastAsia="zh-CN"/>
                    </w:rPr>
                    <w:t>《电子工业水污染物排放标准》(GB39731-2020)中表1中间接排放标准</w:t>
                  </w:r>
                  <w:r>
                    <w:rPr>
                      <w:rFonts w:hint="eastAsia" w:cs="Times New Roman"/>
                      <w:kern w:val="2"/>
                      <w:sz w:val="21"/>
                      <w:szCs w:val="21"/>
                      <w:u w:val="none" w:color="auto"/>
                      <w:lang w:val="en-US" w:eastAsia="zh-CN" w:bidi="ar-SA"/>
                    </w:rPr>
                    <w:t>和</w:t>
                  </w:r>
                  <w:r>
                    <w:rPr>
                      <w:rFonts w:hint="eastAsia"/>
                      <w:sz w:val="21"/>
                      <w:szCs w:val="21"/>
                      <w:lang w:val="en-US" w:eastAsia="zh-CN"/>
                    </w:rPr>
                    <w:t>中方产业开发区（泸阳镇）污水处理厂</w:t>
                  </w:r>
                  <w:r>
                    <w:rPr>
                      <w:rFonts w:hint="eastAsia" w:cs="Times New Roman"/>
                      <w:kern w:val="2"/>
                      <w:sz w:val="21"/>
                      <w:szCs w:val="21"/>
                      <w:u w:val="none" w:color="auto"/>
                      <w:lang w:val="en-US" w:eastAsia="zh-CN" w:bidi="ar-SA"/>
                    </w:rPr>
                    <w:t>进水水质限值的较严值</w:t>
                  </w:r>
                </w:p>
              </w:tc>
            </w:tr>
            <w:tr w14:paraId="5C50D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275" w:type="pct"/>
                  <w:vMerge w:val="restart"/>
                  <w:tcBorders>
                    <w:tl2br w:val="nil"/>
                    <w:tr2bl w:val="nil"/>
                  </w:tcBorders>
                  <w:vAlign w:val="center"/>
                </w:tcPr>
                <w:p w14:paraId="2F494473">
                  <w:pPr>
                    <w:jc w:val="center"/>
                    <w:rPr>
                      <w:rFonts w:hint="default" w:ascii="Times New Roman" w:hAnsi="Times New Roman"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u w:val="none" w:color="auto"/>
                      <w:lang w:val="en-US" w:eastAsia="zh-CN"/>
                      <w14:textFill>
                        <w14:solidFill>
                          <w14:schemeClr w14:val="tx1"/>
                        </w14:solidFill>
                      </w14:textFill>
                    </w:rPr>
                    <w:t>废气</w:t>
                  </w:r>
                </w:p>
              </w:tc>
              <w:tc>
                <w:tcPr>
                  <w:tcW w:w="596" w:type="pct"/>
                  <w:gridSpan w:val="2"/>
                  <w:vMerge w:val="restart"/>
                  <w:tcBorders>
                    <w:tl2br w:val="nil"/>
                    <w:tr2bl w:val="nil"/>
                  </w:tcBorders>
                  <w:vAlign w:val="center"/>
                </w:tcPr>
                <w:p w14:paraId="0B30FF7E">
                  <w:pPr>
                    <w:jc w:val="center"/>
                    <w:rPr>
                      <w:rFonts w:hint="eastAsia" w:cs="Times New Roman"/>
                      <w:bCs/>
                      <w:sz w:val="21"/>
                      <w:szCs w:val="21"/>
                      <w:u w:val="none" w:color="auto"/>
                      <w:lang w:eastAsia="zh-CN"/>
                    </w:rPr>
                  </w:pPr>
                  <w:r>
                    <w:rPr>
                      <w:rFonts w:hint="eastAsia" w:cs="Times New Roman"/>
                      <w:bCs/>
                      <w:sz w:val="21"/>
                      <w:szCs w:val="21"/>
                      <w:u w:val="none" w:color="auto"/>
                      <w:lang w:val="en-US" w:eastAsia="zh-CN"/>
                    </w:rPr>
                    <w:t>有组织</w:t>
                  </w:r>
                </w:p>
              </w:tc>
              <w:tc>
                <w:tcPr>
                  <w:tcW w:w="824" w:type="pct"/>
                  <w:tcBorders>
                    <w:tl2br w:val="nil"/>
                    <w:tr2bl w:val="nil"/>
                  </w:tcBorders>
                  <w:vAlign w:val="center"/>
                </w:tcPr>
                <w:p w14:paraId="6547CD9D">
                  <w:pPr>
                    <w:jc w:val="center"/>
                    <w:rPr>
                      <w:rFonts w:hint="default" w:ascii="Times New Roman" w:hAnsi="Times New Roman" w:cs="Times New Roman"/>
                      <w:sz w:val="21"/>
                      <w:szCs w:val="21"/>
                      <w:u w:val="none" w:color="auto"/>
                      <w:lang w:val="en-US" w:eastAsia="zh-CN"/>
                    </w:rPr>
                  </w:pPr>
                  <w:r>
                    <w:rPr>
                      <w:rFonts w:hint="eastAsia"/>
                      <w:sz w:val="21"/>
                      <w:szCs w:val="21"/>
                      <w:u w:val="none" w:color="auto"/>
                      <w:lang w:val="en-US" w:eastAsia="zh-CN"/>
                    </w:rPr>
                    <w:t>焊锡废气</w:t>
                  </w:r>
                </w:p>
              </w:tc>
              <w:tc>
                <w:tcPr>
                  <w:tcW w:w="1660" w:type="pct"/>
                  <w:tcBorders>
                    <w:tl2br w:val="nil"/>
                    <w:tr2bl w:val="nil"/>
                  </w:tcBorders>
                  <w:vAlign w:val="center"/>
                </w:tcPr>
                <w:p w14:paraId="16E63A4E">
                  <w:pPr>
                    <w:spacing w:line="240" w:lineRule="exact"/>
                    <w:jc w:val="center"/>
                    <w:rPr>
                      <w:rFonts w:hint="eastAsia" w:ascii="Times New Roman" w:hAnsi="Times New Roman" w:eastAsia="宋体" w:cs="Times New Roman"/>
                      <w:bCs/>
                      <w:kern w:val="2"/>
                      <w:sz w:val="21"/>
                      <w:szCs w:val="21"/>
                      <w:u w:val="none" w:color="auto"/>
                      <w:lang w:val="en-US" w:eastAsia="zh-CN" w:bidi="ar-SA"/>
                    </w:rPr>
                  </w:pPr>
                  <w:r>
                    <w:rPr>
                      <w:rFonts w:hint="eastAsia" w:cs="Times New Roman"/>
                      <w:bCs/>
                      <w:kern w:val="2"/>
                      <w:sz w:val="21"/>
                      <w:szCs w:val="21"/>
                      <w:u w:val="none" w:color="auto"/>
                      <w:lang w:val="en-US" w:eastAsia="zh-CN" w:bidi="ar-SA"/>
                    </w:rPr>
                    <w:t>集气罩+干式过滤器+二级活性炭吸附装置</w:t>
                  </w:r>
                  <w:r>
                    <w:rPr>
                      <w:rFonts w:hint="eastAsia" w:ascii="Times New Roman" w:hAnsi="Times New Roman" w:eastAsia="宋体" w:cs="Times New Roman"/>
                      <w:bCs/>
                      <w:kern w:val="2"/>
                      <w:sz w:val="21"/>
                      <w:szCs w:val="21"/>
                      <w:u w:val="none" w:color="auto"/>
                      <w:lang w:val="en-US" w:eastAsia="zh-CN" w:bidi="ar-SA"/>
                    </w:rPr>
                    <w:t>+</w:t>
                  </w:r>
                  <w:r>
                    <w:rPr>
                      <w:rFonts w:hint="eastAsia" w:cs="Times New Roman"/>
                      <w:bCs/>
                      <w:kern w:val="2"/>
                      <w:sz w:val="21"/>
                      <w:szCs w:val="21"/>
                      <w:u w:val="none" w:color="auto"/>
                      <w:lang w:val="en-US" w:eastAsia="zh-CN" w:bidi="ar-SA"/>
                    </w:rPr>
                    <w:t>23</w:t>
                  </w:r>
                  <w:r>
                    <w:rPr>
                      <w:rFonts w:hint="eastAsia" w:ascii="Times New Roman" w:hAnsi="Times New Roman" w:eastAsia="宋体" w:cs="Times New Roman"/>
                      <w:bCs/>
                      <w:kern w:val="2"/>
                      <w:sz w:val="21"/>
                      <w:szCs w:val="21"/>
                      <w:u w:val="none" w:color="auto"/>
                      <w:lang w:val="en-US" w:eastAsia="zh-CN" w:bidi="ar-SA"/>
                    </w:rPr>
                    <w:t>m高排气筒DA001</w:t>
                  </w:r>
                </w:p>
              </w:tc>
              <w:tc>
                <w:tcPr>
                  <w:tcW w:w="1642" w:type="pct"/>
                  <w:vMerge w:val="restart"/>
                  <w:tcBorders>
                    <w:tl2br w:val="nil"/>
                    <w:tr2bl w:val="nil"/>
                  </w:tcBorders>
                  <w:vAlign w:val="center"/>
                </w:tcPr>
                <w:p w14:paraId="118E1494">
                  <w:pPr>
                    <w:spacing w:line="240" w:lineRule="exact"/>
                    <w:jc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 w:val="0"/>
                      <w:bCs w:val="0"/>
                      <w:color w:val="000000" w:themeColor="text1"/>
                      <w:sz w:val="21"/>
                      <w:szCs w:val="21"/>
                      <w:u w:val="none" w:color="auto"/>
                      <w:lang w:val="en-US" w:eastAsia="zh-CN"/>
                      <w14:textFill>
                        <w14:solidFill>
                          <w14:schemeClr w14:val="tx1"/>
                        </w14:solidFill>
                      </w14:textFill>
                    </w:rPr>
                    <w:t>有组织</w:t>
                  </w:r>
                  <w:r>
                    <w:rPr>
                      <w:rFonts w:hint="eastAsia" w:cs="Times New Roman"/>
                      <w:bCs/>
                      <w:kern w:val="2"/>
                      <w:sz w:val="21"/>
                      <w:szCs w:val="21"/>
                      <w:u w:val="none" w:color="auto"/>
                      <w:lang w:val="en-US" w:eastAsia="zh-CN" w:bidi="ar-SA"/>
                    </w:rPr>
                    <w:t>VOCs（以非甲烷总烃计）、苯系物（二甲苯）执行</w:t>
                  </w:r>
                  <w:r>
                    <w:rPr>
                      <w:rFonts w:hint="default" w:ascii="Times New Roman" w:hAnsi="Times New Roman" w:cs="Times New Roman"/>
                      <w:sz w:val="21"/>
                      <w:szCs w:val="21"/>
                      <w:u w:val="none"/>
                    </w:rPr>
                    <w:t>湖南省</w:t>
                  </w:r>
                  <w:r>
                    <w:rPr>
                      <w:rFonts w:hint="default" w:ascii="Times New Roman" w:hAnsi="Times New Roman" w:cs="Times New Roman"/>
                      <w:sz w:val="21"/>
                      <w:szCs w:val="21"/>
                      <w:u w:val="none"/>
                      <w:lang w:val="en-US" w:eastAsia="zh-CN"/>
                    </w:rPr>
                    <w:t>地方标准</w:t>
                  </w:r>
                  <w:r>
                    <w:rPr>
                      <w:rFonts w:hint="default" w:ascii="Times New Roman" w:hAnsi="Times New Roman" w:cs="Times New Roman"/>
                      <w:sz w:val="21"/>
                      <w:szCs w:val="21"/>
                      <w:u w:val="none"/>
                      <w:lang w:eastAsia="zh-CN"/>
                    </w:rPr>
                    <w:t>《工业企业挥发性有机物排放标准》（DB43/3550-2026）</w:t>
                  </w:r>
                  <w:r>
                    <w:rPr>
                      <w:rFonts w:hint="default" w:ascii="Times New Roman" w:hAnsi="Times New Roman" w:cs="Times New Roman"/>
                      <w:sz w:val="21"/>
                      <w:szCs w:val="21"/>
                      <w:u w:val="none"/>
                    </w:rPr>
                    <w:t>表</w:t>
                  </w:r>
                  <w:r>
                    <w:rPr>
                      <w:rFonts w:hint="default" w:ascii="Times New Roman" w:hAnsi="Times New Roman" w:cs="Times New Roman"/>
                      <w:sz w:val="21"/>
                      <w:szCs w:val="21"/>
                      <w:u w:val="none"/>
                      <w:lang w:val="en-US" w:eastAsia="zh-CN"/>
                    </w:rPr>
                    <w:t>1</w:t>
                  </w:r>
                  <w:r>
                    <w:rPr>
                      <w:rFonts w:hint="default" w:ascii="Times New Roman" w:hAnsi="Times New Roman" w:cs="Times New Roman"/>
                      <w:sz w:val="21"/>
                      <w:szCs w:val="21"/>
                      <w:u w:val="none"/>
                    </w:rPr>
                    <w:t>中</w:t>
                  </w:r>
                  <w:r>
                    <w:rPr>
                      <w:rFonts w:hint="eastAsia" w:ascii="Times New Roman" w:hAnsi="Times New Roman" w:cs="Times New Roman"/>
                      <w:sz w:val="21"/>
                      <w:szCs w:val="21"/>
                      <w:u w:val="none"/>
                      <w:lang w:val="en-US" w:eastAsia="zh-CN"/>
                    </w:rPr>
                    <w:t>计算机、通信和其他电子设备制造业</w:t>
                  </w:r>
                  <w:r>
                    <w:rPr>
                      <w:rFonts w:hint="default" w:ascii="Times New Roman" w:hAnsi="Times New Roman" w:cs="Times New Roman"/>
                      <w:sz w:val="21"/>
                      <w:szCs w:val="21"/>
                      <w:u w:val="none"/>
                      <w:lang w:val="en-US" w:eastAsia="zh-CN"/>
                    </w:rPr>
                    <w:t>排放</w:t>
                  </w:r>
                  <w:r>
                    <w:rPr>
                      <w:rFonts w:hint="default" w:ascii="Times New Roman" w:hAnsi="Times New Roman" w:cs="Times New Roman"/>
                      <w:sz w:val="21"/>
                      <w:szCs w:val="21"/>
                      <w:u w:val="none"/>
                    </w:rPr>
                    <w:t>限值</w:t>
                  </w:r>
                  <w:r>
                    <w:rPr>
                      <w:rFonts w:hint="eastAsia" w:ascii="Times New Roman" w:hAnsi="Times New Roman" w:cs="Times New Roman"/>
                      <w:sz w:val="21"/>
                      <w:szCs w:val="21"/>
                      <w:u w:val="none"/>
                      <w:lang w:eastAsia="zh-CN"/>
                    </w:rPr>
                    <w:t>；</w:t>
                  </w:r>
                  <w:r>
                    <w:rPr>
                      <w:rFonts w:hint="eastAsia" w:ascii="Times New Roman" w:hAnsi="Times New Roman" w:cs="Times New Roman"/>
                      <w:sz w:val="21"/>
                      <w:szCs w:val="21"/>
                      <w:u w:val="none"/>
                      <w:lang w:val="en-US" w:eastAsia="zh-CN"/>
                    </w:rPr>
                    <w:t>颗粒物</w:t>
                  </w:r>
                  <w:r>
                    <w:rPr>
                      <w:rFonts w:hint="eastAsia" w:cs="Times New Roman"/>
                      <w:sz w:val="21"/>
                      <w:szCs w:val="21"/>
                      <w:u w:val="none"/>
                      <w:lang w:val="en-US" w:eastAsia="zh-CN"/>
                    </w:rPr>
                    <w:t>、锡及其化合物</w:t>
                  </w:r>
                  <w:r>
                    <w:rPr>
                      <w:rFonts w:hint="eastAsia" w:ascii="Times New Roman" w:hAnsi="Times New Roman" w:cs="Times New Roman"/>
                      <w:sz w:val="21"/>
                      <w:szCs w:val="21"/>
                      <w:u w:val="none"/>
                      <w:lang w:val="en-US" w:eastAsia="zh-CN"/>
                    </w:rPr>
                    <w:t>执行</w:t>
                  </w:r>
                  <w:r>
                    <w:rPr>
                      <w:rFonts w:hint="default" w:ascii="Times New Roman" w:hAnsi="Times New Roman" w:eastAsia="宋体" w:cs="Times New Roman"/>
                      <w:bCs/>
                      <w:kern w:val="2"/>
                      <w:sz w:val="21"/>
                      <w:szCs w:val="21"/>
                      <w:u w:val="none" w:color="auto"/>
                      <w:lang w:val="en-US" w:eastAsia="zh-CN" w:bidi="ar-SA"/>
                    </w:rPr>
                    <w:t>《大气污染物综合排放标准》（GB16297-1996）表2中</w:t>
                  </w:r>
                  <w:r>
                    <w:rPr>
                      <w:rFonts w:hint="eastAsia" w:ascii="Times New Roman" w:hAnsi="Times New Roman" w:eastAsia="宋体" w:cs="Times New Roman"/>
                      <w:bCs/>
                      <w:kern w:val="2"/>
                      <w:sz w:val="21"/>
                      <w:szCs w:val="21"/>
                      <w:u w:val="none" w:color="auto"/>
                      <w:lang w:val="en-US" w:eastAsia="zh-CN" w:bidi="ar-SA"/>
                    </w:rPr>
                    <w:t>排放限值；厂界无组织颗粒物、</w:t>
                  </w:r>
                  <w:r>
                    <w:rPr>
                      <w:rFonts w:hint="eastAsia" w:cs="Times New Roman"/>
                      <w:bCs/>
                      <w:kern w:val="2"/>
                      <w:sz w:val="21"/>
                      <w:szCs w:val="21"/>
                      <w:u w:val="none" w:color="auto"/>
                      <w:lang w:val="en-US" w:eastAsia="zh-CN" w:bidi="ar-SA"/>
                    </w:rPr>
                    <w:t>锡及其化合物、</w:t>
                  </w:r>
                  <w:r>
                    <w:rPr>
                      <w:rFonts w:hint="eastAsia" w:ascii="Times New Roman" w:hAnsi="Times New Roman" w:eastAsia="宋体" w:cs="Times New Roman"/>
                      <w:bCs/>
                      <w:kern w:val="2"/>
                      <w:sz w:val="21"/>
                      <w:szCs w:val="21"/>
                      <w:u w:val="none" w:color="auto"/>
                      <w:lang w:val="en-US" w:eastAsia="zh-CN" w:bidi="ar-SA"/>
                    </w:rPr>
                    <w:t>非甲烷总烃</w:t>
                  </w:r>
                  <w:r>
                    <w:rPr>
                      <w:rFonts w:hint="eastAsia" w:cs="Times New Roman"/>
                      <w:bCs/>
                      <w:kern w:val="2"/>
                      <w:sz w:val="21"/>
                      <w:szCs w:val="21"/>
                      <w:u w:val="none" w:color="auto"/>
                      <w:lang w:val="en-US" w:eastAsia="zh-CN" w:bidi="ar-SA"/>
                    </w:rPr>
                    <w:t>、苯系物（二甲苯）执行</w:t>
                  </w:r>
                  <w:r>
                    <w:rPr>
                      <w:rFonts w:hint="default" w:ascii="Times New Roman" w:hAnsi="Times New Roman" w:eastAsia="宋体" w:cs="Times New Roman"/>
                      <w:bCs/>
                      <w:kern w:val="2"/>
                      <w:sz w:val="21"/>
                      <w:szCs w:val="21"/>
                      <w:u w:val="none" w:color="auto"/>
                      <w:lang w:val="en-US" w:eastAsia="zh-CN" w:bidi="ar-SA"/>
                    </w:rPr>
                    <w:t>《大气污染物综合排放标准》（GB16297-1996）表2中的无组织排放监控浓度限值</w:t>
                  </w:r>
                  <w:r>
                    <w:rPr>
                      <w:rFonts w:hint="eastAsia" w:ascii="Times New Roman" w:hAnsi="Times New Roman" w:eastAsia="宋体" w:cs="Times New Roman"/>
                      <w:bCs/>
                      <w:kern w:val="2"/>
                      <w:sz w:val="21"/>
                      <w:szCs w:val="21"/>
                      <w:u w:val="none" w:color="auto"/>
                      <w:lang w:val="en-US" w:eastAsia="zh-CN" w:bidi="ar-SA"/>
                    </w:rPr>
                    <w:t>；厂区内非甲烷总烃执行</w:t>
                  </w:r>
                  <w:r>
                    <w:rPr>
                      <w:rFonts w:hint="default" w:ascii="Times New Roman" w:hAnsi="Times New Roman" w:cs="Times New Roman"/>
                      <w:sz w:val="21"/>
                      <w:szCs w:val="21"/>
                      <w:u w:val="none"/>
                      <w:lang w:eastAsia="zh-CN"/>
                    </w:rPr>
                    <w:t>《工业企业挥发性有机物排放标准》（DB43/3550-2026）</w:t>
                  </w:r>
                  <w:r>
                    <w:rPr>
                      <w:rFonts w:hint="default" w:ascii="Times New Roman" w:hAnsi="Times New Roman" w:cs="Times New Roman"/>
                      <w:sz w:val="21"/>
                      <w:szCs w:val="21"/>
                      <w:u w:val="none"/>
                    </w:rPr>
                    <w:t>表</w:t>
                  </w:r>
                  <w:r>
                    <w:rPr>
                      <w:rFonts w:hint="eastAsia" w:ascii="Times New Roman" w:hAnsi="Times New Roman" w:cs="Times New Roman"/>
                      <w:sz w:val="21"/>
                      <w:szCs w:val="21"/>
                      <w:u w:val="none"/>
                      <w:lang w:val="en-US" w:eastAsia="zh-CN"/>
                    </w:rPr>
                    <w:t>2</w:t>
                  </w:r>
                  <w:r>
                    <w:rPr>
                      <w:rFonts w:hint="default" w:ascii="Times New Roman" w:hAnsi="Times New Roman" w:cs="Times New Roman"/>
                      <w:sz w:val="21"/>
                      <w:szCs w:val="21"/>
                      <w:u w:val="none"/>
                    </w:rPr>
                    <w:t>中</w:t>
                  </w:r>
                  <w:r>
                    <w:rPr>
                      <w:rFonts w:hint="default" w:ascii="Times New Roman" w:hAnsi="Times New Roman" w:cs="Times New Roman"/>
                      <w:sz w:val="21"/>
                      <w:szCs w:val="21"/>
                      <w:u w:val="none"/>
                      <w:lang w:val="en-US" w:eastAsia="zh-CN"/>
                    </w:rPr>
                    <w:t>排放</w:t>
                  </w:r>
                  <w:r>
                    <w:rPr>
                      <w:rFonts w:hint="default" w:ascii="Times New Roman" w:hAnsi="Times New Roman" w:cs="Times New Roman"/>
                      <w:sz w:val="21"/>
                      <w:szCs w:val="21"/>
                      <w:u w:val="none"/>
                    </w:rPr>
                    <w:t>限值</w:t>
                  </w:r>
                </w:p>
              </w:tc>
            </w:tr>
            <w:tr w14:paraId="2847A8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275" w:type="pct"/>
                  <w:vMerge w:val="continue"/>
                  <w:tcBorders>
                    <w:tl2br w:val="nil"/>
                    <w:tr2bl w:val="nil"/>
                  </w:tcBorders>
                  <w:vAlign w:val="center"/>
                </w:tcPr>
                <w:p w14:paraId="3F28EF5A">
                  <w:pPr>
                    <w:spacing w:line="240" w:lineRule="exact"/>
                    <w:jc w:val="center"/>
                  </w:pPr>
                </w:p>
              </w:tc>
              <w:tc>
                <w:tcPr>
                  <w:tcW w:w="596" w:type="pct"/>
                  <w:gridSpan w:val="2"/>
                  <w:vMerge w:val="continue"/>
                  <w:tcBorders>
                    <w:tl2br w:val="nil"/>
                    <w:tr2bl w:val="nil"/>
                  </w:tcBorders>
                  <w:vAlign w:val="center"/>
                </w:tcPr>
                <w:p w14:paraId="3ABB017A">
                  <w:pPr>
                    <w:spacing w:line="240" w:lineRule="exact"/>
                    <w:jc w:val="center"/>
                  </w:pPr>
                </w:p>
              </w:tc>
              <w:tc>
                <w:tcPr>
                  <w:tcW w:w="824" w:type="pct"/>
                  <w:tcBorders>
                    <w:tl2br w:val="nil"/>
                    <w:tr2bl w:val="nil"/>
                  </w:tcBorders>
                  <w:vAlign w:val="center"/>
                </w:tcPr>
                <w:p w14:paraId="208FD31D">
                  <w:pPr>
                    <w:spacing w:line="240" w:lineRule="exact"/>
                    <w:jc w:val="center"/>
                    <w:rPr>
                      <w:rFonts w:hint="default"/>
                      <w:sz w:val="21"/>
                      <w:szCs w:val="21"/>
                      <w:u w:val="none" w:color="auto"/>
                      <w:lang w:val="en-US" w:eastAsia="zh-CN"/>
                    </w:rPr>
                  </w:pPr>
                  <w:r>
                    <w:rPr>
                      <w:rFonts w:hint="eastAsia"/>
                      <w:sz w:val="21"/>
                      <w:szCs w:val="21"/>
                      <w:u w:val="none" w:color="auto"/>
                      <w:lang w:val="en-US" w:eastAsia="zh-CN"/>
                    </w:rPr>
                    <w:t>调漆、浸漆、烘干有机废气</w:t>
                  </w:r>
                </w:p>
              </w:tc>
              <w:tc>
                <w:tcPr>
                  <w:tcW w:w="1660" w:type="pct"/>
                  <w:tcBorders>
                    <w:tl2br w:val="nil"/>
                    <w:tr2bl w:val="nil"/>
                  </w:tcBorders>
                  <w:vAlign w:val="center"/>
                </w:tcPr>
                <w:p w14:paraId="1D2E4F7C">
                  <w:pPr>
                    <w:spacing w:line="240" w:lineRule="exact"/>
                    <w:jc w:val="center"/>
                    <w:rPr>
                      <w:rFonts w:hint="default"/>
                      <w:sz w:val="21"/>
                      <w:szCs w:val="21"/>
                      <w:u w:val="none" w:color="auto"/>
                      <w:lang w:val="en-US" w:eastAsia="zh-CN"/>
                    </w:rPr>
                  </w:pPr>
                  <w:r>
                    <w:rPr>
                      <w:rFonts w:hint="eastAsia"/>
                      <w:sz w:val="21"/>
                      <w:szCs w:val="21"/>
                      <w:u w:val="none" w:color="auto"/>
                      <w:lang w:val="en-US" w:eastAsia="zh-CN"/>
                    </w:rPr>
                    <w:t>密闭含浸车间微负压收集+干式过滤器+</w:t>
                  </w:r>
                  <w:r>
                    <w:rPr>
                      <w:rFonts w:hint="eastAsia" w:cs="Times New Roman"/>
                      <w:bCs/>
                      <w:kern w:val="2"/>
                      <w:sz w:val="21"/>
                      <w:szCs w:val="21"/>
                      <w:u w:val="none" w:color="auto"/>
                      <w:lang w:val="en-US" w:eastAsia="zh-CN" w:bidi="ar-SA"/>
                    </w:rPr>
                    <w:t>二级活性炭吸附装置</w:t>
                  </w:r>
                  <w:r>
                    <w:rPr>
                      <w:rFonts w:hint="eastAsia" w:ascii="Times New Roman" w:hAnsi="Times New Roman" w:eastAsia="宋体" w:cs="Times New Roman"/>
                      <w:bCs/>
                      <w:kern w:val="2"/>
                      <w:sz w:val="21"/>
                      <w:szCs w:val="21"/>
                      <w:u w:val="none" w:color="auto"/>
                      <w:lang w:val="en-US" w:eastAsia="zh-CN" w:bidi="ar-SA"/>
                    </w:rPr>
                    <w:t>+</w:t>
                  </w:r>
                  <w:r>
                    <w:rPr>
                      <w:rFonts w:hint="eastAsia" w:cs="Times New Roman"/>
                      <w:bCs/>
                      <w:kern w:val="2"/>
                      <w:sz w:val="21"/>
                      <w:szCs w:val="21"/>
                      <w:u w:val="none" w:color="auto"/>
                      <w:lang w:val="en-US" w:eastAsia="zh-CN" w:bidi="ar-SA"/>
                    </w:rPr>
                    <w:t>23</w:t>
                  </w:r>
                  <w:r>
                    <w:rPr>
                      <w:rFonts w:hint="eastAsia" w:ascii="Times New Roman" w:hAnsi="Times New Roman" w:eastAsia="宋体" w:cs="Times New Roman"/>
                      <w:bCs/>
                      <w:kern w:val="2"/>
                      <w:sz w:val="21"/>
                      <w:szCs w:val="21"/>
                      <w:u w:val="none" w:color="auto"/>
                      <w:lang w:val="en-US" w:eastAsia="zh-CN" w:bidi="ar-SA"/>
                    </w:rPr>
                    <w:t>m高排气筒DA001</w:t>
                  </w:r>
                </w:p>
              </w:tc>
              <w:tc>
                <w:tcPr>
                  <w:tcW w:w="1642" w:type="pct"/>
                  <w:vMerge w:val="continue"/>
                  <w:tcBorders>
                    <w:tl2br w:val="nil"/>
                    <w:tr2bl w:val="nil"/>
                  </w:tcBorders>
                  <w:vAlign w:val="center"/>
                </w:tcPr>
                <w:p w14:paraId="582E6494">
                  <w:pPr>
                    <w:spacing w:line="240" w:lineRule="exact"/>
                    <w:jc w:val="center"/>
                    <w:rPr>
                      <w:rFonts w:hint="eastAsia"/>
                      <w:sz w:val="21"/>
                      <w:szCs w:val="21"/>
                      <w:u w:val="none" w:color="auto"/>
                      <w:lang w:val="en-US" w:eastAsia="zh-CN"/>
                    </w:rPr>
                  </w:pPr>
                </w:p>
              </w:tc>
            </w:tr>
            <w:tr w14:paraId="183074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5" w:type="pct"/>
                  <w:vMerge w:val="continue"/>
                  <w:tcBorders>
                    <w:tl2br w:val="nil"/>
                    <w:tr2bl w:val="nil"/>
                  </w:tcBorders>
                  <w:vAlign w:val="center"/>
                </w:tcPr>
                <w:p w14:paraId="7E7C728C">
                  <w:pPr>
                    <w:jc w:val="center"/>
                    <w:rPr>
                      <w:rFonts w:hint="default" w:ascii="Times New Roman" w:hAnsi="Times New Roman" w:cs="Times New Roman"/>
                      <w:b w:val="0"/>
                      <w:bCs w:val="0"/>
                      <w:color w:val="000000" w:themeColor="text1"/>
                      <w:sz w:val="21"/>
                      <w:szCs w:val="21"/>
                      <w:u w:val="none" w:color="auto"/>
                      <w:lang w:val="en-US" w:eastAsia="zh-CN"/>
                      <w14:textFill>
                        <w14:solidFill>
                          <w14:schemeClr w14:val="tx1"/>
                        </w14:solidFill>
                      </w14:textFill>
                    </w:rPr>
                  </w:pPr>
                </w:p>
              </w:tc>
              <w:tc>
                <w:tcPr>
                  <w:tcW w:w="300" w:type="pct"/>
                  <w:vMerge w:val="restart"/>
                  <w:tcBorders>
                    <w:tl2br w:val="nil"/>
                    <w:tr2bl w:val="nil"/>
                  </w:tcBorders>
                  <w:vAlign w:val="center"/>
                </w:tcPr>
                <w:p w14:paraId="3EAFAE34">
                  <w:pPr>
                    <w:jc w:val="center"/>
                    <w:rPr>
                      <w:rFonts w:hint="default" w:ascii="Times New Roman" w:hAnsi="Times New Roman" w:eastAsia="宋体" w:cs="Times New Roman"/>
                      <w:bCs/>
                      <w:sz w:val="21"/>
                      <w:szCs w:val="21"/>
                      <w:u w:val="none" w:color="auto"/>
                      <w:lang w:eastAsia="zh-CN"/>
                    </w:rPr>
                  </w:pPr>
                  <w:r>
                    <w:rPr>
                      <w:rFonts w:hint="default" w:ascii="Times New Roman" w:hAnsi="Times New Roman" w:cs="Times New Roman"/>
                      <w:bCs/>
                      <w:sz w:val="21"/>
                      <w:szCs w:val="21"/>
                      <w:u w:val="none" w:color="auto"/>
                      <w:lang w:eastAsia="zh-CN"/>
                    </w:rPr>
                    <w:t>无组织</w:t>
                  </w:r>
                </w:p>
              </w:tc>
              <w:tc>
                <w:tcPr>
                  <w:tcW w:w="296" w:type="pct"/>
                  <w:vMerge w:val="restart"/>
                  <w:tcBorders>
                    <w:tl2br w:val="nil"/>
                    <w:tr2bl w:val="nil"/>
                  </w:tcBorders>
                  <w:vAlign w:val="center"/>
                </w:tcPr>
                <w:p w14:paraId="0B597C43">
                  <w:pPr>
                    <w:jc w:val="center"/>
                    <w:rPr>
                      <w:rFonts w:hint="default" w:ascii="Times New Roman" w:hAnsi="Times New Roman" w:cs="Times New Roman"/>
                      <w:bCs/>
                      <w:sz w:val="21"/>
                      <w:szCs w:val="21"/>
                      <w:u w:val="none" w:color="auto"/>
                      <w:lang w:eastAsia="zh-CN"/>
                    </w:rPr>
                  </w:pPr>
                  <w:r>
                    <w:rPr>
                      <w:rFonts w:hint="eastAsia" w:cs="Times New Roman"/>
                      <w:bCs/>
                      <w:sz w:val="21"/>
                      <w:szCs w:val="21"/>
                      <w:u w:val="none" w:color="auto"/>
                      <w:lang w:eastAsia="zh-CN"/>
                    </w:rPr>
                    <w:t>厂界</w:t>
                  </w:r>
                </w:p>
              </w:tc>
              <w:tc>
                <w:tcPr>
                  <w:tcW w:w="824" w:type="pct"/>
                  <w:tcBorders>
                    <w:tl2br w:val="nil"/>
                    <w:tr2bl w:val="nil"/>
                  </w:tcBorders>
                  <w:vAlign w:val="center"/>
                </w:tcPr>
                <w:p w14:paraId="39407B47">
                  <w:pPr>
                    <w:pStyle w:val="41"/>
                    <w:bidi w:val="0"/>
                    <w:rPr>
                      <w:rFonts w:hint="default" w:ascii="Times New Roman" w:hAnsi="Times New Roman" w:eastAsia="宋体" w:cs="Times New Roman"/>
                      <w:bCs/>
                      <w:kern w:val="2"/>
                      <w:sz w:val="21"/>
                      <w:szCs w:val="21"/>
                      <w:u w:val="none" w:color="auto"/>
                      <w:lang w:val="en-US" w:eastAsia="zh-CN" w:bidi="ar-SA"/>
                    </w:rPr>
                  </w:pPr>
                  <w:r>
                    <w:rPr>
                      <w:rFonts w:hint="eastAsia"/>
                      <w:lang w:val="en-US" w:eastAsia="zh-CN"/>
                    </w:rPr>
                    <w:t>颗粒物</w:t>
                  </w:r>
                </w:p>
              </w:tc>
              <w:tc>
                <w:tcPr>
                  <w:tcW w:w="1660" w:type="pct"/>
                  <w:vMerge w:val="restart"/>
                  <w:tcBorders>
                    <w:tl2br w:val="nil"/>
                    <w:tr2bl w:val="nil"/>
                  </w:tcBorders>
                  <w:vAlign w:val="center"/>
                </w:tcPr>
                <w:p w14:paraId="71ED869A">
                  <w:pPr>
                    <w:spacing w:line="240" w:lineRule="exact"/>
                    <w:jc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kern w:val="2"/>
                      <w:sz w:val="21"/>
                      <w:szCs w:val="21"/>
                      <w:u w:val="none" w:color="auto"/>
                      <w:lang w:val="en-US" w:eastAsia="zh-CN" w:bidi="ar-SA"/>
                    </w:rPr>
                    <w:t>加强车间通风</w:t>
                  </w:r>
                </w:p>
              </w:tc>
              <w:tc>
                <w:tcPr>
                  <w:tcW w:w="1642" w:type="pct"/>
                  <w:vMerge w:val="restart"/>
                  <w:tcBorders>
                    <w:tl2br w:val="nil"/>
                    <w:tr2bl w:val="nil"/>
                  </w:tcBorders>
                  <w:vAlign w:val="center"/>
                </w:tcPr>
                <w:p w14:paraId="1BDA463E">
                  <w:pPr>
                    <w:spacing w:line="240" w:lineRule="exact"/>
                    <w:jc w:val="center"/>
                    <w:rPr>
                      <w:rFonts w:hint="default" w:ascii="Times New Roman" w:hAnsi="Times New Roman" w:eastAsia="宋体" w:cs="Times New Roman"/>
                      <w:bCs/>
                      <w:kern w:val="2"/>
                      <w:sz w:val="21"/>
                      <w:szCs w:val="21"/>
                      <w:u w:val="none" w:color="auto"/>
                      <w:lang w:val="en-US" w:eastAsia="zh-CN" w:bidi="ar-SA"/>
                    </w:rPr>
                  </w:pPr>
                  <w:r>
                    <w:rPr>
                      <w:rFonts w:hint="default" w:ascii="Times New Roman" w:hAnsi="Times New Roman" w:eastAsia="宋体" w:cs="Times New Roman"/>
                      <w:bCs/>
                      <w:kern w:val="2"/>
                      <w:sz w:val="21"/>
                      <w:szCs w:val="21"/>
                      <w:u w:val="none" w:color="auto"/>
                      <w:lang w:val="en-US" w:eastAsia="zh-CN" w:bidi="ar-SA"/>
                    </w:rPr>
                    <w:t>《大气污染物综合排放标准》（GB16297-1996）表2中的无组织排放监控浓度限值</w:t>
                  </w:r>
                </w:p>
              </w:tc>
            </w:tr>
            <w:tr w14:paraId="07A683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5" w:type="pct"/>
                  <w:vMerge w:val="continue"/>
                  <w:tcBorders>
                    <w:tl2br w:val="nil"/>
                    <w:tr2bl w:val="nil"/>
                  </w:tcBorders>
                  <w:vAlign w:val="center"/>
                </w:tcPr>
                <w:p w14:paraId="2761BCE4">
                  <w:pPr>
                    <w:jc w:val="center"/>
                    <w:rPr>
                      <w:rFonts w:hint="default" w:ascii="Times New Roman" w:hAnsi="Times New Roman" w:cs="Times New Roman"/>
                      <w:b w:val="0"/>
                      <w:bCs w:val="0"/>
                      <w:color w:val="000000" w:themeColor="text1"/>
                      <w:sz w:val="21"/>
                      <w:szCs w:val="21"/>
                      <w:u w:val="none" w:color="auto"/>
                      <w:lang w:val="en-US" w:eastAsia="zh-CN"/>
                      <w14:textFill>
                        <w14:solidFill>
                          <w14:schemeClr w14:val="tx1"/>
                        </w14:solidFill>
                      </w14:textFill>
                    </w:rPr>
                  </w:pPr>
                </w:p>
              </w:tc>
              <w:tc>
                <w:tcPr>
                  <w:tcW w:w="300" w:type="pct"/>
                  <w:vMerge w:val="continue"/>
                  <w:tcBorders>
                    <w:tl2br w:val="nil"/>
                    <w:tr2bl w:val="nil"/>
                  </w:tcBorders>
                  <w:vAlign w:val="center"/>
                </w:tcPr>
                <w:p w14:paraId="1D55E61B">
                  <w:pPr>
                    <w:jc w:val="center"/>
                    <w:rPr>
                      <w:rFonts w:hint="default" w:ascii="Times New Roman" w:hAnsi="Times New Roman" w:cs="Times New Roman"/>
                      <w:bCs/>
                      <w:sz w:val="21"/>
                      <w:szCs w:val="21"/>
                      <w:u w:val="none" w:color="auto"/>
                      <w:lang w:eastAsia="zh-CN"/>
                    </w:rPr>
                  </w:pPr>
                </w:p>
              </w:tc>
              <w:tc>
                <w:tcPr>
                  <w:tcW w:w="296" w:type="pct"/>
                  <w:vMerge w:val="continue"/>
                  <w:tcBorders>
                    <w:tl2br w:val="nil"/>
                    <w:tr2bl w:val="nil"/>
                  </w:tcBorders>
                  <w:vAlign w:val="center"/>
                </w:tcPr>
                <w:p w14:paraId="01119EF2">
                  <w:pPr>
                    <w:jc w:val="center"/>
                    <w:rPr>
                      <w:rFonts w:hint="eastAsia" w:cs="Times New Roman"/>
                      <w:bCs/>
                      <w:sz w:val="21"/>
                      <w:szCs w:val="21"/>
                      <w:u w:val="none" w:color="auto"/>
                      <w:lang w:eastAsia="zh-CN"/>
                    </w:rPr>
                  </w:pPr>
                </w:p>
              </w:tc>
              <w:tc>
                <w:tcPr>
                  <w:tcW w:w="824" w:type="pct"/>
                  <w:tcBorders>
                    <w:tl2br w:val="nil"/>
                    <w:tr2bl w:val="nil"/>
                  </w:tcBorders>
                  <w:vAlign w:val="center"/>
                </w:tcPr>
                <w:p w14:paraId="0D2DF338">
                  <w:pPr>
                    <w:pStyle w:val="41"/>
                    <w:bidi w:val="0"/>
                    <w:rPr>
                      <w:rFonts w:hint="default"/>
                      <w:lang w:val="en-US" w:eastAsia="zh-CN"/>
                    </w:rPr>
                  </w:pPr>
                  <w:r>
                    <w:rPr>
                      <w:rFonts w:hint="eastAsia"/>
                      <w:lang w:val="en-US" w:eastAsia="zh-CN"/>
                    </w:rPr>
                    <w:t>锡及其化合物</w:t>
                  </w:r>
                </w:p>
              </w:tc>
              <w:tc>
                <w:tcPr>
                  <w:tcW w:w="1660" w:type="pct"/>
                  <w:vMerge w:val="continue"/>
                  <w:tcBorders>
                    <w:tl2br w:val="nil"/>
                    <w:tr2bl w:val="nil"/>
                  </w:tcBorders>
                  <w:vAlign w:val="center"/>
                </w:tcPr>
                <w:p w14:paraId="5065B87F">
                  <w:pPr>
                    <w:spacing w:line="240" w:lineRule="exact"/>
                    <w:jc w:val="center"/>
                    <w:rPr>
                      <w:rFonts w:hint="eastAsia" w:cs="Times New Roman"/>
                      <w:bCs/>
                      <w:kern w:val="2"/>
                      <w:sz w:val="21"/>
                      <w:szCs w:val="21"/>
                      <w:u w:val="none" w:color="auto"/>
                      <w:lang w:val="en-US" w:eastAsia="zh-CN" w:bidi="ar-SA"/>
                    </w:rPr>
                  </w:pPr>
                </w:p>
              </w:tc>
              <w:tc>
                <w:tcPr>
                  <w:tcW w:w="1642" w:type="pct"/>
                  <w:vMerge w:val="continue"/>
                  <w:tcBorders>
                    <w:tl2br w:val="nil"/>
                    <w:tr2bl w:val="nil"/>
                  </w:tcBorders>
                  <w:vAlign w:val="center"/>
                </w:tcPr>
                <w:p w14:paraId="1469EE89">
                  <w:pPr>
                    <w:spacing w:line="240" w:lineRule="exact"/>
                    <w:jc w:val="center"/>
                    <w:rPr>
                      <w:rFonts w:hint="default" w:ascii="Times New Roman" w:hAnsi="Times New Roman" w:eastAsia="宋体" w:cs="Times New Roman"/>
                      <w:bCs/>
                      <w:kern w:val="2"/>
                      <w:sz w:val="21"/>
                      <w:szCs w:val="21"/>
                      <w:u w:val="none" w:color="auto"/>
                      <w:lang w:val="en-US" w:eastAsia="zh-CN" w:bidi="ar-SA"/>
                    </w:rPr>
                  </w:pPr>
                </w:p>
              </w:tc>
            </w:tr>
            <w:tr w14:paraId="04ACE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75" w:type="pct"/>
                  <w:vMerge w:val="continue"/>
                  <w:tcBorders>
                    <w:tl2br w:val="nil"/>
                    <w:tr2bl w:val="nil"/>
                  </w:tcBorders>
                  <w:vAlign w:val="center"/>
                </w:tcPr>
                <w:p w14:paraId="6237C677">
                  <w:pPr>
                    <w:jc w:val="center"/>
                    <w:rPr>
                      <w:sz w:val="21"/>
                      <w:szCs w:val="21"/>
                    </w:rPr>
                  </w:pPr>
                </w:p>
              </w:tc>
              <w:tc>
                <w:tcPr>
                  <w:tcW w:w="300" w:type="pct"/>
                  <w:vMerge w:val="continue"/>
                  <w:tcBorders>
                    <w:tl2br w:val="nil"/>
                    <w:tr2bl w:val="nil"/>
                  </w:tcBorders>
                  <w:vAlign w:val="center"/>
                </w:tcPr>
                <w:p w14:paraId="47C71977">
                  <w:pPr>
                    <w:jc w:val="center"/>
                    <w:rPr>
                      <w:sz w:val="21"/>
                      <w:szCs w:val="21"/>
                    </w:rPr>
                  </w:pPr>
                </w:p>
              </w:tc>
              <w:tc>
                <w:tcPr>
                  <w:tcW w:w="296" w:type="pct"/>
                  <w:vMerge w:val="continue"/>
                  <w:tcBorders>
                    <w:tl2br w:val="nil"/>
                    <w:tr2bl w:val="nil"/>
                  </w:tcBorders>
                  <w:vAlign w:val="center"/>
                </w:tcPr>
                <w:p w14:paraId="2046E2E3">
                  <w:pPr>
                    <w:jc w:val="center"/>
                    <w:rPr>
                      <w:sz w:val="21"/>
                      <w:szCs w:val="21"/>
                    </w:rPr>
                  </w:pPr>
                </w:p>
              </w:tc>
              <w:tc>
                <w:tcPr>
                  <w:tcW w:w="824" w:type="pct"/>
                  <w:tcBorders>
                    <w:tl2br w:val="nil"/>
                    <w:tr2bl w:val="nil"/>
                  </w:tcBorders>
                  <w:vAlign w:val="center"/>
                </w:tcPr>
                <w:p w14:paraId="0C792D4C">
                  <w:pPr>
                    <w:pStyle w:val="41"/>
                    <w:bidi w:val="0"/>
                    <w:rPr>
                      <w:rFonts w:hint="eastAsia" w:cs="Times New Roman"/>
                      <w:sz w:val="21"/>
                      <w:szCs w:val="21"/>
                      <w:u w:val="none" w:color="auto"/>
                      <w:lang w:val="en-US" w:eastAsia="zh-CN"/>
                    </w:rPr>
                  </w:pPr>
                  <w:r>
                    <w:rPr>
                      <w:rFonts w:hint="eastAsia"/>
                      <w:sz w:val="21"/>
                      <w:szCs w:val="21"/>
                      <w:lang w:val="en-US" w:eastAsia="zh-CN"/>
                    </w:rPr>
                    <w:t>非甲烷总烃</w:t>
                  </w:r>
                </w:p>
              </w:tc>
              <w:tc>
                <w:tcPr>
                  <w:tcW w:w="1660" w:type="pct"/>
                  <w:vMerge w:val="continue"/>
                  <w:tcBorders>
                    <w:tl2br w:val="nil"/>
                    <w:tr2bl w:val="nil"/>
                  </w:tcBorders>
                  <w:vAlign w:val="center"/>
                </w:tcPr>
                <w:p w14:paraId="69E172C8">
                  <w:pPr>
                    <w:jc w:val="center"/>
                    <w:rPr>
                      <w:rFonts w:hint="eastAsia" w:cs="Times New Roman"/>
                      <w:sz w:val="21"/>
                      <w:szCs w:val="21"/>
                      <w:u w:val="none" w:color="auto"/>
                      <w:lang w:val="en-US" w:eastAsia="zh-CN"/>
                    </w:rPr>
                  </w:pPr>
                </w:p>
              </w:tc>
              <w:tc>
                <w:tcPr>
                  <w:tcW w:w="1642" w:type="pct"/>
                  <w:vMerge w:val="continue"/>
                  <w:tcBorders>
                    <w:tl2br w:val="nil"/>
                    <w:tr2bl w:val="nil"/>
                  </w:tcBorders>
                  <w:vAlign w:val="center"/>
                </w:tcPr>
                <w:p w14:paraId="0D48EE48">
                  <w:pPr>
                    <w:jc w:val="center"/>
                    <w:rPr>
                      <w:rFonts w:hint="eastAsia" w:cs="Times New Roman"/>
                      <w:sz w:val="21"/>
                      <w:szCs w:val="21"/>
                      <w:u w:val="none" w:color="auto"/>
                      <w:lang w:val="en-US" w:eastAsia="zh-CN"/>
                    </w:rPr>
                  </w:pPr>
                </w:p>
              </w:tc>
            </w:tr>
            <w:tr w14:paraId="492A3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75" w:type="pct"/>
                  <w:vMerge w:val="continue"/>
                  <w:tcBorders>
                    <w:tl2br w:val="nil"/>
                    <w:tr2bl w:val="nil"/>
                  </w:tcBorders>
                  <w:vAlign w:val="center"/>
                </w:tcPr>
                <w:p w14:paraId="0F37FDA1">
                  <w:pPr>
                    <w:jc w:val="center"/>
                    <w:rPr>
                      <w:sz w:val="21"/>
                      <w:szCs w:val="21"/>
                    </w:rPr>
                  </w:pPr>
                </w:p>
              </w:tc>
              <w:tc>
                <w:tcPr>
                  <w:tcW w:w="300" w:type="pct"/>
                  <w:vMerge w:val="continue"/>
                  <w:tcBorders>
                    <w:tl2br w:val="nil"/>
                    <w:tr2bl w:val="nil"/>
                  </w:tcBorders>
                  <w:vAlign w:val="center"/>
                </w:tcPr>
                <w:p w14:paraId="67282CB2">
                  <w:pPr>
                    <w:jc w:val="center"/>
                    <w:rPr>
                      <w:sz w:val="21"/>
                      <w:szCs w:val="21"/>
                    </w:rPr>
                  </w:pPr>
                </w:p>
              </w:tc>
              <w:tc>
                <w:tcPr>
                  <w:tcW w:w="296" w:type="pct"/>
                  <w:vMerge w:val="continue"/>
                  <w:tcBorders>
                    <w:tl2br w:val="nil"/>
                    <w:tr2bl w:val="nil"/>
                  </w:tcBorders>
                  <w:vAlign w:val="center"/>
                </w:tcPr>
                <w:p w14:paraId="73D2C66A">
                  <w:pPr>
                    <w:jc w:val="center"/>
                    <w:rPr>
                      <w:sz w:val="21"/>
                      <w:szCs w:val="21"/>
                    </w:rPr>
                  </w:pPr>
                </w:p>
              </w:tc>
              <w:tc>
                <w:tcPr>
                  <w:tcW w:w="824" w:type="pct"/>
                  <w:tcBorders>
                    <w:tl2br w:val="nil"/>
                    <w:tr2bl w:val="nil"/>
                  </w:tcBorders>
                  <w:vAlign w:val="center"/>
                </w:tcPr>
                <w:p w14:paraId="569F2056">
                  <w:pPr>
                    <w:pStyle w:val="41"/>
                    <w:bidi w:val="0"/>
                    <w:rPr>
                      <w:rFonts w:hint="default"/>
                      <w:sz w:val="21"/>
                      <w:szCs w:val="21"/>
                      <w:lang w:val="en-US" w:eastAsia="zh-CN"/>
                    </w:rPr>
                  </w:pPr>
                  <w:r>
                    <w:rPr>
                      <w:rFonts w:hint="eastAsia"/>
                      <w:sz w:val="21"/>
                      <w:szCs w:val="21"/>
                      <w:lang w:val="en-US" w:eastAsia="zh-CN"/>
                    </w:rPr>
                    <w:t>苯系物（二甲苯）</w:t>
                  </w:r>
                </w:p>
              </w:tc>
              <w:tc>
                <w:tcPr>
                  <w:tcW w:w="1660" w:type="pct"/>
                  <w:vMerge w:val="continue"/>
                  <w:tcBorders>
                    <w:tl2br w:val="nil"/>
                    <w:tr2bl w:val="nil"/>
                  </w:tcBorders>
                  <w:vAlign w:val="center"/>
                </w:tcPr>
                <w:p w14:paraId="266D0272">
                  <w:pPr>
                    <w:jc w:val="center"/>
                    <w:rPr>
                      <w:rFonts w:hint="eastAsia" w:cs="Times New Roman"/>
                      <w:bCs/>
                      <w:kern w:val="2"/>
                      <w:sz w:val="21"/>
                      <w:szCs w:val="21"/>
                      <w:u w:val="none" w:color="auto"/>
                      <w:lang w:val="en-US" w:eastAsia="zh-CN" w:bidi="ar-SA"/>
                    </w:rPr>
                  </w:pPr>
                </w:p>
              </w:tc>
              <w:tc>
                <w:tcPr>
                  <w:tcW w:w="1642" w:type="pct"/>
                  <w:vMerge w:val="continue"/>
                  <w:tcBorders>
                    <w:tl2br w:val="nil"/>
                    <w:tr2bl w:val="nil"/>
                  </w:tcBorders>
                  <w:vAlign w:val="center"/>
                </w:tcPr>
                <w:p w14:paraId="0362BC12">
                  <w:pPr>
                    <w:jc w:val="center"/>
                    <w:rPr>
                      <w:rFonts w:hint="eastAsia" w:cs="Times New Roman"/>
                      <w:sz w:val="21"/>
                      <w:szCs w:val="21"/>
                      <w:u w:val="none" w:color="auto"/>
                      <w:lang w:val="en-US" w:eastAsia="zh-CN"/>
                    </w:rPr>
                  </w:pPr>
                </w:p>
              </w:tc>
            </w:tr>
            <w:tr w14:paraId="1654A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75" w:type="pct"/>
                  <w:vMerge w:val="continue"/>
                  <w:tcBorders>
                    <w:tl2br w:val="nil"/>
                    <w:tr2bl w:val="nil"/>
                  </w:tcBorders>
                  <w:vAlign w:val="center"/>
                </w:tcPr>
                <w:p w14:paraId="7F9F79F3">
                  <w:pPr>
                    <w:jc w:val="center"/>
                    <w:rPr>
                      <w:sz w:val="21"/>
                      <w:szCs w:val="21"/>
                    </w:rPr>
                  </w:pPr>
                </w:p>
              </w:tc>
              <w:tc>
                <w:tcPr>
                  <w:tcW w:w="300" w:type="pct"/>
                  <w:vMerge w:val="continue"/>
                  <w:tcBorders>
                    <w:tl2br w:val="nil"/>
                    <w:tr2bl w:val="nil"/>
                  </w:tcBorders>
                  <w:vAlign w:val="center"/>
                </w:tcPr>
                <w:p w14:paraId="50CADA85">
                  <w:pPr>
                    <w:jc w:val="center"/>
                    <w:rPr>
                      <w:sz w:val="21"/>
                      <w:szCs w:val="21"/>
                    </w:rPr>
                  </w:pPr>
                </w:p>
              </w:tc>
              <w:tc>
                <w:tcPr>
                  <w:tcW w:w="296" w:type="pct"/>
                  <w:tcBorders>
                    <w:tl2br w:val="nil"/>
                    <w:tr2bl w:val="nil"/>
                  </w:tcBorders>
                  <w:vAlign w:val="center"/>
                </w:tcPr>
                <w:p w14:paraId="3844D6E0">
                  <w:pPr>
                    <w:jc w:val="center"/>
                    <w:rPr>
                      <w:rFonts w:hint="eastAsia" w:eastAsia="宋体"/>
                      <w:sz w:val="21"/>
                      <w:szCs w:val="21"/>
                      <w:lang w:val="en-US" w:eastAsia="zh-CN"/>
                    </w:rPr>
                  </w:pPr>
                  <w:r>
                    <w:rPr>
                      <w:rFonts w:hint="eastAsia"/>
                      <w:sz w:val="21"/>
                      <w:szCs w:val="21"/>
                      <w:lang w:val="en-US" w:eastAsia="zh-CN"/>
                    </w:rPr>
                    <w:t>厂区（厂房门窗外1m处）</w:t>
                  </w:r>
                </w:p>
              </w:tc>
              <w:tc>
                <w:tcPr>
                  <w:tcW w:w="824" w:type="pct"/>
                  <w:tcBorders>
                    <w:tl2br w:val="nil"/>
                    <w:tr2bl w:val="nil"/>
                  </w:tcBorders>
                  <w:vAlign w:val="center"/>
                </w:tcPr>
                <w:p w14:paraId="0FC54FC9">
                  <w:pPr>
                    <w:pStyle w:val="41"/>
                    <w:bidi w:val="0"/>
                    <w:rPr>
                      <w:rFonts w:hint="default"/>
                      <w:sz w:val="21"/>
                      <w:szCs w:val="21"/>
                      <w:lang w:val="en-US" w:eastAsia="zh-CN"/>
                    </w:rPr>
                  </w:pPr>
                  <w:r>
                    <w:rPr>
                      <w:rFonts w:hint="eastAsia"/>
                      <w:sz w:val="21"/>
                      <w:szCs w:val="21"/>
                      <w:lang w:val="en-US" w:eastAsia="zh-CN"/>
                    </w:rPr>
                    <w:t>非甲烷总烃</w:t>
                  </w:r>
                </w:p>
              </w:tc>
              <w:tc>
                <w:tcPr>
                  <w:tcW w:w="1660" w:type="pct"/>
                  <w:tcBorders>
                    <w:tl2br w:val="nil"/>
                    <w:tr2bl w:val="nil"/>
                  </w:tcBorders>
                  <w:vAlign w:val="center"/>
                </w:tcPr>
                <w:p w14:paraId="3A34B401">
                  <w:pPr>
                    <w:jc w:val="center"/>
                    <w:rPr>
                      <w:rFonts w:hint="eastAsia" w:cs="Times New Roman"/>
                      <w:sz w:val="21"/>
                      <w:szCs w:val="21"/>
                      <w:u w:val="none" w:color="auto"/>
                      <w:lang w:val="en-US" w:eastAsia="zh-CN"/>
                    </w:rPr>
                  </w:pPr>
                  <w:r>
                    <w:rPr>
                      <w:rFonts w:hint="eastAsia" w:cs="Times New Roman"/>
                      <w:bCs/>
                      <w:kern w:val="2"/>
                      <w:sz w:val="21"/>
                      <w:szCs w:val="21"/>
                      <w:u w:val="none" w:color="auto"/>
                      <w:lang w:val="en-US" w:eastAsia="zh-CN" w:bidi="ar-SA"/>
                    </w:rPr>
                    <w:t>加强车间通风</w:t>
                  </w:r>
                </w:p>
              </w:tc>
              <w:tc>
                <w:tcPr>
                  <w:tcW w:w="1642" w:type="pct"/>
                  <w:tcBorders>
                    <w:tl2br w:val="nil"/>
                    <w:tr2bl w:val="nil"/>
                  </w:tcBorders>
                  <w:vAlign w:val="center"/>
                </w:tcPr>
                <w:p w14:paraId="78A5F314">
                  <w:pPr>
                    <w:jc w:val="center"/>
                    <w:rPr>
                      <w:rFonts w:hint="eastAsia" w:cs="Times New Roman"/>
                      <w:sz w:val="21"/>
                      <w:szCs w:val="21"/>
                      <w:u w:val="none" w:color="auto"/>
                      <w:lang w:val="en-US" w:eastAsia="zh-CN"/>
                    </w:rPr>
                  </w:pPr>
                  <w:r>
                    <w:rPr>
                      <w:rFonts w:hint="default" w:ascii="Times New Roman" w:hAnsi="Times New Roman" w:cs="Times New Roman"/>
                      <w:sz w:val="21"/>
                      <w:szCs w:val="21"/>
                      <w:u w:val="none"/>
                      <w:lang w:eastAsia="zh-CN"/>
                    </w:rPr>
                    <w:t>《工业企业挥发性有机物排放标准》（DB43/3550-2026）</w:t>
                  </w:r>
                  <w:r>
                    <w:rPr>
                      <w:rFonts w:hint="default" w:ascii="Times New Roman" w:hAnsi="Times New Roman" w:cs="Times New Roman"/>
                      <w:sz w:val="21"/>
                      <w:szCs w:val="21"/>
                      <w:u w:val="none"/>
                    </w:rPr>
                    <w:t>表</w:t>
                  </w:r>
                  <w:r>
                    <w:rPr>
                      <w:rFonts w:hint="eastAsia" w:ascii="Times New Roman" w:hAnsi="Times New Roman" w:cs="Times New Roman"/>
                      <w:sz w:val="21"/>
                      <w:szCs w:val="21"/>
                      <w:u w:val="none"/>
                      <w:lang w:val="en-US" w:eastAsia="zh-CN"/>
                    </w:rPr>
                    <w:t>2</w:t>
                  </w:r>
                  <w:r>
                    <w:rPr>
                      <w:rFonts w:hint="default" w:ascii="Times New Roman" w:hAnsi="Times New Roman" w:cs="Times New Roman"/>
                      <w:sz w:val="21"/>
                      <w:szCs w:val="21"/>
                      <w:u w:val="none"/>
                    </w:rPr>
                    <w:t>中</w:t>
                  </w:r>
                  <w:r>
                    <w:rPr>
                      <w:rFonts w:hint="default" w:ascii="Times New Roman" w:hAnsi="Times New Roman" w:cs="Times New Roman"/>
                      <w:sz w:val="21"/>
                      <w:szCs w:val="21"/>
                      <w:u w:val="none"/>
                      <w:lang w:val="en-US" w:eastAsia="zh-CN"/>
                    </w:rPr>
                    <w:t>排放</w:t>
                  </w:r>
                  <w:r>
                    <w:rPr>
                      <w:rFonts w:hint="default" w:ascii="Times New Roman" w:hAnsi="Times New Roman" w:cs="Times New Roman"/>
                      <w:sz w:val="21"/>
                      <w:szCs w:val="21"/>
                      <w:u w:val="none"/>
                    </w:rPr>
                    <w:t>限值</w:t>
                  </w:r>
                </w:p>
              </w:tc>
            </w:tr>
            <w:tr w14:paraId="2E9123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2" w:type="pct"/>
                  <w:gridSpan w:val="3"/>
                  <w:tcBorders>
                    <w:tl2br w:val="nil"/>
                    <w:tr2bl w:val="nil"/>
                  </w:tcBorders>
                  <w:vAlign w:val="center"/>
                </w:tcPr>
                <w:p w14:paraId="4B3A11FF">
                  <w:pPr>
                    <w:jc w:val="center"/>
                    <w:rPr>
                      <w:rFonts w:hint="default" w:ascii="Times New Roman" w:hAnsi="Times New Roman" w:eastAsia="宋体" w:cs="Times New Roman"/>
                      <w:bCs/>
                      <w:sz w:val="21"/>
                      <w:szCs w:val="21"/>
                      <w:u w:val="none" w:color="auto"/>
                      <w:lang w:eastAsia="zh-CN"/>
                    </w:rPr>
                  </w:pPr>
                  <w:r>
                    <w:rPr>
                      <w:rFonts w:hint="default" w:ascii="Times New Roman" w:hAnsi="Times New Roman" w:cs="Times New Roman"/>
                      <w:bCs/>
                      <w:sz w:val="21"/>
                      <w:szCs w:val="21"/>
                      <w:u w:val="none" w:color="auto"/>
                      <w:lang w:eastAsia="zh-CN"/>
                    </w:rPr>
                    <w:t>噪声</w:t>
                  </w:r>
                </w:p>
              </w:tc>
              <w:tc>
                <w:tcPr>
                  <w:tcW w:w="824" w:type="pct"/>
                  <w:tcBorders>
                    <w:tl2br w:val="nil"/>
                    <w:tr2bl w:val="nil"/>
                  </w:tcBorders>
                  <w:vAlign w:val="center"/>
                </w:tcPr>
                <w:p w14:paraId="3AD8699A">
                  <w:pPr>
                    <w:jc w:val="center"/>
                    <w:rPr>
                      <w:rFonts w:hint="default" w:ascii="Times New Roman" w:hAnsi="Times New Roman" w:cs="Times New Roman"/>
                      <w:bCs/>
                      <w:sz w:val="21"/>
                      <w:szCs w:val="21"/>
                      <w:u w:val="none" w:color="auto"/>
                    </w:rPr>
                  </w:pPr>
                  <w:r>
                    <w:rPr>
                      <w:rFonts w:hint="default" w:ascii="Times New Roman" w:hAnsi="Times New Roman" w:cs="Times New Roman"/>
                      <w:bCs/>
                      <w:sz w:val="21"/>
                      <w:szCs w:val="21"/>
                      <w:u w:val="none" w:color="auto"/>
                    </w:rPr>
                    <w:t>设备运行噪声</w:t>
                  </w:r>
                </w:p>
              </w:tc>
              <w:tc>
                <w:tcPr>
                  <w:tcW w:w="1660" w:type="pct"/>
                  <w:tcBorders>
                    <w:tl2br w:val="nil"/>
                    <w:tr2bl w:val="nil"/>
                  </w:tcBorders>
                  <w:vAlign w:val="center"/>
                </w:tcPr>
                <w:p w14:paraId="370A79B5">
                  <w:pPr>
                    <w:jc w:val="center"/>
                    <w:rPr>
                      <w:rFonts w:hint="default" w:ascii="Times New Roman" w:hAnsi="Times New Roman" w:cs="Times New Roman"/>
                      <w:bCs/>
                      <w:sz w:val="21"/>
                      <w:szCs w:val="21"/>
                      <w:u w:val="none" w:color="auto"/>
                    </w:rPr>
                  </w:pPr>
                  <w:r>
                    <w:rPr>
                      <w:rFonts w:hint="default" w:ascii="Times New Roman" w:hAnsi="Times New Roman" w:cs="Times New Roman"/>
                      <w:sz w:val="21"/>
                      <w:szCs w:val="21"/>
                      <w:u w:val="none" w:color="auto"/>
                    </w:rPr>
                    <w:t>选用</w:t>
                  </w:r>
                  <w:r>
                    <w:rPr>
                      <w:rFonts w:hint="default" w:ascii="Times New Roman" w:hAnsi="Times New Roman" w:eastAsia="宋体" w:cs="Times New Roman"/>
                      <w:sz w:val="21"/>
                      <w:szCs w:val="21"/>
                      <w:u w:val="none" w:color="auto"/>
                    </w:rPr>
                    <w:t>低噪声设备，利用厂房进行隔声，</w:t>
                  </w:r>
                  <w:r>
                    <w:rPr>
                      <w:rFonts w:hint="default" w:ascii="Times New Roman" w:hAnsi="Times New Roman" w:eastAsia="宋体" w:cs="Times New Roman"/>
                      <w:sz w:val="21"/>
                      <w:szCs w:val="21"/>
                      <w:u w:val="none" w:color="auto"/>
                      <w:lang w:val="en-US" w:eastAsia="zh-CN"/>
                    </w:rPr>
                    <w:t>基础</w:t>
                  </w:r>
                  <w:r>
                    <w:rPr>
                      <w:rFonts w:hint="eastAsia" w:cs="Times New Roman"/>
                      <w:sz w:val="21"/>
                      <w:szCs w:val="21"/>
                      <w:u w:val="none" w:color="auto"/>
                      <w:lang w:val="en-US" w:eastAsia="zh-CN"/>
                    </w:rPr>
                    <w:t>减振</w:t>
                  </w:r>
                  <w:r>
                    <w:rPr>
                      <w:rFonts w:hint="default" w:ascii="Times New Roman" w:hAnsi="Times New Roman" w:eastAsia="宋体" w:cs="Times New Roman"/>
                      <w:sz w:val="21"/>
                      <w:szCs w:val="21"/>
                      <w:u w:val="none" w:color="auto"/>
                      <w:lang w:val="en-US" w:eastAsia="zh-CN"/>
                    </w:rPr>
                    <w:t>、</w:t>
                  </w:r>
                  <w:r>
                    <w:rPr>
                      <w:rFonts w:hint="default" w:ascii="Times New Roman" w:hAnsi="Times New Roman" w:eastAsia="宋体" w:cs="Times New Roman"/>
                      <w:sz w:val="21"/>
                      <w:szCs w:val="21"/>
                      <w:u w:val="none" w:color="auto"/>
                    </w:rPr>
                    <w:t>合理布置，加</w:t>
                  </w:r>
                  <w:r>
                    <w:rPr>
                      <w:rFonts w:hint="default" w:ascii="Times New Roman" w:hAnsi="Times New Roman" w:cs="Times New Roman"/>
                      <w:sz w:val="21"/>
                      <w:szCs w:val="21"/>
                      <w:u w:val="none" w:color="auto"/>
                    </w:rPr>
                    <w:t>强管理</w:t>
                  </w:r>
                </w:p>
              </w:tc>
              <w:tc>
                <w:tcPr>
                  <w:tcW w:w="1642" w:type="pct"/>
                  <w:tcBorders>
                    <w:tl2br w:val="nil"/>
                    <w:tr2bl w:val="nil"/>
                  </w:tcBorders>
                  <w:vAlign w:val="center"/>
                </w:tcPr>
                <w:p w14:paraId="559D8B06">
                  <w:pPr>
                    <w:jc w:val="center"/>
                    <w:rPr>
                      <w:rFonts w:hint="default" w:ascii="Times New Roman" w:hAnsi="Times New Roman" w:cs="Times New Roman"/>
                      <w:bCs/>
                      <w:sz w:val="21"/>
                      <w:szCs w:val="21"/>
                      <w:u w:val="none" w:color="auto"/>
                    </w:rPr>
                  </w:pPr>
                  <w:r>
                    <w:rPr>
                      <w:rFonts w:hint="default" w:ascii="Times New Roman" w:hAnsi="Times New Roman" w:cs="Times New Roman"/>
                      <w:bCs/>
                      <w:sz w:val="21"/>
                      <w:szCs w:val="21"/>
                      <w:u w:val="none" w:color="auto"/>
                    </w:rPr>
                    <w:t>《工业企业厂界环境噪声排放标准》(GB12348-2008)中</w:t>
                  </w:r>
                  <w:r>
                    <w:rPr>
                      <w:rFonts w:hint="eastAsia" w:cs="Times New Roman"/>
                      <w:bCs/>
                      <w:sz w:val="21"/>
                      <w:szCs w:val="21"/>
                      <w:u w:val="none" w:color="auto"/>
                      <w:lang w:val="en-US" w:eastAsia="zh-CN"/>
                    </w:rPr>
                    <w:t>3</w:t>
                  </w:r>
                  <w:r>
                    <w:rPr>
                      <w:rFonts w:hint="default" w:ascii="Times New Roman" w:hAnsi="Times New Roman" w:cs="Times New Roman"/>
                      <w:bCs/>
                      <w:sz w:val="21"/>
                      <w:szCs w:val="21"/>
                      <w:u w:val="none" w:color="auto"/>
                    </w:rPr>
                    <w:t>类标准</w:t>
                  </w:r>
                </w:p>
              </w:tc>
            </w:tr>
            <w:tr w14:paraId="66A726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872" w:type="pct"/>
                  <w:gridSpan w:val="3"/>
                  <w:vMerge w:val="restart"/>
                  <w:tcBorders>
                    <w:tl2br w:val="nil"/>
                    <w:tr2bl w:val="nil"/>
                  </w:tcBorders>
                  <w:vAlign w:val="center"/>
                </w:tcPr>
                <w:p w14:paraId="473CB4F8">
                  <w:pPr>
                    <w:jc w:val="center"/>
                    <w:rPr>
                      <w:rFonts w:hint="default" w:ascii="Times New Roman" w:hAnsi="Times New Roman" w:cs="Times New Roman"/>
                      <w:bCs/>
                      <w:sz w:val="21"/>
                      <w:szCs w:val="21"/>
                      <w:u w:val="none" w:color="auto"/>
                      <w:lang w:val="en-US" w:eastAsia="zh-CN"/>
                    </w:rPr>
                  </w:pPr>
                  <w:r>
                    <w:rPr>
                      <w:rFonts w:hint="eastAsia" w:cs="Times New Roman"/>
                      <w:bCs/>
                      <w:sz w:val="21"/>
                      <w:szCs w:val="21"/>
                      <w:u w:val="none" w:color="auto"/>
                      <w:lang w:val="en-US" w:eastAsia="zh-CN"/>
                    </w:rPr>
                    <w:t>固体废物</w:t>
                  </w:r>
                </w:p>
              </w:tc>
              <w:tc>
                <w:tcPr>
                  <w:tcW w:w="824" w:type="pct"/>
                  <w:tcBorders>
                    <w:tl2br w:val="nil"/>
                    <w:tr2bl w:val="nil"/>
                  </w:tcBorders>
                  <w:vAlign w:val="center"/>
                </w:tcPr>
                <w:p w14:paraId="1B9B654C">
                  <w:pPr>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废铜线边角料</w:t>
                  </w:r>
                </w:p>
              </w:tc>
              <w:tc>
                <w:tcPr>
                  <w:tcW w:w="1660" w:type="pct"/>
                  <w:vMerge w:val="restart"/>
                  <w:tcBorders>
                    <w:tl2br w:val="nil"/>
                    <w:tr2bl w:val="nil"/>
                  </w:tcBorders>
                  <w:vAlign w:val="center"/>
                </w:tcPr>
                <w:p w14:paraId="52A6011A">
                  <w:pPr>
                    <w:jc w:val="center"/>
                    <w:rPr>
                      <w:rFonts w:hint="eastAsia"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定期外售废品回收公司</w:t>
                  </w:r>
                </w:p>
              </w:tc>
              <w:tc>
                <w:tcPr>
                  <w:tcW w:w="1642" w:type="pct"/>
                  <w:vMerge w:val="restart"/>
                  <w:tcBorders>
                    <w:tl2br w:val="nil"/>
                    <w:tr2bl w:val="nil"/>
                  </w:tcBorders>
                  <w:vAlign w:val="center"/>
                </w:tcPr>
                <w:p w14:paraId="051F0C5D">
                  <w:pPr>
                    <w:jc w:val="center"/>
                    <w:rPr>
                      <w:rFonts w:hint="default" w:ascii="Times New Roman" w:hAnsi="Times New Roman" w:eastAsia="宋体" w:cs="Times New Roman"/>
                      <w:bCs/>
                      <w:sz w:val="21"/>
                      <w:szCs w:val="21"/>
                      <w:u w:val="none" w:color="auto"/>
                      <w:lang w:val="en-US" w:eastAsia="zh-CN"/>
                    </w:rPr>
                  </w:pPr>
                  <w:r>
                    <w:rPr>
                      <w:rFonts w:hint="default" w:ascii="Times New Roman" w:hAnsi="Times New Roman" w:cs="Times New Roman"/>
                      <w:bCs/>
                      <w:sz w:val="21"/>
                      <w:szCs w:val="21"/>
                      <w:u w:val="none" w:color="auto"/>
                      <w:lang w:val="en-US" w:eastAsia="zh-CN"/>
                    </w:rPr>
                    <w:t>合理处置</w:t>
                  </w:r>
                </w:p>
              </w:tc>
            </w:tr>
            <w:tr w14:paraId="20F3F5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872" w:type="pct"/>
                  <w:gridSpan w:val="3"/>
                  <w:vMerge w:val="continue"/>
                  <w:tcBorders>
                    <w:tl2br w:val="nil"/>
                    <w:tr2bl w:val="nil"/>
                  </w:tcBorders>
                  <w:vAlign w:val="center"/>
                </w:tcPr>
                <w:p w14:paraId="6B2889C7">
                  <w:pPr>
                    <w:jc w:val="center"/>
                    <w:rPr>
                      <w:rFonts w:hint="default" w:ascii="Times New Roman" w:hAnsi="Times New Roman" w:cs="Times New Roman"/>
                      <w:bCs/>
                      <w:sz w:val="21"/>
                      <w:szCs w:val="21"/>
                      <w:u w:val="none" w:color="auto"/>
                      <w:lang w:val="en-US" w:eastAsia="zh-CN"/>
                    </w:rPr>
                  </w:pPr>
                </w:p>
              </w:tc>
              <w:tc>
                <w:tcPr>
                  <w:tcW w:w="824" w:type="pct"/>
                  <w:tcBorders>
                    <w:tl2br w:val="nil"/>
                    <w:tr2bl w:val="nil"/>
                  </w:tcBorders>
                  <w:vAlign w:val="center"/>
                </w:tcPr>
                <w:p w14:paraId="407B9C2B">
                  <w:pPr>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不合格品</w:t>
                  </w:r>
                </w:p>
              </w:tc>
              <w:tc>
                <w:tcPr>
                  <w:tcW w:w="1660" w:type="pct"/>
                  <w:vMerge w:val="continue"/>
                  <w:tcBorders>
                    <w:tl2br w:val="nil"/>
                    <w:tr2bl w:val="nil"/>
                  </w:tcBorders>
                  <w:vAlign w:val="center"/>
                </w:tcPr>
                <w:p w14:paraId="70FC50D6">
                  <w:pPr>
                    <w:jc w:val="center"/>
                    <w:rPr>
                      <w:rFonts w:hint="default" w:ascii="Times New Roman" w:hAnsi="Times New Roman" w:eastAsia="宋体" w:cs="Times New Roman"/>
                      <w:sz w:val="21"/>
                      <w:szCs w:val="21"/>
                      <w:u w:val="none" w:color="auto"/>
                      <w:lang w:val="en-US" w:eastAsia="zh-CN"/>
                    </w:rPr>
                  </w:pPr>
                </w:p>
              </w:tc>
              <w:tc>
                <w:tcPr>
                  <w:tcW w:w="1642" w:type="pct"/>
                  <w:vMerge w:val="continue"/>
                  <w:tcBorders>
                    <w:tl2br w:val="nil"/>
                    <w:tr2bl w:val="nil"/>
                  </w:tcBorders>
                  <w:vAlign w:val="center"/>
                </w:tcPr>
                <w:p w14:paraId="53BC5A8B">
                  <w:pPr>
                    <w:jc w:val="center"/>
                    <w:rPr>
                      <w:rFonts w:hint="default" w:ascii="Times New Roman" w:hAnsi="Times New Roman" w:cs="Times New Roman"/>
                      <w:bCs/>
                      <w:sz w:val="21"/>
                      <w:szCs w:val="21"/>
                      <w:u w:val="none" w:color="auto"/>
                      <w:lang w:val="en-US" w:eastAsia="zh-CN"/>
                    </w:rPr>
                  </w:pPr>
                </w:p>
              </w:tc>
            </w:tr>
            <w:tr w14:paraId="675FF0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872" w:type="pct"/>
                  <w:gridSpan w:val="3"/>
                  <w:vMerge w:val="continue"/>
                  <w:tcBorders>
                    <w:tl2br w:val="nil"/>
                    <w:tr2bl w:val="nil"/>
                  </w:tcBorders>
                  <w:vAlign w:val="center"/>
                </w:tcPr>
                <w:p w14:paraId="7B744036">
                  <w:pPr>
                    <w:jc w:val="center"/>
                    <w:rPr>
                      <w:rFonts w:hint="default" w:ascii="Times New Roman" w:hAnsi="Times New Roman" w:cs="Times New Roman"/>
                      <w:bCs/>
                      <w:sz w:val="21"/>
                      <w:szCs w:val="21"/>
                      <w:u w:val="none" w:color="auto"/>
                      <w:lang w:val="en-US" w:eastAsia="zh-CN"/>
                    </w:rPr>
                  </w:pPr>
                </w:p>
              </w:tc>
              <w:tc>
                <w:tcPr>
                  <w:tcW w:w="824" w:type="pct"/>
                  <w:tcBorders>
                    <w:tl2br w:val="nil"/>
                    <w:tr2bl w:val="nil"/>
                  </w:tcBorders>
                  <w:vAlign w:val="center"/>
                </w:tcPr>
                <w:p w14:paraId="6F8E9D9D">
                  <w:pPr>
                    <w:jc w:val="center"/>
                    <w:rPr>
                      <w:rFonts w:hint="default" w:cs="Times New Roman"/>
                      <w:sz w:val="21"/>
                      <w:szCs w:val="21"/>
                      <w:u w:val="none" w:color="auto"/>
                      <w:lang w:val="en-US" w:eastAsia="zh-CN"/>
                    </w:rPr>
                  </w:pPr>
                  <w:r>
                    <w:rPr>
                      <w:rFonts w:hint="eastAsia" w:cs="Times New Roman"/>
                      <w:sz w:val="21"/>
                      <w:szCs w:val="21"/>
                      <w:u w:val="none" w:color="auto"/>
                      <w:lang w:val="en-US" w:eastAsia="zh-CN"/>
                    </w:rPr>
                    <w:t>锡渣</w:t>
                  </w:r>
                </w:p>
              </w:tc>
              <w:tc>
                <w:tcPr>
                  <w:tcW w:w="1660" w:type="pct"/>
                  <w:tcBorders>
                    <w:tl2br w:val="nil"/>
                    <w:tr2bl w:val="nil"/>
                  </w:tcBorders>
                  <w:vAlign w:val="center"/>
                </w:tcPr>
                <w:p w14:paraId="71A392A8">
                  <w:pPr>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交由厂家回收利用</w:t>
                  </w:r>
                </w:p>
              </w:tc>
              <w:tc>
                <w:tcPr>
                  <w:tcW w:w="1642" w:type="pct"/>
                  <w:vMerge w:val="continue"/>
                  <w:tcBorders>
                    <w:tl2br w:val="nil"/>
                    <w:tr2bl w:val="nil"/>
                  </w:tcBorders>
                  <w:vAlign w:val="center"/>
                </w:tcPr>
                <w:p w14:paraId="364380FB">
                  <w:pPr>
                    <w:jc w:val="center"/>
                    <w:rPr>
                      <w:rFonts w:hint="default" w:ascii="Times New Roman" w:hAnsi="Times New Roman" w:cs="Times New Roman"/>
                      <w:bCs/>
                      <w:sz w:val="21"/>
                      <w:szCs w:val="21"/>
                      <w:u w:val="none" w:color="auto"/>
                      <w:lang w:val="en-US" w:eastAsia="zh-CN"/>
                    </w:rPr>
                  </w:pPr>
                </w:p>
              </w:tc>
            </w:tr>
            <w:tr w14:paraId="03369D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72" w:type="pct"/>
                  <w:gridSpan w:val="3"/>
                  <w:vMerge w:val="continue"/>
                  <w:tcBorders>
                    <w:tl2br w:val="nil"/>
                    <w:tr2bl w:val="nil"/>
                  </w:tcBorders>
                  <w:vAlign w:val="center"/>
                </w:tcPr>
                <w:p w14:paraId="1BD85ACB">
                  <w:pPr>
                    <w:jc w:val="center"/>
                    <w:rPr>
                      <w:rFonts w:hint="default" w:ascii="Times New Roman" w:hAnsi="Times New Roman" w:cs="Times New Roman"/>
                      <w:sz w:val="21"/>
                      <w:szCs w:val="21"/>
                      <w:u w:val="none" w:color="auto"/>
                    </w:rPr>
                  </w:pPr>
                </w:p>
              </w:tc>
              <w:tc>
                <w:tcPr>
                  <w:tcW w:w="824" w:type="pct"/>
                  <w:tcBorders>
                    <w:tl2br w:val="nil"/>
                    <w:tr2bl w:val="nil"/>
                  </w:tcBorders>
                  <w:vAlign w:val="center"/>
                </w:tcPr>
                <w:p w14:paraId="2666C530">
                  <w:pPr>
                    <w:jc w:val="center"/>
                    <w:rPr>
                      <w:rFonts w:hint="eastAsia"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废原料桶</w:t>
                  </w:r>
                </w:p>
              </w:tc>
              <w:tc>
                <w:tcPr>
                  <w:tcW w:w="1660" w:type="pct"/>
                  <w:vMerge w:val="restart"/>
                  <w:tcBorders>
                    <w:tl2br w:val="nil"/>
                    <w:tr2bl w:val="nil"/>
                  </w:tcBorders>
                  <w:vAlign w:val="center"/>
                </w:tcPr>
                <w:p w14:paraId="2D4D4ADB">
                  <w:pPr>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分类暂存于危废暂存间（</w:t>
                  </w:r>
                  <w:r>
                    <w:rPr>
                      <w:rFonts w:hint="eastAsia"/>
                      <w:sz w:val="21"/>
                      <w:szCs w:val="21"/>
                      <w:u w:val="none" w:color="auto"/>
                      <w:lang w:val="en-US" w:eastAsia="zh-CN"/>
                    </w:rPr>
                    <w:t>（5m</w:t>
                  </w:r>
                  <w:r>
                    <w:rPr>
                      <w:rFonts w:hint="eastAsia"/>
                      <w:sz w:val="21"/>
                      <w:szCs w:val="21"/>
                      <w:u w:val="none" w:color="auto"/>
                      <w:vertAlign w:val="superscript"/>
                      <w:lang w:val="en-US" w:eastAsia="zh-CN"/>
                    </w:rPr>
                    <w:t>2</w:t>
                  </w:r>
                  <w:r>
                    <w:rPr>
                      <w:rFonts w:hint="eastAsia"/>
                      <w:sz w:val="21"/>
                      <w:szCs w:val="21"/>
                      <w:u w:val="none" w:color="auto"/>
                      <w:lang w:val="en-US" w:eastAsia="zh-CN"/>
                    </w:rPr>
                    <w:t>）</w:t>
                  </w:r>
                  <w:r>
                    <w:rPr>
                      <w:rFonts w:hint="eastAsia" w:cs="Times New Roman"/>
                      <w:sz w:val="21"/>
                      <w:szCs w:val="21"/>
                      <w:u w:val="none" w:color="auto"/>
                      <w:lang w:val="en-US" w:eastAsia="zh-CN"/>
                    </w:rPr>
                    <w:t>）委托有资质单位处置</w:t>
                  </w:r>
                </w:p>
              </w:tc>
              <w:tc>
                <w:tcPr>
                  <w:tcW w:w="1642" w:type="pct"/>
                  <w:vMerge w:val="restart"/>
                  <w:tcBorders>
                    <w:tl2br w:val="nil"/>
                    <w:tr2bl w:val="nil"/>
                  </w:tcBorders>
                  <w:vAlign w:val="center"/>
                </w:tcPr>
                <w:p w14:paraId="5C5A208D">
                  <w:pPr>
                    <w:jc w:val="center"/>
                    <w:rPr>
                      <w:rFonts w:hint="default" w:ascii="Times New Roman" w:hAnsi="Times New Roman" w:eastAsia="宋体" w:cs="Times New Roman"/>
                      <w:bCs/>
                      <w:sz w:val="21"/>
                      <w:szCs w:val="21"/>
                      <w:u w:val="none" w:color="auto"/>
                      <w:lang w:val="en-US" w:eastAsia="zh-CN"/>
                    </w:rPr>
                  </w:pPr>
                  <w:r>
                    <w:rPr>
                      <w:rFonts w:hint="default" w:ascii="Times New Roman" w:hAnsi="Times New Roman" w:cs="Times New Roman"/>
                      <w:color w:val="auto"/>
                      <w:sz w:val="21"/>
                      <w:szCs w:val="21"/>
                      <w:lang w:eastAsia="zh-CN"/>
                    </w:rPr>
                    <w:t>《危险废物贮存污染控制标准》（GB18597-2023）</w:t>
                  </w:r>
                </w:p>
              </w:tc>
            </w:tr>
            <w:tr w14:paraId="5F211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72" w:type="pct"/>
                  <w:gridSpan w:val="3"/>
                  <w:vMerge w:val="continue"/>
                  <w:tcBorders>
                    <w:tl2br w:val="nil"/>
                    <w:tr2bl w:val="nil"/>
                  </w:tcBorders>
                  <w:vAlign w:val="center"/>
                </w:tcPr>
                <w:p w14:paraId="055AF560">
                  <w:pPr>
                    <w:jc w:val="center"/>
                    <w:rPr>
                      <w:rFonts w:hint="default" w:ascii="Times New Roman" w:hAnsi="Times New Roman" w:cs="Times New Roman"/>
                      <w:sz w:val="21"/>
                      <w:szCs w:val="21"/>
                      <w:u w:val="none" w:color="auto"/>
                    </w:rPr>
                  </w:pPr>
                </w:p>
              </w:tc>
              <w:tc>
                <w:tcPr>
                  <w:tcW w:w="824" w:type="pct"/>
                  <w:tcBorders>
                    <w:tl2br w:val="nil"/>
                    <w:tr2bl w:val="nil"/>
                  </w:tcBorders>
                  <w:vAlign w:val="center"/>
                </w:tcPr>
                <w:p w14:paraId="0808BCB7">
                  <w:pPr>
                    <w:jc w:val="center"/>
                    <w:rPr>
                      <w:rFonts w:hint="default" w:cs="Times New Roman"/>
                      <w:sz w:val="21"/>
                      <w:szCs w:val="21"/>
                      <w:u w:val="none" w:color="auto"/>
                      <w:lang w:val="en-US" w:eastAsia="zh-CN"/>
                    </w:rPr>
                  </w:pPr>
                  <w:r>
                    <w:rPr>
                      <w:rFonts w:hint="eastAsia" w:cs="Times New Roman"/>
                      <w:sz w:val="21"/>
                      <w:szCs w:val="21"/>
                      <w:u w:val="none" w:color="auto"/>
                      <w:lang w:val="en-US" w:eastAsia="zh-CN"/>
                    </w:rPr>
                    <w:t>废过滤棉</w:t>
                  </w:r>
                </w:p>
              </w:tc>
              <w:tc>
                <w:tcPr>
                  <w:tcW w:w="1660" w:type="pct"/>
                  <w:vMerge w:val="continue"/>
                  <w:tcBorders>
                    <w:tl2br w:val="nil"/>
                    <w:tr2bl w:val="nil"/>
                  </w:tcBorders>
                  <w:vAlign w:val="center"/>
                </w:tcPr>
                <w:p w14:paraId="4890B7FF">
                  <w:pPr>
                    <w:jc w:val="center"/>
                    <w:rPr>
                      <w:rFonts w:hint="eastAsia" w:cs="Times New Roman"/>
                      <w:sz w:val="21"/>
                      <w:szCs w:val="21"/>
                      <w:u w:val="none" w:color="auto"/>
                      <w:lang w:val="en-US" w:eastAsia="zh-CN"/>
                    </w:rPr>
                  </w:pPr>
                </w:p>
              </w:tc>
              <w:tc>
                <w:tcPr>
                  <w:tcW w:w="1642" w:type="pct"/>
                  <w:vMerge w:val="continue"/>
                  <w:tcBorders>
                    <w:tl2br w:val="nil"/>
                    <w:tr2bl w:val="nil"/>
                  </w:tcBorders>
                  <w:vAlign w:val="center"/>
                </w:tcPr>
                <w:p w14:paraId="0E649405">
                  <w:pPr>
                    <w:jc w:val="center"/>
                    <w:rPr>
                      <w:rFonts w:hint="default" w:ascii="Times New Roman" w:hAnsi="Times New Roman" w:cs="Times New Roman"/>
                      <w:color w:val="auto"/>
                      <w:sz w:val="21"/>
                      <w:szCs w:val="21"/>
                      <w:lang w:eastAsia="zh-CN"/>
                    </w:rPr>
                  </w:pPr>
                </w:p>
              </w:tc>
            </w:tr>
            <w:tr w14:paraId="141708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72" w:type="pct"/>
                  <w:gridSpan w:val="3"/>
                  <w:vMerge w:val="continue"/>
                  <w:tcBorders>
                    <w:tl2br w:val="nil"/>
                    <w:tr2bl w:val="nil"/>
                  </w:tcBorders>
                  <w:vAlign w:val="center"/>
                </w:tcPr>
                <w:p w14:paraId="3ED2A73A">
                  <w:pPr>
                    <w:jc w:val="center"/>
                    <w:rPr>
                      <w:rFonts w:hint="default" w:ascii="Times New Roman" w:hAnsi="Times New Roman" w:cs="Times New Roman"/>
                      <w:sz w:val="21"/>
                      <w:szCs w:val="21"/>
                      <w:u w:val="none" w:color="auto"/>
                    </w:rPr>
                  </w:pPr>
                </w:p>
              </w:tc>
              <w:tc>
                <w:tcPr>
                  <w:tcW w:w="824" w:type="pct"/>
                  <w:tcBorders>
                    <w:tl2br w:val="nil"/>
                    <w:tr2bl w:val="nil"/>
                  </w:tcBorders>
                  <w:vAlign w:val="center"/>
                </w:tcPr>
                <w:p w14:paraId="7C222BB9">
                  <w:pPr>
                    <w:jc w:val="center"/>
                    <w:rPr>
                      <w:rFonts w:hint="default" w:cs="Times New Roman"/>
                      <w:sz w:val="21"/>
                      <w:szCs w:val="21"/>
                      <w:u w:val="none" w:color="auto"/>
                      <w:lang w:val="en-US" w:eastAsia="zh-CN"/>
                    </w:rPr>
                  </w:pPr>
                  <w:r>
                    <w:rPr>
                      <w:rFonts w:hint="eastAsia" w:cs="Times New Roman"/>
                      <w:sz w:val="21"/>
                      <w:szCs w:val="21"/>
                      <w:u w:val="none" w:color="auto"/>
                      <w:lang w:val="en-US" w:eastAsia="zh-CN"/>
                    </w:rPr>
                    <w:t>废润滑油</w:t>
                  </w:r>
                </w:p>
              </w:tc>
              <w:tc>
                <w:tcPr>
                  <w:tcW w:w="1660" w:type="pct"/>
                  <w:vMerge w:val="continue"/>
                  <w:tcBorders>
                    <w:tl2br w:val="nil"/>
                    <w:tr2bl w:val="nil"/>
                  </w:tcBorders>
                  <w:vAlign w:val="center"/>
                </w:tcPr>
                <w:p w14:paraId="7B428019">
                  <w:pPr>
                    <w:jc w:val="center"/>
                    <w:rPr>
                      <w:rFonts w:hint="eastAsia" w:cs="Times New Roman"/>
                      <w:sz w:val="21"/>
                      <w:szCs w:val="21"/>
                      <w:u w:val="none" w:color="auto"/>
                      <w:lang w:val="en-US" w:eastAsia="zh-CN"/>
                    </w:rPr>
                  </w:pPr>
                </w:p>
              </w:tc>
              <w:tc>
                <w:tcPr>
                  <w:tcW w:w="1642" w:type="pct"/>
                  <w:vMerge w:val="continue"/>
                  <w:tcBorders>
                    <w:tl2br w:val="nil"/>
                    <w:tr2bl w:val="nil"/>
                  </w:tcBorders>
                  <w:vAlign w:val="center"/>
                </w:tcPr>
                <w:p w14:paraId="4354F536">
                  <w:pPr>
                    <w:jc w:val="center"/>
                    <w:rPr>
                      <w:rFonts w:hint="default" w:ascii="Times New Roman" w:hAnsi="Times New Roman" w:cs="Times New Roman"/>
                      <w:color w:val="auto"/>
                      <w:sz w:val="21"/>
                      <w:szCs w:val="21"/>
                      <w:lang w:eastAsia="zh-CN"/>
                    </w:rPr>
                  </w:pPr>
                </w:p>
              </w:tc>
            </w:tr>
            <w:tr w14:paraId="4AB9CA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72" w:type="pct"/>
                  <w:gridSpan w:val="3"/>
                  <w:vMerge w:val="continue"/>
                  <w:tcBorders>
                    <w:tl2br w:val="nil"/>
                    <w:tr2bl w:val="nil"/>
                  </w:tcBorders>
                  <w:vAlign w:val="center"/>
                </w:tcPr>
                <w:p w14:paraId="6C8F6920">
                  <w:pPr>
                    <w:jc w:val="center"/>
                    <w:rPr>
                      <w:rFonts w:hint="default" w:ascii="Times New Roman" w:hAnsi="Times New Roman" w:cs="Times New Roman"/>
                      <w:sz w:val="21"/>
                      <w:szCs w:val="21"/>
                      <w:u w:val="none" w:color="auto"/>
                    </w:rPr>
                  </w:pPr>
                </w:p>
              </w:tc>
              <w:tc>
                <w:tcPr>
                  <w:tcW w:w="824" w:type="pct"/>
                  <w:tcBorders>
                    <w:tl2br w:val="nil"/>
                    <w:tr2bl w:val="nil"/>
                  </w:tcBorders>
                  <w:vAlign w:val="center"/>
                </w:tcPr>
                <w:p w14:paraId="7BE41CFB">
                  <w:pPr>
                    <w:jc w:val="center"/>
                    <w:rPr>
                      <w:rFonts w:hint="default" w:cs="Times New Roman"/>
                      <w:sz w:val="21"/>
                      <w:szCs w:val="21"/>
                      <w:u w:val="none" w:color="auto"/>
                      <w:lang w:val="en-US" w:eastAsia="zh-CN"/>
                    </w:rPr>
                  </w:pPr>
                  <w:r>
                    <w:rPr>
                      <w:rFonts w:hint="eastAsia" w:cs="Times New Roman"/>
                      <w:sz w:val="21"/>
                      <w:szCs w:val="21"/>
                      <w:u w:val="none" w:color="auto"/>
                      <w:lang w:val="en-US" w:eastAsia="zh-CN"/>
                    </w:rPr>
                    <w:t>废润滑油桶</w:t>
                  </w:r>
                </w:p>
              </w:tc>
              <w:tc>
                <w:tcPr>
                  <w:tcW w:w="1660" w:type="pct"/>
                  <w:vMerge w:val="continue"/>
                  <w:tcBorders>
                    <w:tl2br w:val="nil"/>
                    <w:tr2bl w:val="nil"/>
                  </w:tcBorders>
                  <w:vAlign w:val="center"/>
                </w:tcPr>
                <w:p w14:paraId="139AB289">
                  <w:pPr>
                    <w:jc w:val="center"/>
                    <w:rPr>
                      <w:rFonts w:hint="eastAsia" w:cs="Times New Roman"/>
                      <w:sz w:val="21"/>
                      <w:szCs w:val="21"/>
                      <w:u w:val="none" w:color="auto"/>
                      <w:lang w:val="en-US" w:eastAsia="zh-CN"/>
                    </w:rPr>
                  </w:pPr>
                </w:p>
              </w:tc>
              <w:tc>
                <w:tcPr>
                  <w:tcW w:w="1642" w:type="pct"/>
                  <w:vMerge w:val="continue"/>
                  <w:tcBorders>
                    <w:tl2br w:val="nil"/>
                    <w:tr2bl w:val="nil"/>
                  </w:tcBorders>
                  <w:vAlign w:val="center"/>
                </w:tcPr>
                <w:p w14:paraId="74EEFD72">
                  <w:pPr>
                    <w:jc w:val="center"/>
                    <w:rPr>
                      <w:rFonts w:hint="default" w:ascii="Times New Roman" w:hAnsi="Times New Roman" w:cs="Times New Roman"/>
                      <w:color w:val="auto"/>
                      <w:sz w:val="21"/>
                      <w:szCs w:val="21"/>
                      <w:lang w:eastAsia="zh-CN"/>
                    </w:rPr>
                  </w:pPr>
                </w:p>
              </w:tc>
            </w:tr>
            <w:tr w14:paraId="12502F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gridSpan w:val="3"/>
                  <w:vMerge w:val="continue"/>
                  <w:tcBorders>
                    <w:tl2br w:val="nil"/>
                    <w:tr2bl w:val="nil"/>
                  </w:tcBorders>
                  <w:vAlign w:val="center"/>
                </w:tcPr>
                <w:p w14:paraId="2467822A">
                  <w:pPr>
                    <w:jc w:val="center"/>
                    <w:rPr>
                      <w:rFonts w:hint="default" w:ascii="Times New Roman" w:hAnsi="Times New Roman" w:cs="Times New Roman"/>
                      <w:sz w:val="21"/>
                      <w:szCs w:val="21"/>
                      <w:u w:val="none" w:color="auto"/>
                    </w:rPr>
                  </w:pPr>
                </w:p>
              </w:tc>
              <w:tc>
                <w:tcPr>
                  <w:tcW w:w="824" w:type="pct"/>
                  <w:tcBorders>
                    <w:tl2br w:val="nil"/>
                    <w:tr2bl w:val="nil"/>
                  </w:tcBorders>
                  <w:vAlign w:val="center"/>
                </w:tcPr>
                <w:p w14:paraId="22E08997">
                  <w:pPr>
                    <w:jc w:val="center"/>
                    <w:rPr>
                      <w:rFonts w:hint="default" w:cs="Times New Roman"/>
                      <w:sz w:val="21"/>
                      <w:szCs w:val="21"/>
                      <w:u w:val="none" w:color="auto"/>
                      <w:lang w:val="en-US" w:eastAsia="zh-CN"/>
                    </w:rPr>
                  </w:pPr>
                  <w:r>
                    <w:rPr>
                      <w:rFonts w:hint="eastAsia" w:cs="Times New Roman"/>
                      <w:sz w:val="21"/>
                      <w:szCs w:val="21"/>
                      <w:u w:val="none" w:color="auto"/>
                      <w:lang w:val="en-US" w:eastAsia="zh-CN"/>
                    </w:rPr>
                    <w:t>废含油抹布和手套</w:t>
                  </w:r>
                </w:p>
              </w:tc>
              <w:tc>
                <w:tcPr>
                  <w:tcW w:w="1660" w:type="pct"/>
                  <w:vMerge w:val="continue"/>
                  <w:tcBorders>
                    <w:tl2br w:val="nil"/>
                    <w:tr2bl w:val="nil"/>
                  </w:tcBorders>
                  <w:vAlign w:val="center"/>
                </w:tcPr>
                <w:p w14:paraId="45A8427A">
                  <w:pPr>
                    <w:jc w:val="center"/>
                    <w:rPr>
                      <w:rFonts w:hint="eastAsia" w:cs="Times New Roman"/>
                      <w:sz w:val="21"/>
                      <w:szCs w:val="21"/>
                      <w:u w:val="none" w:color="auto"/>
                      <w:lang w:val="en-US" w:eastAsia="zh-CN"/>
                    </w:rPr>
                  </w:pPr>
                </w:p>
              </w:tc>
              <w:tc>
                <w:tcPr>
                  <w:tcW w:w="1642" w:type="pct"/>
                  <w:vMerge w:val="continue"/>
                  <w:tcBorders>
                    <w:tl2br w:val="nil"/>
                    <w:tr2bl w:val="nil"/>
                  </w:tcBorders>
                  <w:vAlign w:val="center"/>
                </w:tcPr>
                <w:p w14:paraId="0107C903">
                  <w:pPr>
                    <w:jc w:val="center"/>
                    <w:rPr>
                      <w:rFonts w:hint="default" w:ascii="Times New Roman" w:hAnsi="Times New Roman" w:cs="Times New Roman"/>
                      <w:color w:val="auto"/>
                      <w:sz w:val="21"/>
                      <w:szCs w:val="21"/>
                      <w:lang w:eastAsia="zh-CN"/>
                    </w:rPr>
                  </w:pPr>
                </w:p>
              </w:tc>
            </w:tr>
            <w:tr w14:paraId="4667B9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2" w:type="pct"/>
                  <w:gridSpan w:val="3"/>
                  <w:vMerge w:val="continue"/>
                  <w:tcBorders>
                    <w:tl2br w:val="nil"/>
                    <w:tr2bl w:val="nil"/>
                  </w:tcBorders>
                  <w:vAlign w:val="center"/>
                </w:tcPr>
                <w:p w14:paraId="6201F491">
                  <w:pPr>
                    <w:jc w:val="center"/>
                    <w:rPr>
                      <w:rFonts w:hint="default" w:ascii="Times New Roman" w:hAnsi="Times New Roman" w:cs="Times New Roman"/>
                      <w:sz w:val="21"/>
                      <w:szCs w:val="21"/>
                      <w:u w:val="none" w:color="auto"/>
                    </w:rPr>
                  </w:pPr>
                </w:p>
              </w:tc>
              <w:tc>
                <w:tcPr>
                  <w:tcW w:w="824" w:type="pct"/>
                  <w:tcBorders>
                    <w:tl2br w:val="nil"/>
                    <w:tr2bl w:val="nil"/>
                  </w:tcBorders>
                  <w:vAlign w:val="center"/>
                </w:tcPr>
                <w:p w14:paraId="097DF2A4">
                  <w:pPr>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废活性炭</w:t>
                  </w:r>
                </w:p>
              </w:tc>
              <w:tc>
                <w:tcPr>
                  <w:tcW w:w="1660" w:type="pct"/>
                  <w:vMerge w:val="continue"/>
                  <w:tcBorders>
                    <w:tl2br w:val="nil"/>
                    <w:tr2bl w:val="nil"/>
                  </w:tcBorders>
                  <w:vAlign w:val="center"/>
                </w:tcPr>
                <w:p w14:paraId="65670555">
                  <w:pPr>
                    <w:jc w:val="center"/>
                    <w:rPr>
                      <w:rFonts w:hint="default" w:ascii="Times New Roman" w:hAnsi="Times New Roman" w:eastAsia="宋体" w:cs="Times New Roman"/>
                      <w:sz w:val="21"/>
                      <w:szCs w:val="21"/>
                      <w:u w:val="none" w:color="auto"/>
                      <w:lang w:val="en-US" w:eastAsia="zh-CN"/>
                    </w:rPr>
                  </w:pPr>
                </w:p>
              </w:tc>
              <w:tc>
                <w:tcPr>
                  <w:tcW w:w="1642" w:type="pct"/>
                  <w:vMerge w:val="continue"/>
                  <w:tcBorders>
                    <w:tl2br w:val="nil"/>
                    <w:tr2bl w:val="nil"/>
                  </w:tcBorders>
                  <w:vAlign w:val="center"/>
                </w:tcPr>
                <w:p w14:paraId="70E0C429">
                  <w:pPr>
                    <w:jc w:val="center"/>
                    <w:rPr>
                      <w:rFonts w:hint="default" w:ascii="Times New Roman" w:hAnsi="Times New Roman" w:cs="Times New Roman"/>
                      <w:bCs/>
                      <w:sz w:val="21"/>
                      <w:szCs w:val="21"/>
                      <w:u w:val="none" w:color="auto"/>
                      <w:lang w:val="en-US" w:eastAsia="zh-CN"/>
                    </w:rPr>
                  </w:pPr>
                </w:p>
              </w:tc>
            </w:tr>
            <w:tr w14:paraId="25928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gridSpan w:val="3"/>
                  <w:vMerge w:val="continue"/>
                  <w:tcBorders>
                    <w:tl2br w:val="nil"/>
                    <w:tr2bl w:val="nil"/>
                  </w:tcBorders>
                  <w:vAlign w:val="center"/>
                </w:tcPr>
                <w:p w14:paraId="5C495DDE">
                  <w:pPr>
                    <w:jc w:val="center"/>
                    <w:rPr>
                      <w:rFonts w:hint="default" w:ascii="Times New Roman" w:hAnsi="Times New Roman" w:cs="Times New Roman"/>
                      <w:bCs/>
                      <w:sz w:val="21"/>
                      <w:szCs w:val="21"/>
                      <w:u w:val="none" w:color="auto"/>
                    </w:rPr>
                  </w:pPr>
                </w:p>
              </w:tc>
              <w:tc>
                <w:tcPr>
                  <w:tcW w:w="824" w:type="pct"/>
                  <w:tcBorders>
                    <w:tl2br w:val="nil"/>
                    <w:tr2bl w:val="nil"/>
                  </w:tcBorders>
                  <w:vAlign w:val="center"/>
                </w:tcPr>
                <w:p w14:paraId="30E87B2C">
                  <w:pPr>
                    <w:pStyle w:val="41"/>
                    <w:bidi w:val="0"/>
                    <w:rPr>
                      <w:rFonts w:hint="default" w:ascii="Times New Roman" w:hAnsi="Times New Roman" w:cs="Times New Roman"/>
                      <w:bCs/>
                      <w:sz w:val="21"/>
                      <w:szCs w:val="21"/>
                      <w:u w:val="none" w:color="auto"/>
                    </w:rPr>
                  </w:pPr>
                  <w:r>
                    <w:rPr>
                      <w:rFonts w:hint="eastAsia"/>
                      <w:sz w:val="21"/>
                      <w:szCs w:val="21"/>
                      <w:lang w:val="en-US" w:eastAsia="zh-CN"/>
                    </w:rPr>
                    <w:t>生活垃圾</w:t>
                  </w:r>
                </w:p>
              </w:tc>
              <w:tc>
                <w:tcPr>
                  <w:tcW w:w="1660" w:type="pct"/>
                  <w:tcBorders>
                    <w:tl2br w:val="nil"/>
                    <w:tr2bl w:val="nil"/>
                  </w:tcBorders>
                  <w:vAlign w:val="center"/>
                </w:tcPr>
                <w:p w14:paraId="3C7F0B14">
                  <w:pPr>
                    <w:jc w:val="center"/>
                    <w:rPr>
                      <w:rFonts w:hint="default" w:ascii="Times New Roman" w:hAnsi="Times New Roman" w:eastAsia="宋体" w:cs="Times New Roman"/>
                      <w:bCs/>
                      <w:sz w:val="21"/>
                      <w:szCs w:val="21"/>
                      <w:u w:val="none" w:color="auto"/>
                      <w:lang w:val="en-US" w:eastAsia="zh-CN"/>
                    </w:rPr>
                  </w:pPr>
                  <w:r>
                    <w:rPr>
                      <w:rFonts w:hint="eastAsia" w:cs="Times New Roman"/>
                      <w:bCs/>
                      <w:sz w:val="21"/>
                      <w:szCs w:val="21"/>
                      <w:u w:val="none" w:color="auto"/>
                      <w:lang w:val="en-US" w:eastAsia="zh-CN"/>
                    </w:rPr>
                    <w:t>交由环卫部门处置</w:t>
                  </w:r>
                </w:p>
              </w:tc>
              <w:tc>
                <w:tcPr>
                  <w:tcW w:w="1642" w:type="pct"/>
                  <w:tcBorders>
                    <w:tl2br w:val="nil"/>
                    <w:tr2bl w:val="nil"/>
                  </w:tcBorders>
                  <w:vAlign w:val="center"/>
                </w:tcPr>
                <w:p w14:paraId="73C82BA8">
                  <w:pPr>
                    <w:jc w:val="center"/>
                    <w:rPr>
                      <w:rFonts w:hint="default" w:ascii="Times New Roman" w:hAnsi="Times New Roman" w:eastAsia="宋体" w:cs="Times New Roman"/>
                      <w:bCs/>
                      <w:sz w:val="21"/>
                      <w:szCs w:val="21"/>
                      <w:u w:val="none" w:color="auto"/>
                      <w:lang w:val="en-US" w:eastAsia="zh-CN"/>
                    </w:rPr>
                  </w:pPr>
                  <w:r>
                    <w:rPr>
                      <w:rFonts w:hint="eastAsia" w:cs="Times New Roman"/>
                      <w:bCs/>
                      <w:sz w:val="21"/>
                      <w:szCs w:val="21"/>
                      <w:u w:val="none" w:color="auto"/>
                      <w:lang w:val="en-US" w:eastAsia="zh-CN"/>
                    </w:rPr>
                    <w:t>/</w:t>
                  </w:r>
                </w:p>
              </w:tc>
            </w:tr>
          </w:tbl>
          <w:p w14:paraId="350EBF9D">
            <w:pPr>
              <w:rPr>
                <w:rFonts w:hint="eastAsia"/>
                <w:color w:val="000000" w:themeColor="text1"/>
                <w:u w:val="none" w:color="auto"/>
                <w14:textFill>
                  <w14:solidFill>
                    <w14:schemeClr w14:val="tx1"/>
                  </w14:solidFill>
                </w14:textFill>
              </w:rPr>
            </w:pPr>
          </w:p>
        </w:tc>
      </w:tr>
    </w:tbl>
    <w:p w14:paraId="6274A6F2">
      <w:pPr>
        <w:rPr>
          <w:rStyle w:val="38"/>
          <w:rFonts w:ascii="Times New Roman" w:hAnsi="Times New Roman" w:eastAsia="宋体"/>
          <w:color w:val="000000" w:themeColor="text1"/>
          <w:u w:val="none" w:color="auto"/>
          <w14:textFill>
            <w14:solidFill>
              <w14:schemeClr w14:val="tx1"/>
            </w14:solidFill>
          </w14:textFill>
        </w:rPr>
      </w:pPr>
      <w:r>
        <w:rPr>
          <w:rStyle w:val="38"/>
          <w:rFonts w:ascii="Times New Roman" w:hAnsi="Times New Roman" w:eastAsia="宋体"/>
          <w:color w:val="000000" w:themeColor="text1"/>
          <w:u w:val="none" w:color="auto"/>
          <w14:textFill>
            <w14:solidFill>
              <w14:schemeClr w14:val="tx1"/>
            </w14:solidFill>
          </w14:textFill>
        </w:rPr>
        <w:br w:type="page"/>
      </w:r>
    </w:p>
    <w:p w14:paraId="532EB3F2">
      <w:pPr>
        <w:pStyle w:val="3"/>
        <w:jc w:val="center"/>
        <w:rPr>
          <w:rStyle w:val="38"/>
          <w:rFonts w:ascii="Times New Roman" w:hAnsi="Times New Roman" w:eastAsia="宋体"/>
          <w:b/>
          <w:bCs/>
          <w:color w:val="000000" w:themeColor="text1"/>
          <w:u w:val="none" w:color="auto"/>
          <w14:textFill>
            <w14:solidFill>
              <w14:schemeClr w14:val="tx1"/>
            </w14:solidFill>
          </w14:textFill>
        </w:rPr>
      </w:pPr>
      <w:bookmarkStart w:id="20" w:name="_Toc4861"/>
      <w:r>
        <w:rPr>
          <w:rStyle w:val="38"/>
          <w:rFonts w:ascii="Times New Roman" w:hAnsi="Times New Roman" w:eastAsia="宋体"/>
          <w:b/>
          <w:bCs/>
          <w:color w:val="000000" w:themeColor="text1"/>
          <w:u w:val="none" w:color="auto"/>
          <w14:textFill>
            <w14:solidFill>
              <w14:schemeClr w14:val="tx1"/>
            </w14:solidFill>
          </w14:textFill>
        </w:rPr>
        <w:t>五、</w:t>
      </w:r>
      <w:bookmarkStart w:id="21" w:name="_Hlk54167917"/>
      <w:r>
        <w:rPr>
          <w:rStyle w:val="38"/>
          <w:rFonts w:ascii="Times New Roman" w:hAnsi="Times New Roman" w:eastAsia="宋体"/>
          <w:b/>
          <w:bCs/>
          <w:color w:val="000000" w:themeColor="text1"/>
          <w:u w:val="none" w:color="auto"/>
          <w14:textFill>
            <w14:solidFill>
              <w14:schemeClr w14:val="tx1"/>
            </w14:solidFill>
          </w14:textFill>
        </w:rPr>
        <w:t>环境保护措施监督检查清单</w:t>
      </w:r>
      <w:bookmarkEnd w:id="20"/>
      <w:bookmarkEnd w:id="21"/>
    </w:p>
    <w:tbl>
      <w:tblPr>
        <w:tblStyle w:val="33"/>
        <w:tblW w:w="90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4"/>
        <w:gridCol w:w="1427"/>
        <w:gridCol w:w="1187"/>
        <w:gridCol w:w="1635"/>
        <w:gridCol w:w="3494"/>
      </w:tblGrid>
      <w:tr w14:paraId="5645DB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1334" w:type="dxa"/>
            <w:tcBorders>
              <w:tl2br w:val="single" w:color="auto" w:sz="4" w:space="0"/>
            </w:tcBorders>
          </w:tcPr>
          <w:p w14:paraId="2663EF60">
            <w:pPr>
              <w:adjustRightInd w:val="0"/>
              <w:snapToGrid w:val="0"/>
              <w:ind w:firstLine="630" w:firstLineChars="300"/>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内容</w:t>
            </w:r>
          </w:p>
          <w:p w14:paraId="430FA382">
            <w:pPr>
              <w:adjustRightInd w:val="0"/>
              <w:snapToGrid w:val="0"/>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要素</w:t>
            </w:r>
          </w:p>
        </w:tc>
        <w:tc>
          <w:tcPr>
            <w:tcW w:w="1427" w:type="dxa"/>
            <w:vAlign w:val="center"/>
          </w:tcPr>
          <w:p w14:paraId="48A1D87E">
            <w:pPr>
              <w:adjustRightInd w:val="0"/>
              <w:snapToGrid w:val="0"/>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排放口(编号、名称)/污染源</w:t>
            </w:r>
          </w:p>
        </w:tc>
        <w:tc>
          <w:tcPr>
            <w:tcW w:w="1187" w:type="dxa"/>
            <w:vAlign w:val="center"/>
          </w:tcPr>
          <w:p w14:paraId="2DD894CE">
            <w:pPr>
              <w:adjustRightInd w:val="0"/>
              <w:snapToGrid w:val="0"/>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污染物项目</w:t>
            </w:r>
          </w:p>
        </w:tc>
        <w:tc>
          <w:tcPr>
            <w:tcW w:w="1635" w:type="dxa"/>
            <w:vAlign w:val="center"/>
          </w:tcPr>
          <w:p w14:paraId="05A21519">
            <w:pPr>
              <w:adjustRightInd w:val="0"/>
              <w:snapToGrid w:val="0"/>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环境保护措施</w:t>
            </w:r>
          </w:p>
        </w:tc>
        <w:tc>
          <w:tcPr>
            <w:tcW w:w="3494" w:type="dxa"/>
            <w:vAlign w:val="center"/>
          </w:tcPr>
          <w:p w14:paraId="79D6F3BD">
            <w:pPr>
              <w:adjustRightInd w:val="0"/>
              <w:snapToGrid w:val="0"/>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执行标准</w:t>
            </w:r>
          </w:p>
        </w:tc>
      </w:tr>
      <w:tr w14:paraId="68CB2A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1334" w:type="dxa"/>
            <w:vMerge w:val="restart"/>
            <w:vAlign w:val="center"/>
          </w:tcPr>
          <w:p w14:paraId="5A2A69D6">
            <w:pPr>
              <w:adjustRightInd w:val="0"/>
              <w:snapToGrid w:val="0"/>
              <w:jc w:val="center"/>
              <w:rPr>
                <w:rFonts w:hint="default" w:eastAsia="宋体"/>
                <w:u w:val="none" w:color="auto"/>
                <w:lang w:val="en-US" w:eastAsia="zh-CN"/>
              </w:rPr>
            </w:pPr>
            <w:r>
              <w:rPr>
                <w:rFonts w:hint="eastAsia"/>
                <w:u w:val="none" w:color="auto"/>
                <w:lang w:val="en-US" w:eastAsia="zh-CN"/>
              </w:rPr>
              <w:t>大气环境</w:t>
            </w:r>
          </w:p>
        </w:tc>
        <w:tc>
          <w:tcPr>
            <w:tcW w:w="1427" w:type="dxa"/>
            <w:vAlign w:val="center"/>
          </w:tcPr>
          <w:p w14:paraId="50DFBB46">
            <w:pPr>
              <w:adjustRightInd w:val="0"/>
              <w:snapToGrid w:val="0"/>
              <w:jc w:val="center"/>
              <w:rPr>
                <w:rFonts w:hint="default"/>
                <w:color w:val="000000" w:themeColor="text1"/>
                <w:sz w:val="21"/>
                <w:szCs w:val="21"/>
                <w:u w:val="single" w:color="auto"/>
                <w:lang w:val="en-US" w:eastAsia="zh-CN"/>
                <w14:textFill>
                  <w14:solidFill>
                    <w14:schemeClr w14:val="tx1"/>
                  </w14:solidFill>
                </w14:textFill>
              </w:rPr>
            </w:pPr>
            <w:r>
              <w:rPr>
                <w:rFonts w:hint="eastAsia"/>
                <w:color w:val="000000" w:themeColor="text1"/>
                <w:sz w:val="21"/>
                <w:szCs w:val="21"/>
                <w:u w:val="single" w:color="auto"/>
                <w:lang w:val="en-US" w:eastAsia="zh-CN"/>
                <w14:textFill>
                  <w14:solidFill>
                    <w14:schemeClr w14:val="tx1"/>
                  </w14:solidFill>
                </w14:textFill>
              </w:rPr>
              <w:t>焊锡废气</w:t>
            </w:r>
          </w:p>
        </w:tc>
        <w:tc>
          <w:tcPr>
            <w:tcW w:w="1187" w:type="dxa"/>
            <w:vAlign w:val="center"/>
          </w:tcPr>
          <w:p w14:paraId="1CF7056B">
            <w:pPr>
              <w:pStyle w:val="41"/>
              <w:bidi w:val="0"/>
              <w:rPr>
                <w:rFonts w:hint="eastAsia"/>
                <w:color w:val="000000" w:themeColor="text1"/>
                <w:sz w:val="21"/>
                <w:szCs w:val="21"/>
                <w:u w:val="single" w:color="auto"/>
                <w:lang w:val="en-US" w:eastAsia="zh-CN"/>
                <w14:textFill>
                  <w14:solidFill>
                    <w14:schemeClr w14:val="tx1"/>
                  </w14:solidFill>
                </w14:textFill>
              </w:rPr>
            </w:pPr>
            <w:r>
              <w:rPr>
                <w:rFonts w:hint="eastAsia"/>
                <w:u w:val="single"/>
                <w:lang w:val="en-US" w:eastAsia="zh-CN"/>
              </w:rPr>
              <w:t>颗粒物、锡及其化合物、VOCs（以非甲烷总烃计）</w:t>
            </w:r>
          </w:p>
        </w:tc>
        <w:tc>
          <w:tcPr>
            <w:tcW w:w="1635" w:type="dxa"/>
            <w:vAlign w:val="center"/>
          </w:tcPr>
          <w:p w14:paraId="72376FCC">
            <w:pPr>
              <w:jc w:val="center"/>
              <w:rPr>
                <w:rFonts w:hint="default" w:eastAsia="宋体"/>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集气罩+干式过滤器+二级活性炭吸附</w:t>
            </w:r>
            <w:r>
              <w:rPr>
                <w:rFonts w:hint="eastAsia" w:cs="Times New Roman"/>
                <w:b w:val="0"/>
                <w:bCs w:val="0"/>
                <w:color w:val="000000" w:themeColor="text1"/>
                <w:sz w:val="21"/>
                <w:szCs w:val="21"/>
                <w:u w:val="single" w:color="auto"/>
                <w:lang w:eastAsia="zh-CN"/>
                <w14:textFill>
                  <w14:solidFill>
                    <w14:schemeClr w14:val="tx1"/>
                  </w14:solidFill>
                </w14:textFill>
              </w:rPr>
              <w:t>+</w:t>
            </w:r>
            <w:r>
              <w:rPr>
                <w:rFonts w:hint="eastAsia" w:cs="Times New Roman"/>
                <w:b w:val="0"/>
                <w:bCs w:val="0"/>
                <w:color w:val="000000" w:themeColor="text1"/>
                <w:sz w:val="21"/>
                <w:szCs w:val="21"/>
                <w:u w:val="single" w:color="auto"/>
                <w:lang w:val="en-US" w:eastAsia="zh-CN"/>
                <w14:textFill>
                  <w14:solidFill>
                    <w14:schemeClr w14:val="tx1"/>
                  </w14:solidFill>
                </w14:textFill>
              </w:rPr>
              <w:t>23</w:t>
            </w:r>
            <w:r>
              <w:rPr>
                <w:rFonts w:hint="eastAsia" w:cs="Times New Roman"/>
                <w:b w:val="0"/>
                <w:bCs w:val="0"/>
                <w:color w:val="000000" w:themeColor="text1"/>
                <w:sz w:val="21"/>
                <w:szCs w:val="21"/>
                <w:u w:val="single" w:color="auto"/>
                <w:lang w:eastAsia="zh-CN"/>
                <w14:textFill>
                  <w14:solidFill>
                    <w14:schemeClr w14:val="tx1"/>
                  </w14:solidFill>
                </w14:textFill>
              </w:rPr>
              <w:t>m高排气筒</w:t>
            </w:r>
            <w:r>
              <w:rPr>
                <w:rFonts w:hint="eastAsia" w:cs="Times New Roman"/>
                <w:b w:val="0"/>
                <w:bCs w:val="0"/>
                <w:color w:val="000000" w:themeColor="text1"/>
                <w:sz w:val="21"/>
                <w:szCs w:val="21"/>
                <w:u w:val="single" w:color="auto"/>
                <w:lang w:val="en-US" w:eastAsia="zh-CN"/>
                <w14:textFill>
                  <w14:solidFill>
                    <w14:schemeClr w14:val="tx1"/>
                  </w14:solidFill>
                </w14:textFill>
              </w:rPr>
              <w:t>DA001</w:t>
            </w:r>
          </w:p>
        </w:tc>
        <w:tc>
          <w:tcPr>
            <w:tcW w:w="3494" w:type="dxa"/>
            <w:vMerge w:val="restart"/>
            <w:vAlign w:val="center"/>
          </w:tcPr>
          <w:p w14:paraId="1D090C1D">
            <w:pPr>
              <w:jc w:val="center"/>
              <w:rPr>
                <w:rFonts w:hint="default" w:cs="Times New Roman"/>
                <w:b w:val="0"/>
                <w:bCs w:val="0"/>
                <w:color w:val="000000" w:themeColor="text1"/>
                <w:sz w:val="21"/>
                <w:szCs w:val="21"/>
                <w:u w:val="none" w:color="auto"/>
                <w:lang w:val="en-US" w:eastAsia="zh-CN"/>
                <w14:textFill>
                  <w14:solidFill>
                    <w14:schemeClr w14:val="tx1"/>
                  </w14:solidFill>
                </w14:textFill>
              </w:rPr>
            </w:pPr>
            <w:r>
              <w:rPr>
                <w:rFonts w:hint="eastAsia" w:cs="Times New Roman"/>
                <w:b w:val="0"/>
                <w:bCs w:val="0"/>
                <w:color w:val="000000" w:themeColor="text1"/>
                <w:sz w:val="21"/>
                <w:szCs w:val="21"/>
                <w:u w:val="none" w:color="auto"/>
                <w:lang w:val="en-US" w:eastAsia="zh-CN"/>
                <w14:textFill>
                  <w14:solidFill>
                    <w14:schemeClr w14:val="tx1"/>
                  </w14:solidFill>
                </w14:textFill>
              </w:rPr>
              <w:t>有组织</w:t>
            </w:r>
            <w:r>
              <w:rPr>
                <w:rFonts w:hint="eastAsia" w:cs="Times New Roman"/>
                <w:bCs/>
                <w:kern w:val="2"/>
                <w:sz w:val="21"/>
                <w:szCs w:val="21"/>
                <w:u w:val="none" w:color="auto"/>
                <w:lang w:val="en-US" w:eastAsia="zh-CN" w:bidi="ar-SA"/>
              </w:rPr>
              <w:t>VOCs（以非甲烷总烃计）、苯系物（二甲苯）执行</w:t>
            </w:r>
            <w:r>
              <w:rPr>
                <w:rFonts w:hint="default" w:ascii="Times New Roman" w:hAnsi="Times New Roman" w:cs="Times New Roman"/>
                <w:sz w:val="21"/>
                <w:szCs w:val="21"/>
                <w:u w:val="none"/>
              </w:rPr>
              <w:t>湖南省</w:t>
            </w:r>
            <w:r>
              <w:rPr>
                <w:rFonts w:hint="default" w:ascii="Times New Roman" w:hAnsi="Times New Roman" w:cs="Times New Roman"/>
                <w:sz w:val="21"/>
                <w:szCs w:val="21"/>
                <w:u w:val="none"/>
                <w:lang w:val="en-US" w:eastAsia="zh-CN"/>
              </w:rPr>
              <w:t>地方标准</w:t>
            </w:r>
            <w:r>
              <w:rPr>
                <w:rFonts w:hint="default" w:ascii="Times New Roman" w:hAnsi="Times New Roman" w:cs="Times New Roman"/>
                <w:sz w:val="21"/>
                <w:szCs w:val="21"/>
                <w:u w:val="none"/>
                <w:lang w:eastAsia="zh-CN"/>
              </w:rPr>
              <w:t>《工业企业挥发性有机物排放标准》（DB43/3550-2026）</w:t>
            </w:r>
            <w:r>
              <w:rPr>
                <w:rFonts w:hint="default" w:ascii="Times New Roman" w:hAnsi="Times New Roman" w:cs="Times New Roman"/>
                <w:sz w:val="21"/>
                <w:szCs w:val="21"/>
                <w:u w:val="none"/>
              </w:rPr>
              <w:t>表</w:t>
            </w:r>
            <w:r>
              <w:rPr>
                <w:rFonts w:hint="default" w:ascii="Times New Roman" w:hAnsi="Times New Roman" w:cs="Times New Roman"/>
                <w:sz w:val="21"/>
                <w:szCs w:val="21"/>
                <w:u w:val="none"/>
                <w:lang w:val="en-US" w:eastAsia="zh-CN"/>
              </w:rPr>
              <w:t>1</w:t>
            </w:r>
            <w:r>
              <w:rPr>
                <w:rFonts w:hint="default" w:ascii="Times New Roman" w:hAnsi="Times New Roman" w:cs="Times New Roman"/>
                <w:sz w:val="21"/>
                <w:szCs w:val="21"/>
                <w:u w:val="none"/>
              </w:rPr>
              <w:t>中</w:t>
            </w:r>
            <w:r>
              <w:rPr>
                <w:rFonts w:hint="eastAsia" w:ascii="Times New Roman" w:hAnsi="Times New Roman" w:cs="Times New Roman"/>
                <w:sz w:val="21"/>
                <w:szCs w:val="21"/>
                <w:u w:val="none"/>
                <w:lang w:val="en-US" w:eastAsia="zh-CN"/>
              </w:rPr>
              <w:t>计算机、通信和其他电子设备制造业</w:t>
            </w:r>
            <w:r>
              <w:rPr>
                <w:rFonts w:hint="default" w:ascii="Times New Roman" w:hAnsi="Times New Roman" w:cs="Times New Roman"/>
                <w:sz w:val="21"/>
                <w:szCs w:val="21"/>
                <w:u w:val="none"/>
                <w:lang w:val="en-US" w:eastAsia="zh-CN"/>
              </w:rPr>
              <w:t>排放</w:t>
            </w:r>
            <w:r>
              <w:rPr>
                <w:rFonts w:hint="default" w:ascii="Times New Roman" w:hAnsi="Times New Roman" w:cs="Times New Roman"/>
                <w:sz w:val="21"/>
                <w:szCs w:val="21"/>
                <w:u w:val="none"/>
              </w:rPr>
              <w:t>限值</w:t>
            </w:r>
            <w:r>
              <w:rPr>
                <w:rFonts w:hint="eastAsia" w:ascii="Times New Roman" w:hAnsi="Times New Roman" w:cs="Times New Roman"/>
                <w:sz w:val="21"/>
                <w:szCs w:val="21"/>
                <w:u w:val="none"/>
                <w:lang w:eastAsia="zh-CN"/>
              </w:rPr>
              <w:t>；</w:t>
            </w:r>
            <w:r>
              <w:rPr>
                <w:rFonts w:hint="eastAsia" w:ascii="Times New Roman" w:hAnsi="Times New Roman" w:cs="Times New Roman"/>
                <w:sz w:val="21"/>
                <w:szCs w:val="21"/>
                <w:u w:val="none"/>
                <w:lang w:val="en-US" w:eastAsia="zh-CN"/>
              </w:rPr>
              <w:t>颗粒物</w:t>
            </w:r>
            <w:r>
              <w:rPr>
                <w:rFonts w:hint="eastAsia" w:cs="Times New Roman"/>
                <w:sz w:val="21"/>
                <w:szCs w:val="21"/>
                <w:u w:val="none"/>
                <w:lang w:val="en-US" w:eastAsia="zh-CN"/>
              </w:rPr>
              <w:t>、锡及其化合物</w:t>
            </w:r>
            <w:r>
              <w:rPr>
                <w:rFonts w:hint="eastAsia" w:ascii="Times New Roman" w:hAnsi="Times New Roman" w:cs="Times New Roman"/>
                <w:sz w:val="21"/>
                <w:szCs w:val="21"/>
                <w:u w:val="none"/>
                <w:lang w:val="en-US" w:eastAsia="zh-CN"/>
              </w:rPr>
              <w:t>执行</w:t>
            </w:r>
            <w:r>
              <w:rPr>
                <w:rFonts w:hint="default" w:ascii="Times New Roman" w:hAnsi="Times New Roman" w:eastAsia="宋体" w:cs="Times New Roman"/>
                <w:bCs/>
                <w:kern w:val="2"/>
                <w:sz w:val="21"/>
                <w:szCs w:val="21"/>
                <w:u w:val="none" w:color="auto"/>
                <w:lang w:val="en-US" w:eastAsia="zh-CN" w:bidi="ar-SA"/>
              </w:rPr>
              <w:t>《大气污染物综合排放标准》（GB16297-1996）表2中</w:t>
            </w:r>
            <w:r>
              <w:rPr>
                <w:rFonts w:hint="eastAsia" w:ascii="Times New Roman" w:hAnsi="Times New Roman" w:eastAsia="宋体" w:cs="Times New Roman"/>
                <w:bCs/>
                <w:kern w:val="2"/>
                <w:sz w:val="21"/>
                <w:szCs w:val="21"/>
                <w:u w:val="none" w:color="auto"/>
                <w:lang w:val="en-US" w:eastAsia="zh-CN" w:bidi="ar-SA"/>
              </w:rPr>
              <w:t>排放限值；厂界无组织颗粒物、</w:t>
            </w:r>
            <w:r>
              <w:rPr>
                <w:rFonts w:hint="eastAsia" w:cs="Times New Roman"/>
                <w:bCs/>
                <w:kern w:val="2"/>
                <w:sz w:val="21"/>
                <w:szCs w:val="21"/>
                <w:u w:val="none" w:color="auto"/>
                <w:lang w:val="en-US" w:eastAsia="zh-CN" w:bidi="ar-SA"/>
              </w:rPr>
              <w:t>锡及其化合物、</w:t>
            </w:r>
            <w:r>
              <w:rPr>
                <w:rFonts w:hint="eastAsia" w:ascii="Times New Roman" w:hAnsi="Times New Roman" w:eastAsia="宋体" w:cs="Times New Roman"/>
                <w:bCs/>
                <w:kern w:val="2"/>
                <w:sz w:val="21"/>
                <w:szCs w:val="21"/>
                <w:u w:val="none" w:color="auto"/>
                <w:lang w:val="en-US" w:eastAsia="zh-CN" w:bidi="ar-SA"/>
              </w:rPr>
              <w:t>非甲烷总烃</w:t>
            </w:r>
            <w:r>
              <w:rPr>
                <w:rFonts w:hint="eastAsia" w:cs="Times New Roman"/>
                <w:bCs/>
                <w:kern w:val="2"/>
                <w:sz w:val="21"/>
                <w:szCs w:val="21"/>
                <w:u w:val="none" w:color="auto"/>
                <w:lang w:val="en-US" w:eastAsia="zh-CN" w:bidi="ar-SA"/>
              </w:rPr>
              <w:t>、苯系物（二甲苯）执行</w:t>
            </w:r>
            <w:r>
              <w:rPr>
                <w:rFonts w:hint="default" w:ascii="Times New Roman" w:hAnsi="Times New Roman" w:eastAsia="宋体" w:cs="Times New Roman"/>
                <w:bCs/>
                <w:kern w:val="2"/>
                <w:sz w:val="21"/>
                <w:szCs w:val="21"/>
                <w:u w:val="none" w:color="auto"/>
                <w:lang w:val="en-US" w:eastAsia="zh-CN" w:bidi="ar-SA"/>
              </w:rPr>
              <w:t>《大气污染物综合排放标准》（GB16297-1996）表2中的无组织排放监控浓度限值</w:t>
            </w:r>
            <w:r>
              <w:rPr>
                <w:rFonts w:hint="eastAsia" w:ascii="Times New Roman" w:hAnsi="Times New Roman" w:eastAsia="宋体" w:cs="Times New Roman"/>
                <w:bCs/>
                <w:kern w:val="2"/>
                <w:sz w:val="21"/>
                <w:szCs w:val="21"/>
                <w:u w:val="none" w:color="auto"/>
                <w:lang w:val="en-US" w:eastAsia="zh-CN" w:bidi="ar-SA"/>
              </w:rPr>
              <w:t>；厂区内非甲烷总烃执行</w:t>
            </w:r>
            <w:r>
              <w:rPr>
                <w:rFonts w:hint="default" w:ascii="Times New Roman" w:hAnsi="Times New Roman" w:cs="Times New Roman"/>
                <w:sz w:val="21"/>
                <w:szCs w:val="21"/>
                <w:u w:val="none"/>
                <w:lang w:eastAsia="zh-CN"/>
              </w:rPr>
              <w:t>《工业企业挥发性有机物排放标准》（DB43/3550-2026）</w:t>
            </w:r>
            <w:r>
              <w:rPr>
                <w:rFonts w:hint="default" w:ascii="Times New Roman" w:hAnsi="Times New Roman" w:cs="Times New Roman"/>
                <w:sz w:val="21"/>
                <w:szCs w:val="21"/>
                <w:u w:val="none"/>
              </w:rPr>
              <w:t>表</w:t>
            </w:r>
            <w:r>
              <w:rPr>
                <w:rFonts w:hint="eastAsia" w:ascii="Times New Roman" w:hAnsi="Times New Roman" w:cs="Times New Roman"/>
                <w:sz w:val="21"/>
                <w:szCs w:val="21"/>
                <w:u w:val="none"/>
                <w:lang w:val="en-US" w:eastAsia="zh-CN"/>
              </w:rPr>
              <w:t>2</w:t>
            </w:r>
            <w:r>
              <w:rPr>
                <w:rFonts w:hint="default" w:ascii="Times New Roman" w:hAnsi="Times New Roman" w:cs="Times New Roman"/>
                <w:sz w:val="21"/>
                <w:szCs w:val="21"/>
                <w:u w:val="none"/>
              </w:rPr>
              <w:t>中</w:t>
            </w:r>
            <w:r>
              <w:rPr>
                <w:rFonts w:hint="default" w:ascii="Times New Roman" w:hAnsi="Times New Roman" w:cs="Times New Roman"/>
                <w:sz w:val="21"/>
                <w:szCs w:val="21"/>
                <w:u w:val="none"/>
                <w:lang w:val="en-US" w:eastAsia="zh-CN"/>
              </w:rPr>
              <w:t>排放</w:t>
            </w:r>
            <w:r>
              <w:rPr>
                <w:rFonts w:hint="default" w:ascii="Times New Roman" w:hAnsi="Times New Roman" w:cs="Times New Roman"/>
                <w:sz w:val="21"/>
                <w:szCs w:val="21"/>
                <w:u w:val="none"/>
              </w:rPr>
              <w:t>限值</w:t>
            </w:r>
          </w:p>
        </w:tc>
      </w:tr>
      <w:tr w14:paraId="078453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4" w:type="dxa"/>
            <w:vMerge w:val="continue"/>
            <w:vAlign w:val="center"/>
          </w:tcPr>
          <w:p w14:paraId="4E54E0AA">
            <w:pPr>
              <w:adjustRightInd w:val="0"/>
              <w:snapToGrid w:val="0"/>
              <w:jc w:val="center"/>
              <w:rPr>
                <w:u w:val="none" w:color="auto"/>
              </w:rPr>
            </w:pPr>
          </w:p>
        </w:tc>
        <w:tc>
          <w:tcPr>
            <w:tcW w:w="1427" w:type="dxa"/>
            <w:vAlign w:val="center"/>
          </w:tcPr>
          <w:p w14:paraId="708EB371">
            <w:pPr>
              <w:adjustRightInd w:val="0"/>
              <w:snapToGrid w:val="0"/>
              <w:jc w:val="center"/>
              <w:rPr>
                <w:rFonts w:hint="eastAsia"/>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调漆、浸漆、烘干，有机废气</w:t>
            </w:r>
          </w:p>
        </w:tc>
        <w:tc>
          <w:tcPr>
            <w:tcW w:w="1187" w:type="dxa"/>
            <w:vAlign w:val="center"/>
          </w:tcPr>
          <w:p w14:paraId="5E57B384">
            <w:pPr>
              <w:pStyle w:val="41"/>
              <w:bidi w:val="0"/>
              <w:rPr>
                <w:rFonts w:hint="default"/>
                <w:lang w:val="en-US" w:eastAsia="zh-CN"/>
              </w:rPr>
            </w:pPr>
            <w:r>
              <w:rPr>
                <w:rFonts w:hint="eastAsia"/>
                <w:lang w:val="en-US" w:eastAsia="zh-CN"/>
              </w:rPr>
              <w:t>VOCs（以非甲烷总烃计）、苯系物（二甲苯）</w:t>
            </w:r>
          </w:p>
        </w:tc>
        <w:tc>
          <w:tcPr>
            <w:tcW w:w="1635" w:type="dxa"/>
            <w:vAlign w:val="center"/>
          </w:tcPr>
          <w:p w14:paraId="64EAA9B0">
            <w:pPr>
              <w:jc w:val="center"/>
              <w:rPr>
                <w:rFonts w:hint="default"/>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密闭含浸车间微负压收集+</w:t>
            </w:r>
            <w:r>
              <w:rPr>
                <w:rFonts w:hint="eastAsia" w:cs="Times New Roman"/>
                <w:b w:val="0"/>
                <w:bCs w:val="0"/>
                <w:color w:val="000000" w:themeColor="text1"/>
                <w:sz w:val="21"/>
                <w:szCs w:val="21"/>
                <w:u w:val="none" w:color="auto"/>
                <w:lang w:val="en-US" w:eastAsia="zh-CN"/>
                <w14:textFill>
                  <w14:solidFill>
                    <w14:schemeClr w14:val="tx1"/>
                  </w14:solidFill>
                </w14:textFill>
              </w:rPr>
              <w:t>二级活性炭吸附</w:t>
            </w:r>
            <w:r>
              <w:rPr>
                <w:rFonts w:hint="eastAsia" w:cs="Times New Roman"/>
                <w:b w:val="0"/>
                <w:bCs w:val="0"/>
                <w:color w:val="000000" w:themeColor="text1"/>
                <w:sz w:val="21"/>
                <w:szCs w:val="21"/>
                <w:u w:val="none" w:color="auto"/>
                <w:lang w:eastAsia="zh-CN"/>
                <w14:textFill>
                  <w14:solidFill>
                    <w14:schemeClr w14:val="tx1"/>
                  </w14:solidFill>
                </w14:textFill>
              </w:rPr>
              <w:t>+</w:t>
            </w:r>
            <w:r>
              <w:rPr>
                <w:rFonts w:hint="eastAsia" w:cs="Times New Roman"/>
                <w:b w:val="0"/>
                <w:bCs w:val="0"/>
                <w:color w:val="000000" w:themeColor="text1"/>
                <w:sz w:val="21"/>
                <w:szCs w:val="21"/>
                <w:u w:val="none" w:color="auto"/>
                <w:lang w:val="en-US" w:eastAsia="zh-CN"/>
                <w14:textFill>
                  <w14:solidFill>
                    <w14:schemeClr w14:val="tx1"/>
                  </w14:solidFill>
                </w14:textFill>
              </w:rPr>
              <w:t>23</w:t>
            </w:r>
            <w:r>
              <w:rPr>
                <w:rFonts w:hint="eastAsia" w:cs="Times New Roman"/>
                <w:b w:val="0"/>
                <w:bCs w:val="0"/>
                <w:color w:val="000000" w:themeColor="text1"/>
                <w:sz w:val="21"/>
                <w:szCs w:val="21"/>
                <w:u w:val="none" w:color="auto"/>
                <w:lang w:eastAsia="zh-CN"/>
                <w14:textFill>
                  <w14:solidFill>
                    <w14:schemeClr w14:val="tx1"/>
                  </w14:solidFill>
                </w14:textFill>
              </w:rPr>
              <w:t>m高排气筒</w:t>
            </w:r>
            <w:r>
              <w:rPr>
                <w:rFonts w:hint="eastAsia" w:cs="Times New Roman"/>
                <w:b w:val="0"/>
                <w:bCs w:val="0"/>
                <w:color w:val="000000" w:themeColor="text1"/>
                <w:sz w:val="21"/>
                <w:szCs w:val="21"/>
                <w:u w:val="none" w:color="auto"/>
                <w:lang w:val="en-US" w:eastAsia="zh-CN"/>
                <w14:textFill>
                  <w14:solidFill>
                    <w14:schemeClr w14:val="tx1"/>
                  </w14:solidFill>
                </w14:textFill>
              </w:rPr>
              <w:t>DA001</w:t>
            </w:r>
          </w:p>
        </w:tc>
        <w:tc>
          <w:tcPr>
            <w:tcW w:w="3494" w:type="dxa"/>
            <w:vMerge w:val="continue"/>
            <w:vAlign w:val="center"/>
          </w:tcPr>
          <w:p w14:paraId="0B0F8ABE">
            <w:pPr>
              <w:adjustRightInd w:val="0"/>
              <w:snapToGrid w:val="0"/>
              <w:jc w:val="center"/>
              <w:rPr>
                <w:rFonts w:hint="eastAsia"/>
                <w:color w:val="000000" w:themeColor="text1"/>
                <w:sz w:val="21"/>
                <w:szCs w:val="21"/>
                <w:u w:val="none" w:color="auto"/>
                <w:lang w:val="en-US" w:eastAsia="zh-CN"/>
                <w14:textFill>
                  <w14:solidFill>
                    <w14:schemeClr w14:val="tx1"/>
                  </w14:solidFill>
                </w14:textFill>
              </w:rPr>
            </w:pPr>
          </w:p>
        </w:tc>
      </w:tr>
      <w:tr w14:paraId="59470E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4" w:type="dxa"/>
            <w:vMerge w:val="continue"/>
            <w:vAlign w:val="center"/>
          </w:tcPr>
          <w:p w14:paraId="66F72126">
            <w:pPr>
              <w:adjustRightInd w:val="0"/>
              <w:snapToGrid w:val="0"/>
              <w:jc w:val="center"/>
              <w:rPr>
                <w:u w:val="none" w:color="auto"/>
              </w:rPr>
            </w:pPr>
          </w:p>
        </w:tc>
        <w:tc>
          <w:tcPr>
            <w:tcW w:w="1427" w:type="dxa"/>
            <w:vAlign w:val="center"/>
          </w:tcPr>
          <w:p w14:paraId="69928799">
            <w:pPr>
              <w:adjustRightInd w:val="0"/>
              <w:snapToGrid w:val="0"/>
              <w:jc w:val="center"/>
              <w:rPr>
                <w:rFonts w:hint="default"/>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点胶有机废气</w:t>
            </w:r>
          </w:p>
        </w:tc>
        <w:tc>
          <w:tcPr>
            <w:tcW w:w="1187" w:type="dxa"/>
            <w:vAlign w:val="center"/>
          </w:tcPr>
          <w:p w14:paraId="78546546">
            <w:pPr>
              <w:pStyle w:val="41"/>
              <w:bidi w:val="0"/>
              <w:rPr>
                <w:rFonts w:hint="eastAsia"/>
                <w:lang w:val="en-US" w:eastAsia="zh-CN"/>
              </w:rPr>
            </w:pPr>
            <w:r>
              <w:rPr>
                <w:rFonts w:hint="eastAsia"/>
                <w:lang w:val="en-US" w:eastAsia="zh-CN"/>
              </w:rPr>
              <w:t>VOCs（以非甲烷总烃计）</w:t>
            </w:r>
          </w:p>
        </w:tc>
        <w:tc>
          <w:tcPr>
            <w:tcW w:w="1635" w:type="dxa"/>
            <w:vAlign w:val="center"/>
          </w:tcPr>
          <w:p w14:paraId="0A4CE936">
            <w:pPr>
              <w:jc w:val="center"/>
              <w:rPr>
                <w:rFonts w:hint="default"/>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加强车间通风</w:t>
            </w:r>
          </w:p>
        </w:tc>
        <w:tc>
          <w:tcPr>
            <w:tcW w:w="3494" w:type="dxa"/>
            <w:vMerge w:val="continue"/>
            <w:vAlign w:val="center"/>
          </w:tcPr>
          <w:p w14:paraId="79B374C2">
            <w:pPr>
              <w:adjustRightInd w:val="0"/>
              <w:snapToGrid w:val="0"/>
              <w:jc w:val="center"/>
              <w:rPr>
                <w:rFonts w:hint="eastAsia"/>
                <w:color w:val="000000" w:themeColor="text1"/>
                <w:sz w:val="21"/>
                <w:szCs w:val="21"/>
                <w:u w:val="none" w:color="auto"/>
                <w:lang w:val="en-US" w:eastAsia="zh-CN"/>
                <w14:textFill>
                  <w14:solidFill>
                    <w14:schemeClr w14:val="tx1"/>
                  </w14:solidFill>
                </w14:textFill>
              </w:rPr>
            </w:pPr>
          </w:p>
        </w:tc>
      </w:tr>
      <w:tr w14:paraId="1F720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4" w:type="dxa"/>
            <w:vAlign w:val="center"/>
          </w:tcPr>
          <w:p w14:paraId="6F3E1F41">
            <w:pPr>
              <w:adjustRightInd w:val="0"/>
              <w:snapToGrid w:val="0"/>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地表水环境</w:t>
            </w:r>
          </w:p>
        </w:tc>
        <w:tc>
          <w:tcPr>
            <w:tcW w:w="1427" w:type="dxa"/>
            <w:shd w:val="clear" w:color="auto" w:fill="auto"/>
            <w:vAlign w:val="center"/>
          </w:tcPr>
          <w:p w14:paraId="2FA4B958">
            <w:pPr>
              <w:adjustRightInd w:val="0"/>
              <w:snapToGrid w:val="0"/>
              <w:jc w:val="center"/>
              <w:rPr>
                <w:rFonts w:hint="default"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color w:val="000000" w:themeColor="text1"/>
                <w:sz w:val="21"/>
                <w:szCs w:val="21"/>
                <w:u w:val="none" w:color="auto"/>
                <w14:textFill>
                  <w14:solidFill>
                    <w14:schemeClr w14:val="tx1"/>
                  </w14:solidFill>
                </w14:textFill>
              </w:rPr>
              <w:t>生活污水</w:t>
            </w:r>
          </w:p>
        </w:tc>
        <w:tc>
          <w:tcPr>
            <w:tcW w:w="1187" w:type="dxa"/>
            <w:shd w:val="clear" w:color="auto" w:fill="auto"/>
            <w:vAlign w:val="center"/>
          </w:tcPr>
          <w:p w14:paraId="1CC19974">
            <w:pPr>
              <w:adjustRightInd w:val="0"/>
              <w:snapToGrid w:val="0"/>
              <w:jc w:val="center"/>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color w:val="000000" w:themeColor="text1"/>
                <w:sz w:val="21"/>
                <w:szCs w:val="21"/>
                <w:u w:val="none" w:color="auto"/>
                <w14:textFill>
                  <w14:solidFill>
                    <w14:schemeClr w14:val="tx1"/>
                  </w14:solidFill>
                </w14:textFill>
              </w:rPr>
              <w:t>COD、</w:t>
            </w:r>
            <w:r>
              <w:rPr>
                <w:rFonts w:hint="eastAsia"/>
                <w:color w:val="000000" w:themeColor="text1"/>
                <w:sz w:val="21"/>
                <w:szCs w:val="21"/>
                <w:u w:val="none" w:color="auto"/>
                <w14:textFill>
                  <w14:solidFill>
                    <w14:schemeClr w14:val="tx1"/>
                  </w14:solidFill>
                </w14:textFill>
              </w:rPr>
              <w:t>BOD</w:t>
            </w:r>
            <w:r>
              <w:rPr>
                <w:rFonts w:hint="eastAsia"/>
                <w:color w:val="000000" w:themeColor="text1"/>
                <w:sz w:val="21"/>
                <w:szCs w:val="21"/>
                <w:u w:val="none" w:color="auto"/>
                <w:vertAlign w:val="subscript"/>
                <w14:textFill>
                  <w14:solidFill>
                    <w14:schemeClr w14:val="tx1"/>
                  </w14:solidFill>
                </w14:textFill>
              </w:rPr>
              <w:t>5</w:t>
            </w:r>
            <w:r>
              <w:rPr>
                <w:rFonts w:hint="eastAsia"/>
                <w:color w:val="000000" w:themeColor="text1"/>
                <w:sz w:val="21"/>
                <w:szCs w:val="21"/>
                <w:u w:val="none" w:color="auto"/>
                <w14:textFill>
                  <w14:solidFill>
                    <w14:schemeClr w14:val="tx1"/>
                  </w14:solidFill>
                </w14:textFill>
              </w:rPr>
              <w:t>、</w:t>
            </w:r>
            <w:r>
              <w:rPr>
                <w:color w:val="000000" w:themeColor="text1"/>
                <w:sz w:val="21"/>
                <w:szCs w:val="21"/>
                <w:u w:val="none" w:color="auto"/>
                <w14:textFill>
                  <w14:solidFill>
                    <w14:schemeClr w14:val="tx1"/>
                  </w14:solidFill>
                </w14:textFill>
              </w:rPr>
              <w:t>NH</w:t>
            </w:r>
            <w:r>
              <w:rPr>
                <w:color w:val="000000" w:themeColor="text1"/>
                <w:sz w:val="21"/>
                <w:szCs w:val="21"/>
                <w:u w:val="none" w:color="auto"/>
                <w:vertAlign w:val="subscript"/>
                <w14:textFill>
                  <w14:solidFill>
                    <w14:schemeClr w14:val="tx1"/>
                  </w14:solidFill>
                </w14:textFill>
              </w:rPr>
              <w:t>3</w:t>
            </w:r>
            <w:r>
              <w:rPr>
                <w:color w:val="000000" w:themeColor="text1"/>
                <w:sz w:val="21"/>
                <w:szCs w:val="21"/>
                <w:u w:val="none" w:color="auto"/>
                <w14:textFill>
                  <w14:solidFill>
                    <w14:schemeClr w14:val="tx1"/>
                  </w14:solidFill>
                </w14:textFill>
              </w:rPr>
              <w:t>-N、SS</w:t>
            </w:r>
            <w:r>
              <w:rPr>
                <w:rFonts w:hint="eastAsia"/>
                <w:color w:val="000000" w:themeColor="text1"/>
                <w:sz w:val="21"/>
                <w:szCs w:val="21"/>
                <w:u w:val="none" w:color="auto"/>
                <w:lang w:val="en-US" w:eastAsia="zh-CN"/>
                <w14:textFill>
                  <w14:solidFill>
                    <w14:schemeClr w14:val="tx1"/>
                  </w14:solidFill>
                </w14:textFill>
              </w:rPr>
              <w:t>等</w:t>
            </w:r>
          </w:p>
        </w:tc>
        <w:tc>
          <w:tcPr>
            <w:tcW w:w="1635" w:type="dxa"/>
            <w:shd w:val="clear" w:color="auto" w:fill="auto"/>
            <w:vAlign w:val="center"/>
          </w:tcPr>
          <w:p w14:paraId="3F811945">
            <w:pPr>
              <w:pStyle w:val="41"/>
              <w:bidi w:val="0"/>
              <w:rPr>
                <w:rFonts w:hint="default"/>
                <w:lang w:val="en-US" w:eastAsia="zh-CN"/>
              </w:rPr>
            </w:pPr>
            <w:r>
              <w:rPr>
                <w:rFonts w:hint="eastAsia"/>
                <w:sz w:val="21"/>
                <w:szCs w:val="21"/>
                <w:lang w:eastAsia="zh-CN"/>
              </w:rPr>
              <w:t>化粪池</w:t>
            </w:r>
            <w:r>
              <w:rPr>
                <w:rFonts w:hint="eastAsia"/>
                <w:sz w:val="21"/>
                <w:szCs w:val="21"/>
                <w:lang w:val="en-US" w:eastAsia="zh-CN"/>
              </w:rPr>
              <w:t>预处理后通过市政污水管网进入中方产业开发区（泸阳镇）污水处理厂处理达标后外排</w:t>
            </w:r>
          </w:p>
        </w:tc>
        <w:tc>
          <w:tcPr>
            <w:tcW w:w="3494" w:type="dxa"/>
            <w:vAlign w:val="center"/>
          </w:tcPr>
          <w:p w14:paraId="76ACDEFB">
            <w:pPr>
              <w:adjustRightInd w:val="0"/>
              <w:snapToGrid w:val="0"/>
              <w:jc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color w:val="auto"/>
                <w:sz w:val="21"/>
                <w:szCs w:val="21"/>
                <w:u w:val="none" w:color="auto"/>
                <w:lang w:val="en-US" w:eastAsia="zh-CN"/>
              </w:rPr>
              <w:t>《电子工业水污染物排放标准》(GB39731-2020)中表1中间接排放标准</w:t>
            </w:r>
            <w:r>
              <w:rPr>
                <w:rFonts w:hint="eastAsia" w:cs="Times New Roman"/>
                <w:kern w:val="2"/>
                <w:sz w:val="21"/>
                <w:szCs w:val="21"/>
                <w:u w:val="none" w:color="auto"/>
                <w:lang w:val="en-US" w:eastAsia="zh-CN" w:bidi="ar-SA"/>
              </w:rPr>
              <w:t>和</w:t>
            </w:r>
            <w:r>
              <w:rPr>
                <w:rFonts w:hint="eastAsia"/>
                <w:sz w:val="21"/>
                <w:szCs w:val="21"/>
                <w:lang w:val="en-US" w:eastAsia="zh-CN"/>
              </w:rPr>
              <w:t>中方产业开发区（泸阳镇）污水处理厂</w:t>
            </w:r>
            <w:r>
              <w:rPr>
                <w:rFonts w:hint="eastAsia" w:cs="Times New Roman"/>
                <w:kern w:val="2"/>
                <w:sz w:val="21"/>
                <w:szCs w:val="21"/>
                <w:u w:val="none" w:color="auto"/>
                <w:lang w:val="en-US" w:eastAsia="zh-CN" w:bidi="ar-SA"/>
              </w:rPr>
              <w:t>进水水质限值的较严值</w:t>
            </w:r>
          </w:p>
        </w:tc>
      </w:tr>
      <w:tr w14:paraId="799D4D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334" w:type="dxa"/>
            <w:vAlign w:val="center"/>
          </w:tcPr>
          <w:p w14:paraId="4210298C">
            <w:pPr>
              <w:adjustRightInd w:val="0"/>
              <w:snapToGrid w:val="0"/>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声环境</w:t>
            </w:r>
          </w:p>
        </w:tc>
        <w:tc>
          <w:tcPr>
            <w:tcW w:w="1427" w:type="dxa"/>
            <w:vAlign w:val="center"/>
          </w:tcPr>
          <w:p w14:paraId="0DCC00B4">
            <w:pPr>
              <w:adjustRightInd w:val="0"/>
              <w:snapToGrid w:val="0"/>
              <w:jc w:val="center"/>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设备噪声</w:t>
            </w:r>
          </w:p>
        </w:tc>
        <w:tc>
          <w:tcPr>
            <w:tcW w:w="1187" w:type="dxa"/>
            <w:vAlign w:val="center"/>
          </w:tcPr>
          <w:p w14:paraId="13A2784E">
            <w:pPr>
              <w:adjustRightInd w:val="0"/>
              <w:snapToGrid w:val="0"/>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噪声</w:t>
            </w:r>
          </w:p>
        </w:tc>
        <w:tc>
          <w:tcPr>
            <w:tcW w:w="1635" w:type="dxa"/>
            <w:vAlign w:val="center"/>
          </w:tcPr>
          <w:p w14:paraId="7A06480F">
            <w:pPr>
              <w:adjustRightInd w:val="0"/>
              <w:snapToGrid w:val="0"/>
              <w:jc w:val="center"/>
              <w:rPr>
                <w:color w:val="000000" w:themeColor="text1"/>
                <w:sz w:val="21"/>
                <w:szCs w:val="21"/>
                <w:u w:val="none" w:color="auto"/>
                <w14:textFill>
                  <w14:solidFill>
                    <w14:schemeClr w14:val="tx1"/>
                  </w14:solidFill>
                </w14:textFill>
              </w:rPr>
            </w:pPr>
            <w:r>
              <w:rPr>
                <w:rFonts w:hint="default" w:ascii="Times New Roman" w:hAnsi="Times New Roman" w:cs="Times New Roman"/>
                <w:sz w:val="21"/>
                <w:szCs w:val="21"/>
                <w:u w:val="none" w:color="auto"/>
              </w:rPr>
              <w:t>选用</w:t>
            </w:r>
            <w:r>
              <w:rPr>
                <w:rFonts w:hint="default" w:ascii="Times New Roman" w:hAnsi="Times New Roman" w:eastAsia="宋体" w:cs="Times New Roman"/>
                <w:sz w:val="21"/>
                <w:szCs w:val="21"/>
                <w:u w:val="none" w:color="auto"/>
              </w:rPr>
              <w:t>低噪声设备，利用厂房进行隔声，</w:t>
            </w:r>
            <w:r>
              <w:rPr>
                <w:rFonts w:hint="default" w:ascii="Times New Roman" w:hAnsi="Times New Roman" w:eastAsia="宋体" w:cs="Times New Roman"/>
                <w:sz w:val="21"/>
                <w:szCs w:val="21"/>
                <w:u w:val="none" w:color="auto"/>
                <w:lang w:val="en-US" w:eastAsia="zh-CN"/>
              </w:rPr>
              <w:t>基础</w:t>
            </w:r>
            <w:r>
              <w:rPr>
                <w:rFonts w:hint="eastAsia" w:cs="Times New Roman"/>
                <w:sz w:val="21"/>
                <w:szCs w:val="21"/>
                <w:u w:val="none" w:color="auto"/>
                <w:lang w:val="en-US" w:eastAsia="zh-CN"/>
              </w:rPr>
              <w:t>减振</w:t>
            </w:r>
            <w:r>
              <w:rPr>
                <w:rFonts w:hint="default" w:ascii="Times New Roman" w:hAnsi="Times New Roman" w:eastAsia="宋体" w:cs="Times New Roman"/>
                <w:sz w:val="21"/>
                <w:szCs w:val="21"/>
                <w:u w:val="none" w:color="auto"/>
                <w:lang w:val="en-US" w:eastAsia="zh-CN"/>
              </w:rPr>
              <w:t>、</w:t>
            </w:r>
            <w:r>
              <w:rPr>
                <w:rFonts w:hint="default" w:ascii="Times New Roman" w:hAnsi="Times New Roman" w:eastAsia="宋体" w:cs="Times New Roman"/>
                <w:sz w:val="21"/>
                <w:szCs w:val="21"/>
                <w:u w:val="none" w:color="auto"/>
              </w:rPr>
              <w:t>合理布置，加</w:t>
            </w:r>
            <w:r>
              <w:rPr>
                <w:rFonts w:hint="default" w:ascii="Times New Roman" w:hAnsi="Times New Roman" w:cs="Times New Roman"/>
                <w:sz w:val="21"/>
                <w:szCs w:val="21"/>
                <w:u w:val="none" w:color="auto"/>
              </w:rPr>
              <w:t>强管理</w:t>
            </w:r>
          </w:p>
        </w:tc>
        <w:tc>
          <w:tcPr>
            <w:tcW w:w="3494" w:type="dxa"/>
            <w:vAlign w:val="center"/>
          </w:tcPr>
          <w:p w14:paraId="184DA775">
            <w:pPr>
              <w:adjustRightInd w:val="0"/>
              <w:snapToGrid w:val="0"/>
              <w:jc w:val="center"/>
              <w:rPr>
                <w:rFonts w:hint="default" w:eastAsia="宋体"/>
                <w:color w:val="000000" w:themeColor="text1"/>
                <w:sz w:val="21"/>
                <w:szCs w:val="21"/>
                <w:u w:val="none" w:color="auto"/>
                <w:lang w:val="en-US" w:eastAsia="zh-CN"/>
                <w14:textFill>
                  <w14:solidFill>
                    <w14:schemeClr w14:val="tx1"/>
                  </w14:solidFill>
                </w14:textFill>
              </w:rPr>
            </w:pPr>
            <w:r>
              <w:rPr>
                <w:color w:val="000000" w:themeColor="text1"/>
                <w:sz w:val="21"/>
                <w:szCs w:val="21"/>
                <w:u w:val="none" w:color="auto"/>
                <w14:textFill>
                  <w14:solidFill>
                    <w14:schemeClr w14:val="tx1"/>
                  </w14:solidFill>
                </w14:textFill>
              </w:rPr>
              <w:t>《工业企业厂界环境噪声排放标准》（GB12348-2008）</w:t>
            </w:r>
            <w:r>
              <w:rPr>
                <w:rFonts w:hint="eastAsia"/>
                <w:color w:val="000000" w:themeColor="text1"/>
                <w:sz w:val="21"/>
                <w:szCs w:val="21"/>
                <w:u w:val="none" w:color="auto"/>
                <w:lang w:val="en-US" w:eastAsia="zh-CN"/>
                <w14:textFill>
                  <w14:solidFill>
                    <w14:schemeClr w14:val="tx1"/>
                  </w14:solidFill>
                </w14:textFill>
              </w:rPr>
              <w:t>3类标准</w:t>
            </w:r>
          </w:p>
        </w:tc>
      </w:tr>
      <w:tr w14:paraId="5EAE00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4" w:type="dxa"/>
            <w:vAlign w:val="center"/>
          </w:tcPr>
          <w:p w14:paraId="2F275A59">
            <w:pPr>
              <w:adjustRightInd w:val="0"/>
              <w:snapToGrid w:val="0"/>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电磁辐射</w:t>
            </w:r>
          </w:p>
        </w:tc>
        <w:tc>
          <w:tcPr>
            <w:tcW w:w="1427" w:type="dxa"/>
            <w:vAlign w:val="center"/>
          </w:tcPr>
          <w:p w14:paraId="4D1F4317">
            <w:pPr>
              <w:adjustRightInd w:val="0"/>
              <w:snapToGrid w:val="0"/>
              <w:jc w:val="center"/>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w:t>
            </w:r>
          </w:p>
        </w:tc>
        <w:tc>
          <w:tcPr>
            <w:tcW w:w="1187" w:type="dxa"/>
            <w:vAlign w:val="center"/>
          </w:tcPr>
          <w:p w14:paraId="6D533575">
            <w:pPr>
              <w:adjustRightInd w:val="0"/>
              <w:snapToGrid w:val="0"/>
              <w:jc w:val="center"/>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w:t>
            </w:r>
          </w:p>
        </w:tc>
        <w:tc>
          <w:tcPr>
            <w:tcW w:w="1635" w:type="dxa"/>
            <w:vAlign w:val="center"/>
          </w:tcPr>
          <w:p w14:paraId="79379700">
            <w:pPr>
              <w:adjustRightInd w:val="0"/>
              <w:snapToGrid w:val="0"/>
              <w:jc w:val="center"/>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w:t>
            </w:r>
          </w:p>
        </w:tc>
        <w:tc>
          <w:tcPr>
            <w:tcW w:w="3494" w:type="dxa"/>
            <w:vAlign w:val="center"/>
          </w:tcPr>
          <w:p w14:paraId="061965E4">
            <w:pPr>
              <w:adjustRightInd w:val="0"/>
              <w:snapToGrid w:val="0"/>
              <w:jc w:val="center"/>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w:t>
            </w:r>
          </w:p>
        </w:tc>
      </w:tr>
      <w:tr w14:paraId="44FCBC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1334" w:type="dxa"/>
            <w:vMerge w:val="restart"/>
            <w:vAlign w:val="center"/>
          </w:tcPr>
          <w:p w14:paraId="06CE26EC">
            <w:pPr>
              <w:adjustRightInd w:val="0"/>
              <w:snapToGrid w:val="0"/>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固体废物</w:t>
            </w:r>
          </w:p>
        </w:tc>
        <w:tc>
          <w:tcPr>
            <w:tcW w:w="2614" w:type="dxa"/>
            <w:gridSpan w:val="2"/>
            <w:vMerge w:val="restart"/>
            <w:vAlign w:val="center"/>
          </w:tcPr>
          <w:p w14:paraId="2D1F8B87">
            <w:pPr>
              <w:pStyle w:val="41"/>
              <w:bidi w:val="0"/>
              <w:rPr>
                <w:rFonts w:hint="default"/>
                <w:u w:val="none" w:color="auto"/>
                <w:lang w:val="en-US" w:eastAsia="zh-CN"/>
              </w:rPr>
            </w:pPr>
            <w:r>
              <w:rPr>
                <w:rFonts w:hint="eastAsia"/>
                <w:u w:val="none" w:color="auto"/>
                <w:lang w:val="en-US" w:eastAsia="zh-CN"/>
              </w:rPr>
              <w:t>一般工业固体废物</w:t>
            </w:r>
          </w:p>
        </w:tc>
        <w:tc>
          <w:tcPr>
            <w:tcW w:w="1635" w:type="dxa"/>
            <w:vAlign w:val="center"/>
          </w:tcPr>
          <w:p w14:paraId="59FDFFEC">
            <w:pPr>
              <w:jc w:val="center"/>
              <w:rPr>
                <w:rFonts w:hint="default"/>
                <w:lang w:val="en-US" w:eastAsia="zh-CN"/>
              </w:rPr>
            </w:pPr>
            <w:r>
              <w:rPr>
                <w:rFonts w:hint="eastAsia" w:cs="Times New Roman"/>
                <w:sz w:val="21"/>
                <w:szCs w:val="21"/>
                <w:u w:val="none" w:color="auto"/>
                <w:lang w:val="en-US" w:eastAsia="zh-CN"/>
              </w:rPr>
              <w:t>废铜线边角料</w:t>
            </w:r>
          </w:p>
        </w:tc>
        <w:tc>
          <w:tcPr>
            <w:tcW w:w="3494" w:type="dxa"/>
            <w:vMerge w:val="restart"/>
            <w:vAlign w:val="center"/>
          </w:tcPr>
          <w:p w14:paraId="5FEE2E8D">
            <w:pPr>
              <w:pStyle w:val="41"/>
              <w:bidi w:val="0"/>
              <w:rPr>
                <w:rFonts w:hint="eastAsia" w:ascii="Times New Roman" w:hAnsi="Times New Roman" w:eastAsia="宋体" w:cs="Times New Roman"/>
                <w:color w:val="000000" w:themeColor="text1"/>
                <w:kern w:val="0"/>
                <w:sz w:val="21"/>
                <w:szCs w:val="18"/>
                <w:u w:val="none" w:color="auto"/>
                <w:lang w:val="en-US" w:eastAsia="zh-CN" w:bidi="ar-SA"/>
                <w14:textFill>
                  <w14:solidFill>
                    <w14:schemeClr w14:val="tx1"/>
                  </w14:solidFill>
                </w14:textFill>
              </w:rPr>
            </w:pPr>
            <w:r>
              <w:rPr>
                <w:rFonts w:hint="default" w:ascii="Times New Roman" w:hAnsi="Times New Roman" w:eastAsia="宋体" w:cs="Times New Roman"/>
                <w:sz w:val="21"/>
                <w:szCs w:val="21"/>
                <w:u w:val="none" w:color="auto"/>
                <w:lang w:val="en-US" w:eastAsia="zh-CN"/>
              </w:rPr>
              <w:t>定期外售废品回收公司</w:t>
            </w:r>
          </w:p>
        </w:tc>
      </w:tr>
      <w:tr w14:paraId="45E574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4" w:type="dxa"/>
            <w:vMerge w:val="continue"/>
            <w:vAlign w:val="center"/>
          </w:tcPr>
          <w:p w14:paraId="75C0419C">
            <w:pPr>
              <w:adjustRightInd w:val="0"/>
              <w:snapToGrid w:val="0"/>
              <w:jc w:val="center"/>
              <w:rPr>
                <w:color w:val="000000" w:themeColor="text1"/>
                <w:sz w:val="21"/>
                <w:szCs w:val="21"/>
                <w:u w:val="none" w:color="auto"/>
                <w14:textFill>
                  <w14:solidFill>
                    <w14:schemeClr w14:val="tx1"/>
                  </w14:solidFill>
                </w14:textFill>
              </w:rPr>
            </w:pPr>
          </w:p>
        </w:tc>
        <w:tc>
          <w:tcPr>
            <w:tcW w:w="2614" w:type="dxa"/>
            <w:gridSpan w:val="2"/>
            <w:vMerge w:val="continue"/>
            <w:vAlign w:val="center"/>
          </w:tcPr>
          <w:p w14:paraId="1FDB9311">
            <w:pPr>
              <w:pStyle w:val="41"/>
              <w:bidi w:val="0"/>
              <w:rPr>
                <w:rFonts w:hint="eastAsia"/>
                <w:u w:val="none" w:color="auto"/>
                <w:lang w:val="en-US" w:eastAsia="zh-CN"/>
              </w:rPr>
            </w:pPr>
          </w:p>
        </w:tc>
        <w:tc>
          <w:tcPr>
            <w:tcW w:w="1635" w:type="dxa"/>
            <w:vAlign w:val="center"/>
          </w:tcPr>
          <w:p w14:paraId="7EE50D98">
            <w:pPr>
              <w:jc w:val="center"/>
              <w:rPr>
                <w:rFonts w:hint="eastAsia"/>
                <w:lang w:val="en-US" w:eastAsia="zh-CN"/>
              </w:rPr>
            </w:pPr>
            <w:r>
              <w:rPr>
                <w:rFonts w:hint="eastAsia" w:ascii="Times New Roman" w:hAnsi="Times New Roman" w:eastAsia="宋体" w:cs="Times New Roman"/>
                <w:sz w:val="21"/>
                <w:szCs w:val="21"/>
                <w:u w:val="none" w:color="auto"/>
                <w:lang w:val="en-US" w:eastAsia="zh-CN"/>
              </w:rPr>
              <w:t>不合格品</w:t>
            </w:r>
          </w:p>
        </w:tc>
        <w:tc>
          <w:tcPr>
            <w:tcW w:w="3494" w:type="dxa"/>
            <w:vMerge w:val="continue"/>
            <w:vAlign w:val="center"/>
          </w:tcPr>
          <w:p w14:paraId="082A8EE5">
            <w:pPr>
              <w:pStyle w:val="41"/>
              <w:bidi w:val="0"/>
              <w:rPr>
                <w:rFonts w:hint="eastAsia"/>
              </w:rPr>
            </w:pPr>
          </w:p>
        </w:tc>
      </w:tr>
      <w:tr w14:paraId="20EEC2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4" w:type="dxa"/>
            <w:vMerge w:val="continue"/>
            <w:vAlign w:val="center"/>
          </w:tcPr>
          <w:p w14:paraId="23940B92">
            <w:pPr>
              <w:adjustRightInd w:val="0"/>
              <w:snapToGrid w:val="0"/>
              <w:jc w:val="center"/>
              <w:rPr>
                <w:color w:val="000000" w:themeColor="text1"/>
                <w:sz w:val="21"/>
                <w:szCs w:val="21"/>
                <w:u w:val="none" w:color="auto"/>
                <w14:textFill>
                  <w14:solidFill>
                    <w14:schemeClr w14:val="tx1"/>
                  </w14:solidFill>
                </w14:textFill>
              </w:rPr>
            </w:pPr>
          </w:p>
        </w:tc>
        <w:tc>
          <w:tcPr>
            <w:tcW w:w="2614" w:type="dxa"/>
            <w:gridSpan w:val="2"/>
            <w:vMerge w:val="continue"/>
            <w:vAlign w:val="center"/>
          </w:tcPr>
          <w:p w14:paraId="4FB88AAE">
            <w:pPr>
              <w:pStyle w:val="41"/>
              <w:bidi w:val="0"/>
              <w:rPr>
                <w:rFonts w:hint="eastAsia"/>
                <w:u w:val="none" w:color="auto"/>
                <w:lang w:val="en-US" w:eastAsia="zh-CN"/>
              </w:rPr>
            </w:pPr>
          </w:p>
        </w:tc>
        <w:tc>
          <w:tcPr>
            <w:tcW w:w="1635" w:type="dxa"/>
            <w:vAlign w:val="center"/>
          </w:tcPr>
          <w:p w14:paraId="6A454F02">
            <w:pPr>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锡渣</w:t>
            </w:r>
          </w:p>
        </w:tc>
        <w:tc>
          <w:tcPr>
            <w:tcW w:w="3494" w:type="dxa"/>
            <w:vAlign w:val="center"/>
          </w:tcPr>
          <w:p w14:paraId="49A74B17">
            <w:pPr>
              <w:pStyle w:val="41"/>
              <w:bidi w:val="0"/>
              <w:rPr>
                <w:rFonts w:hint="default" w:eastAsia="宋体"/>
                <w:lang w:val="en-US" w:eastAsia="zh-CN"/>
              </w:rPr>
            </w:pPr>
            <w:r>
              <w:rPr>
                <w:rFonts w:hint="eastAsia"/>
                <w:lang w:val="en-US" w:eastAsia="zh-CN"/>
              </w:rPr>
              <w:t>交由厂家回收利用</w:t>
            </w:r>
          </w:p>
        </w:tc>
      </w:tr>
      <w:tr w14:paraId="4A936A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34" w:type="dxa"/>
            <w:vMerge w:val="continue"/>
            <w:vAlign w:val="center"/>
          </w:tcPr>
          <w:p w14:paraId="1589D648">
            <w:pPr>
              <w:adjustRightInd w:val="0"/>
              <w:snapToGrid w:val="0"/>
              <w:jc w:val="center"/>
              <w:rPr>
                <w:color w:val="000000" w:themeColor="text1"/>
                <w:sz w:val="21"/>
                <w:szCs w:val="21"/>
                <w:u w:val="none" w:color="auto"/>
                <w14:textFill>
                  <w14:solidFill>
                    <w14:schemeClr w14:val="tx1"/>
                  </w14:solidFill>
                </w14:textFill>
              </w:rPr>
            </w:pPr>
          </w:p>
        </w:tc>
        <w:tc>
          <w:tcPr>
            <w:tcW w:w="2614" w:type="dxa"/>
            <w:gridSpan w:val="2"/>
            <w:vMerge w:val="restart"/>
            <w:vAlign w:val="center"/>
          </w:tcPr>
          <w:p w14:paraId="690B4E7C">
            <w:pPr>
              <w:pStyle w:val="41"/>
              <w:bidi w:val="0"/>
              <w:rPr>
                <w:rFonts w:hint="default"/>
                <w:u w:val="none" w:color="auto"/>
                <w:lang w:val="en-US" w:eastAsia="zh-CN"/>
              </w:rPr>
            </w:pPr>
            <w:r>
              <w:rPr>
                <w:rFonts w:hint="eastAsia"/>
                <w:u w:val="none" w:color="auto"/>
                <w:lang w:val="en-US" w:eastAsia="zh-CN"/>
              </w:rPr>
              <w:t>危险废物</w:t>
            </w:r>
          </w:p>
        </w:tc>
        <w:tc>
          <w:tcPr>
            <w:tcW w:w="1635" w:type="dxa"/>
            <w:vAlign w:val="center"/>
          </w:tcPr>
          <w:p w14:paraId="0C6DA543">
            <w:pPr>
              <w:jc w:val="center"/>
              <w:rPr>
                <w:rFonts w:hint="default" w:cs="Times New Roman"/>
                <w:sz w:val="21"/>
                <w:szCs w:val="21"/>
                <w:u w:val="none" w:color="auto"/>
                <w:lang w:val="en-US" w:eastAsia="zh-CN"/>
              </w:rPr>
            </w:pPr>
            <w:r>
              <w:rPr>
                <w:rFonts w:hint="eastAsia" w:cs="Times New Roman"/>
                <w:sz w:val="21"/>
                <w:szCs w:val="21"/>
                <w:u w:val="none" w:color="auto"/>
                <w:lang w:val="en-US" w:eastAsia="zh-CN"/>
              </w:rPr>
              <w:t>废原料桶</w:t>
            </w:r>
          </w:p>
        </w:tc>
        <w:tc>
          <w:tcPr>
            <w:tcW w:w="3494" w:type="dxa"/>
            <w:vMerge w:val="restart"/>
            <w:vAlign w:val="center"/>
          </w:tcPr>
          <w:p w14:paraId="3CB1A7EE">
            <w:pPr>
              <w:pStyle w:val="41"/>
              <w:bidi w:val="0"/>
              <w:rPr>
                <w:rFonts w:hint="eastAsia"/>
                <w:lang w:val="en-US" w:eastAsia="zh-CN"/>
              </w:rPr>
            </w:pPr>
            <w:r>
              <w:rPr>
                <w:rFonts w:hint="eastAsia"/>
                <w:lang w:val="en-US" w:eastAsia="zh-CN"/>
              </w:rPr>
              <w:t>分类暂存于危废暂存间（（5m</w:t>
            </w:r>
            <w:r>
              <w:rPr>
                <w:rFonts w:hint="eastAsia"/>
                <w:vertAlign w:val="superscript"/>
                <w:lang w:val="en-US" w:eastAsia="zh-CN"/>
              </w:rPr>
              <w:t>2</w:t>
            </w:r>
            <w:r>
              <w:rPr>
                <w:rFonts w:hint="eastAsia"/>
                <w:lang w:val="en-US" w:eastAsia="zh-CN"/>
              </w:rPr>
              <w:t>））委托有资质单位处置</w:t>
            </w:r>
          </w:p>
        </w:tc>
      </w:tr>
      <w:tr w14:paraId="7CC5C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34" w:type="dxa"/>
            <w:vMerge w:val="continue"/>
            <w:vAlign w:val="center"/>
          </w:tcPr>
          <w:p w14:paraId="3349BA7B">
            <w:pPr>
              <w:adjustRightInd w:val="0"/>
              <w:snapToGrid w:val="0"/>
              <w:jc w:val="center"/>
              <w:rPr>
                <w:color w:val="000000" w:themeColor="text1"/>
                <w:sz w:val="21"/>
                <w:szCs w:val="21"/>
                <w:u w:val="none" w:color="auto"/>
                <w14:textFill>
                  <w14:solidFill>
                    <w14:schemeClr w14:val="tx1"/>
                  </w14:solidFill>
                </w14:textFill>
              </w:rPr>
            </w:pPr>
          </w:p>
        </w:tc>
        <w:tc>
          <w:tcPr>
            <w:tcW w:w="2614" w:type="dxa"/>
            <w:gridSpan w:val="2"/>
            <w:vMerge w:val="continue"/>
            <w:vAlign w:val="center"/>
          </w:tcPr>
          <w:p w14:paraId="54BF7DE4">
            <w:pPr>
              <w:pStyle w:val="41"/>
              <w:bidi w:val="0"/>
              <w:rPr>
                <w:rFonts w:hint="eastAsia"/>
                <w:u w:val="none" w:color="auto"/>
                <w:lang w:val="en-US" w:eastAsia="zh-CN"/>
              </w:rPr>
            </w:pPr>
          </w:p>
        </w:tc>
        <w:tc>
          <w:tcPr>
            <w:tcW w:w="1635" w:type="dxa"/>
            <w:vAlign w:val="center"/>
          </w:tcPr>
          <w:p w14:paraId="5D8C9898">
            <w:pPr>
              <w:jc w:val="center"/>
              <w:rPr>
                <w:rFonts w:hint="eastAsia" w:cs="Times New Roman"/>
                <w:sz w:val="21"/>
                <w:szCs w:val="21"/>
                <w:u w:val="none" w:color="auto"/>
                <w:lang w:val="en-US" w:eastAsia="zh-CN"/>
              </w:rPr>
            </w:pPr>
            <w:r>
              <w:rPr>
                <w:rFonts w:hint="eastAsia" w:cs="Times New Roman"/>
                <w:sz w:val="21"/>
                <w:szCs w:val="21"/>
                <w:u w:val="none" w:color="auto"/>
                <w:lang w:val="en-US" w:eastAsia="zh-CN"/>
              </w:rPr>
              <w:t>废过滤棉</w:t>
            </w:r>
          </w:p>
        </w:tc>
        <w:tc>
          <w:tcPr>
            <w:tcW w:w="3494" w:type="dxa"/>
            <w:vMerge w:val="continue"/>
            <w:vAlign w:val="center"/>
          </w:tcPr>
          <w:p w14:paraId="210661F8">
            <w:pPr>
              <w:pStyle w:val="41"/>
              <w:bidi w:val="0"/>
              <w:rPr>
                <w:rFonts w:hint="eastAsia"/>
                <w:lang w:val="en-US" w:eastAsia="zh-CN"/>
              </w:rPr>
            </w:pPr>
          </w:p>
        </w:tc>
      </w:tr>
      <w:tr w14:paraId="68F649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34" w:type="dxa"/>
            <w:vMerge w:val="continue"/>
            <w:vAlign w:val="center"/>
          </w:tcPr>
          <w:p w14:paraId="321B0CE3">
            <w:pPr>
              <w:adjustRightInd w:val="0"/>
              <w:snapToGrid w:val="0"/>
              <w:jc w:val="center"/>
              <w:rPr>
                <w:color w:val="000000" w:themeColor="text1"/>
                <w:sz w:val="21"/>
                <w:szCs w:val="21"/>
                <w:u w:val="none" w:color="auto"/>
                <w14:textFill>
                  <w14:solidFill>
                    <w14:schemeClr w14:val="tx1"/>
                  </w14:solidFill>
                </w14:textFill>
              </w:rPr>
            </w:pPr>
          </w:p>
        </w:tc>
        <w:tc>
          <w:tcPr>
            <w:tcW w:w="2614" w:type="dxa"/>
            <w:gridSpan w:val="2"/>
            <w:vMerge w:val="continue"/>
            <w:vAlign w:val="center"/>
          </w:tcPr>
          <w:p w14:paraId="22E00F0F">
            <w:pPr>
              <w:pStyle w:val="41"/>
              <w:bidi w:val="0"/>
              <w:rPr>
                <w:rFonts w:hint="eastAsia"/>
                <w:u w:val="none" w:color="auto"/>
                <w:lang w:val="en-US" w:eastAsia="zh-CN"/>
              </w:rPr>
            </w:pPr>
          </w:p>
        </w:tc>
        <w:tc>
          <w:tcPr>
            <w:tcW w:w="1635" w:type="dxa"/>
            <w:vAlign w:val="center"/>
          </w:tcPr>
          <w:p w14:paraId="5F59BD58">
            <w:pPr>
              <w:jc w:val="center"/>
              <w:rPr>
                <w:rFonts w:hint="eastAsia" w:cs="Times New Roman"/>
                <w:sz w:val="21"/>
                <w:szCs w:val="21"/>
                <w:u w:val="none" w:color="auto"/>
                <w:lang w:val="en-US" w:eastAsia="zh-CN"/>
              </w:rPr>
            </w:pPr>
            <w:r>
              <w:rPr>
                <w:rFonts w:hint="eastAsia" w:cs="Times New Roman"/>
                <w:sz w:val="21"/>
                <w:szCs w:val="21"/>
                <w:u w:val="none" w:color="auto"/>
                <w:lang w:val="en-US" w:eastAsia="zh-CN"/>
              </w:rPr>
              <w:t>废润滑油</w:t>
            </w:r>
          </w:p>
        </w:tc>
        <w:tc>
          <w:tcPr>
            <w:tcW w:w="3494" w:type="dxa"/>
            <w:vMerge w:val="continue"/>
            <w:vAlign w:val="center"/>
          </w:tcPr>
          <w:p w14:paraId="198BE8AF">
            <w:pPr>
              <w:pStyle w:val="41"/>
              <w:bidi w:val="0"/>
              <w:rPr>
                <w:rFonts w:hint="eastAsia"/>
                <w:lang w:val="en-US" w:eastAsia="zh-CN"/>
              </w:rPr>
            </w:pPr>
          </w:p>
        </w:tc>
      </w:tr>
      <w:tr w14:paraId="179AEE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34" w:type="dxa"/>
            <w:vMerge w:val="continue"/>
            <w:vAlign w:val="center"/>
          </w:tcPr>
          <w:p w14:paraId="68771AB6">
            <w:pPr>
              <w:adjustRightInd w:val="0"/>
              <w:snapToGrid w:val="0"/>
              <w:jc w:val="center"/>
              <w:rPr>
                <w:color w:val="000000" w:themeColor="text1"/>
                <w:sz w:val="21"/>
                <w:szCs w:val="21"/>
                <w:u w:val="none" w:color="auto"/>
                <w14:textFill>
                  <w14:solidFill>
                    <w14:schemeClr w14:val="tx1"/>
                  </w14:solidFill>
                </w14:textFill>
              </w:rPr>
            </w:pPr>
          </w:p>
        </w:tc>
        <w:tc>
          <w:tcPr>
            <w:tcW w:w="2614" w:type="dxa"/>
            <w:gridSpan w:val="2"/>
            <w:vMerge w:val="continue"/>
            <w:vAlign w:val="center"/>
          </w:tcPr>
          <w:p w14:paraId="5595C191">
            <w:pPr>
              <w:pStyle w:val="41"/>
              <w:bidi w:val="0"/>
              <w:rPr>
                <w:rFonts w:hint="eastAsia"/>
                <w:u w:val="none" w:color="auto"/>
                <w:lang w:val="en-US" w:eastAsia="zh-CN"/>
              </w:rPr>
            </w:pPr>
          </w:p>
        </w:tc>
        <w:tc>
          <w:tcPr>
            <w:tcW w:w="1635" w:type="dxa"/>
            <w:vAlign w:val="center"/>
          </w:tcPr>
          <w:p w14:paraId="19D888DD">
            <w:pPr>
              <w:jc w:val="center"/>
              <w:rPr>
                <w:rFonts w:hint="eastAsia" w:cs="Times New Roman"/>
                <w:sz w:val="21"/>
                <w:szCs w:val="21"/>
                <w:u w:val="none" w:color="auto"/>
                <w:lang w:val="en-US" w:eastAsia="zh-CN"/>
              </w:rPr>
            </w:pPr>
            <w:r>
              <w:rPr>
                <w:rFonts w:hint="eastAsia" w:cs="Times New Roman"/>
                <w:sz w:val="21"/>
                <w:szCs w:val="21"/>
                <w:u w:val="none" w:color="auto"/>
                <w:lang w:val="en-US" w:eastAsia="zh-CN"/>
              </w:rPr>
              <w:t>废润滑油桶</w:t>
            </w:r>
          </w:p>
        </w:tc>
        <w:tc>
          <w:tcPr>
            <w:tcW w:w="3494" w:type="dxa"/>
            <w:vMerge w:val="continue"/>
            <w:vAlign w:val="center"/>
          </w:tcPr>
          <w:p w14:paraId="2F120F71">
            <w:pPr>
              <w:pStyle w:val="41"/>
              <w:bidi w:val="0"/>
              <w:rPr>
                <w:rFonts w:hint="eastAsia"/>
                <w:lang w:val="en-US" w:eastAsia="zh-CN"/>
              </w:rPr>
            </w:pPr>
          </w:p>
        </w:tc>
      </w:tr>
      <w:tr w14:paraId="0E80F6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34" w:type="dxa"/>
            <w:vMerge w:val="continue"/>
            <w:vAlign w:val="center"/>
          </w:tcPr>
          <w:p w14:paraId="37092C76">
            <w:pPr>
              <w:adjustRightInd w:val="0"/>
              <w:snapToGrid w:val="0"/>
              <w:jc w:val="center"/>
              <w:rPr>
                <w:color w:val="000000" w:themeColor="text1"/>
                <w:sz w:val="21"/>
                <w:szCs w:val="21"/>
                <w:u w:val="none" w:color="auto"/>
                <w14:textFill>
                  <w14:solidFill>
                    <w14:schemeClr w14:val="tx1"/>
                  </w14:solidFill>
                </w14:textFill>
              </w:rPr>
            </w:pPr>
          </w:p>
        </w:tc>
        <w:tc>
          <w:tcPr>
            <w:tcW w:w="2614" w:type="dxa"/>
            <w:gridSpan w:val="2"/>
            <w:vMerge w:val="continue"/>
            <w:vAlign w:val="center"/>
          </w:tcPr>
          <w:p w14:paraId="78DCB102">
            <w:pPr>
              <w:pStyle w:val="41"/>
              <w:bidi w:val="0"/>
              <w:rPr>
                <w:rFonts w:hint="eastAsia"/>
                <w:u w:val="none" w:color="auto"/>
                <w:lang w:val="en-US" w:eastAsia="zh-CN"/>
              </w:rPr>
            </w:pPr>
          </w:p>
        </w:tc>
        <w:tc>
          <w:tcPr>
            <w:tcW w:w="1635" w:type="dxa"/>
            <w:vAlign w:val="center"/>
          </w:tcPr>
          <w:p w14:paraId="753AB67E">
            <w:pPr>
              <w:jc w:val="center"/>
              <w:rPr>
                <w:rFonts w:hint="eastAsia" w:cs="Times New Roman"/>
                <w:sz w:val="21"/>
                <w:szCs w:val="21"/>
                <w:u w:val="none" w:color="auto"/>
                <w:lang w:val="en-US" w:eastAsia="zh-CN"/>
              </w:rPr>
            </w:pPr>
            <w:r>
              <w:rPr>
                <w:rFonts w:hint="eastAsia" w:cs="Times New Roman"/>
                <w:sz w:val="21"/>
                <w:szCs w:val="21"/>
                <w:u w:val="none" w:color="auto"/>
                <w:lang w:val="en-US" w:eastAsia="zh-CN"/>
              </w:rPr>
              <w:t>废含油抹布和手套</w:t>
            </w:r>
          </w:p>
        </w:tc>
        <w:tc>
          <w:tcPr>
            <w:tcW w:w="3494" w:type="dxa"/>
            <w:vMerge w:val="continue"/>
            <w:vAlign w:val="center"/>
          </w:tcPr>
          <w:p w14:paraId="4A4D1D97">
            <w:pPr>
              <w:pStyle w:val="41"/>
              <w:bidi w:val="0"/>
              <w:rPr>
                <w:rFonts w:hint="eastAsia"/>
                <w:lang w:val="en-US" w:eastAsia="zh-CN"/>
              </w:rPr>
            </w:pPr>
          </w:p>
        </w:tc>
      </w:tr>
      <w:tr w14:paraId="6A5F89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4" w:type="dxa"/>
            <w:vMerge w:val="continue"/>
            <w:vAlign w:val="center"/>
          </w:tcPr>
          <w:p w14:paraId="745C83D9">
            <w:pPr>
              <w:adjustRightInd w:val="0"/>
              <w:snapToGrid w:val="0"/>
              <w:jc w:val="center"/>
              <w:rPr>
                <w:color w:val="000000" w:themeColor="text1"/>
                <w:sz w:val="21"/>
                <w:szCs w:val="21"/>
                <w:u w:val="none" w:color="auto"/>
                <w14:textFill>
                  <w14:solidFill>
                    <w14:schemeClr w14:val="tx1"/>
                  </w14:solidFill>
                </w14:textFill>
              </w:rPr>
            </w:pPr>
          </w:p>
        </w:tc>
        <w:tc>
          <w:tcPr>
            <w:tcW w:w="2614" w:type="dxa"/>
            <w:gridSpan w:val="2"/>
            <w:vMerge w:val="continue"/>
            <w:vAlign w:val="center"/>
          </w:tcPr>
          <w:p w14:paraId="58772367">
            <w:pPr>
              <w:pStyle w:val="41"/>
              <w:bidi w:val="0"/>
              <w:rPr>
                <w:rFonts w:hint="eastAsia"/>
                <w:u w:val="none" w:color="auto"/>
                <w:lang w:val="en-US" w:eastAsia="zh-CN"/>
              </w:rPr>
            </w:pPr>
          </w:p>
        </w:tc>
        <w:tc>
          <w:tcPr>
            <w:tcW w:w="1635" w:type="dxa"/>
            <w:vAlign w:val="center"/>
          </w:tcPr>
          <w:p w14:paraId="4FE7CA96">
            <w:pPr>
              <w:jc w:val="center"/>
              <w:rPr>
                <w:rFonts w:hint="default" w:cs="Times New Roman"/>
                <w:sz w:val="21"/>
                <w:szCs w:val="21"/>
                <w:u w:val="none" w:color="auto"/>
                <w:lang w:val="en-US" w:eastAsia="zh-CN"/>
              </w:rPr>
            </w:pPr>
            <w:r>
              <w:rPr>
                <w:rFonts w:hint="eastAsia" w:cs="Times New Roman"/>
                <w:sz w:val="21"/>
                <w:szCs w:val="21"/>
                <w:u w:val="none" w:color="auto"/>
                <w:lang w:val="en-US" w:eastAsia="zh-CN"/>
              </w:rPr>
              <w:t>废活性炭</w:t>
            </w:r>
          </w:p>
        </w:tc>
        <w:tc>
          <w:tcPr>
            <w:tcW w:w="3494" w:type="dxa"/>
            <w:vMerge w:val="continue"/>
            <w:vAlign w:val="center"/>
          </w:tcPr>
          <w:p w14:paraId="2C1AB938">
            <w:pPr>
              <w:pStyle w:val="41"/>
              <w:bidi w:val="0"/>
              <w:rPr>
                <w:rFonts w:hint="eastAsia"/>
                <w:lang w:val="en-US" w:eastAsia="zh-CN"/>
              </w:rPr>
            </w:pPr>
          </w:p>
        </w:tc>
      </w:tr>
      <w:tr w14:paraId="39E5E6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4" w:type="dxa"/>
            <w:vMerge w:val="continue"/>
            <w:vAlign w:val="center"/>
          </w:tcPr>
          <w:p w14:paraId="2DBA220D">
            <w:pPr>
              <w:adjustRightInd w:val="0"/>
              <w:snapToGrid w:val="0"/>
              <w:jc w:val="center"/>
              <w:rPr>
                <w:color w:val="000000" w:themeColor="text1"/>
                <w:sz w:val="21"/>
                <w:szCs w:val="21"/>
                <w:u w:val="none" w:color="auto"/>
                <w14:textFill>
                  <w14:solidFill>
                    <w14:schemeClr w14:val="tx1"/>
                  </w14:solidFill>
                </w14:textFill>
              </w:rPr>
            </w:pPr>
          </w:p>
        </w:tc>
        <w:tc>
          <w:tcPr>
            <w:tcW w:w="2614" w:type="dxa"/>
            <w:gridSpan w:val="2"/>
            <w:vAlign w:val="center"/>
          </w:tcPr>
          <w:p w14:paraId="6FD10301">
            <w:pPr>
              <w:pStyle w:val="41"/>
              <w:bidi w:val="0"/>
              <w:rPr>
                <w:rFonts w:hint="default"/>
                <w:u w:val="none" w:color="auto"/>
                <w:lang w:val="en-US" w:eastAsia="zh-CN"/>
              </w:rPr>
            </w:pPr>
            <w:r>
              <w:rPr>
                <w:rFonts w:hint="eastAsia"/>
                <w:u w:val="none" w:color="auto"/>
                <w:lang w:val="en-US" w:eastAsia="zh-CN"/>
              </w:rPr>
              <w:t>生活固废</w:t>
            </w:r>
          </w:p>
        </w:tc>
        <w:tc>
          <w:tcPr>
            <w:tcW w:w="1635" w:type="dxa"/>
            <w:vAlign w:val="center"/>
          </w:tcPr>
          <w:p w14:paraId="15DA808B">
            <w:pPr>
              <w:pStyle w:val="41"/>
              <w:bidi w:val="0"/>
              <w:rPr>
                <w:rFonts w:hint="default"/>
                <w:u w:val="none" w:color="auto"/>
                <w:lang w:val="en-US" w:eastAsia="zh-CN"/>
              </w:rPr>
            </w:pPr>
            <w:r>
              <w:rPr>
                <w:rFonts w:hint="eastAsia"/>
                <w:u w:val="none" w:color="auto"/>
                <w:lang w:val="en-US" w:eastAsia="zh-CN"/>
              </w:rPr>
              <w:t>生活垃圾</w:t>
            </w:r>
          </w:p>
        </w:tc>
        <w:tc>
          <w:tcPr>
            <w:tcW w:w="3494" w:type="dxa"/>
            <w:vAlign w:val="center"/>
          </w:tcPr>
          <w:p w14:paraId="6306A8F9">
            <w:pPr>
              <w:pStyle w:val="41"/>
              <w:bidi w:val="0"/>
              <w:rPr>
                <w:rFonts w:hint="default"/>
                <w:u w:val="none" w:color="auto"/>
                <w:lang w:val="en-US" w:eastAsia="zh-CN"/>
              </w:rPr>
            </w:pPr>
            <w:r>
              <w:rPr>
                <w:rFonts w:hint="eastAsia"/>
                <w:u w:val="none" w:color="auto"/>
                <w:lang w:val="en-US" w:eastAsia="zh-CN"/>
              </w:rPr>
              <w:t>交由环卫部门处置</w:t>
            </w:r>
          </w:p>
        </w:tc>
      </w:tr>
      <w:tr w14:paraId="7F5C8F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334" w:type="dxa"/>
            <w:vAlign w:val="center"/>
          </w:tcPr>
          <w:p w14:paraId="71AD0C21">
            <w:pPr>
              <w:adjustRightInd w:val="0"/>
              <w:snapToGrid w:val="0"/>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土壤及地下水污染防治措施</w:t>
            </w:r>
          </w:p>
        </w:tc>
        <w:tc>
          <w:tcPr>
            <w:tcW w:w="7743" w:type="dxa"/>
            <w:gridSpan w:val="4"/>
            <w:vAlign w:val="center"/>
          </w:tcPr>
          <w:p w14:paraId="739CA04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本环评建议将</w:t>
            </w:r>
            <w:r>
              <w:rPr>
                <w:rFonts w:hint="eastAsia" w:cs="Times New Roman"/>
                <w:color w:val="000000" w:themeColor="text1"/>
                <w:sz w:val="21"/>
                <w:szCs w:val="21"/>
                <w:u w:val="none" w:color="auto"/>
                <w:lang w:val="en-US" w:eastAsia="zh-CN"/>
                <w14:textFill>
                  <w14:solidFill>
                    <w14:schemeClr w14:val="tx1"/>
                  </w14:solidFill>
                </w14:textFill>
              </w:rPr>
              <w:t>危废暂存间、危化品库、含浸烘干房</w:t>
            </w: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设为重点防渗区，将</w:t>
            </w:r>
            <w:r>
              <w:rPr>
                <w:rFonts w:hint="eastAsia"/>
                <w:sz w:val="21"/>
                <w:szCs w:val="21"/>
                <w:u w:val="none" w:color="auto"/>
                <w:lang w:val="en-US" w:eastAsia="zh-CN"/>
              </w:rPr>
              <w:t>生产车间</w:t>
            </w: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设为一般防渗区</w:t>
            </w:r>
            <w:r>
              <w:rPr>
                <w:rFonts w:hint="eastAsia" w:cs="Times New Roman"/>
                <w:color w:val="000000" w:themeColor="text1"/>
                <w:sz w:val="21"/>
                <w:szCs w:val="21"/>
                <w:u w:val="none" w:color="auto"/>
                <w:lang w:val="en-US" w:eastAsia="zh-CN"/>
                <w14:textFill>
                  <w14:solidFill>
                    <w14:schemeClr w14:val="tx1"/>
                  </w14:solidFill>
                </w14:textFill>
              </w:rPr>
              <w:t>，将</w:t>
            </w:r>
            <w:r>
              <w:rPr>
                <w:rFonts w:hint="eastAsia"/>
                <w:sz w:val="21"/>
                <w:szCs w:val="21"/>
                <w:u w:val="none" w:color="auto"/>
                <w:lang w:val="en-US" w:eastAsia="zh-CN"/>
              </w:rPr>
              <w:t>办公区设为非污染防渗区</w:t>
            </w: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w:t>
            </w:r>
          </w:p>
          <w:p w14:paraId="1A40A7CF">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重点防渗区防渗形式为：防渗层至少1m厚粘土层（渗透系数≤1×10</w:t>
            </w:r>
            <w:r>
              <w:rPr>
                <w:rFonts w:hint="eastAsia" w:ascii="Times New Roman" w:hAnsi="Times New Roman" w:eastAsia="宋体" w:cs="Times New Roman"/>
                <w:color w:val="000000" w:themeColor="text1"/>
                <w:sz w:val="21"/>
                <w:szCs w:val="21"/>
                <w:u w:val="none" w:color="auto"/>
                <w:vertAlign w:val="superscript"/>
                <w:lang w:val="en-US" w:eastAsia="zh-CN"/>
                <w14:textFill>
                  <w14:solidFill>
                    <w14:schemeClr w14:val="tx1"/>
                  </w14:solidFill>
                </w14:textFill>
              </w:rPr>
              <w:t>-10</w:t>
            </w: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cm/s），或2mm厚高密度聚乙烯，或至少2mm厚的其它人工材料，渗透系数≤1×10</w:t>
            </w:r>
            <w:r>
              <w:rPr>
                <w:rFonts w:hint="eastAsia" w:ascii="Times New Roman" w:hAnsi="Times New Roman" w:eastAsia="宋体" w:cs="Times New Roman"/>
                <w:color w:val="000000" w:themeColor="text1"/>
                <w:sz w:val="21"/>
                <w:szCs w:val="21"/>
                <w:u w:val="none" w:color="auto"/>
                <w:vertAlign w:val="superscript"/>
                <w:lang w:val="en-US" w:eastAsia="zh-CN"/>
                <w14:textFill>
                  <w14:solidFill>
                    <w14:schemeClr w14:val="tx1"/>
                  </w14:solidFill>
                </w14:textFill>
              </w:rPr>
              <w:t>-10</w:t>
            </w: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cm/s”，或参照GB18598执行；</w:t>
            </w:r>
          </w:p>
          <w:p w14:paraId="3476161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eastAsia"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一般防渗区防渗要求为：等效黏土防渗层Mb≥1.5m，K≤1×10</w:t>
            </w:r>
            <w:r>
              <w:rPr>
                <w:rFonts w:hint="eastAsia" w:ascii="Times New Roman" w:hAnsi="Times New Roman" w:eastAsia="宋体" w:cs="Times New Roman"/>
                <w:color w:val="000000" w:themeColor="text1"/>
                <w:sz w:val="21"/>
                <w:szCs w:val="21"/>
                <w:u w:val="none" w:color="auto"/>
                <w:vertAlign w:val="superscript"/>
                <w:lang w:val="en-US" w:eastAsia="zh-CN"/>
                <w14:textFill>
                  <w14:solidFill>
                    <w14:schemeClr w14:val="tx1"/>
                  </w14:solidFill>
                </w14:textFill>
              </w:rPr>
              <w:t>-7</w:t>
            </w: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cm/s；或参照GB16889执行</w:t>
            </w:r>
            <w:r>
              <w:rPr>
                <w:rFonts w:hint="eastAsia" w:cs="Times New Roman"/>
                <w:color w:val="000000" w:themeColor="text1"/>
                <w:sz w:val="21"/>
                <w:szCs w:val="21"/>
                <w:u w:val="none" w:color="auto"/>
                <w:lang w:val="en-US" w:eastAsia="zh-CN"/>
                <w14:textFill>
                  <w14:solidFill>
                    <w14:schemeClr w14:val="tx1"/>
                  </w14:solidFill>
                </w14:textFill>
              </w:rPr>
              <w:t>；</w:t>
            </w:r>
          </w:p>
          <w:p w14:paraId="76A1400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color w:val="000000" w:themeColor="text1"/>
                <w:sz w:val="21"/>
                <w:szCs w:val="21"/>
                <w:u w:val="none" w:color="auto"/>
                <w14:textFill>
                  <w14:solidFill>
                    <w14:schemeClr w14:val="tx1"/>
                  </w14:solidFill>
                </w14:textFill>
              </w:rPr>
            </w:pPr>
            <w:r>
              <w:rPr>
                <w:rFonts w:hint="eastAsia"/>
                <w:sz w:val="21"/>
                <w:szCs w:val="21"/>
                <w:u w:val="none" w:color="auto"/>
                <w:lang w:val="en-US" w:eastAsia="zh-CN"/>
              </w:rPr>
              <w:t>非污染防渗区要求为：地面硬化</w:t>
            </w: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w:t>
            </w:r>
          </w:p>
        </w:tc>
      </w:tr>
      <w:tr w14:paraId="6400F2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334" w:type="dxa"/>
            <w:vAlign w:val="center"/>
          </w:tcPr>
          <w:p w14:paraId="30BBFCE2">
            <w:pPr>
              <w:adjustRightInd w:val="0"/>
              <w:snapToGrid w:val="0"/>
              <w:jc w:val="center"/>
              <w:rPr>
                <w:color w:val="000000" w:themeColor="text1"/>
                <w:sz w:val="21"/>
                <w:szCs w:val="21"/>
                <w:u w:val="none" w:color="auto"/>
                <w14:textFill>
                  <w14:solidFill>
                    <w14:schemeClr w14:val="tx1"/>
                  </w14:solidFill>
                </w14:textFill>
              </w:rPr>
            </w:pPr>
            <w:r>
              <w:rPr>
                <w:color w:val="000000" w:themeColor="text1"/>
                <w:sz w:val="21"/>
                <w:szCs w:val="21"/>
                <w:u w:val="none" w:color="auto"/>
                <w14:textFill>
                  <w14:solidFill>
                    <w14:schemeClr w14:val="tx1"/>
                  </w14:solidFill>
                </w14:textFill>
              </w:rPr>
              <w:t>生态保护措施</w:t>
            </w:r>
          </w:p>
        </w:tc>
        <w:tc>
          <w:tcPr>
            <w:tcW w:w="7743" w:type="dxa"/>
            <w:gridSpan w:val="4"/>
            <w:vAlign w:val="center"/>
          </w:tcPr>
          <w:p w14:paraId="22E40C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eastAsia="宋体"/>
                <w:color w:val="000000" w:themeColor="text1"/>
                <w:sz w:val="21"/>
                <w:szCs w:val="21"/>
                <w:u w:val="none" w:color="auto"/>
                <w:lang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建议企业在厂区周边进行绿化</w:t>
            </w:r>
          </w:p>
        </w:tc>
      </w:tr>
      <w:tr w14:paraId="7164A2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1334" w:type="dxa"/>
            <w:vAlign w:val="center"/>
          </w:tcPr>
          <w:p w14:paraId="497A1933">
            <w:pPr>
              <w:adjustRightInd w:val="0"/>
              <w:snapToGrid w:val="0"/>
              <w:jc w:val="center"/>
              <w:rPr>
                <w:color w:val="000000" w:themeColor="text1"/>
                <w:spacing w:val="-8"/>
                <w:sz w:val="21"/>
                <w:szCs w:val="21"/>
                <w:u w:val="none" w:color="auto"/>
                <w14:textFill>
                  <w14:solidFill>
                    <w14:schemeClr w14:val="tx1"/>
                  </w14:solidFill>
                </w14:textFill>
              </w:rPr>
            </w:pPr>
            <w:r>
              <w:rPr>
                <w:color w:val="000000" w:themeColor="text1"/>
                <w:spacing w:val="-8"/>
                <w:sz w:val="21"/>
                <w:szCs w:val="21"/>
                <w:u w:val="none" w:color="auto"/>
                <w14:textFill>
                  <w14:solidFill>
                    <w14:schemeClr w14:val="tx1"/>
                  </w14:solidFill>
                </w14:textFill>
              </w:rPr>
              <w:t>环境风险防范措施</w:t>
            </w:r>
          </w:p>
        </w:tc>
        <w:tc>
          <w:tcPr>
            <w:tcW w:w="7743" w:type="dxa"/>
            <w:gridSpan w:val="4"/>
            <w:vAlign w:val="center"/>
          </w:tcPr>
          <w:p w14:paraId="792D06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jc w:val="left"/>
              <w:textAlignment w:val="auto"/>
              <w:rPr>
                <w:rFonts w:hint="default"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cs="Times New Roman"/>
                <w:b w:val="0"/>
                <w:bCs w:val="0"/>
                <w:color w:val="000000" w:themeColor="text1"/>
                <w:sz w:val="21"/>
                <w:szCs w:val="21"/>
                <w:u w:val="none" w:color="auto"/>
                <w:vertAlign w:val="baseline"/>
                <w:lang w:val="en-US" w:eastAsia="zh-CN"/>
                <w14:textFill>
                  <w14:solidFill>
                    <w14:schemeClr w14:val="tx1"/>
                  </w14:solidFill>
                </w14:textFill>
              </w:rPr>
              <w:t>①</w:t>
            </w:r>
            <w:r>
              <w:rPr>
                <w:rFonts w:hint="default"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按照《危险化学品安全管理条例》等规定要求，做好危险化学品储存、运输、使用全过程管理。确保盛装危险化学品的容器不倾倒、无破损，防止液体泄漏。</w:t>
            </w:r>
          </w:p>
          <w:p w14:paraId="5DBBEA2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jc w:val="left"/>
              <w:textAlignment w:val="auto"/>
              <w:rPr>
                <w:rFonts w:hint="default"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cs="Times New Roman"/>
                <w:b w:val="0"/>
                <w:bCs w:val="0"/>
                <w:color w:val="000000" w:themeColor="text1"/>
                <w:sz w:val="21"/>
                <w:szCs w:val="21"/>
                <w:u w:val="none" w:color="auto"/>
                <w:vertAlign w:val="baseline"/>
                <w:lang w:val="en-US" w:eastAsia="zh-CN"/>
                <w14:textFill>
                  <w14:solidFill>
                    <w14:schemeClr w14:val="tx1"/>
                  </w14:solidFill>
                </w14:textFill>
              </w:rPr>
              <w:t>②</w:t>
            </w:r>
            <w:r>
              <w:rPr>
                <w:rFonts w:hint="default"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按照《建筑设计防火规范》(GB50016-2014)等规定要求，配备防火和消防设施。</w:t>
            </w:r>
          </w:p>
          <w:p w14:paraId="68CB311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jc w:val="left"/>
              <w:textAlignment w:val="auto"/>
              <w:rPr>
                <w:rFonts w:hint="default"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cs="Times New Roman"/>
                <w:b w:val="0"/>
                <w:bCs w:val="0"/>
                <w:color w:val="000000" w:themeColor="text1"/>
                <w:sz w:val="21"/>
                <w:szCs w:val="21"/>
                <w:u w:val="none" w:color="auto"/>
                <w:vertAlign w:val="baseline"/>
                <w:lang w:val="en-US" w:eastAsia="zh-CN"/>
                <w14:textFill>
                  <w14:solidFill>
                    <w14:schemeClr w14:val="tx1"/>
                  </w14:solidFill>
                </w14:textFill>
              </w:rPr>
              <w:t>③</w:t>
            </w:r>
            <w:r>
              <w:rPr>
                <w:rFonts w:hint="default"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危废仓库定期检查防漏托盘等设施是否完好，存放危险废物的包装容器是否倾倒或者破损，防止危险废物泄漏。</w:t>
            </w:r>
          </w:p>
          <w:p w14:paraId="1FA219B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200"/>
              <w:jc w:val="left"/>
              <w:textAlignment w:val="auto"/>
              <w:rPr>
                <w:rFonts w:ascii="Times New Roman" w:hAnsi="Times New Roman" w:cs="Times New Roman"/>
                <w:color w:val="000000" w:themeColor="text1"/>
                <w:sz w:val="21"/>
                <w:szCs w:val="21"/>
                <w:u w:val="none" w:color="auto"/>
                <w14:textFill>
                  <w14:solidFill>
                    <w14:schemeClr w14:val="tx1"/>
                  </w14:solidFill>
                </w14:textFill>
              </w:rPr>
            </w:pPr>
            <w:r>
              <w:rPr>
                <w:rFonts w:hint="eastAsia" w:cs="Times New Roman"/>
                <w:b w:val="0"/>
                <w:bCs w:val="0"/>
                <w:color w:val="000000" w:themeColor="text1"/>
                <w:sz w:val="21"/>
                <w:szCs w:val="21"/>
                <w:u w:val="none" w:color="auto"/>
                <w:vertAlign w:val="baseline"/>
                <w:lang w:val="en-US" w:eastAsia="zh-CN"/>
                <w14:textFill>
                  <w14:solidFill>
                    <w14:schemeClr w14:val="tx1"/>
                  </w14:solidFill>
                </w14:textFill>
              </w:rPr>
              <w:t>④</w:t>
            </w:r>
            <w:r>
              <w:rPr>
                <w:rFonts w:hint="default"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熟知</w:t>
            </w:r>
            <w:r>
              <w:rPr>
                <w:rFonts w:hint="eastAsia" w:cs="Times New Roman"/>
                <w:b w:val="0"/>
                <w:bCs w:val="0"/>
                <w:color w:val="000000" w:themeColor="text1"/>
                <w:sz w:val="21"/>
                <w:szCs w:val="21"/>
                <w:u w:val="none" w:color="auto"/>
                <w:vertAlign w:val="baseline"/>
                <w:lang w:val="en-US" w:eastAsia="zh-CN"/>
                <w14:textFill>
                  <w14:solidFill>
                    <w14:schemeClr w14:val="tx1"/>
                  </w14:solidFill>
                </w14:textFill>
              </w:rPr>
              <w:t>产业开发区</w:t>
            </w:r>
            <w:r>
              <w:rPr>
                <w:rFonts w:hint="default"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的消防和应急设施，充分依托园区已有设施完善自身风险防范能力。</w:t>
            </w:r>
          </w:p>
        </w:tc>
      </w:tr>
      <w:tr w14:paraId="5B9C9A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334" w:type="dxa"/>
            <w:vAlign w:val="center"/>
          </w:tcPr>
          <w:p w14:paraId="1994DFEA">
            <w:pPr>
              <w:spacing w:line="240" w:lineRule="auto"/>
              <w:jc w:val="cente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其他环境管理要求</w:t>
            </w:r>
          </w:p>
        </w:tc>
        <w:tc>
          <w:tcPr>
            <w:tcW w:w="7743" w:type="dxa"/>
            <w:gridSpan w:val="4"/>
            <w:vAlign w:val="center"/>
          </w:tcPr>
          <w:p w14:paraId="4025BA28">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1、建立环境管理体系</w:t>
            </w:r>
          </w:p>
          <w:p w14:paraId="6FC113AE">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为做好环境管理工作，企业应建立环境管理体系，将环境管理工作自上而下的贯穿到企业的管理中，环境管理体系如下：</w:t>
            </w:r>
          </w:p>
          <w:p w14:paraId="0979FBC3">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①企业的环境管理工作实行企业主要负责人负责制，并制定环保方针、制度、规划，协调人力、物力和财力等方面，将环境管理和生产管理结合起来。</w:t>
            </w:r>
          </w:p>
          <w:p w14:paraId="4756292C">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②建立环境管理机构，配备环保管理人员1~2名，负责本企业的环境管理工作，并负责与政府环保主管部门的联系与协调工作。</w:t>
            </w:r>
          </w:p>
          <w:p w14:paraId="7DEE2343">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③以水、气、声等环境要素的保护和改善作为推动企业环境保护工作的基础，并在营运过程中检查环境管理的成效。</w:t>
            </w:r>
          </w:p>
          <w:p w14:paraId="34215FE9">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④按照所制定的环保方针和环境管理方案，将环境管理目标和指标层层分解，落实到各生产部门和人，签订责任书，定期考核。</w:t>
            </w:r>
          </w:p>
          <w:p w14:paraId="2D197FE0">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⑤按照环境管理的要求，将计划实现的目标和过程编制成文件，有关指标制成目标管理图表，标明工作内容和进度，以便与目标对比，及时掌握环保工作的进展情况。</w:t>
            </w:r>
          </w:p>
          <w:p w14:paraId="56A0B92D">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2、环境管理规章制度</w:t>
            </w:r>
          </w:p>
          <w:p w14:paraId="2FFA46BC">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要求建立和完善环境管理制度，主要有：①环境管理岗位责任制；②环保设施运行和管理制度；③环境污染物排放和监测制度；④环境污染事故应急和处理制度；⑤营运过程中的环境管理制度。</w:t>
            </w:r>
          </w:p>
          <w:p w14:paraId="6A9DD6E7">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3、环境管理机构的日常管理工作内容</w:t>
            </w:r>
          </w:p>
          <w:p w14:paraId="44774398">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①贯彻执行中华人民共和国的环境保护法规和标准，接受环保主管部门的检查监督，定期上报各项管理工作的执行情况。②组织制定各部门的环保管理规章制度，并监督执行。③企业内部环保治理设备的运转以及日常维护保养，保证其正常运转；④组织参加环境监测工作。⑤定期进行审计，检查环境管理计划实施情况，使环境污染的治理、管理和控制不断得到改善，使企业对环境的影响降到最低程度。</w:t>
            </w:r>
          </w:p>
          <w:p w14:paraId="119A7215">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4、排污口规范化设置</w:t>
            </w:r>
          </w:p>
          <w:p w14:paraId="7D7A035C">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根据国家环境保护总局《关于开展排放口规范化整治工作的通知》(2006年6月5日修正)和《排污口规范化整治技术要求》等规定的要求，一切新建、改扩建、改建的排污单位以及限期治理的排污单位必须在建设污染治理设施的同时，建设规范化排放口。因此，建设项目产生的各类污染物排放口必须规范化，而且规范化工作的完成必须与污染治理设施同步。</w:t>
            </w:r>
          </w:p>
          <w:p w14:paraId="00CD8DFA">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5、排污许可及环保竣工验收</w:t>
            </w:r>
          </w:p>
          <w:p w14:paraId="68099176">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根据</w:t>
            </w:r>
            <w:r>
              <w:rPr>
                <w:rFonts w:hint="eastAsia" w:cs="Times New Roman"/>
                <w:b w:val="0"/>
                <w:bCs w:val="0"/>
                <w:color w:val="000000" w:themeColor="text1"/>
                <w:sz w:val="21"/>
                <w:szCs w:val="21"/>
                <w:u w:val="none" w:color="auto"/>
                <w:vertAlign w:val="baseline"/>
                <w:lang w:val="en-US" w:eastAsia="zh-CN"/>
                <w14:textFill>
                  <w14:solidFill>
                    <w14:schemeClr w14:val="tx1"/>
                  </w14:solidFill>
                </w14:textFill>
              </w:rPr>
              <w:t>《排污许</w:t>
            </w: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可管理条例》和《排污可证申请与核发技术规范 总则》规定，纳入固定污染源排污许可分类管理名录的企业事业单位和其他生产经营者(以下简称排污单位)应当按照规定的时限申请并取得排污许可证。</w:t>
            </w:r>
          </w:p>
          <w:p w14:paraId="1B180366">
            <w:pPr>
              <w:keepNext w:val="0"/>
              <w:keepLines w:val="0"/>
              <w:pageBreakBefore w:val="0"/>
              <w:widowControl w:val="0"/>
              <w:kinsoku/>
              <w:wordWrap/>
              <w:overflowPunct/>
              <w:topLinePunct w:val="0"/>
              <w:autoSpaceDE/>
              <w:autoSpaceDN/>
              <w:bidi w:val="0"/>
              <w:spacing w:line="240" w:lineRule="auto"/>
              <w:ind w:firstLine="420" w:firstLineChars="200"/>
              <w:jc w:val="both"/>
              <w:textAlignment w:val="auto"/>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vertAlign w:val="baseline"/>
                <w:lang w:val="en-US" w:eastAsia="zh-CN"/>
                <w14:textFill>
                  <w14:solidFill>
                    <w14:schemeClr w14:val="tx1"/>
                  </w14:solidFill>
                </w14:textFill>
              </w:rPr>
              <w:t>本项目国民经济行业类别“C3981电阻电容电感制造”，根据《固定污染源排污许可分类管理名录》(2019年)，本项目属于实施登记管理的行业，应当在全国排污许可证管理信息平台进行排污登记。</w:t>
            </w:r>
          </w:p>
          <w:p w14:paraId="5B00C9B5">
            <w:pPr>
              <w:pStyle w:val="2"/>
              <w:keepNext w:val="0"/>
              <w:keepLines w:val="0"/>
              <w:pageBreakBefore w:val="0"/>
              <w:widowControl/>
              <w:kinsoku/>
              <w:wordWrap/>
              <w:overflowPunct/>
              <w:topLinePunct w:val="0"/>
              <w:autoSpaceDE/>
              <w:autoSpaceDN/>
              <w:bidi w:val="0"/>
              <w:adjustRightInd/>
              <w:snapToGrid w:val="0"/>
              <w:spacing w:before="0" w:after="0" w:line="240" w:lineRule="auto"/>
              <w:ind w:right="0" w:firstLine="420" w:firstLineChars="200"/>
              <w:textAlignment w:val="auto"/>
              <w:rPr>
                <w:rFonts w:hint="eastAsia" w:cs="Times New Roman"/>
                <w:b w:val="0"/>
                <w:bCs w:val="0"/>
                <w:color w:val="000000" w:themeColor="text1"/>
                <w:sz w:val="21"/>
                <w:szCs w:val="21"/>
                <w:u w:val="none" w:color="auto"/>
                <w:vertAlign w:val="baseline"/>
                <w:lang w:val="en-US" w:eastAsia="zh-CN"/>
                <w14:textFill>
                  <w14:solidFill>
                    <w14:schemeClr w14:val="tx1"/>
                  </w14:solidFill>
                </w14:textFill>
              </w:rPr>
            </w:pPr>
            <w:r>
              <w:rPr>
                <w:rFonts w:hint="eastAsia" w:cs="Times New Roman"/>
                <w:b w:val="0"/>
                <w:bCs w:val="0"/>
                <w:color w:val="000000" w:themeColor="text1"/>
                <w:sz w:val="21"/>
                <w:szCs w:val="21"/>
                <w:u w:val="none" w:color="auto"/>
                <w:vertAlign w:val="baseline"/>
                <w:lang w:val="en-US" w:eastAsia="zh-CN"/>
                <w14:textFill>
                  <w14:solidFill>
                    <w14:schemeClr w14:val="tx1"/>
                  </w14:solidFill>
                </w14:textFill>
              </w:rPr>
              <w:t>6、制定突发环境事件应急预案</w:t>
            </w:r>
          </w:p>
          <w:p w14:paraId="00273F73">
            <w:pPr>
              <w:adjustRightInd w:val="0"/>
              <w:snapToGrid w:val="0"/>
              <w:spacing w:line="360" w:lineRule="auto"/>
              <w:ind w:firstLine="420" w:firstLineChars="200"/>
              <w:rPr>
                <w:rFonts w:hint="default"/>
                <w:lang w:val="en-US" w:eastAsia="zh-CN"/>
              </w:rPr>
            </w:pPr>
            <w:r>
              <w:rPr>
                <w:rFonts w:hint="eastAsia"/>
                <w:b w:val="0"/>
                <w:bCs w:val="0"/>
                <w:sz w:val="21"/>
                <w:szCs w:val="21"/>
                <w:u w:val="single" w:color="auto"/>
                <w:lang w:val="en-US" w:eastAsia="zh-CN"/>
              </w:rPr>
              <w:t>根据《湖南省生态环境厅关于印发&lt;湖南省突发环境事件应急预案管理办法(修订版)&gt;的通知》(湘环发(2024)49号)，编制完善公司突发环境事件应急预案，重点针对事故的应对措施;平时进行公众教育和信息发布，并加强应急培训与演练;一旦发生事故，应积极组织应急撤离、落实应急医疗救护，并做好应急环境监测及事故后评估，采取相关善后恢复措施。</w:t>
            </w:r>
          </w:p>
        </w:tc>
      </w:tr>
    </w:tbl>
    <w:p w14:paraId="1243695A">
      <w:pPr>
        <w:pStyle w:val="3"/>
        <w:jc w:val="center"/>
        <w:rPr>
          <w:rFonts w:ascii="Times New Roman" w:hAnsi="Times New Roman" w:eastAsia="黑体"/>
          <w:snapToGrid w:val="0"/>
          <w:color w:val="000000" w:themeColor="text1"/>
          <w:sz w:val="30"/>
          <w:szCs w:val="30"/>
          <w:u w:val="none" w:color="auto"/>
          <w14:textFill>
            <w14:solidFill>
              <w14:schemeClr w14:val="tx1"/>
            </w14:solidFill>
          </w14:textFill>
        </w:rPr>
      </w:pPr>
      <w:r>
        <w:rPr>
          <w:rFonts w:ascii="Times New Roman" w:hAnsi="Times New Roman"/>
          <w:snapToGrid w:val="0"/>
          <w:color w:val="000000" w:themeColor="text1"/>
          <w:u w:val="none" w:color="auto"/>
          <w14:textFill>
            <w14:solidFill>
              <w14:schemeClr w14:val="tx1"/>
            </w14:solidFill>
          </w14:textFill>
        </w:rPr>
        <w:br w:type="page"/>
      </w:r>
      <w:bookmarkStart w:id="22" w:name="_Toc5278"/>
      <w:r>
        <w:rPr>
          <w:rStyle w:val="38"/>
          <w:rFonts w:ascii="Times New Roman" w:hAnsi="Times New Roman" w:eastAsia="宋体"/>
          <w:b/>
          <w:bCs/>
          <w:color w:val="000000" w:themeColor="text1"/>
          <w:u w:val="none" w:color="auto"/>
          <w14:textFill>
            <w14:solidFill>
              <w14:schemeClr w14:val="tx1"/>
            </w14:solidFill>
          </w14:textFill>
        </w:rPr>
        <w:t>六、结论</w:t>
      </w:r>
      <w:bookmarkEnd w:id="22"/>
    </w:p>
    <w:tbl>
      <w:tblPr>
        <w:tblStyle w:val="3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3F975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top"/>
          </w:tcPr>
          <w:p w14:paraId="5CA83FC4">
            <w:pPr>
              <w:spacing w:line="360" w:lineRule="auto"/>
              <w:ind w:firstLine="480" w:firstLineChars="200"/>
              <w:jc w:val="both"/>
              <w:rPr>
                <w:color w:val="000000" w:themeColor="text1"/>
                <w:u w:val="none" w:color="auto"/>
                <w14:textFill>
                  <w14:solidFill>
                    <w14:schemeClr w14:val="tx1"/>
                  </w14:solidFill>
                </w14:textFill>
              </w:rPr>
            </w:pPr>
            <w:r>
              <w:rPr>
                <w:rFonts w:hint="eastAsia" w:cs="Times New Roman"/>
                <w:sz w:val="24"/>
                <w:szCs w:val="24"/>
                <w:lang w:val="en-US" w:eastAsia="zh-CN"/>
              </w:rPr>
              <w:t>年产1200万只电子变压器生产线项目</w:t>
            </w:r>
            <w:r>
              <w:rPr>
                <w:color w:val="000000" w:themeColor="text1"/>
                <w:u w:val="none" w:color="auto"/>
                <w14:textFill>
                  <w14:solidFill>
                    <w14:schemeClr w14:val="tx1"/>
                  </w14:solidFill>
                </w14:textFill>
              </w:rPr>
              <w:t>符合国家相关产业政策要求，</w:t>
            </w:r>
            <w:r>
              <w:rPr>
                <w:rFonts w:hint="eastAsia"/>
                <w:color w:val="000000" w:themeColor="text1"/>
                <w:u w:val="none" w:color="auto"/>
                <w:lang w:val="en-US" w:eastAsia="zh-CN"/>
                <w14:textFill>
                  <w14:solidFill>
                    <w14:schemeClr w14:val="tx1"/>
                  </w14:solidFill>
                </w14:textFill>
              </w:rPr>
              <w:t>符合怀化市生态环境分区管控要求，项目选址、</w:t>
            </w:r>
            <w:r>
              <w:rPr>
                <w:color w:val="000000" w:themeColor="text1"/>
                <w:u w:val="none" w:color="auto"/>
                <w14:textFill>
                  <w14:solidFill>
                    <w14:schemeClr w14:val="tx1"/>
                  </w14:solidFill>
                </w14:textFill>
              </w:rPr>
              <w:t>布局</w:t>
            </w:r>
            <w:r>
              <w:rPr>
                <w:rFonts w:hint="eastAsia"/>
                <w:color w:val="000000" w:themeColor="text1"/>
                <w:u w:val="none" w:color="auto"/>
                <w:lang w:val="en-US" w:eastAsia="zh-CN"/>
                <w14:textFill>
                  <w14:solidFill>
                    <w14:schemeClr w14:val="tx1"/>
                  </w14:solidFill>
                </w14:textFill>
              </w:rPr>
              <w:t>合理</w:t>
            </w:r>
            <w:r>
              <w:rPr>
                <w:color w:val="000000" w:themeColor="text1"/>
                <w:u w:val="none" w:color="auto"/>
                <w14:textFill>
                  <w14:solidFill>
                    <w14:schemeClr w14:val="tx1"/>
                  </w14:solidFill>
                </w14:textFill>
              </w:rPr>
              <w:t>可行</w:t>
            </w:r>
            <w:r>
              <w:rPr>
                <w:rFonts w:hint="eastAsia"/>
                <w:color w:val="000000" w:themeColor="text1"/>
                <w:u w:val="none" w:color="auto"/>
                <w:lang w:eastAsia="zh-CN"/>
                <w14:textFill>
                  <w14:solidFill>
                    <w14:schemeClr w14:val="tx1"/>
                  </w14:solidFill>
                </w14:textFill>
              </w:rPr>
              <w:t>，</w:t>
            </w:r>
            <w:r>
              <w:rPr>
                <w:color w:val="000000" w:themeColor="text1"/>
                <w:u w:val="none" w:color="auto"/>
                <w14:textFill>
                  <w14:solidFill>
                    <w14:schemeClr w14:val="tx1"/>
                  </w14:solidFill>
                </w14:textFill>
              </w:rPr>
              <w:t>本项目在切实做好各项污染防治措施和风险防范措施，确保环保设备长期稳定正常运行，严格执行</w:t>
            </w:r>
            <w:r>
              <w:rPr>
                <w:rFonts w:hint="eastAsia"/>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t>三同时</w:t>
            </w:r>
            <w:r>
              <w:rPr>
                <w:rFonts w:hint="eastAsia"/>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t>制度、实现污染物达标排放的情况下，</w:t>
            </w:r>
            <w:r>
              <w:rPr>
                <w:color w:val="auto"/>
                <w:u w:val="none" w:color="auto"/>
              </w:rPr>
              <w:t>对环境的影响在可接受范围内。</w:t>
            </w:r>
            <w:r>
              <w:rPr>
                <w:color w:val="000000" w:themeColor="text1"/>
                <w:u w:val="none" w:color="auto"/>
                <w14:textFill>
                  <w14:solidFill>
                    <w14:schemeClr w14:val="tx1"/>
                  </w14:solidFill>
                </w14:textFill>
              </w:rPr>
              <w:t>从环境保护角度分析，项目的建设是可行的。</w:t>
            </w:r>
          </w:p>
        </w:tc>
      </w:tr>
    </w:tbl>
    <w:p w14:paraId="2AEB68E7">
      <w:pPr>
        <w:rPr>
          <w:color w:val="000000" w:themeColor="text1"/>
          <w:u w:val="none" w:color="auto"/>
          <w14:textFill>
            <w14:solidFill>
              <w14:schemeClr w14:val="tx1"/>
            </w14:solidFill>
          </w14:textFill>
        </w:rPr>
        <w:sectPr>
          <w:pgSz w:w="11906" w:h="16838"/>
          <w:pgMar w:top="1701" w:right="1531" w:bottom="1701" w:left="1531" w:header="567" w:footer="567" w:gutter="0"/>
          <w:pgBorders>
            <w:top w:val="none" w:sz="0" w:space="0"/>
            <w:left w:val="none" w:sz="0" w:space="0"/>
            <w:bottom w:val="none" w:sz="0" w:space="0"/>
            <w:right w:val="none" w:sz="0" w:space="0"/>
          </w:pgBorders>
          <w:pgNumType w:fmt="decimal"/>
          <w:cols w:space="720" w:num="1"/>
          <w:docGrid w:linePitch="312" w:charSpace="0"/>
        </w:sectPr>
      </w:pPr>
    </w:p>
    <w:p w14:paraId="6B163D87">
      <w:pPr>
        <w:adjustRightInd w:val="0"/>
        <w:snapToGrid w:val="0"/>
        <w:spacing w:before="0" w:beforeAutospacing="0" w:after="0" w:afterAutospacing="0"/>
        <w:outlineLvl w:val="0"/>
        <w:rPr>
          <w:rFonts w:ascii="Times New Roman" w:hAnsi="Times New Roman" w:eastAsia="黑体"/>
          <w:snapToGrid w:val="0"/>
          <w:color w:val="000000" w:themeColor="text1"/>
          <w:sz w:val="32"/>
          <w:szCs w:val="32"/>
          <w:u w:val="none" w:color="auto"/>
          <w14:textFill>
            <w14:solidFill>
              <w14:schemeClr w14:val="tx1"/>
            </w14:solidFill>
          </w14:textFill>
        </w:rPr>
      </w:pPr>
      <w:bookmarkStart w:id="23" w:name="_Toc71631409"/>
      <w:bookmarkStart w:id="24" w:name="_Toc16436"/>
      <w:r>
        <w:rPr>
          <w:rFonts w:ascii="Times New Roman" w:hAnsi="Times New Roman" w:eastAsia="黑体"/>
          <w:snapToGrid w:val="0"/>
          <w:color w:val="000000" w:themeColor="text1"/>
          <w:sz w:val="32"/>
          <w:szCs w:val="32"/>
          <w:u w:val="none" w:color="auto"/>
          <w14:textFill>
            <w14:solidFill>
              <w14:schemeClr w14:val="tx1"/>
            </w14:solidFill>
          </w14:textFill>
        </w:rPr>
        <w:t>附表</w:t>
      </w:r>
      <w:bookmarkEnd w:id="23"/>
      <w:bookmarkEnd w:id="24"/>
    </w:p>
    <w:p w14:paraId="301C83DC">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eastAsia" w:ascii="方正小标宋_GBK" w:hAnsi="黑体" w:eastAsia="方正小标宋_GBK"/>
          <w:snapToGrid w:val="0"/>
          <w:sz w:val="38"/>
          <w:szCs w:val="38"/>
        </w:rPr>
      </w:pPr>
      <w:bookmarkStart w:id="25" w:name="_Toc30517"/>
      <w:r>
        <w:rPr>
          <w:rFonts w:hint="eastAsia" w:ascii="方正小标宋_GBK" w:hAnsi="黑体" w:eastAsia="方正小标宋_GBK"/>
          <w:snapToGrid w:val="0"/>
          <w:sz w:val="38"/>
          <w:szCs w:val="38"/>
        </w:rPr>
        <w:t>建设项目污染物排放量汇总表</w:t>
      </w:r>
      <w:bookmarkEnd w:id="25"/>
    </w:p>
    <w:tbl>
      <w:tblPr>
        <w:tblStyle w:val="33"/>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1524"/>
        <w:gridCol w:w="1524"/>
        <w:gridCol w:w="1455"/>
        <w:gridCol w:w="1399"/>
        <w:gridCol w:w="1309"/>
        <w:gridCol w:w="1764"/>
        <w:gridCol w:w="1027"/>
        <w:gridCol w:w="1444"/>
        <w:gridCol w:w="753"/>
      </w:tblGrid>
      <w:tr w14:paraId="3CA0FA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410" w:type="pct"/>
            <w:tcBorders>
              <w:tl2br w:val="single" w:color="auto" w:sz="4" w:space="0"/>
            </w:tcBorders>
            <w:tcMar>
              <w:left w:w="28" w:type="dxa"/>
              <w:right w:w="28" w:type="dxa"/>
            </w:tcMar>
            <w:vAlign w:val="center"/>
          </w:tcPr>
          <w:p w14:paraId="2AC78B6A">
            <w:pPr>
              <w:pStyle w:val="41"/>
              <w:bidi w:val="0"/>
            </w:pPr>
            <w:r>
              <w:rPr>
                <w:rFonts w:hint="eastAsia"/>
                <w:lang w:val="en-US" w:eastAsia="zh-CN"/>
              </w:rPr>
              <w:t xml:space="preserve">     </w:t>
            </w:r>
            <w:r>
              <w:t>项目</w:t>
            </w:r>
          </w:p>
          <w:p w14:paraId="776538EF">
            <w:pPr>
              <w:pStyle w:val="41"/>
              <w:bidi w:val="0"/>
              <w:jc w:val="both"/>
            </w:pPr>
            <w:r>
              <w:t>分类</w:t>
            </w:r>
          </w:p>
        </w:tc>
        <w:tc>
          <w:tcPr>
            <w:tcW w:w="1146" w:type="pct"/>
            <w:gridSpan w:val="2"/>
            <w:tcMar>
              <w:left w:w="28" w:type="dxa"/>
              <w:right w:w="28" w:type="dxa"/>
            </w:tcMar>
            <w:vAlign w:val="center"/>
          </w:tcPr>
          <w:p w14:paraId="763D4ABC">
            <w:pPr>
              <w:pStyle w:val="41"/>
              <w:bidi w:val="0"/>
            </w:pPr>
            <w:r>
              <w:t>污染物名称</w:t>
            </w:r>
          </w:p>
        </w:tc>
        <w:tc>
          <w:tcPr>
            <w:tcW w:w="547" w:type="pct"/>
            <w:tcMar>
              <w:left w:w="28" w:type="dxa"/>
              <w:right w:w="28" w:type="dxa"/>
            </w:tcMar>
            <w:vAlign w:val="center"/>
          </w:tcPr>
          <w:p w14:paraId="5C94D497">
            <w:pPr>
              <w:pStyle w:val="41"/>
              <w:bidi w:val="0"/>
            </w:pPr>
            <w:r>
              <w:t>现有工程排放量（固体废物产生量）</w:t>
            </w:r>
            <w:r>
              <w:fldChar w:fldCharType="begin"/>
            </w:r>
            <w:r>
              <w:instrText xml:space="preserve"> = 1 \* GB3 \* MERGEFORMAT </w:instrText>
            </w:r>
            <w:r>
              <w:fldChar w:fldCharType="separate"/>
            </w:r>
            <w:r>
              <w:t>①</w:t>
            </w:r>
            <w:r>
              <w:fldChar w:fldCharType="end"/>
            </w:r>
          </w:p>
        </w:tc>
        <w:tc>
          <w:tcPr>
            <w:tcW w:w="526" w:type="pct"/>
            <w:tcMar>
              <w:left w:w="28" w:type="dxa"/>
              <w:right w:w="28" w:type="dxa"/>
            </w:tcMar>
            <w:vAlign w:val="center"/>
          </w:tcPr>
          <w:p w14:paraId="21792478">
            <w:pPr>
              <w:pStyle w:val="41"/>
              <w:bidi w:val="0"/>
            </w:pPr>
            <w:r>
              <w:t>现有工程许可排放量</w:t>
            </w:r>
            <w:r>
              <w:fldChar w:fldCharType="begin"/>
            </w:r>
            <w:r>
              <w:instrText xml:space="preserve"> = 2 \* GB3 \* MERGEFORMAT </w:instrText>
            </w:r>
            <w:r>
              <w:fldChar w:fldCharType="separate"/>
            </w:r>
            <w:r>
              <w:t>②</w:t>
            </w:r>
            <w:r>
              <w:fldChar w:fldCharType="end"/>
            </w:r>
          </w:p>
        </w:tc>
        <w:tc>
          <w:tcPr>
            <w:tcW w:w="492" w:type="pct"/>
            <w:tcMar>
              <w:left w:w="28" w:type="dxa"/>
              <w:right w:w="28" w:type="dxa"/>
            </w:tcMar>
            <w:vAlign w:val="center"/>
          </w:tcPr>
          <w:p w14:paraId="453E0B26">
            <w:pPr>
              <w:pStyle w:val="41"/>
              <w:bidi w:val="0"/>
            </w:pPr>
            <w:r>
              <w:t>在建工程排放量（固体废物产生量）</w:t>
            </w:r>
            <w:r>
              <w:fldChar w:fldCharType="begin"/>
            </w:r>
            <w:r>
              <w:instrText xml:space="preserve"> = 3 \* GB3 \* MERGEFORMAT </w:instrText>
            </w:r>
            <w:r>
              <w:fldChar w:fldCharType="separate"/>
            </w:r>
            <w:r>
              <w:t>③</w:t>
            </w:r>
            <w:r>
              <w:fldChar w:fldCharType="end"/>
            </w:r>
          </w:p>
        </w:tc>
        <w:tc>
          <w:tcPr>
            <w:tcW w:w="663" w:type="pct"/>
            <w:tcMar>
              <w:left w:w="28" w:type="dxa"/>
              <w:right w:w="28" w:type="dxa"/>
            </w:tcMar>
            <w:vAlign w:val="center"/>
          </w:tcPr>
          <w:p w14:paraId="78BADA0E">
            <w:pPr>
              <w:pStyle w:val="41"/>
              <w:bidi w:val="0"/>
            </w:pPr>
            <w:r>
              <w:t>本项目排放量（固体废物产生量）</w:t>
            </w:r>
            <w:r>
              <w:fldChar w:fldCharType="begin"/>
            </w:r>
            <w:r>
              <w:instrText xml:space="preserve"> = 4 \* GB3 \* MERGEFORMAT </w:instrText>
            </w:r>
            <w:r>
              <w:fldChar w:fldCharType="separate"/>
            </w:r>
            <w:r>
              <w:t>④</w:t>
            </w:r>
            <w:r>
              <w:fldChar w:fldCharType="end"/>
            </w:r>
          </w:p>
        </w:tc>
        <w:tc>
          <w:tcPr>
            <w:tcW w:w="386" w:type="pct"/>
            <w:tcMar>
              <w:left w:w="28" w:type="dxa"/>
              <w:right w:w="28" w:type="dxa"/>
            </w:tcMar>
            <w:vAlign w:val="center"/>
          </w:tcPr>
          <w:p w14:paraId="2C48059A">
            <w:pPr>
              <w:pStyle w:val="41"/>
              <w:bidi w:val="0"/>
            </w:pPr>
            <w:r>
              <w:t>以新带老削减量（新建项目不填）</w:t>
            </w:r>
            <w:r>
              <w:fldChar w:fldCharType="begin"/>
            </w:r>
            <w:r>
              <w:instrText xml:space="preserve"> = 5 \* GB3 \* MERGEFORMAT </w:instrText>
            </w:r>
            <w:r>
              <w:fldChar w:fldCharType="separate"/>
            </w:r>
            <w:r>
              <w:t>⑤</w:t>
            </w:r>
            <w:r>
              <w:fldChar w:fldCharType="end"/>
            </w:r>
          </w:p>
        </w:tc>
        <w:tc>
          <w:tcPr>
            <w:tcW w:w="543" w:type="pct"/>
            <w:tcMar>
              <w:left w:w="28" w:type="dxa"/>
              <w:right w:w="28" w:type="dxa"/>
            </w:tcMar>
            <w:vAlign w:val="center"/>
          </w:tcPr>
          <w:p w14:paraId="60D93A56">
            <w:pPr>
              <w:pStyle w:val="41"/>
              <w:bidi w:val="0"/>
            </w:pPr>
            <w:r>
              <w:t>本项目建成后全厂排放量（固体废物产生量）</w:t>
            </w:r>
            <w:r>
              <w:fldChar w:fldCharType="begin"/>
            </w:r>
            <w:r>
              <w:instrText xml:space="preserve"> = 6 \* GB3 \* MERGEFORMAT </w:instrText>
            </w:r>
            <w:r>
              <w:fldChar w:fldCharType="separate"/>
            </w:r>
            <w:r>
              <w:t>⑥</w:t>
            </w:r>
            <w:r>
              <w:fldChar w:fldCharType="end"/>
            </w:r>
          </w:p>
        </w:tc>
        <w:tc>
          <w:tcPr>
            <w:tcW w:w="283" w:type="pct"/>
            <w:tcMar>
              <w:left w:w="28" w:type="dxa"/>
              <w:right w:w="28" w:type="dxa"/>
            </w:tcMar>
            <w:vAlign w:val="center"/>
          </w:tcPr>
          <w:p w14:paraId="70B9C374">
            <w:pPr>
              <w:pStyle w:val="41"/>
              <w:bidi w:val="0"/>
            </w:pPr>
            <w:r>
              <w:t>变化量</w:t>
            </w:r>
          </w:p>
          <w:p w14:paraId="5A417430">
            <w:pPr>
              <w:pStyle w:val="41"/>
              <w:bidi w:val="0"/>
            </w:pPr>
            <w:r>
              <w:fldChar w:fldCharType="begin"/>
            </w:r>
            <w:r>
              <w:instrText xml:space="preserve"> = 7 \* GB3 \* MERGEFORMAT </w:instrText>
            </w:r>
            <w:r>
              <w:fldChar w:fldCharType="separate"/>
            </w:r>
            <w:r>
              <w:t>⑦</w:t>
            </w:r>
            <w:r>
              <w:fldChar w:fldCharType="end"/>
            </w:r>
          </w:p>
        </w:tc>
      </w:tr>
      <w:tr w14:paraId="1A7BC8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restart"/>
            <w:vAlign w:val="center"/>
          </w:tcPr>
          <w:p w14:paraId="3D873463">
            <w:pPr>
              <w:pStyle w:val="41"/>
              <w:bidi w:val="0"/>
            </w:pPr>
            <w:r>
              <w:t>废气</w:t>
            </w:r>
          </w:p>
        </w:tc>
        <w:tc>
          <w:tcPr>
            <w:tcW w:w="1146" w:type="pct"/>
            <w:gridSpan w:val="2"/>
            <w:shd w:val="clear" w:color="auto" w:fill="auto"/>
            <w:vAlign w:val="center"/>
          </w:tcPr>
          <w:p w14:paraId="5AD3E30E">
            <w:pPr>
              <w:pStyle w:val="41"/>
              <w:bidi w:val="0"/>
              <w:rPr>
                <w:rFonts w:hint="default"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r>
              <w:rPr>
                <w:rFonts w:hint="eastAsia"/>
                <w:u w:val="single"/>
                <w:lang w:val="en-US" w:eastAsia="zh-CN"/>
              </w:rPr>
              <w:t>颗粒物</w:t>
            </w:r>
          </w:p>
        </w:tc>
        <w:tc>
          <w:tcPr>
            <w:tcW w:w="547" w:type="pct"/>
            <w:shd w:val="clear" w:color="auto" w:fill="auto"/>
            <w:vAlign w:val="center"/>
          </w:tcPr>
          <w:p w14:paraId="771E5D7F">
            <w:pPr>
              <w:pStyle w:val="41"/>
              <w:bidi w:val="0"/>
              <w:rPr>
                <w:rFonts w:hint="eastAsia"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p>
        </w:tc>
        <w:tc>
          <w:tcPr>
            <w:tcW w:w="526" w:type="pct"/>
            <w:shd w:val="clear" w:color="auto" w:fill="auto"/>
            <w:vAlign w:val="center"/>
          </w:tcPr>
          <w:p w14:paraId="09B49C58">
            <w:pPr>
              <w:pStyle w:val="41"/>
              <w:bidi w:val="0"/>
              <w:rPr>
                <w:rFonts w:hint="eastAsia"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p>
        </w:tc>
        <w:tc>
          <w:tcPr>
            <w:tcW w:w="492" w:type="pct"/>
            <w:shd w:val="clear" w:color="auto" w:fill="auto"/>
            <w:vAlign w:val="center"/>
          </w:tcPr>
          <w:p w14:paraId="1BCF062D">
            <w:pPr>
              <w:pStyle w:val="41"/>
              <w:bidi w:val="0"/>
              <w:rPr>
                <w:rFonts w:hint="eastAsia"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p>
        </w:tc>
        <w:tc>
          <w:tcPr>
            <w:tcW w:w="663" w:type="pct"/>
            <w:shd w:val="clear" w:color="auto" w:fill="auto"/>
            <w:vAlign w:val="center"/>
          </w:tcPr>
          <w:p w14:paraId="002655D1">
            <w:pPr>
              <w:pStyle w:val="41"/>
              <w:bidi w:val="0"/>
              <w:rPr>
                <w:rFonts w:hint="default"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r>
              <w:rPr>
                <w:rFonts w:hint="eastAsia" w:cs="Times New Roman"/>
                <w:color w:val="000000" w:themeColor="text1"/>
                <w:kern w:val="2"/>
                <w:sz w:val="21"/>
                <w:szCs w:val="21"/>
                <w:u w:val="single" w:color="auto"/>
                <w:lang w:val="en-US" w:eastAsia="zh-CN" w:bidi="ar-SA"/>
                <w14:textFill>
                  <w14:solidFill>
                    <w14:schemeClr w14:val="tx1"/>
                  </w14:solidFill>
                </w14:textFill>
              </w:rPr>
              <w:t>0.0000198t/a</w:t>
            </w:r>
          </w:p>
        </w:tc>
        <w:tc>
          <w:tcPr>
            <w:tcW w:w="386" w:type="pct"/>
            <w:shd w:val="clear" w:color="auto" w:fill="auto"/>
            <w:vAlign w:val="center"/>
          </w:tcPr>
          <w:p w14:paraId="40213629">
            <w:pPr>
              <w:pStyle w:val="41"/>
              <w:bidi w:val="0"/>
              <w:rPr>
                <w:rFonts w:hint="eastAsia"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p>
        </w:tc>
        <w:tc>
          <w:tcPr>
            <w:tcW w:w="543" w:type="pct"/>
            <w:shd w:val="clear" w:color="auto" w:fill="auto"/>
            <w:vAlign w:val="center"/>
          </w:tcPr>
          <w:p w14:paraId="1A002481">
            <w:pPr>
              <w:pStyle w:val="41"/>
              <w:bidi w:val="0"/>
              <w:rPr>
                <w:rFonts w:hint="eastAsia"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r>
              <w:rPr>
                <w:rFonts w:hint="eastAsia" w:cs="Times New Roman"/>
                <w:color w:val="000000" w:themeColor="text1"/>
                <w:kern w:val="2"/>
                <w:sz w:val="21"/>
                <w:szCs w:val="21"/>
                <w:u w:val="single" w:color="auto"/>
                <w:lang w:val="en-US" w:eastAsia="zh-CN" w:bidi="ar-SA"/>
                <w14:textFill>
                  <w14:solidFill>
                    <w14:schemeClr w14:val="tx1"/>
                  </w14:solidFill>
                </w14:textFill>
              </w:rPr>
              <w:t>0.0000198t/a</w:t>
            </w:r>
          </w:p>
        </w:tc>
        <w:tc>
          <w:tcPr>
            <w:tcW w:w="283" w:type="pct"/>
            <w:vAlign w:val="center"/>
          </w:tcPr>
          <w:p w14:paraId="3EF44D24">
            <w:pPr>
              <w:pStyle w:val="41"/>
              <w:bidi w:val="0"/>
            </w:pPr>
          </w:p>
        </w:tc>
      </w:tr>
      <w:tr w14:paraId="07B1F3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continue"/>
            <w:vAlign w:val="center"/>
          </w:tcPr>
          <w:p w14:paraId="57EE6A00">
            <w:pPr>
              <w:pStyle w:val="41"/>
              <w:bidi w:val="0"/>
            </w:pPr>
          </w:p>
        </w:tc>
        <w:tc>
          <w:tcPr>
            <w:tcW w:w="1146" w:type="pct"/>
            <w:gridSpan w:val="2"/>
            <w:shd w:val="clear" w:color="auto" w:fill="auto"/>
            <w:vAlign w:val="center"/>
          </w:tcPr>
          <w:p w14:paraId="28C9373C">
            <w:pPr>
              <w:pStyle w:val="41"/>
              <w:bidi w:val="0"/>
              <w:rPr>
                <w:rFonts w:hint="default"/>
                <w:u w:val="single"/>
                <w:lang w:val="en-US" w:eastAsia="zh-CN"/>
              </w:rPr>
            </w:pPr>
            <w:r>
              <w:rPr>
                <w:rFonts w:hint="eastAsia"/>
                <w:u w:val="single"/>
                <w:lang w:val="en-US" w:eastAsia="zh-CN"/>
              </w:rPr>
              <w:t>锡及其化合物</w:t>
            </w:r>
          </w:p>
        </w:tc>
        <w:tc>
          <w:tcPr>
            <w:tcW w:w="547" w:type="pct"/>
            <w:shd w:val="clear" w:color="auto" w:fill="auto"/>
            <w:vAlign w:val="center"/>
          </w:tcPr>
          <w:p w14:paraId="25BA50EF">
            <w:pPr>
              <w:pStyle w:val="41"/>
              <w:bidi w:val="0"/>
              <w:rPr>
                <w:rFonts w:hint="eastAsia"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p>
        </w:tc>
        <w:tc>
          <w:tcPr>
            <w:tcW w:w="526" w:type="pct"/>
            <w:shd w:val="clear" w:color="auto" w:fill="auto"/>
            <w:vAlign w:val="center"/>
          </w:tcPr>
          <w:p w14:paraId="23151D81">
            <w:pPr>
              <w:pStyle w:val="41"/>
              <w:bidi w:val="0"/>
              <w:rPr>
                <w:rFonts w:hint="eastAsia"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p>
        </w:tc>
        <w:tc>
          <w:tcPr>
            <w:tcW w:w="492" w:type="pct"/>
            <w:shd w:val="clear" w:color="auto" w:fill="auto"/>
            <w:vAlign w:val="center"/>
          </w:tcPr>
          <w:p w14:paraId="510CE2E2">
            <w:pPr>
              <w:pStyle w:val="41"/>
              <w:bidi w:val="0"/>
              <w:rPr>
                <w:rFonts w:hint="eastAsia"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p>
        </w:tc>
        <w:tc>
          <w:tcPr>
            <w:tcW w:w="663" w:type="pct"/>
            <w:shd w:val="clear" w:color="auto" w:fill="auto"/>
            <w:vAlign w:val="center"/>
          </w:tcPr>
          <w:p w14:paraId="27B1920C">
            <w:pPr>
              <w:pStyle w:val="41"/>
              <w:bidi w:val="0"/>
              <w:rPr>
                <w:rFonts w:hint="default" w:cs="Times New Roman"/>
                <w:color w:val="000000" w:themeColor="text1"/>
                <w:kern w:val="2"/>
                <w:sz w:val="21"/>
                <w:szCs w:val="21"/>
                <w:u w:val="single" w:color="auto"/>
                <w:lang w:val="en-US" w:eastAsia="zh-CN" w:bidi="ar-SA"/>
                <w14:textFill>
                  <w14:solidFill>
                    <w14:schemeClr w14:val="tx1"/>
                  </w14:solidFill>
                </w14:textFill>
              </w:rPr>
            </w:pPr>
            <w:r>
              <w:rPr>
                <w:rFonts w:hint="eastAsia" w:cs="Times New Roman"/>
                <w:color w:val="000000" w:themeColor="text1"/>
                <w:kern w:val="2"/>
                <w:sz w:val="21"/>
                <w:szCs w:val="21"/>
                <w:u w:val="single" w:color="auto"/>
                <w:lang w:val="en-US" w:eastAsia="zh-CN" w:bidi="ar-SA"/>
                <w14:textFill>
                  <w14:solidFill>
                    <w14:schemeClr w14:val="tx1"/>
                  </w14:solidFill>
                </w14:textFill>
              </w:rPr>
              <w:t>0.0001782t/a</w:t>
            </w:r>
          </w:p>
        </w:tc>
        <w:tc>
          <w:tcPr>
            <w:tcW w:w="386" w:type="pct"/>
            <w:shd w:val="clear" w:color="auto" w:fill="auto"/>
            <w:vAlign w:val="center"/>
          </w:tcPr>
          <w:p w14:paraId="6ABF6A17">
            <w:pPr>
              <w:pStyle w:val="41"/>
              <w:bidi w:val="0"/>
              <w:rPr>
                <w:rFonts w:hint="eastAsia" w:ascii="Times New Roman" w:hAnsi="Times New Roman" w:eastAsia="宋体" w:cs="Times New Roman"/>
                <w:color w:val="000000" w:themeColor="text1"/>
                <w:kern w:val="0"/>
                <w:sz w:val="21"/>
                <w:szCs w:val="18"/>
                <w:u w:val="single" w:color="auto"/>
                <w:lang w:val="en-US" w:eastAsia="zh-CN" w:bidi="ar-SA"/>
                <w14:textFill>
                  <w14:solidFill>
                    <w14:schemeClr w14:val="tx1"/>
                  </w14:solidFill>
                </w14:textFill>
              </w:rPr>
            </w:pPr>
          </w:p>
        </w:tc>
        <w:tc>
          <w:tcPr>
            <w:tcW w:w="543" w:type="pct"/>
            <w:shd w:val="clear" w:color="auto" w:fill="auto"/>
            <w:vAlign w:val="center"/>
          </w:tcPr>
          <w:p w14:paraId="3DC424FD">
            <w:pPr>
              <w:pStyle w:val="41"/>
              <w:bidi w:val="0"/>
              <w:rPr>
                <w:rFonts w:hint="eastAsia" w:cs="Times New Roman"/>
                <w:color w:val="000000" w:themeColor="text1"/>
                <w:kern w:val="2"/>
                <w:sz w:val="21"/>
                <w:szCs w:val="21"/>
                <w:u w:val="single" w:color="auto"/>
                <w:lang w:val="en-US" w:eastAsia="zh-CN" w:bidi="ar-SA"/>
                <w14:textFill>
                  <w14:solidFill>
                    <w14:schemeClr w14:val="tx1"/>
                  </w14:solidFill>
                </w14:textFill>
              </w:rPr>
            </w:pPr>
            <w:r>
              <w:rPr>
                <w:rFonts w:hint="eastAsia" w:cs="Times New Roman"/>
                <w:color w:val="000000" w:themeColor="text1"/>
                <w:kern w:val="2"/>
                <w:sz w:val="21"/>
                <w:szCs w:val="21"/>
                <w:u w:val="single" w:color="auto"/>
                <w:lang w:val="en-US" w:eastAsia="zh-CN" w:bidi="ar-SA"/>
                <w14:textFill>
                  <w14:solidFill>
                    <w14:schemeClr w14:val="tx1"/>
                  </w14:solidFill>
                </w14:textFill>
              </w:rPr>
              <w:t>0.0001782t/a</w:t>
            </w:r>
          </w:p>
        </w:tc>
        <w:tc>
          <w:tcPr>
            <w:tcW w:w="283" w:type="pct"/>
            <w:vAlign w:val="center"/>
          </w:tcPr>
          <w:p w14:paraId="0EB065D1">
            <w:pPr>
              <w:pStyle w:val="41"/>
              <w:bidi w:val="0"/>
            </w:pPr>
          </w:p>
        </w:tc>
      </w:tr>
      <w:tr w14:paraId="57B247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continue"/>
            <w:vAlign w:val="center"/>
          </w:tcPr>
          <w:p w14:paraId="6C610123">
            <w:pPr>
              <w:pStyle w:val="41"/>
              <w:bidi w:val="0"/>
            </w:pPr>
          </w:p>
        </w:tc>
        <w:tc>
          <w:tcPr>
            <w:tcW w:w="573" w:type="pct"/>
            <w:vMerge w:val="restart"/>
            <w:vAlign w:val="center"/>
          </w:tcPr>
          <w:p w14:paraId="746568FC">
            <w:pPr>
              <w:pStyle w:val="41"/>
              <w:bidi w:val="0"/>
              <w:rPr>
                <w:rFonts w:hint="default"/>
                <w:u w:val="single"/>
                <w:lang w:val="en-US" w:eastAsia="zh-CN"/>
              </w:rPr>
            </w:pPr>
            <w:r>
              <w:rPr>
                <w:rFonts w:hint="eastAsia"/>
                <w:u w:val="single"/>
                <w:lang w:val="en-US" w:eastAsia="zh-CN"/>
              </w:rPr>
              <w:t>VOCs</w:t>
            </w:r>
          </w:p>
        </w:tc>
        <w:tc>
          <w:tcPr>
            <w:tcW w:w="573" w:type="pct"/>
            <w:vAlign w:val="center"/>
          </w:tcPr>
          <w:p w14:paraId="6AD45380">
            <w:pPr>
              <w:pStyle w:val="41"/>
              <w:bidi w:val="0"/>
              <w:rPr>
                <w:rFonts w:hint="default"/>
                <w:u w:val="single"/>
                <w:lang w:val="en-US" w:eastAsia="zh-CN"/>
              </w:rPr>
            </w:pPr>
            <w:r>
              <w:rPr>
                <w:rFonts w:hint="eastAsia"/>
                <w:u w:val="single"/>
                <w:lang w:val="en-US" w:eastAsia="zh-CN"/>
              </w:rPr>
              <w:t>非甲烷总烃</w:t>
            </w:r>
          </w:p>
        </w:tc>
        <w:tc>
          <w:tcPr>
            <w:tcW w:w="547" w:type="pct"/>
            <w:vAlign w:val="center"/>
          </w:tcPr>
          <w:p w14:paraId="41691ADF">
            <w:pPr>
              <w:pStyle w:val="41"/>
              <w:bidi w:val="0"/>
              <w:rPr>
                <w:rFonts w:hint="eastAsia"/>
                <w:u w:val="single"/>
                <w:lang w:val="en-US" w:eastAsia="zh-CN"/>
              </w:rPr>
            </w:pPr>
          </w:p>
        </w:tc>
        <w:tc>
          <w:tcPr>
            <w:tcW w:w="526" w:type="pct"/>
            <w:vAlign w:val="center"/>
          </w:tcPr>
          <w:p w14:paraId="037F6D4B">
            <w:pPr>
              <w:pStyle w:val="41"/>
              <w:bidi w:val="0"/>
              <w:rPr>
                <w:rFonts w:hint="eastAsia"/>
                <w:u w:val="single"/>
                <w:lang w:val="en-US" w:eastAsia="zh-CN"/>
              </w:rPr>
            </w:pPr>
          </w:p>
        </w:tc>
        <w:tc>
          <w:tcPr>
            <w:tcW w:w="492" w:type="pct"/>
            <w:vAlign w:val="center"/>
          </w:tcPr>
          <w:p w14:paraId="116A4E76">
            <w:pPr>
              <w:pStyle w:val="41"/>
              <w:bidi w:val="0"/>
              <w:rPr>
                <w:rFonts w:hint="eastAsia"/>
                <w:u w:val="single"/>
                <w:lang w:val="en-US" w:eastAsia="zh-CN"/>
              </w:rPr>
            </w:pPr>
          </w:p>
        </w:tc>
        <w:tc>
          <w:tcPr>
            <w:tcW w:w="663" w:type="pct"/>
            <w:vAlign w:val="center"/>
          </w:tcPr>
          <w:p w14:paraId="362CD1A6">
            <w:pPr>
              <w:pStyle w:val="41"/>
              <w:bidi w:val="0"/>
              <w:rPr>
                <w:rFonts w:hint="default"/>
                <w:u w:val="single"/>
                <w:lang w:val="en-US" w:eastAsia="zh-CN"/>
              </w:rPr>
            </w:pPr>
            <w:r>
              <w:rPr>
                <w:rFonts w:hint="eastAsia" w:cs="Times New Roman"/>
                <w:color w:val="000000" w:themeColor="text1"/>
                <w:kern w:val="2"/>
                <w:sz w:val="21"/>
                <w:szCs w:val="21"/>
                <w:u w:val="single" w:color="auto"/>
                <w:lang w:val="en-US" w:eastAsia="zh-CN" w:bidi="ar-SA"/>
                <w14:textFill>
                  <w14:solidFill>
                    <w14:schemeClr w14:val="tx1"/>
                  </w14:solidFill>
                </w14:textFill>
              </w:rPr>
              <w:t>0.7295t/a</w:t>
            </w:r>
          </w:p>
        </w:tc>
        <w:tc>
          <w:tcPr>
            <w:tcW w:w="386" w:type="pct"/>
            <w:vAlign w:val="center"/>
          </w:tcPr>
          <w:p w14:paraId="46047A5E">
            <w:pPr>
              <w:pStyle w:val="41"/>
              <w:bidi w:val="0"/>
              <w:rPr>
                <w:rFonts w:hint="eastAsia"/>
                <w:u w:val="single"/>
              </w:rPr>
            </w:pPr>
          </w:p>
        </w:tc>
        <w:tc>
          <w:tcPr>
            <w:tcW w:w="543" w:type="pct"/>
            <w:vAlign w:val="center"/>
          </w:tcPr>
          <w:p w14:paraId="4804FFD5">
            <w:pPr>
              <w:pStyle w:val="41"/>
              <w:bidi w:val="0"/>
              <w:rPr>
                <w:rFonts w:hint="default"/>
                <w:u w:val="single"/>
                <w:lang w:val="en-US" w:eastAsia="zh-CN"/>
              </w:rPr>
            </w:pPr>
            <w:r>
              <w:rPr>
                <w:rFonts w:hint="eastAsia" w:cs="Times New Roman"/>
                <w:color w:val="000000" w:themeColor="text1"/>
                <w:kern w:val="2"/>
                <w:sz w:val="21"/>
                <w:szCs w:val="21"/>
                <w:u w:val="single" w:color="auto"/>
                <w:lang w:val="en-US" w:eastAsia="zh-CN" w:bidi="ar-SA"/>
                <w14:textFill>
                  <w14:solidFill>
                    <w14:schemeClr w14:val="tx1"/>
                  </w14:solidFill>
                </w14:textFill>
              </w:rPr>
              <w:t>0.7295t/a</w:t>
            </w:r>
          </w:p>
        </w:tc>
        <w:tc>
          <w:tcPr>
            <w:tcW w:w="283" w:type="pct"/>
            <w:vAlign w:val="center"/>
          </w:tcPr>
          <w:p w14:paraId="16268AE6">
            <w:pPr>
              <w:pStyle w:val="41"/>
              <w:bidi w:val="0"/>
              <w:rPr>
                <w:rFonts w:hint="eastAsia"/>
              </w:rPr>
            </w:pPr>
          </w:p>
        </w:tc>
      </w:tr>
      <w:tr w14:paraId="56230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continue"/>
            <w:vAlign w:val="center"/>
          </w:tcPr>
          <w:p w14:paraId="7ED146A1">
            <w:pPr>
              <w:pStyle w:val="41"/>
              <w:bidi w:val="0"/>
            </w:pPr>
          </w:p>
        </w:tc>
        <w:tc>
          <w:tcPr>
            <w:tcW w:w="573" w:type="pct"/>
            <w:vMerge w:val="continue"/>
            <w:vAlign w:val="center"/>
          </w:tcPr>
          <w:p w14:paraId="6F8A5B56">
            <w:pPr>
              <w:pStyle w:val="41"/>
              <w:bidi w:val="0"/>
              <w:rPr>
                <w:rFonts w:hint="eastAsia"/>
                <w:u w:val="single"/>
                <w:lang w:val="en-US" w:eastAsia="zh-CN"/>
              </w:rPr>
            </w:pPr>
          </w:p>
        </w:tc>
        <w:tc>
          <w:tcPr>
            <w:tcW w:w="573" w:type="pct"/>
            <w:vAlign w:val="center"/>
          </w:tcPr>
          <w:p w14:paraId="3D6CC215">
            <w:pPr>
              <w:pStyle w:val="41"/>
              <w:bidi w:val="0"/>
              <w:rPr>
                <w:rFonts w:hint="default"/>
                <w:u w:val="single"/>
                <w:lang w:val="en-US" w:eastAsia="zh-CN"/>
              </w:rPr>
            </w:pPr>
            <w:r>
              <w:rPr>
                <w:rFonts w:hint="eastAsia"/>
                <w:u w:val="single"/>
                <w:lang w:val="en-US" w:eastAsia="zh-CN"/>
              </w:rPr>
              <w:t>苯系物</w:t>
            </w:r>
          </w:p>
        </w:tc>
        <w:tc>
          <w:tcPr>
            <w:tcW w:w="547" w:type="pct"/>
            <w:vAlign w:val="center"/>
          </w:tcPr>
          <w:p w14:paraId="7C211082">
            <w:pPr>
              <w:pStyle w:val="41"/>
              <w:bidi w:val="0"/>
              <w:rPr>
                <w:rFonts w:hint="eastAsia"/>
                <w:u w:val="single"/>
                <w:lang w:val="en-US" w:eastAsia="zh-CN"/>
              </w:rPr>
            </w:pPr>
          </w:p>
        </w:tc>
        <w:tc>
          <w:tcPr>
            <w:tcW w:w="526" w:type="pct"/>
            <w:vAlign w:val="center"/>
          </w:tcPr>
          <w:p w14:paraId="579C4859">
            <w:pPr>
              <w:pStyle w:val="41"/>
              <w:bidi w:val="0"/>
              <w:rPr>
                <w:rFonts w:hint="eastAsia"/>
                <w:u w:val="single"/>
                <w:lang w:val="en-US" w:eastAsia="zh-CN"/>
              </w:rPr>
            </w:pPr>
          </w:p>
        </w:tc>
        <w:tc>
          <w:tcPr>
            <w:tcW w:w="492" w:type="pct"/>
            <w:vAlign w:val="center"/>
          </w:tcPr>
          <w:p w14:paraId="099B7CA7">
            <w:pPr>
              <w:pStyle w:val="41"/>
              <w:bidi w:val="0"/>
              <w:rPr>
                <w:rFonts w:hint="eastAsia"/>
                <w:u w:val="single"/>
                <w:lang w:val="en-US" w:eastAsia="zh-CN"/>
              </w:rPr>
            </w:pPr>
          </w:p>
        </w:tc>
        <w:tc>
          <w:tcPr>
            <w:tcW w:w="663" w:type="pct"/>
            <w:vAlign w:val="center"/>
          </w:tcPr>
          <w:p w14:paraId="1E9ABC8F">
            <w:pPr>
              <w:pStyle w:val="41"/>
              <w:bidi w:val="0"/>
              <w:rPr>
                <w:rFonts w:hint="default" w:cs="Times New Roman"/>
                <w:color w:val="000000" w:themeColor="text1"/>
                <w:kern w:val="2"/>
                <w:sz w:val="21"/>
                <w:szCs w:val="21"/>
                <w:u w:val="single" w:color="auto"/>
                <w:lang w:val="en-US" w:eastAsia="zh-CN" w:bidi="ar-SA"/>
                <w14:textFill>
                  <w14:solidFill>
                    <w14:schemeClr w14:val="tx1"/>
                  </w14:solidFill>
                </w14:textFill>
              </w:rPr>
            </w:pPr>
            <w:r>
              <w:rPr>
                <w:rFonts w:hint="eastAsia" w:cs="Times New Roman"/>
                <w:color w:val="000000" w:themeColor="text1"/>
                <w:kern w:val="2"/>
                <w:sz w:val="21"/>
                <w:szCs w:val="21"/>
                <w:u w:val="single" w:color="auto"/>
                <w:lang w:val="en-US" w:eastAsia="zh-CN" w:bidi="ar-SA"/>
                <w14:textFill>
                  <w14:solidFill>
                    <w14:schemeClr w14:val="tx1"/>
                  </w14:solidFill>
                </w14:textFill>
              </w:rPr>
              <w:t>0.1265t/a</w:t>
            </w:r>
          </w:p>
        </w:tc>
        <w:tc>
          <w:tcPr>
            <w:tcW w:w="386" w:type="pct"/>
            <w:vAlign w:val="center"/>
          </w:tcPr>
          <w:p w14:paraId="55F1A597">
            <w:pPr>
              <w:pStyle w:val="41"/>
              <w:bidi w:val="0"/>
              <w:rPr>
                <w:rFonts w:hint="eastAsia"/>
                <w:u w:val="single"/>
              </w:rPr>
            </w:pPr>
          </w:p>
        </w:tc>
        <w:tc>
          <w:tcPr>
            <w:tcW w:w="543" w:type="pct"/>
            <w:vAlign w:val="center"/>
          </w:tcPr>
          <w:p w14:paraId="55C62EF8">
            <w:pPr>
              <w:pStyle w:val="41"/>
              <w:bidi w:val="0"/>
              <w:rPr>
                <w:rFonts w:hint="eastAsia" w:cs="Times New Roman"/>
                <w:color w:val="000000" w:themeColor="text1"/>
                <w:kern w:val="2"/>
                <w:sz w:val="21"/>
                <w:szCs w:val="21"/>
                <w:u w:val="single" w:color="auto"/>
                <w:lang w:val="en-US" w:eastAsia="zh-CN" w:bidi="ar-SA"/>
                <w14:textFill>
                  <w14:solidFill>
                    <w14:schemeClr w14:val="tx1"/>
                  </w14:solidFill>
                </w14:textFill>
              </w:rPr>
            </w:pPr>
            <w:r>
              <w:rPr>
                <w:rFonts w:hint="eastAsia" w:cs="Times New Roman"/>
                <w:color w:val="000000" w:themeColor="text1"/>
                <w:kern w:val="2"/>
                <w:sz w:val="21"/>
                <w:szCs w:val="21"/>
                <w:u w:val="single" w:color="auto"/>
                <w:lang w:val="en-US" w:eastAsia="zh-CN" w:bidi="ar-SA"/>
                <w14:textFill>
                  <w14:solidFill>
                    <w14:schemeClr w14:val="tx1"/>
                  </w14:solidFill>
                </w14:textFill>
              </w:rPr>
              <w:t>0.1265t/a</w:t>
            </w:r>
          </w:p>
        </w:tc>
        <w:tc>
          <w:tcPr>
            <w:tcW w:w="283" w:type="pct"/>
            <w:vAlign w:val="center"/>
          </w:tcPr>
          <w:p w14:paraId="70D36398">
            <w:pPr>
              <w:pStyle w:val="41"/>
              <w:bidi w:val="0"/>
              <w:rPr>
                <w:rFonts w:hint="eastAsia"/>
              </w:rPr>
            </w:pPr>
          </w:p>
        </w:tc>
      </w:tr>
      <w:tr w14:paraId="25D2E8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restart"/>
            <w:vAlign w:val="center"/>
          </w:tcPr>
          <w:p w14:paraId="75A8714F">
            <w:pPr>
              <w:pStyle w:val="41"/>
              <w:bidi w:val="0"/>
              <w:rPr>
                <w:rFonts w:hint="eastAsia"/>
                <w:lang w:eastAsia="zh-CN"/>
              </w:rPr>
            </w:pPr>
            <w:r>
              <w:rPr>
                <w:rFonts w:hint="eastAsia"/>
                <w:lang w:val="en-US" w:eastAsia="zh-CN"/>
              </w:rPr>
              <w:t>废水</w:t>
            </w:r>
          </w:p>
        </w:tc>
        <w:tc>
          <w:tcPr>
            <w:tcW w:w="1146" w:type="pct"/>
            <w:gridSpan w:val="2"/>
            <w:shd w:val="clear" w:color="auto" w:fill="auto"/>
            <w:vAlign w:val="center"/>
          </w:tcPr>
          <w:p w14:paraId="35F277F8">
            <w:pPr>
              <w:pStyle w:val="41"/>
              <w:bidi w:val="0"/>
              <w:rPr>
                <w:rFonts w:hint="default"/>
                <w:lang w:val="en-US" w:eastAsia="zh-CN"/>
              </w:rPr>
            </w:pPr>
            <w:r>
              <w:rPr>
                <w:rFonts w:hint="eastAsia"/>
                <w:lang w:val="en-US" w:eastAsia="zh-CN"/>
              </w:rPr>
              <w:t>废水量</w:t>
            </w:r>
          </w:p>
        </w:tc>
        <w:tc>
          <w:tcPr>
            <w:tcW w:w="547" w:type="pct"/>
            <w:shd w:val="clear" w:color="auto" w:fill="auto"/>
            <w:vAlign w:val="center"/>
          </w:tcPr>
          <w:p w14:paraId="24545228">
            <w:pPr>
              <w:pStyle w:val="41"/>
              <w:bidi w:val="0"/>
              <w:rPr>
                <w:rFonts w:hint="eastAsia"/>
                <w:lang w:val="en-US" w:eastAsia="zh-CN"/>
              </w:rPr>
            </w:pPr>
          </w:p>
        </w:tc>
        <w:tc>
          <w:tcPr>
            <w:tcW w:w="526" w:type="pct"/>
            <w:shd w:val="clear" w:color="auto" w:fill="auto"/>
            <w:vAlign w:val="center"/>
          </w:tcPr>
          <w:p w14:paraId="3BEA641D">
            <w:pPr>
              <w:pStyle w:val="41"/>
              <w:bidi w:val="0"/>
              <w:rPr>
                <w:rFonts w:hint="eastAsia"/>
                <w:lang w:val="en-US" w:eastAsia="zh-CN"/>
              </w:rPr>
            </w:pPr>
          </w:p>
        </w:tc>
        <w:tc>
          <w:tcPr>
            <w:tcW w:w="492" w:type="pct"/>
            <w:shd w:val="clear" w:color="auto" w:fill="auto"/>
            <w:vAlign w:val="center"/>
          </w:tcPr>
          <w:p w14:paraId="2F94395F">
            <w:pPr>
              <w:pStyle w:val="41"/>
              <w:bidi w:val="0"/>
              <w:rPr>
                <w:rFonts w:hint="eastAsia"/>
                <w:lang w:val="en-US" w:eastAsia="zh-CN"/>
              </w:rPr>
            </w:pPr>
          </w:p>
        </w:tc>
        <w:tc>
          <w:tcPr>
            <w:tcW w:w="663" w:type="pct"/>
            <w:shd w:val="clear" w:color="auto" w:fill="auto"/>
            <w:vAlign w:val="center"/>
          </w:tcPr>
          <w:p w14:paraId="23AFD6DB">
            <w:pPr>
              <w:pStyle w:val="41"/>
              <w:bidi w:val="0"/>
              <w:rPr>
                <w:rFonts w:hint="default"/>
                <w:lang w:val="en-US" w:eastAsia="zh-CN"/>
              </w:rPr>
            </w:pPr>
            <w:r>
              <w:rPr>
                <w:rFonts w:hint="eastAsia"/>
                <w:lang w:val="en-US" w:eastAsia="zh-CN"/>
              </w:rPr>
              <w:t>960m</w:t>
            </w:r>
            <w:r>
              <w:rPr>
                <w:rFonts w:hint="eastAsia"/>
                <w:vertAlign w:val="superscript"/>
                <w:lang w:val="en-US" w:eastAsia="zh-CN"/>
              </w:rPr>
              <w:t>3</w:t>
            </w:r>
            <w:r>
              <w:rPr>
                <w:rFonts w:hint="eastAsia"/>
                <w:lang w:val="en-US" w:eastAsia="zh-CN"/>
              </w:rPr>
              <w:t>/a</w:t>
            </w:r>
          </w:p>
        </w:tc>
        <w:tc>
          <w:tcPr>
            <w:tcW w:w="386" w:type="pct"/>
            <w:shd w:val="clear" w:color="auto" w:fill="auto"/>
            <w:vAlign w:val="center"/>
          </w:tcPr>
          <w:p w14:paraId="5108D1F9">
            <w:pPr>
              <w:pStyle w:val="41"/>
              <w:bidi w:val="0"/>
              <w:rPr>
                <w:rFonts w:hint="eastAsia"/>
                <w:lang w:val="en-US" w:eastAsia="zh-CN"/>
              </w:rPr>
            </w:pPr>
          </w:p>
        </w:tc>
        <w:tc>
          <w:tcPr>
            <w:tcW w:w="543" w:type="pct"/>
            <w:shd w:val="clear" w:color="auto" w:fill="auto"/>
            <w:vAlign w:val="center"/>
          </w:tcPr>
          <w:p w14:paraId="39CE5703">
            <w:pPr>
              <w:pStyle w:val="41"/>
              <w:bidi w:val="0"/>
              <w:rPr>
                <w:rFonts w:hint="eastAsia"/>
                <w:lang w:val="en-US" w:eastAsia="zh-CN"/>
              </w:rPr>
            </w:pPr>
            <w:r>
              <w:rPr>
                <w:rFonts w:hint="eastAsia"/>
                <w:lang w:val="en-US" w:eastAsia="zh-CN"/>
              </w:rPr>
              <w:t>960m</w:t>
            </w:r>
            <w:r>
              <w:rPr>
                <w:rFonts w:hint="eastAsia"/>
                <w:vertAlign w:val="superscript"/>
                <w:lang w:val="en-US" w:eastAsia="zh-CN"/>
              </w:rPr>
              <w:t>3</w:t>
            </w:r>
            <w:r>
              <w:rPr>
                <w:rFonts w:hint="eastAsia"/>
                <w:lang w:val="en-US" w:eastAsia="zh-CN"/>
              </w:rPr>
              <w:t>/a</w:t>
            </w:r>
          </w:p>
        </w:tc>
        <w:tc>
          <w:tcPr>
            <w:tcW w:w="283" w:type="pct"/>
            <w:shd w:val="clear" w:color="auto" w:fill="auto"/>
            <w:vAlign w:val="center"/>
          </w:tcPr>
          <w:p w14:paraId="02E0287C">
            <w:pPr>
              <w:pStyle w:val="41"/>
              <w:bidi w:val="0"/>
              <w:rPr>
                <w:rFonts w:hint="default"/>
                <w:lang w:val="en-US" w:eastAsia="zh-CN"/>
              </w:rPr>
            </w:pPr>
          </w:p>
        </w:tc>
      </w:tr>
      <w:tr w14:paraId="774581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10" w:type="pct"/>
            <w:vMerge w:val="continue"/>
            <w:vAlign w:val="center"/>
          </w:tcPr>
          <w:p w14:paraId="44B94014">
            <w:pPr>
              <w:pStyle w:val="41"/>
              <w:bidi w:val="0"/>
              <w:rPr>
                <w:rFonts w:hint="eastAsia"/>
                <w:lang w:eastAsia="zh-CN"/>
              </w:rPr>
            </w:pPr>
          </w:p>
        </w:tc>
        <w:tc>
          <w:tcPr>
            <w:tcW w:w="1146" w:type="pct"/>
            <w:gridSpan w:val="2"/>
            <w:shd w:val="clear" w:color="auto" w:fill="auto"/>
            <w:vAlign w:val="center"/>
          </w:tcPr>
          <w:p w14:paraId="1D63DA97">
            <w:pPr>
              <w:pStyle w:val="41"/>
              <w:bidi w:val="0"/>
              <w:rPr>
                <w:rFonts w:hint="eastAsia"/>
                <w:lang w:val="en-US" w:eastAsia="zh-CN"/>
              </w:rPr>
            </w:pPr>
            <w:r>
              <w:t>COD</w:t>
            </w:r>
          </w:p>
        </w:tc>
        <w:tc>
          <w:tcPr>
            <w:tcW w:w="547" w:type="pct"/>
            <w:shd w:val="clear" w:color="auto" w:fill="auto"/>
            <w:vAlign w:val="center"/>
          </w:tcPr>
          <w:p w14:paraId="5948D202">
            <w:pPr>
              <w:pStyle w:val="41"/>
              <w:bidi w:val="0"/>
              <w:rPr>
                <w:rFonts w:hint="eastAsia"/>
                <w:lang w:val="en-US" w:eastAsia="zh-CN"/>
              </w:rPr>
            </w:pPr>
          </w:p>
        </w:tc>
        <w:tc>
          <w:tcPr>
            <w:tcW w:w="526" w:type="pct"/>
            <w:shd w:val="clear" w:color="auto" w:fill="auto"/>
            <w:vAlign w:val="center"/>
          </w:tcPr>
          <w:p w14:paraId="1DCC6A52">
            <w:pPr>
              <w:pStyle w:val="41"/>
              <w:bidi w:val="0"/>
              <w:rPr>
                <w:rFonts w:hint="eastAsia"/>
                <w:lang w:val="en-US" w:eastAsia="zh-CN"/>
              </w:rPr>
            </w:pPr>
          </w:p>
        </w:tc>
        <w:tc>
          <w:tcPr>
            <w:tcW w:w="492" w:type="pct"/>
            <w:shd w:val="clear" w:color="auto" w:fill="auto"/>
            <w:vAlign w:val="center"/>
          </w:tcPr>
          <w:p w14:paraId="11224738">
            <w:pPr>
              <w:pStyle w:val="41"/>
              <w:bidi w:val="0"/>
              <w:rPr>
                <w:rFonts w:hint="eastAsia"/>
                <w:lang w:val="en-US" w:eastAsia="zh-CN"/>
              </w:rPr>
            </w:pPr>
          </w:p>
        </w:tc>
        <w:tc>
          <w:tcPr>
            <w:tcW w:w="663" w:type="pct"/>
            <w:shd w:val="clear" w:color="auto" w:fill="auto"/>
            <w:vAlign w:val="center"/>
          </w:tcPr>
          <w:p w14:paraId="7328FCE0">
            <w:pPr>
              <w:pStyle w:val="41"/>
              <w:bidi w:val="0"/>
              <w:rPr>
                <w:rFonts w:hint="default"/>
                <w:lang w:val="en-US" w:eastAsia="zh-CN"/>
              </w:rPr>
            </w:pPr>
            <w:r>
              <w:rPr>
                <w:rFonts w:hint="eastAsia"/>
                <w:lang w:val="en-US" w:eastAsia="zh-CN"/>
              </w:rPr>
              <w:t>0.098t/a</w:t>
            </w:r>
          </w:p>
        </w:tc>
        <w:tc>
          <w:tcPr>
            <w:tcW w:w="386" w:type="pct"/>
            <w:shd w:val="clear" w:color="auto" w:fill="auto"/>
            <w:vAlign w:val="center"/>
          </w:tcPr>
          <w:p w14:paraId="1113CFF8">
            <w:pPr>
              <w:pStyle w:val="41"/>
              <w:bidi w:val="0"/>
              <w:rPr>
                <w:rFonts w:hint="eastAsia"/>
                <w:lang w:val="en-US" w:eastAsia="zh-CN"/>
              </w:rPr>
            </w:pPr>
          </w:p>
        </w:tc>
        <w:tc>
          <w:tcPr>
            <w:tcW w:w="543" w:type="pct"/>
            <w:shd w:val="clear" w:color="auto" w:fill="auto"/>
            <w:vAlign w:val="center"/>
          </w:tcPr>
          <w:p w14:paraId="59B3F924">
            <w:pPr>
              <w:pStyle w:val="41"/>
              <w:bidi w:val="0"/>
              <w:rPr>
                <w:rFonts w:hint="default"/>
                <w:lang w:val="en-US" w:eastAsia="zh-CN"/>
              </w:rPr>
            </w:pPr>
            <w:r>
              <w:rPr>
                <w:rFonts w:hint="eastAsia"/>
                <w:lang w:val="en-US" w:eastAsia="zh-CN"/>
              </w:rPr>
              <w:t>0.098t/a</w:t>
            </w:r>
          </w:p>
        </w:tc>
        <w:tc>
          <w:tcPr>
            <w:tcW w:w="283" w:type="pct"/>
            <w:shd w:val="clear" w:color="auto" w:fill="auto"/>
            <w:vAlign w:val="center"/>
          </w:tcPr>
          <w:p w14:paraId="0D99CB9E">
            <w:pPr>
              <w:pStyle w:val="41"/>
              <w:bidi w:val="0"/>
              <w:rPr>
                <w:rFonts w:hint="default"/>
                <w:lang w:val="en-US" w:eastAsia="zh-CN"/>
              </w:rPr>
            </w:pPr>
          </w:p>
        </w:tc>
      </w:tr>
      <w:tr w14:paraId="2232F4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10" w:type="pct"/>
            <w:vMerge w:val="continue"/>
            <w:vAlign w:val="center"/>
          </w:tcPr>
          <w:p w14:paraId="38DAD8F0">
            <w:pPr>
              <w:pStyle w:val="41"/>
              <w:bidi w:val="0"/>
            </w:pPr>
          </w:p>
        </w:tc>
        <w:tc>
          <w:tcPr>
            <w:tcW w:w="1146" w:type="pct"/>
            <w:gridSpan w:val="2"/>
            <w:shd w:val="clear" w:color="auto" w:fill="auto"/>
            <w:vAlign w:val="center"/>
          </w:tcPr>
          <w:p w14:paraId="6CB5C3E1">
            <w:pPr>
              <w:pStyle w:val="41"/>
              <w:bidi w:val="0"/>
              <w:rPr>
                <w:rFonts w:hint="eastAsia"/>
                <w:lang w:val="en-US" w:eastAsia="zh-CN"/>
              </w:rPr>
            </w:pPr>
            <w:r>
              <w:t>NH</w:t>
            </w:r>
            <w:r>
              <w:rPr>
                <w:vertAlign w:val="subscript"/>
              </w:rPr>
              <w:t>3</w:t>
            </w:r>
            <w:r>
              <w:t>-N</w:t>
            </w:r>
          </w:p>
        </w:tc>
        <w:tc>
          <w:tcPr>
            <w:tcW w:w="547" w:type="pct"/>
            <w:shd w:val="clear" w:color="auto" w:fill="auto"/>
            <w:vAlign w:val="center"/>
          </w:tcPr>
          <w:p w14:paraId="379A04B7">
            <w:pPr>
              <w:pStyle w:val="41"/>
              <w:bidi w:val="0"/>
              <w:rPr>
                <w:rFonts w:hint="eastAsia"/>
                <w:lang w:val="en-US" w:eastAsia="zh-CN"/>
              </w:rPr>
            </w:pPr>
          </w:p>
        </w:tc>
        <w:tc>
          <w:tcPr>
            <w:tcW w:w="526" w:type="pct"/>
            <w:shd w:val="clear" w:color="auto" w:fill="auto"/>
            <w:vAlign w:val="center"/>
          </w:tcPr>
          <w:p w14:paraId="360518F8">
            <w:pPr>
              <w:pStyle w:val="41"/>
              <w:bidi w:val="0"/>
              <w:rPr>
                <w:rFonts w:hint="eastAsia"/>
                <w:lang w:val="en-US" w:eastAsia="zh-CN"/>
              </w:rPr>
            </w:pPr>
          </w:p>
        </w:tc>
        <w:tc>
          <w:tcPr>
            <w:tcW w:w="492" w:type="pct"/>
            <w:shd w:val="clear" w:color="auto" w:fill="auto"/>
            <w:vAlign w:val="center"/>
          </w:tcPr>
          <w:p w14:paraId="0EE5122C">
            <w:pPr>
              <w:pStyle w:val="41"/>
              <w:bidi w:val="0"/>
              <w:rPr>
                <w:rFonts w:hint="eastAsia"/>
                <w:lang w:val="en-US" w:eastAsia="zh-CN"/>
              </w:rPr>
            </w:pPr>
          </w:p>
        </w:tc>
        <w:tc>
          <w:tcPr>
            <w:tcW w:w="663" w:type="pct"/>
            <w:shd w:val="clear" w:color="auto" w:fill="auto"/>
            <w:vAlign w:val="center"/>
          </w:tcPr>
          <w:p w14:paraId="33A7A148">
            <w:pPr>
              <w:pStyle w:val="41"/>
              <w:bidi w:val="0"/>
              <w:rPr>
                <w:rFonts w:hint="default"/>
                <w:lang w:val="en-US" w:eastAsia="zh-CN"/>
              </w:rPr>
            </w:pPr>
            <w:r>
              <w:rPr>
                <w:rFonts w:hint="eastAsia"/>
                <w:lang w:val="en-US" w:eastAsia="zh-CN"/>
              </w:rPr>
              <w:t>0.013t/a</w:t>
            </w:r>
          </w:p>
        </w:tc>
        <w:tc>
          <w:tcPr>
            <w:tcW w:w="386" w:type="pct"/>
            <w:shd w:val="clear" w:color="auto" w:fill="auto"/>
            <w:vAlign w:val="center"/>
          </w:tcPr>
          <w:p w14:paraId="6D1DACC1">
            <w:pPr>
              <w:pStyle w:val="41"/>
              <w:bidi w:val="0"/>
              <w:rPr>
                <w:rFonts w:hint="eastAsia"/>
                <w:lang w:val="en-US" w:eastAsia="zh-CN"/>
              </w:rPr>
            </w:pPr>
          </w:p>
        </w:tc>
        <w:tc>
          <w:tcPr>
            <w:tcW w:w="543" w:type="pct"/>
            <w:shd w:val="clear" w:color="auto" w:fill="auto"/>
            <w:vAlign w:val="center"/>
          </w:tcPr>
          <w:p w14:paraId="54A2F665">
            <w:pPr>
              <w:pStyle w:val="41"/>
              <w:bidi w:val="0"/>
              <w:rPr>
                <w:rFonts w:hint="default"/>
                <w:lang w:val="en-US" w:eastAsia="zh-CN"/>
              </w:rPr>
            </w:pPr>
            <w:r>
              <w:rPr>
                <w:rFonts w:hint="eastAsia"/>
                <w:lang w:val="en-US" w:eastAsia="zh-CN"/>
              </w:rPr>
              <w:t>0.013t/a</w:t>
            </w:r>
          </w:p>
        </w:tc>
        <w:tc>
          <w:tcPr>
            <w:tcW w:w="283" w:type="pct"/>
            <w:shd w:val="clear" w:color="auto" w:fill="auto"/>
            <w:vAlign w:val="center"/>
          </w:tcPr>
          <w:p w14:paraId="6AF202F1">
            <w:pPr>
              <w:pStyle w:val="41"/>
              <w:bidi w:val="0"/>
              <w:rPr>
                <w:rFonts w:hint="default"/>
                <w:lang w:val="en-US" w:eastAsia="zh-CN"/>
              </w:rPr>
            </w:pPr>
          </w:p>
        </w:tc>
      </w:tr>
      <w:tr w14:paraId="5DFBA9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10" w:type="pct"/>
            <w:vMerge w:val="continue"/>
            <w:vAlign w:val="center"/>
          </w:tcPr>
          <w:p w14:paraId="253434C4">
            <w:pPr>
              <w:pStyle w:val="41"/>
              <w:bidi w:val="0"/>
            </w:pPr>
          </w:p>
        </w:tc>
        <w:tc>
          <w:tcPr>
            <w:tcW w:w="1146" w:type="pct"/>
            <w:gridSpan w:val="2"/>
            <w:shd w:val="clear" w:color="auto" w:fill="auto"/>
            <w:vAlign w:val="center"/>
          </w:tcPr>
          <w:p w14:paraId="1C9A8EFB">
            <w:pPr>
              <w:pStyle w:val="41"/>
              <w:bidi w:val="0"/>
              <w:rPr>
                <w:rFonts w:hint="eastAsia"/>
                <w:lang w:val="en-US" w:eastAsia="zh-CN"/>
              </w:rPr>
            </w:pPr>
            <w:r>
              <w:rPr>
                <w:rFonts w:hint="eastAsia"/>
                <w:lang w:val="en-US" w:eastAsia="zh-CN"/>
              </w:rPr>
              <w:t>TP</w:t>
            </w:r>
          </w:p>
        </w:tc>
        <w:tc>
          <w:tcPr>
            <w:tcW w:w="547" w:type="pct"/>
            <w:shd w:val="clear" w:color="auto" w:fill="auto"/>
            <w:vAlign w:val="center"/>
          </w:tcPr>
          <w:p w14:paraId="0F22DBDC">
            <w:pPr>
              <w:pStyle w:val="41"/>
              <w:bidi w:val="0"/>
              <w:rPr>
                <w:rFonts w:hint="eastAsia"/>
                <w:lang w:val="en-US" w:eastAsia="zh-CN"/>
              </w:rPr>
            </w:pPr>
          </w:p>
        </w:tc>
        <w:tc>
          <w:tcPr>
            <w:tcW w:w="526" w:type="pct"/>
            <w:shd w:val="clear" w:color="auto" w:fill="auto"/>
            <w:vAlign w:val="center"/>
          </w:tcPr>
          <w:p w14:paraId="4E892B9F">
            <w:pPr>
              <w:pStyle w:val="41"/>
              <w:bidi w:val="0"/>
              <w:rPr>
                <w:rFonts w:hint="eastAsia"/>
                <w:lang w:val="en-US" w:eastAsia="zh-CN"/>
              </w:rPr>
            </w:pPr>
          </w:p>
        </w:tc>
        <w:tc>
          <w:tcPr>
            <w:tcW w:w="492" w:type="pct"/>
            <w:shd w:val="clear" w:color="auto" w:fill="auto"/>
            <w:vAlign w:val="center"/>
          </w:tcPr>
          <w:p w14:paraId="6DF0A3AF">
            <w:pPr>
              <w:pStyle w:val="41"/>
              <w:bidi w:val="0"/>
              <w:rPr>
                <w:rFonts w:hint="eastAsia"/>
                <w:lang w:val="en-US" w:eastAsia="zh-CN"/>
              </w:rPr>
            </w:pPr>
          </w:p>
        </w:tc>
        <w:tc>
          <w:tcPr>
            <w:tcW w:w="663" w:type="pct"/>
            <w:shd w:val="clear" w:color="auto" w:fill="auto"/>
            <w:vAlign w:val="center"/>
          </w:tcPr>
          <w:p w14:paraId="098D2F6B">
            <w:pPr>
              <w:pStyle w:val="41"/>
              <w:bidi w:val="0"/>
              <w:rPr>
                <w:rFonts w:hint="default"/>
                <w:lang w:val="en-US" w:eastAsia="zh-CN"/>
              </w:rPr>
            </w:pPr>
            <w:r>
              <w:rPr>
                <w:rFonts w:hint="eastAsia"/>
                <w:lang w:val="en-US" w:eastAsia="zh-CN"/>
              </w:rPr>
              <w:t>0.002t/a</w:t>
            </w:r>
          </w:p>
        </w:tc>
        <w:tc>
          <w:tcPr>
            <w:tcW w:w="386" w:type="pct"/>
            <w:shd w:val="clear" w:color="auto" w:fill="auto"/>
            <w:vAlign w:val="center"/>
          </w:tcPr>
          <w:p w14:paraId="64C2086F">
            <w:pPr>
              <w:pStyle w:val="41"/>
              <w:bidi w:val="0"/>
              <w:rPr>
                <w:rFonts w:hint="eastAsia"/>
                <w:lang w:val="en-US" w:eastAsia="zh-CN"/>
              </w:rPr>
            </w:pPr>
          </w:p>
        </w:tc>
        <w:tc>
          <w:tcPr>
            <w:tcW w:w="543" w:type="pct"/>
            <w:shd w:val="clear" w:color="auto" w:fill="auto"/>
            <w:vAlign w:val="center"/>
          </w:tcPr>
          <w:p w14:paraId="54A4D2D9">
            <w:pPr>
              <w:pStyle w:val="41"/>
              <w:bidi w:val="0"/>
              <w:rPr>
                <w:rFonts w:hint="default"/>
                <w:lang w:val="en-US" w:eastAsia="zh-CN"/>
              </w:rPr>
            </w:pPr>
            <w:r>
              <w:rPr>
                <w:rFonts w:hint="eastAsia"/>
                <w:lang w:val="en-US" w:eastAsia="zh-CN"/>
              </w:rPr>
              <w:t>0.002t/a</w:t>
            </w:r>
          </w:p>
        </w:tc>
        <w:tc>
          <w:tcPr>
            <w:tcW w:w="283" w:type="pct"/>
            <w:shd w:val="clear" w:color="auto" w:fill="auto"/>
            <w:vAlign w:val="center"/>
          </w:tcPr>
          <w:p w14:paraId="2753EF19">
            <w:pPr>
              <w:pStyle w:val="41"/>
              <w:bidi w:val="0"/>
              <w:rPr>
                <w:rFonts w:hint="default"/>
                <w:lang w:val="en-US" w:eastAsia="zh-CN"/>
              </w:rPr>
            </w:pPr>
          </w:p>
        </w:tc>
      </w:tr>
      <w:tr w14:paraId="22DFA3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restart"/>
            <w:vAlign w:val="center"/>
          </w:tcPr>
          <w:p w14:paraId="38ACCDA5">
            <w:pPr>
              <w:pStyle w:val="41"/>
              <w:bidi w:val="0"/>
            </w:pPr>
            <w:r>
              <w:t>一般工业固体废物</w:t>
            </w:r>
          </w:p>
        </w:tc>
        <w:tc>
          <w:tcPr>
            <w:tcW w:w="1146" w:type="pct"/>
            <w:gridSpan w:val="2"/>
            <w:vAlign w:val="center"/>
          </w:tcPr>
          <w:p w14:paraId="745A5154">
            <w:pPr>
              <w:pStyle w:val="41"/>
              <w:bidi w:val="0"/>
              <w:rPr>
                <w:rFonts w:hint="default"/>
                <w:lang w:val="en-US" w:eastAsia="zh-CN"/>
              </w:rPr>
            </w:pPr>
            <w:r>
              <w:rPr>
                <w:rFonts w:hint="eastAsia"/>
                <w:lang w:val="en-US" w:eastAsia="zh-CN"/>
              </w:rPr>
              <w:t>废铜线边角料</w:t>
            </w:r>
          </w:p>
        </w:tc>
        <w:tc>
          <w:tcPr>
            <w:tcW w:w="547" w:type="pct"/>
            <w:vAlign w:val="center"/>
          </w:tcPr>
          <w:p w14:paraId="5F9BF9B1">
            <w:pPr>
              <w:pStyle w:val="41"/>
              <w:bidi w:val="0"/>
              <w:rPr>
                <w:lang w:val="en-US" w:eastAsia="zh-CN"/>
              </w:rPr>
            </w:pPr>
          </w:p>
        </w:tc>
        <w:tc>
          <w:tcPr>
            <w:tcW w:w="526" w:type="pct"/>
            <w:vAlign w:val="center"/>
          </w:tcPr>
          <w:p w14:paraId="2F5FCA17">
            <w:pPr>
              <w:pStyle w:val="41"/>
              <w:bidi w:val="0"/>
              <w:rPr>
                <w:lang w:val="en-US" w:eastAsia="zh-CN"/>
              </w:rPr>
            </w:pPr>
          </w:p>
        </w:tc>
        <w:tc>
          <w:tcPr>
            <w:tcW w:w="492" w:type="pct"/>
            <w:vAlign w:val="center"/>
          </w:tcPr>
          <w:p w14:paraId="3E8F2BFA">
            <w:pPr>
              <w:pStyle w:val="41"/>
              <w:bidi w:val="0"/>
              <w:rPr>
                <w:lang w:val="en-US" w:eastAsia="zh-CN"/>
              </w:rPr>
            </w:pPr>
          </w:p>
        </w:tc>
        <w:tc>
          <w:tcPr>
            <w:tcW w:w="663" w:type="pct"/>
            <w:vAlign w:val="center"/>
          </w:tcPr>
          <w:p w14:paraId="13D0A372">
            <w:pPr>
              <w:pStyle w:val="41"/>
              <w:bidi w:val="0"/>
              <w:rPr>
                <w:rFonts w:hint="default"/>
                <w:lang w:val="en-US" w:eastAsia="zh-CN"/>
              </w:rPr>
            </w:pPr>
            <w:r>
              <w:rPr>
                <w:rFonts w:hint="eastAsia"/>
                <w:lang w:val="en-US" w:eastAsia="zh-CN"/>
              </w:rPr>
              <w:t>0.2</w:t>
            </w:r>
            <w:r>
              <w:rPr>
                <w:rFonts w:hint="eastAsia"/>
              </w:rPr>
              <w:t>t/a</w:t>
            </w:r>
          </w:p>
        </w:tc>
        <w:tc>
          <w:tcPr>
            <w:tcW w:w="386" w:type="pct"/>
            <w:vAlign w:val="center"/>
          </w:tcPr>
          <w:p w14:paraId="7D8687D3">
            <w:pPr>
              <w:pStyle w:val="41"/>
              <w:bidi w:val="0"/>
              <w:rPr>
                <w:lang w:val="en-US" w:eastAsia="zh-CN"/>
              </w:rPr>
            </w:pPr>
          </w:p>
        </w:tc>
        <w:tc>
          <w:tcPr>
            <w:tcW w:w="543" w:type="pct"/>
            <w:vAlign w:val="center"/>
          </w:tcPr>
          <w:p w14:paraId="3CB39AA2">
            <w:pPr>
              <w:pStyle w:val="41"/>
              <w:bidi w:val="0"/>
              <w:rPr>
                <w:rFonts w:hint="eastAsia"/>
                <w:lang w:val="en-US" w:eastAsia="zh-CN"/>
              </w:rPr>
            </w:pPr>
            <w:r>
              <w:rPr>
                <w:rFonts w:hint="eastAsia"/>
                <w:lang w:val="en-US" w:eastAsia="zh-CN"/>
              </w:rPr>
              <w:t>0.2</w:t>
            </w:r>
            <w:r>
              <w:rPr>
                <w:rFonts w:hint="eastAsia"/>
              </w:rPr>
              <w:t>t/a</w:t>
            </w:r>
          </w:p>
        </w:tc>
        <w:tc>
          <w:tcPr>
            <w:tcW w:w="283" w:type="pct"/>
            <w:vAlign w:val="center"/>
          </w:tcPr>
          <w:p w14:paraId="7F78ADF9">
            <w:pPr>
              <w:pStyle w:val="41"/>
              <w:bidi w:val="0"/>
              <w:rPr>
                <w:rFonts w:hint="eastAsia"/>
                <w:lang w:val="en-US" w:eastAsia="zh-CN"/>
              </w:rPr>
            </w:pPr>
          </w:p>
        </w:tc>
      </w:tr>
      <w:tr w14:paraId="33E9CB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continue"/>
            <w:vAlign w:val="center"/>
          </w:tcPr>
          <w:p w14:paraId="46FE242B">
            <w:pPr>
              <w:pStyle w:val="41"/>
              <w:bidi w:val="0"/>
            </w:pPr>
          </w:p>
        </w:tc>
        <w:tc>
          <w:tcPr>
            <w:tcW w:w="1146" w:type="pct"/>
            <w:gridSpan w:val="2"/>
            <w:vAlign w:val="center"/>
          </w:tcPr>
          <w:p w14:paraId="46FC2E0C">
            <w:pPr>
              <w:pStyle w:val="41"/>
              <w:bidi w:val="0"/>
              <w:rPr>
                <w:rFonts w:hint="default"/>
                <w:lang w:val="zh-CN" w:eastAsia="zh-CN"/>
              </w:rPr>
            </w:pPr>
            <w:r>
              <w:rPr>
                <w:rFonts w:hint="eastAsia"/>
                <w:lang w:val="en-US" w:eastAsia="zh-CN"/>
              </w:rPr>
              <w:t>不合格品</w:t>
            </w:r>
          </w:p>
        </w:tc>
        <w:tc>
          <w:tcPr>
            <w:tcW w:w="547" w:type="pct"/>
            <w:vAlign w:val="center"/>
          </w:tcPr>
          <w:p w14:paraId="3835EE29">
            <w:pPr>
              <w:pStyle w:val="41"/>
              <w:bidi w:val="0"/>
              <w:rPr>
                <w:lang w:val="en-US" w:eastAsia="zh-CN"/>
              </w:rPr>
            </w:pPr>
          </w:p>
        </w:tc>
        <w:tc>
          <w:tcPr>
            <w:tcW w:w="526" w:type="pct"/>
            <w:vAlign w:val="center"/>
          </w:tcPr>
          <w:p w14:paraId="2FAD56DA">
            <w:pPr>
              <w:pStyle w:val="41"/>
              <w:bidi w:val="0"/>
              <w:rPr>
                <w:lang w:val="en-US" w:eastAsia="zh-CN"/>
              </w:rPr>
            </w:pPr>
          </w:p>
        </w:tc>
        <w:tc>
          <w:tcPr>
            <w:tcW w:w="492" w:type="pct"/>
            <w:vAlign w:val="center"/>
          </w:tcPr>
          <w:p w14:paraId="529367CC">
            <w:pPr>
              <w:pStyle w:val="41"/>
              <w:bidi w:val="0"/>
              <w:rPr>
                <w:lang w:val="en-US" w:eastAsia="zh-CN"/>
              </w:rPr>
            </w:pPr>
          </w:p>
        </w:tc>
        <w:tc>
          <w:tcPr>
            <w:tcW w:w="663" w:type="pct"/>
            <w:vAlign w:val="center"/>
          </w:tcPr>
          <w:p w14:paraId="38C95CA3">
            <w:pPr>
              <w:pStyle w:val="41"/>
              <w:bidi w:val="0"/>
              <w:rPr>
                <w:rFonts w:hint="default"/>
                <w:lang w:val="en-US" w:eastAsia="zh-CN"/>
              </w:rPr>
            </w:pPr>
            <w:r>
              <w:rPr>
                <w:rFonts w:hint="eastAsia"/>
                <w:lang w:val="en-US" w:eastAsia="zh-CN"/>
              </w:rPr>
              <w:t>0.1</w:t>
            </w:r>
            <w:r>
              <w:rPr>
                <w:rFonts w:hint="eastAsia"/>
              </w:rPr>
              <w:t>t/a</w:t>
            </w:r>
          </w:p>
        </w:tc>
        <w:tc>
          <w:tcPr>
            <w:tcW w:w="386" w:type="pct"/>
            <w:vAlign w:val="center"/>
          </w:tcPr>
          <w:p w14:paraId="70566712">
            <w:pPr>
              <w:pStyle w:val="41"/>
              <w:bidi w:val="0"/>
              <w:rPr>
                <w:lang w:val="en-US" w:eastAsia="zh-CN"/>
              </w:rPr>
            </w:pPr>
          </w:p>
        </w:tc>
        <w:tc>
          <w:tcPr>
            <w:tcW w:w="543" w:type="pct"/>
            <w:vAlign w:val="center"/>
          </w:tcPr>
          <w:p w14:paraId="4EADF5A7">
            <w:pPr>
              <w:pStyle w:val="41"/>
              <w:bidi w:val="0"/>
              <w:rPr>
                <w:rFonts w:hint="eastAsia"/>
                <w:lang w:val="en-US" w:eastAsia="zh-CN"/>
              </w:rPr>
            </w:pPr>
            <w:r>
              <w:rPr>
                <w:rFonts w:hint="eastAsia"/>
                <w:lang w:val="en-US" w:eastAsia="zh-CN"/>
              </w:rPr>
              <w:t>0.1</w:t>
            </w:r>
            <w:r>
              <w:rPr>
                <w:rFonts w:hint="eastAsia"/>
              </w:rPr>
              <w:t>t/a</w:t>
            </w:r>
          </w:p>
        </w:tc>
        <w:tc>
          <w:tcPr>
            <w:tcW w:w="283" w:type="pct"/>
            <w:vAlign w:val="center"/>
          </w:tcPr>
          <w:p w14:paraId="3B68712F">
            <w:pPr>
              <w:pStyle w:val="41"/>
              <w:bidi w:val="0"/>
              <w:rPr>
                <w:rFonts w:hint="eastAsia"/>
                <w:lang w:val="en-US" w:eastAsia="zh-CN"/>
              </w:rPr>
            </w:pPr>
          </w:p>
        </w:tc>
      </w:tr>
      <w:tr w14:paraId="504412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continue"/>
            <w:vAlign w:val="center"/>
          </w:tcPr>
          <w:p w14:paraId="4F2D9985">
            <w:pPr>
              <w:pStyle w:val="41"/>
              <w:bidi w:val="0"/>
            </w:pPr>
          </w:p>
        </w:tc>
        <w:tc>
          <w:tcPr>
            <w:tcW w:w="1146" w:type="pct"/>
            <w:gridSpan w:val="2"/>
            <w:vAlign w:val="center"/>
          </w:tcPr>
          <w:p w14:paraId="4F5B327F">
            <w:pPr>
              <w:pStyle w:val="41"/>
              <w:bidi w:val="0"/>
              <w:rPr>
                <w:rFonts w:hint="default"/>
                <w:lang w:val="zh-CN" w:eastAsia="zh-CN"/>
              </w:rPr>
            </w:pPr>
            <w:r>
              <w:rPr>
                <w:rFonts w:hint="eastAsia"/>
                <w:lang w:val="en-US" w:eastAsia="zh-CN"/>
              </w:rPr>
              <w:t>锡渣</w:t>
            </w:r>
          </w:p>
        </w:tc>
        <w:tc>
          <w:tcPr>
            <w:tcW w:w="547" w:type="pct"/>
            <w:vAlign w:val="center"/>
          </w:tcPr>
          <w:p w14:paraId="4D3DCB1B">
            <w:pPr>
              <w:pStyle w:val="41"/>
              <w:bidi w:val="0"/>
              <w:rPr>
                <w:lang w:val="en-US" w:eastAsia="zh-CN"/>
              </w:rPr>
            </w:pPr>
          </w:p>
        </w:tc>
        <w:tc>
          <w:tcPr>
            <w:tcW w:w="526" w:type="pct"/>
            <w:vAlign w:val="center"/>
          </w:tcPr>
          <w:p w14:paraId="1E9E8AEC">
            <w:pPr>
              <w:pStyle w:val="41"/>
              <w:bidi w:val="0"/>
              <w:rPr>
                <w:lang w:val="en-US" w:eastAsia="zh-CN"/>
              </w:rPr>
            </w:pPr>
          </w:p>
        </w:tc>
        <w:tc>
          <w:tcPr>
            <w:tcW w:w="492" w:type="pct"/>
            <w:vAlign w:val="center"/>
          </w:tcPr>
          <w:p w14:paraId="73B75A51">
            <w:pPr>
              <w:pStyle w:val="41"/>
              <w:bidi w:val="0"/>
              <w:rPr>
                <w:lang w:val="en-US" w:eastAsia="zh-CN"/>
              </w:rPr>
            </w:pPr>
          </w:p>
        </w:tc>
        <w:tc>
          <w:tcPr>
            <w:tcW w:w="663" w:type="pct"/>
            <w:vAlign w:val="center"/>
          </w:tcPr>
          <w:p w14:paraId="0C63A5A5">
            <w:pPr>
              <w:pStyle w:val="41"/>
              <w:bidi w:val="0"/>
              <w:rPr>
                <w:rFonts w:hint="default"/>
                <w:lang w:val="en-US" w:eastAsia="zh-CN"/>
              </w:rPr>
            </w:pPr>
            <w:r>
              <w:rPr>
                <w:rFonts w:hint="eastAsia"/>
                <w:lang w:val="en-US" w:eastAsia="zh-CN"/>
              </w:rPr>
              <w:t>0.01</w:t>
            </w:r>
            <w:r>
              <w:rPr>
                <w:rFonts w:hint="eastAsia"/>
              </w:rPr>
              <w:t>t/a</w:t>
            </w:r>
          </w:p>
        </w:tc>
        <w:tc>
          <w:tcPr>
            <w:tcW w:w="386" w:type="pct"/>
            <w:vAlign w:val="center"/>
          </w:tcPr>
          <w:p w14:paraId="7C9DAB96">
            <w:pPr>
              <w:pStyle w:val="41"/>
              <w:bidi w:val="0"/>
              <w:rPr>
                <w:lang w:val="en-US" w:eastAsia="zh-CN"/>
              </w:rPr>
            </w:pPr>
          </w:p>
        </w:tc>
        <w:tc>
          <w:tcPr>
            <w:tcW w:w="543" w:type="pct"/>
            <w:vAlign w:val="center"/>
          </w:tcPr>
          <w:p w14:paraId="5D118083">
            <w:pPr>
              <w:pStyle w:val="41"/>
              <w:bidi w:val="0"/>
              <w:rPr>
                <w:rFonts w:hint="eastAsia"/>
                <w:lang w:val="en-US" w:eastAsia="zh-CN"/>
              </w:rPr>
            </w:pPr>
            <w:r>
              <w:rPr>
                <w:rFonts w:hint="eastAsia"/>
                <w:lang w:val="en-US" w:eastAsia="zh-CN"/>
              </w:rPr>
              <w:t>0.01</w:t>
            </w:r>
            <w:r>
              <w:rPr>
                <w:rFonts w:hint="eastAsia"/>
              </w:rPr>
              <w:t>t/a</w:t>
            </w:r>
          </w:p>
        </w:tc>
        <w:tc>
          <w:tcPr>
            <w:tcW w:w="283" w:type="pct"/>
            <w:vAlign w:val="center"/>
          </w:tcPr>
          <w:p w14:paraId="04D82771">
            <w:pPr>
              <w:pStyle w:val="41"/>
              <w:bidi w:val="0"/>
              <w:rPr>
                <w:rFonts w:hint="eastAsia"/>
                <w:lang w:val="en-US" w:eastAsia="zh-CN"/>
              </w:rPr>
            </w:pPr>
          </w:p>
        </w:tc>
      </w:tr>
      <w:tr w14:paraId="56957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restart"/>
            <w:vAlign w:val="center"/>
          </w:tcPr>
          <w:p w14:paraId="70B510EA">
            <w:pPr>
              <w:pStyle w:val="41"/>
              <w:bidi w:val="0"/>
            </w:pPr>
            <w:r>
              <w:t>危险废物</w:t>
            </w:r>
          </w:p>
        </w:tc>
        <w:tc>
          <w:tcPr>
            <w:tcW w:w="1146" w:type="pct"/>
            <w:gridSpan w:val="2"/>
            <w:vAlign w:val="center"/>
          </w:tcPr>
          <w:p w14:paraId="05692445">
            <w:pPr>
              <w:pStyle w:val="41"/>
              <w:bidi w:val="0"/>
              <w:rPr>
                <w:rFonts w:hint="default"/>
                <w:lang w:val="en-US" w:eastAsia="zh-CN"/>
              </w:rPr>
            </w:pPr>
            <w:r>
              <w:rPr>
                <w:rFonts w:hint="eastAsia"/>
                <w:lang w:val="en-US" w:eastAsia="zh-CN"/>
              </w:rPr>
              <w:t>废原料桶</w:t>
            </w:r>
          </w:p>
        </w:tc>
        <w:tc>
          <w:tcPr>
            <w:tcW w:w="547" w:type="pct"/>
            <w:vAlign w:val="center"/>
          </w:tcPr>
          <w:p w14:paraId="3E233B3C">
            <w:pPr>
              <w:pStyle w:val="41"/>
              <w:bidi w:val="0"/>
            </w:pPr>
          </w:p>
        </w:tc>
        <w:tc>
          <w:tcPr>
            <w:tcW w:w="526" w:type="pct"/>
            <w:vAlign w:val="center"/>
          </w:tcPr>
          <w:p w14:paraId="0F9F047A">
            <w:pPr>
              <w:pStyle w:val="41"/>
              <w:bidi w:val="0"/>
            </w:pPr>
          </w:p>
        </w:tc>
        <w:tc>
          <w:tcPr>
            <w:tcW w:w="492" w:type="pct"/>
            <w:vAlign w:val="center"/>
          </w:tcPr>
          <w:p w14:paraId="45BF6DF5">
            <w:pPr>
              <w:pStyle w:val="41"/>
              <w:bidi w:val="0"/>
            </w:pPr>
          </w:p>
        </w:tc>
        <w:tc>
          <w:tcPr>
            <w:tcW w:w="663" w:type="pct"/>
            <w:vAlign w:val="center"/>
          </w:tcPr>
          <w:p w14:paraId="6B8CE261">
            <w:pPr>
              <w:pStyle w:val="41"/>
              <w:bidi w:val="0"/>
              <w:rPr>
                <w:rFonts w:hint="default"/>
                <w:lang w:val="en-US" w:eastAsia="zh-CN"/>
              </w:rPr>
            </w:pPr>
            <w:r>
              <w:rPr>
                <w:rFonts w:hint="eastAsia"/>
                <w:lang w:val="en-US" w:eastAsia="zh-CN"/>
              </w:rPr>
              <w:t>0.05t/a</w:t>
            </w:r>
          </w:p>
        </w:tc>
        <w:tc>
          <w:tcPr>
            <w:tcW w:w="386" w:type="pct"/>
            <w:vAlign w:val="center"/>
          </w:tcPr>
          <w:p w14:paraId="1FD9ACCB">
            <w:pPr>
              <w:pStyle w:val="41"/>
              <w:bidi w:val="0"/>
            </w:pPr>
          </w:p>
        </w:tc>
        <w:tc>
          <w:tcPr>
            <w:tcW w:w="543" w:type="pct"/>
            <w:vAlign w:val="center"/>
          </w:tcPr>
          <w:p w14:paraId="569B3138">
            <w:pPr>
              <w:pStyle w:val="41"/>
              <w:bidi w:val="0"/>
              <w:rPr>
                <w:rFonts w:hint="eastAsia"/>
                <w:lang w:val="en-US" w:eastAsia="zh-CN"/>
              </w:rPr>
            </w:pPr>
            <w:r>
              <w:rPr>
                <w:rFonts w:hint="eastAsia"/>
                <w:lang w:val="en-US" w:eastAsia="zh-CN"/>
              </w:rPr>
              <w:t>0.05t/a</w:t>
            </w:r>
          </w:p>
        </w:tc>
        <w:tc>
          <w:tcPr>
            <w:tcW w:w="283" w:type="pct"/>
            <w:vAlign w:val="center"/>
          </w:tcPr>
          <w:p w14:paraId="0224B814">
            <w:pPr>
              <w:pStyle w:val="41"/>
              <w:bidi w:val="0"/>
              <w:rPr>
                <w:rFonts w:hint="default"/>
                <w:lang w:val="en-US" w:eastAsia="zh-CN"/>
              </w:rPr>
            </w:pPr>
          </w:p>
        </w:tc>
      </w:tr>
      <w:tr w14:paraId="33D466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continue"/>
            <w:vAlign w:val="center"/>
          </w:tcPr>
          <w:p w14:paraId="7B81D7CD">
            <w:pPr>
              <w:pStyle w:val="41"/>
              <w:bidi w:val="0"/>
            </w:pPr>
          </w:p>
        </w:tc>
        <w:tc>
          <w:tcPr>
            <w:tcW w:w="1146" w:type="pct"/>
            <w:gridSpan w:val="2"/>
            <w:vAlign w:val="center"/>
          </w:tcPr>
          <w:p w14:paraId="51456F65">
            <w:pPr>
              <w:pStyle w:val="41"/>
              <w:bidi w:val="0"/>
              <w:rPr>
                <w:rFonts w:hint="default"/>
                <w:u w:val="single"/>
                <w:lang w:val="en-US" w:eastAsia="zh-CN"/>
              </w:rPr>
            </w:pPr>
            <w:r>
              <w:rPr>
                <w:rFonts w:hint="eastAsia"/>
                <w:u w:val="single"/>
                <w:lang w:val="en-US" w:eastAsia="zh-CN"/>
              </w:rPr>
              <w:t>废过滤棉</w:t>
            </w:r>
          </w:p>
        </w:tc>
        <w:tc>
          <w:tcPr>
            <w:tcW w:w="547" w:type="pct"/>
            <w:vAlign w:val="center"/>
          </w:tcPr>
          <w:p w14:paraId="6833D548">
            <w:pPr>
              <w:pStyle w:val="41"/>
              <w:bidi w:val="0"/>
              <w:rPr>
                <w:u w:val="single"/>
              </w:rPr>
            </w:pPr>
          </w:p>
        </w:tc>
        <w:tc>
          <w:tcPr>
            <w:tcW w:w="526" w:type="pct"/>
            <w:vAlign w:val="center"/>
          </w:tcPr>
          <w:p w14:paraId="57BB92A7">
            <w:pPr>
              <w:pStyle w:val="41"/>
              <w:bidi w:val="0"/>
              <w:rPr>
                <w:u w:val="single"/>
              </w:rPr>
            </w:pPr>
          </w:p>
        </w:tc>
        <w:tc>
          <w:tcPr>
            <w:tcW w:w="492" w:type="pct"/>
            <w:vAlign w:val="center"/>
          </w:tcPr>
          <w:p w14:paraId="5102B9E1">
            <w:pPr>
              <w:pStyle w:val="41"/>
              <w:bidi w:val="0"/>
              <w:rPr>
                <w:u w:val="single"/>
              </w:rPr>
            </w:pPr>
          </w:p>
        </w:tc>
        <w:tc>
          <w:tcPr>
            <w:tcW w:w="663" w:type="pct"/>
            <w:vAlign w:val="center"/>
          </w:tcPr>
          <w:p w14:paraId="2C6C2403">
            <w:pPr>
              <w:pStyle w:val="41"/>
              <w:bidi w:val="0"/>
              <w:rPr>
                <w:rFonts w:hint="default"/>
                <w:u w:val="single"/>
                <w:lang w:val="en-US" w:eastAsia="zh-CN"/>
              </w:rPr>
            </w:pPr>
            <w:r>
              <w:rPr>
                <w:rFonts w:hint="eastAsia"/>
                <w:u w:val="single"/>
                <w:lang w:val="en-US" w:eastAsia="zh-CN"/>
              </w:rPr>
              <w:t>0.0003t/a</w:t>
            </w:r>
          </w:p>
        </w:tc>
        <w:tc>
          <w:tcPr>
            <w:tcW w:w="386" w:type="pct"/>
            <w:vAlign w:val="center"/>
          </w:tcPr>
          <w:p w14:paraId="7BEC0502">
            <w:pPr>
              <w:pStyle w:val="41"/>
              <w:bidi w:val="0"/>
              <w:rPr>
                <w:u w:val="single"/>
              </w:rPr>
            </w:pPr>
          </w:p>
        </w:tc>
        <w:tc>
          <w:tcPr>
            <w:tcW w:w="543" w:type="pct"/>
            <w:vAlign w:val="center"/>
          </w:tcPr>
          <w:p w14:paraId="27AF4869">
            <w:pPr>
              <w:pStyle w:val="41"/>
              <w:bidi w:val="0"/>
              <w:rPr>
                <w:rFonts w:hint="eastAsia"/>
                <w:u w:val="single"/>
                <w:lang w:val="en-US" w:eastAsia="zh-CN"/>
              </w:rPr>
            </w:pPr>
            <w:r>
              <w:rPr>
                <w:rFonts w:hint="eastAsia"/>
                <w:u w:val="single"/>
                <w:lang w:val="en-US" w:eastAsia="zh-CN"/>
              </w:rPr>
              <w:t>0.0003t/a</w:t>
            </w:r>
          </w:p>
        </w:tc>
        <w:tc>
          <w:tcPr>
            <w:tcW w:w="283" w:type="pct"/>
            <w:vAlign w:val="center"/>
          </w:tcPr>
          <w:p w14:paraId="298526FB">
            <w:pPr>
              <w:pStyle w:val="41"/>
              <w:bidi w:val="0"/>
              <w:rPr>
                <w:rFonts w:hint="default"/>
                <w:lang w:val="en-US" w:eastAsia="zh-CN"/>
              </w:rPr>
            </w:pPr>
          </w:p>
        </w:tc>
      </w:tr>
      <w:tr w14:paraId="0A08FD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continue"/>
            <w:vAlign w:val="center"/>
          </w:tcPr>
          <w:p w14:paraId="413BEBF3">
            <w:pPr>
              <w:pStyle w:val="41"/>
              <w:bidi w:val="0"/>
            </w:pPr>
          </w:p>
        </w:tc>
        <w:tc>
          <w:tcPr>
            <w:tcW w:w="1146" w:type="pct"/>
            <w:gridSpan w:val="2"/>
            <w:vAlign w:val="center"/>
          </w:tcPr>
          <w:p w14:paraId="5F3D49C9">
            <w:pPr>
              <w:pStyle w:val="41"/>
              <w:bidi w:val="0"/>
              <w:rPr>
                <w:rFonts w:hint="default"/>
                <w:u w:val="single"/>
                <w:lang w:val="en-US" w:eastAsia="zh-CN"/>
              </w:rPr>
            </w:pPr>
            <w:r>
              <w:rPr>
                <w:rFonts w:hint="eastAsia"/>
                <w:u w:val="single"/>
                <w:lang w:val="en-US" w:eastAsia="zh-CN"/>
              </w:rPr>
              <w:t>废活性炭</w:t>
            </w:r>
          </w:p>
        </w:tc>
        <w:tc>
          <w:tcPr>
            <w:tcW w:w="547" w:type="pct"/>
            <w:vAlign w:val="center"/>
          </w:tcPr>
          <w:p w14:paraId="4A1FC794">
            <w:pPr>
              <w:pStyle w:val="41"/>
              <w:bidi w:val="0"/>
              <w:rPr>
                <w:u w:val="single"/>
              </w:rPr>
            </w:pPr>
          </w:p>
        </w:tc>
        <w:tc>
          <w:tcPr>
            <w:tcW w:w="526" w:type="pct"/>
            <w:vAlign w:val="center"/>
          </w:tcPr>
          <w:p w14:paraId="32E61144">
            <w:pPr>
              <w:pStyle w:val="41"/>
              <w:bidi w:val="0"/>
              <w:rPr>
                <w:u w:val="single"/>
              </w:rPr>
            </w:pPr>
          </w:p>
        </w:tc>
        <w:tc>
          <w:tcPr>
            <w:tcW w:w="492" w:type="pct"/>
            <w:vAlign w:val="center"/>
          </w:tcPr>
          <w:p w14:paraId="1E82AF43">
            <w:pPr>
              <w:pStyle w:val="41"/>
              <w:bidi w:val="0"/>
              <w:rPr>
                <w:u w:val="single"/>
              </w:rPr>
            </w:pPr>
          </w:p>
        </w:tc>
        <w:tc>
          <w:tcPr>
            <w:tcW w:w="663" w:type="pct"/>
            <w:vAlign w:val="center"/>
          </w:tcPr>
          <w:p w14:paraId="67CA4FA6">
            <w:pPr>
              <w:pStyle w:val="41"/>
              <w:bidi w:val="0"/>
              <w:rPr>
                <w:rFonts w:hint="default"/>
                <w:u w:val="single"/>
                <w:lang w:val="en-US" w:eastAsia="zh-CN"/>
              </w:rPr>
            </w:pPr>
            <w:r>
              <w:rPr>
                <w:rFonts w:hint="eastAsia"/>
                <w:u w:val="single"/>
                <w:lang w:val="en-US" w:eastAsia="zh-CN"/>
              </w:rPr>
              <w:t>2.7185t/a</w:t>
            </w:r>
          </w:p>
        </w:tc>
        <w:tc>
          <w:tcPr>
            <w:tcW w:w="386" w:type="pct"/>
            <w:vAlign w:val="center"/>
          </w:tcPr>
          <w:p w14:paraId="03165369">
            <w:pPr>
              <w:pStyle w:val="41"/>
              <w:bidi w:val="0"/>
              <w:rPr>
                <w:u w:val="single"/>
              </w:rPr>
            </w:pPr>
          </w:p>
        </w:tc>
        <w:tc>
          <w:tcPr>
            <w:tcW w:w="543" w:type="pct"/>
            <w:vAlign w:val="center"/>
          </w:tcPr>
          <w:p w14:paraId="0D0385C1">
            <w:pPr>
              <w:pStyle w:val="41"/>
              <w:bidi w:val="0"/>
              <w:rPr>
                <w:rFonts w:hint="eastAsia"/>
                <w:u w:val="single"/>
                <w:lang w:val="en-US" w:eastAsia="zh-CN"/>
              </w:rPr>
            </w:pPr>
            <w:r>
              <w:rPr>
                <w:rFonts w:hint="eastAsia"/>
                <w:u w:val="single"/>
                <w:lang w:val="en-US" w:eastAsia="zh-CN"/>
              </w:rPr>
              <w:t>2.7185t/a</w:t>
            </w:r>
          </w:p>
        </w:tc>
        <w:tc>
          <w:tcPr>
            <w:tcW w:w="283" w:type="pct"/>
            <w:vAlign w:val="center"/>
          </w:tcPr>
          <w:p w14:paraId="7BA47B09">
            <w:pPr>
              <w:pStyle w:val="41"/>
              <w:bidi w:val="0"/>
              <w:rPr>
                <w:rFonts w:hint="default"/>
                <w:lang w:val="en-US" w:eastAsia="zh-CN"/>
              </w:rPr>
            </w:pPr>
          </w:p>
        </w:tc>
      </w:tr>
      <w:tr w14:paraId="0AC99A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continue"/>
            <w:vAlign w:val="center"/>
          </w:tcPr>
          <w:p w14:paraId="0B3A2CBB">
            <w:pPr>
              <w:pStyle w:val="41"/>
              <w:bidi w:val="0"/>
            </w:pPr>
          </w:p>
        </w:tc>
        <w:tc>
          <w:tcPr>
            <w:tcW w:w="1146" w:type="pct"/>
            <w:gridSpan w:val="2"/>
            <w:vAlign w:val="center"/>
          </w:tcPr>
          <w:p w14:paraId="79F8305A">
            <w:pPr>
              <w:pStyle w:val="41"/>
              <w:bidi w:val="0"/>
              <w:rPr>
                <w:rFonts w:hint="default"/>
                <w:u w:val="single"/>
                <w:lang w:val="en-US" w:eastAsia="zh-CN"/>
              </w:rPr>
            </w:pPr>
            <w:r>
              <w:rPr>
                <w:rFonts w:hint="eastAsia"/>
                <w:u w:val="single"/>
                <w:lang w:val="en-US" w:eastAsia="zh-CN"/>
              </w:rPr>
              <w:t>废润滑油</w:t>
            </w:r>
          </w:p>
        </w:tc>
        <w:tc>
          <w:tcPr>
            <w:tcW w:w="547" w:type="pct"/>
            <w:vAlign w:val="center"/>
          </w:tcPr>
          <w:p w14:paraId="3DEB2B3E">
            <w:pPr>
              <w:pStyle w:val="41"/>
              <w:bidi w:val="0"/>
              <w:rPr>
                <w:u w:val="single"/>
              </w:rPr>
            </w:pPr>
          </w:p>
        </w:tc>
        <w:tc>
          <w:tcPr>
            <w:tcW w:w="526" w:type="pct"/>
            <w:vAlign w:val="center"/>
          </w:tcPr>
          <w:p w14:paraId="781B59F5">
            <w:pPr>
              <w:pStyle w:val="41"/>
              <w:bidi w:val="0"/>
              <w:rPr>
                <w:u w:val="single"/>
              </w:rPr>
            </w:pPr>
          </w:p>
        </w:tc>
        <w:tc>
          <w:tcPr>
            <w:tcW w:w="492" w:type="pct"/>
            <w:vAlign w:val="center"/>
          </w:tcPr>
          <w:p w14:paraId="5777F84E">
            <w:pPr>
              <w:pStyle w:val="41"/>
              <w:bidi w:val="0"/>
              <w:rPr>
                <w:u w:val="single"/>
              </w:rPr>
            </w:pPr>
          </w:p>
        </w:tc>
        <w:tc>
          <w:tcPr>
            <w:tcW w:w="663" w:type="pct"/>
            <w:vAlign w:val="center"/>
          </w:tcPr>
          <w:p w14:paraId="6BDA3FE0">
            <w:pPr>
              <w:pStyle w:val="41"/>
              <w:bidi w:val="0"/>
              <w:rPr>
                <w:rFonts w:hint="default"/>
                <w:u w:val="single"/>
                <w:lang w:val="en-US" w:eastAsia="zh-CN"/>
              </w:rPr>
            </w:pPr>
            <w:r>
              <w:rPr>
                <w:rFonts w:hint="eastAsia"/>
                <w:u w:val="single"/>
                <w:lang w:val="en-US" w:eastAsia="zh-CN"/>
              </w:rPr>
              <w:t>0.04t/a</w:t>
            </w:r>
          </w:p>
        </w:tc>
        <w:tc>
          <w:tcPr>
            <w:tcW w:w="386" w:type="pct"/>
            <w:vAlign w:val="center"/>
          </w:tcPr>
          <w:p w14:paraId="30285BB2">
            <w:pPr>
              <w:pStyle w:val="41"/>
              <w:bidi w:val="0"/>
              <w:rPr>
                <w:u w:val="single"/>
              </w:rPr>
            </w:pPr>
          </w:p>
        </w:tc>
        <w:tc>
          <w:tcPr>
            <w:tcW w:w="543" w:type="pct"/>
            <w:vAlign w:val="center"/>
          </w:tcPr>
          <w:p w14:paraId="5B2468BF">
            <w:pPr>
              <w:pStyle w:val="41"/>
              <w:bidi w:val="0"/>
              <w:rPr>
                <w:rFonts w:hint="eastAsia"/>
                <w:u w:val="single"/>
                <w:lang w:val="en-US" w:eastAsia="zh-CN"/>
              </w:rPr>
            </w:pPr>
            <w:r>
              <w:rPr>
                <w:rFonts w:hint="eastAsia"/>
                <w:u w:val="single"/>
                <w:lang w:val="en-US" w:eastAsia="zh-CN"/>
              </w:rPr>
              <w:t>0.04t/a</w:t>
            </w:r>
          </w:p>
        </w:tc>
        <w:tc>
          <w:tcPr>
            <w:tcW w:w="283" w:type="pct"/>
            <w:vAlign w:val="center"/>
          </w:tcPr>
          <w:p w14:paraId="6DC4179A">
            <w:pPr>
              <w:pStyle w:val="41"/>
              <w:bidi w:val="0"/>
              <w:rPr>
                <w:rFonts w:hint="default"/>
                <w:lang w:val="en-US" w:eastAsia="zh-CN"/>
              </w:rPr>
            </w:pPr>
          </w:p>
        </w:tc>
      </w:tr>
      <w:tr w14:paraId="24D26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continue"/>
            <w:vAlign w:val="center"/>
          </w:tcPr>
          <w:p w14:paraId="5BFEC04F">
            <w:pPr>
              <w:pStyle w:val="41"/>
              <w:bidi w:val="0"/>
            </w:pPr>
          </w:p>
        </w:tc>
        <w:tc>
          <w:tcPr>
            <w:tcW w:w="1146" w:type="pct"/>
            <w:gridSpan w:val="2"/>
            <w:vAlign w:val="center"/>
          </w:tcPr>
          <w:p w14:paraId="1D7DAEE7">
            <w:pPr>
              <w:pStyle w:val="41"/>
              <w:bidi w:val="0"/>
              <w:rPr>
                <w:rFonts w:hint="default"/>
                <w:u w:val="single"/>
                <w:lang w:val="en-US" w:eastAsia="zh-CN"/>
              </w:rPr>
            </w:pPr>
            <w:r>
              <w:rPr>
                <w:rFonts w:hint="eastAsia"/>
                <w:u w:val="single"/>
                <w:lang w:val="en-US" w:eastAsia="zh-CN"/>
              </w:rPr>
              <w:t>废润滑油桶</w:t>
            </w:r>
          </w:p>
        </w:tc>
        <w:tc>
          <w:tcPr>
            <w:tcW w:w="547" w:type="pct"/>
            <w:vAlign w:val="center"/>
          </w:tcPr>
          <w:p w14:paraId="7FFDB26F">
            <w:pPr>
              <w:pStyle w:val="41"/>
              <w:bidi w:val="0"/>
              <w:rPr>
                <w:u w:val="single"/>
              </w:rPr>
            </w:pPr>
          </w:p>
        </w:tc>
        <w:tc>
          <w:tcPr>
            <w:tcW w:w="526" w:type="pct"/>
            <w:vAlign w:val="center"/>
          </w:tcPr>
          <w:p w14:paraId="170A38CD">
            <w:pPr>
              <w:pStyle w:val="41"/>
              <w:bidi w:val="0"/>
              <w:rPr>
                <w:u w:val="single"/>
              </w:rPr>
            </w:pPr>
          </w:p>
        </w:tc>
        <w:tc>
          <w:tcPr>
            <w:tcW w:w="492" w:type="pct"/>
            <w:vAlign w:val="center"/>
          </w:tcPr>
          <w:p w14:paraId="3BC05BEF">
            <w:pPr>
              <w:pStyle w:val="41"/>
              <w:bidi w:val="0"/>
              <w:rPr>
                <w:u w:val="single"/>
              </w:rPr>
            </w:pPr>
          </w:p>
        </w:tc>
        <w:tc>
          <w:tcPr>
            <w:tcW w:w="663" w:type="pct"/>
            <w:vAlign w:val="center"/>
          </w:tcPr>
          <w:p w14:paraId="183FB9F4">
            <w:pPr>
              <w:pStyle w:val="41"/>
              <w:bidi w:val="0"/>
              <w:rPr>
                <w:rFonts w:hint="default"/>
                <w:u w:val="single"/>
                <w:lang w:val="en-US" w:eastAsia="zh-CN"/>
              </w:rPr>
            </w:pPr>
            <w:r>
              <w:rPr>
                <w:rFonts w:hint="eastAsia"/>
                <w:u w:val="single"/>
                <w:lang w:val="en-US" w:eastAsia="zh-CN"/>
              </w:rPr>
              <w:t>0.005t/a</w:t>
            </w:r>
          </w:p>
        </w:tc>
        <w:tc>
          <w:tcPr>
            <w:tcW w:w="386" w:type="pct"/>
            <w:vAlign w:val="center"/>
          </w:tcPr>
          <w:p w14:paraId="0AF28FA3">
            <w:pPr>
              <w:pStyle w:val="41"/>
              <w:bidi w:val="0"/>
              <w:rPr>
                <w:u w:val="single"/>
              </w:rPr>
            </w:pPr>
          </w:p>
        </w:tc>
        <w:tc>
          <w:tcPr>
            <w:tcW w:w="543" w:type="pct"/>
            <w:vAlign w:val="center"/>
          </w:tcPr>
          <w:p w14:paraId="7AE52A06">
            <w:pPr>
              <w:pStyle w:val="41"/>
              <w:bidi w:val="0"/>
              <w:rPr>
                <w:rFonts w:hint="eastAsia"/>
                <w:u w:val="single"/>
                <w:lang w:val="en-US" w:eastAsia="zh-CN"/>
              </w:rPr>
            </w:pPr>
            <w:r>
              <w:rPr>
                <w:rFonts w:hint="eastAsia"/>
                <w:u w:val="single"/>
                <w:lang w:val="en-US" w:eastAsia="zh-CN"/>
              </w:rPr>
              <w:t>0.005t/a</w:t>
            </w:r>
          </w:p>
        </w:tc>
        <w:tc>
          <w:tcPr>
            <w:tcW w:w="283" w:type="pct"/>
            <w:vAlign w:val="center"/>
          </w:tcPr>
          <w:p w14:paraId="79E52FA3">
            <w:pPr>
              <w:pStyle w:val="41"/>
              <w:bidi w:val="0"/>
              <w:rPr>
                <w:rFonts w:hint="default"/>
                <w:lang w:val="en-US" w:eastAsia="zh-CN"/>
              </w:rPr>
            </w:pPr>
          </w:p>
        </w:tc>
      </w:tr>
      <w:tr w14:paraId="022B7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0" w:type="pct"/>
            <w:vMerge w:val="continue"/>
            <w:vAlign w:val="center"/>
          </w:tcPr>
          <w:p w14:paraId="70DB07E8">
            <w:pPr>
              <w:pStyle w:val="41"/>
              <w:bidi w:val="0"/>
            </w:pPr>
          </w:p>
        </w:tc>
        <w:tc>
          <w:tcPr>
            <w:tcW w:w="1146" w:type="pct"/>
            <w:gridSpan w:val="2"/>
            <w:vAlign w:val="center"/>
          </w:tcPr>
          <w:p w14:paraId="600453B4">
            <w:pPr>
              <w:pStyle w:val="41"/>
              <w:bidi w:val="0"/>
              <w:rPr>
                <w:rFonts w:hint="default"/>
                <w:u w:val="single"/>
                <w:lang w:val="en-US" w:eastAsia="zh-CN"/>
              </w:rPr>
            </w:pPr>
            <w:r>
              <w:rPr>
                <w:rFonts w:hint="eastAsia"/>
                <w:u w:val="single"/>
                <w:lang w:val="en-US" w:eastAsia="zh-CN"/>
              </w:rPr>
              <w:t>废含油抹布和手套</w:t>
            </w:r>
          </w:p>
        </w:tc>
        <w:tc>
          <w:tcPr>
            <w:tcW w:w="547" w:type="pct"/>
            <w:vAlign w:val="center"/>
          </w:tcPr>
          <w:p w14:paraId="2102AD30">
            <w:pPr>
              <w:pStyle w:val="41"/>
              <w:bidi w:val="0"/>
              <w:rPr>
                <w:u w:val="single"/>
              </w:rPr>
            </w:pPr>
          </w:p>
        </w:tc>
        <w:tc>
          <w:tcPr>
            <w:tcW w:w="526" w:type="pct"/>
            <w:vAlign w:val="center"/>
          </w:tcPr>
          <w:p w14:paraId="70A2D6C3">
            <w:pPr>
              <w:pStyle w:val="41"/>
              <w:bidi w:val="0"/>
              <w:rPr>
                <w:u w:val="single"/>
              </w:rPr>
            </w:pPr>
          </w:p>
        </w:tc>
        <w:tc>
          <w:tcPr>
            <w:tcW w:w="492" w:type="pct"/>
            <w:vAlign w:val="center"/>
          </w:tcPr>
          <w:p w14:paraId="2D138DAC">
            <w:pPr>
              <w:pStyle w:val="41"/>
              <w:bidi w:val="0"/>
              <w:rPr>
                <w:u w:val="single"/>
              </w:rPr>
            </w:pPr>
          </w:p>
        </w:tc>
        <w:tc>
          <w:tcPr>
            <w:tcW w:w="663" w:type="pct"/>
            <w:vAlign w:val="center"/>
          </w:tcPr>
          <w:p w14:paraId="73336A81">
            <w:pPr>
              <w:pStyle w:val="41"/>
              <w:bidi w:val="0"/>
              <w:rPr>
                <w:rFonts w:hint="default"/>
                <w:u w:val="single"/>
                <w:lang w:val="en-US" w:eastAsia="zh-CN"/>
              </w:rPr>
            </w:pPr>
            <w:r>
              <w:rPr>
                <w:rFonts w:hint="eastAsia"/>
                <w:u w:val="single"/>
                <w:lang w:val="en-US" w:eastAsia="zh-CN"/>
              </w:rPr>
              <w:t>0.006t/a</w:t>
            </w:r>
          </w:p>
        </w:tc>
        <w:tc>
          <w:tcPr>
            <w:tcW w:w="386" w:type="pct"/>
            <w:vAlign w:val="center"/>
          </w:tcPr>
          <w:p w14:paraId="0203B31B">
            <w:pPr>
              <w:pStyle w:val="41"/>
              <w:bidi w:val="0"/>
              <w:rPr>
                <w:u w:val="single"/>
              </w:rPr>
            </w:pPr>
          </w:p>
        </w:tc>
        <w:tc>
          <w:tcPr>
            <w:tcW w:w="543" w:type="pct"/>
            <w:vAlign w:val="center"/>
          </w:tcPr>
          <w:p w14:paraId="7A2C5C6A">
            <w:pPr>
              <w:pStyle w:val="41"/>
              <w:bidi w:val="0"/>
              <w:rPr>
                <w:rFonts w:hint="eastAsia"/>
                <w:u w:val="single"/>
                <w:lang w:val="en-US" w:eastAsia="zh-CN"/>
              </w:rPr>
            </w:pPr>
            <w:r>
              <w:rPr>
                <w:rFonts w:hint="eastAsia"/>
                <w:u w:val="single"/>
                <w:lang w:val="en-US" w:eastAsia="zh-CN"/>
              </w:rPr>
              <w:t>0.006t/a</w:t>
            </w:r>
          </w:p>
        </w:tc>
        <w:tc>
          <w:tcPr>
            <w:tcW w:w="283" w:type="pct"/>
            <w:vAlign w:val="center"/>
          </w:tcPr>
          <w:p w14:paraId="6D17F111">
            <w:pPr>
              <w:pStyle w:val="41"/>
              <w:bidi w:val="0"/>
              <w:rPr>
                <w:rFonts w:hint="default"/>
                <w:lang w:val="en-US" w:eastAsia="zh-CN"/>
              </w:rPr>
            </w:pPr>
          </w:p>
        </w:tc>
      </w:tr>
      <w:tr w14:paraId="334019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10" w:type="pct"/>
            <w:vAlign w:val="center"/>
          </w:tcPr>
          <w:p w14:paraId="67A6F4B1">
            <w:pPr>
              <w:pStyle w:val="41"/>
              <w:bidi w:val="0"/>
              <w:rPr>
                <w:rFonts w:hint="eastAsia"/>
                <w:lang w:val="en-US" w:eastAsia="zh-CN"/>
              </w:rPr>
            </w:pPr>
            <w:r>
              <w:rPr>
                <w:rFonts w:hint="eastAsia"/>
                <w:lang w:val="en-US" w:eastAsia="zh-CN"/>
              </w:rPr>
              <w:t>生活固废</w:t>
            </w:r>
          </w:p>
        </w:tc>
        <w:tc>
          <w:tcPr>
            <w:tcW w:w="1146" w:type="pct"/>
            <w:gridSpan w:val="2"/>
            <w:vAlign w:val="center"/>
          </w:tcPr>
          <w:p w14:paraId="17E83B92">
            <w:pPr>
              <w:pStyle w:val="41"/>
              <w:bidi w:val="0"/>
              <w:rPr>
                <w:rFonts w:hint="eastAsia"/>
                <w:lang w:val="en-US" w:eastAsia="zh-CN"/>
              </w:rPr>
            </w:pPr>
            <w:r>
              <w:t>生活垃圾</w:t>
            </w:r>
          </w:p>
        </w:tc>
        <w:tc>
          <w:tcPr>
            <w:tcW w:w="547" w:type="pct"/>
            <w:vAlign w:val="center"/>
          </w:tcPr>
          <w:p w14:paraId="53B02905">
            <w:pPr>
              <w:pStyle w:val="41"/>
              <w:bidi w:val="0"/>
              <w:rPr>
                <w:rFonts w:hint="eastAsia"/>
              </w:rPr>
            </w:pPr>
          </w:p>
        </w:tc>
        <w:tc>
          <w:tcPr>
            <w:tcW w:w="526" w:type="pct"/>
            <w:vAlign w:val="center"/>
          </w:tcPr>
          <w:p w14:paraId="1E3DF968">
            <w:pPr>
              <w:pStyle w:val="41"/>
              <w:bidi w:val="0"/>
              <w:rPr>
                <w:rFonts w:hint="eastAsia"/>
              </w:rPr>
            </w:pPr>
          </w:p>
        </w:tc>
        <w:tc>
          <w:tcPr>
            <w:tcW w:w="492" w:type="pct"/>
            <w:vAlign w:val="center"/>
          </w:tcPr>
          <w:p w14:paraId="7CF80BAF">
            <w:pPr>
              <w:pStyle w:val="41"/>
              <w:bidi w:val="0"/>
              <w:rPr>
                <w:rFonts w:hint="eastAsia"/>
              </w:rPr>
            </w:pPr>
          </w:p>
        </w:tc>
        <w:tc>
          <w:tcPr>
            <w:tcW w:w="663" w:type="pct"/>
            <w:vAlign w:val="center"/>
          </w:tcPr>
          <w:p w14:paraId="022181E4">
            <w:pPr>
              <w:pStyle w:val="41"/>
              <w:bidi w:val="0"/>
              <w:rPr>
                <w:rFonts w:hint="default"/>
                <w:lang w:val="en-US" w:eastAsia="zh-CN"/>
              </w:rPr>
            </w:pPr>
            <w:r>
              <w:rPr>
                <w:rFonts w:hint="eastAsia"/>
                <w:lang w:val="en-US" w:eastAsia="zh-CN"/>
              </w:rPr>
              <w:t>12t/a</w:t>
            </w:r>
          </w:p>
        </w:tc>
        <w:tc>
          <w:tcPr>
            <w:tcW w:w="386" w:type="pct"/>
            <w:vAlign w:val="center"/>
          </w:tcPr>
          <w:p w14:paraId="1D3F612F">
            <w:pPr>
              <w:pStyle w:val="41"/>
              <w:bidi w:val="0"/>
              <w:rPr>
                <w:rFonts w:hint="eastAsia"/>
              </w:rPr>
            </w:pPr>
          </w:p>
        </w:tc>
        <w:tc>
          <w:tcPr>
            <w:tcW w:w="543" w:type="pct"/>
            <w:vAlign w:val="center"/>
          </w:tcPr>
          <w:p w14:paraId="5A15F335">
            <w:pPr>
              <w:pStyle w:val="41"/>
              <w:bidi w:val="0"/>
              <w:rPr>
                <w:rFonts w:hint="default"/>
                <w:lang w:val="en-US" w:eastAsia="zh-CN"/>
              </w:rPr>
            </w:pPr>
            <w:r>
              <w:rPr>
                <w:rFonts w:hint="eastAsia"/>
                <w:lang w:val="en-US" w:eastAsia="zh-CN"/>
              </w:rPr>
              <w:t>12t/a</w:t>
            </w:r>
          </w:p>
        </w:tc>
        <w:tc>
          <w:tcPr>
            <w:tcW w:w="283" w:type="pct"/>
            <w:vAlign w:val="center"/>
          </w:tcPr>
          <w:p w14:paraId="4374E2F7">
            <w:pPr>
              <w:pStyle w:val="41"/>
              <w:bidi w:val="0"/>
              <w:rPr>
                <w:rFonts w:hint="eastAsia"/>
                <w:lang w:val="en-US" w:eastAsia="zh-CN"/>
              </w:rPr>
            </w:pPr>
          </w:p>
        </w:tc>
      </w:tr>
    </w:tbl>
    <w:p w14:paraId="7BE1AEEF">
      <w:pPr>
        <w:rPr>
          <w:color w:val="000000" w:themeColor="text1"/>
          <w:u w:val="none" w:color="auto"/>
          <w14:textFill>
            <w14:solidFill>
              <w14:schemeClr w14:val="tx1"/>
            </w14:solidFill>
          </w14:textFill>
        </w:rPr>
        <w:sectPr>
          <w:headerReference r:id="rId7" w:type="default"/>
          <w:footerReference r:id="rId8" w:type="default"/>
          <w:pgSz w:w="16838" w:h="11906" w:orient="landscape"/>
          <w:pgMar w:top="1440" w:right="1800" w:bottom="1440" w:left="1800" w:header="567" w:footer="567" w:gutter="0"/>
          <w:pgBorders>
            <w:top w:val="none" w:sz="0" w:space="0"/>
            <w:left w:val="none" w:sz="0" w:space="0"/>
            <w:bottom w:val="none" w:sz="0" w:space="0"/>
            <w:right w:val="none" w:sz="0" w:space="0"/>
          </w:pgBorders>
          <w:pgNumType w:fmt="decimal"/>
          <w:cols w:space="720" w:num="1"/>
          <w:docGrid w:linePitch="312" w:charSpace="0"/>
        </w:sectPr>
      </w:pPr>
      <w:r>
        <w:rPr>
          <w:color w:val="000000" w:themeColor="text1"/>
          <w:u w:val="none" w:color="auto"/>
          <w14:textFill>
            <w14:solidFill>
              <w14:schemeClr w14:val="tx1"/>
            </w14:solidFill>
          </w14:textFill>
        </w:rPr>
        <w:t>注：</w:t>
      </w:r>
      <w:r>
        <w:rPr>
          <w:color w:val="000000" w:themeColor="text1"/>
          <w:u w:val="none" w:color="auto"/>
          <w14:textFill>
            <w14:solidFill>
              <w14:schemeClr w14:val="tx1"/>
            </w14:solidFill>
          </w14:textFill>
        </w:rPr>
        <w:fldChar w:fldCharType="begin"/>
      </w:r>
      <w:r>
        <w:rPr>
          <w:color w:val="000000" w:themeColor="text1"/>
          <w:u w:val="none" w:color="auto"/>
          <w14:textFill>
            <w14:solidFill>
              <w14:schemeClr w14:val="tx1"/>
            </w14:solidFill>
          </w14:textFill>
        </w:rPr>
        <w:instrText xml:space="preserve"> = 6 \* GB3 \* MERGEFORMAT </w:instrText>
      </w:r>
      <w:r>
        <w:rPr>
          <w:color w:val="000000" w:themeColor="text1"/>
          <w:u w:val="none" w:color="auto"/>
          <w14:textFill>
            <w14:solidFill>
              <w14:schemeClr w14:val="tx1"/>
            </w14:solidFill>
          </w14:textFill>
        </w:rPr>
        <w:fldChar w:fldCharType="separate"/>
      </w:r>
      <w:r>
        <w:rPr>
          <w:color w:val="000000" w:themeColor="text1"/>
          <w:u w:val="none" w:color="auto"/>
          <w14:textFill>
            <w14:solidFill>
              <w14:schemeClr w14:val="tx1"/>
            </w14:solidFill>
          </w14:textFill>
        </w:rPr>
        <w:t>⑥</w:t>
      </w:r>
      <w:r>
        <w:rPr>
          <w:color w:val="000000" w:themeColor="text1"/>
          <w:u w:val="none" w:color="auto"/>
          <w14:textFill>
            <w14:solidFill>
              <w14:schemeClr w14:val="tx1"/>
            </w14:solidFill>
          </w14:textFill>
        </w:rPr>
        <w:fldChar w:fldCharType="end"/>
      </w:r>
      <w:r>
        <w:rPr>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fldChar w:fldCharType="begin"/>
      </w:r>
      <w:r>
        <w:rPr>
          <w:color w:val="000000" w:themeColor="text1"/>
          <w:u w:val="none" w:color="auto"/>
          <w14:textFill>
            <w14:solidFill>
              <w14:schemeClr w14:val="tx1"/>
            </w14:solidFill>
          </w14:textFill>
        </w:rPr>
        <w:instrText xml:space="preserve"> = 1 \* GB3 \* MERGEFORMAT </w:instrText>
      </w:r>
      <w:r>
        <w:rPr>
          <w:color w:val="000000" w:themeColor="text1"/>
          <w:u w:val="none" w:color="auto"/>
          <w14:textFill>
            <w14:solidFill>
              <w14:schemeClr w14:val="tx1"/>
            </w14:solidFill>
          </w14:textFill>
        </w:rPr>
        <w:fldChar w:fldCharType="separate"/>
      </w:r>
      <w:r>
        <w:rPr>
          <w:color w:val="000000" w:themeColor="text1"/>
          <w:u w:val="none" w:color="auto"/>
          <w14:textFill>
            <w14:solidFill>
              <w14:schemeClr w14:val="tx1"/>
            </w14:solidFill>
          </w14:textFill>
        </w:rPr>
        <w:t>①</w:t>
      </w:r>
      <w:r>
        <w:rPr>
          <w:color w:val="000000" w:themeColor="text1"/>
          <w:u w:val="none" w:color="auto"/>
          <w14:textFill>
            <w14:solidFill>
              <w14:schemeClr w14:val="tx1"/>
            </w14:solidFill>
          </w14:textFill>
        </w:rPr>
        <w:fldChar w:fldCharType="end"/>
      </w:r>
      <w:r>
        <w:rPr>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fldChar w:fldCharType="begin"/>
      </w:r>
      <w:r>
        <w:rPr>
          <w:color w:val="000000" w:themeColor="text1"/>
          <w:u w:val="none" w:color="auto"/>
          <w14:textFill>
            <w14:solidFill>
              <w14:schemeClr w14:val="tx1"/>
            </w14:solidFill>
          </w14:textFill>
        </w:rPr>
        <w:instrText xml:space="preserve"> = 3 \* GB3 \* MERGEFORMAT </w:instrText>
      </w:r>
      <w:r>
        <w:rPr>
          <w:color w:val="000000" w:themeColor="text1"/>
          <w:u w:val="none" w:color="auto"/>
          <w14:textFill>
            <w14:solidFill>
              <w14:schemeClr w14:val="tx1"/>
            </w14:solidFill>
          </w14:textFill>
        </w:rPr>
        <w:fldChar w:fldCharType="separate"/>
      </w:r>
      <w:r>
        <w:rPr>
          <w:color w:val="000000" w:themeColor="text1"/>
          <w:u w:val="none" w:color="auto"/>
          <w14:textFill>
            <w14:solidFill>
              <w14:schemeClr w14:val="tx1"/>
            </w14:solidFill>
          </w14:textFill>
        </w:rPr>
        <w:t>③</w:t>
      </w:r>
      <w:r>
        <w:rPr>
          <w:color w:val="000000" w:themeColor="text1"/>
          <w:u w:val="none" w:color="auto"/>
          <w14:textFill>
            <w14:solidFill>
              <w14:schemeClr w14:val="tx1"/>
            </w14:solidFill>
          </w14:textFill>
        </w:rPr>
        <w:fldChar w:fldCharType="end"/>
      </w:r>
      <w:r>
        <w:rPr>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fldChar w:fldCharType="begin"/>
      </w:r>
      <w:r>
        <w:rPr>
          <w:color w:val="000000" w:themeColor="text1"/>
          <w:u w:val="none" w:color="auto"/>
          <w14:textFill>
            <w14:solidFill>
              <w14:schemeClr w14:val="tx1"/>
            </w14:solidFill>
          </w14:textFill>
        </w:rPr>
        <w:instrText xml:space="preserve"> = 4 \* GB3 \* MERGEFORMAT </w:instrText>
      </w:r>
      <w:r>
        <w:rPr>
          <w:color w:val="000000" w:themeColor="text1"/>
          <w:u w:val="none" w:color="auto"/>
          <w14:textFill>
            <w14:solidFill>
              <w14:schemeClr w14:val="tx1"/>
            </w14:solidFill>
          </w14:textFill>
        </w:rPr>
        <w:fldChar w:fldCharType="separate"/>
      </w:r>
      <w:r>
        <w:rPr>
          <w:color w:val="000000" w:themeColor="text1"/>
          <w:u w:val="none" w:color="auto"/>
          <w14:textFill>
            <w14:solidFill>
              <w14:schemeClr w14:val="tx1"/>
            </w14:solidFill>
          </w14:textFill>
        </w:rPr>
        <w:t>④</w:t>
      </w:r>
      <w:r>
        <w:rPr>
          <w:color w:val="000000" w:themeColor="text1"/>
          <w:u w:val="none" w:color="auto"/>
          <w14:textFill>
            <w14:solidFill>
              <w14:schemeClr w14:val="tx1"/>
            </w14:solidFill>
          </w14:textFill>
        </w:rPr>
        <w:fldChar w:fldCharType="end"/>
      </w:r>
      <w:r>
        <w:rPr>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fldChar w:fldCharType="begin"/>
      </w:r>
      <w:r>
        <w:rPr>
          <w:color w:val="000000" w:themeColor="text1"/>
          <w:u w:val="none" w:color="auto"/>
          <w14:textFill>
            <w14:solidFill>
              <w14:schemeClr w14:val="tx1"/>
            </w14:solidFill>
          </w14:textFill>
        </w:rPr>
        <w:instrText xml:space="preserve"> = 5 \* GB3 \* MERGEFORMAT </w:instrText>
      </w:r>
      <w:r>
        <w:rPr>
          <w:color w:val="000000" w:themeColor="text1"/>
          <w:u w:val="none" w:color="auto"/>
          <w14:textFill>
            <w14:solidFill>
              <w14:schemeClr w14:val="tx1"/>
            </w14:solidFill>
          </w14:textFill>
        </w:rPr>
        <w:fldChar w:fldCharType="separate"/>
      </w:r>
      <w:r>
        <w:rPr>
          <w:color w:val="000000" w:themeColor="text1"/>
          <w:u w:val="none" w:color="auto"/>
          <w14:textFill>
            <w14:solidFill>
              <w14:schemeClr w14:val="tx1"/>
            </w14:solidFill>
          </w14:textFill>
        </w:rPr>
        <w:t>⑤</w:t>
      </w:r>
      <w:r>
        <w:rPr>
          <w:color w:val="000000" w:themeColor="text1"/>
          <w:u w:val="none" w:color="auto"/>
          <w14:textFill>
            <w14:solidFill>
              <w14:schemeClr w14:val="tx1"/>
            </w14:solidFill>
          </w14:textFill>
        </w:rPr>
        <w:fldChar w:fldCharType="end"/>
      </w:r>
      <w:r>
        <w:rPr>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fldChar w:fldCharType="begin"/>
      </w:r>
      <w:r>
        <w:rPr>
          <w:color w:val="000000" w:themeColor="text1"/>
          <w:u w:val="none" w:color="auto"/>
          <w14:textFill>
            <w14:solidFill>
              <w14:schemeClr w14:val="tx1"/>
            </w14:solidFill>
          </w14:textFill>
        </w:rPr>
        <w:instrText xml:space="preserve"> = 7 \* GB3 \* MERGEFORMAT </w:instrText>
      </w:r>
      <w:r>
        <w:rPr>
          <w:color w:val="000000" w:themeColor="text1"/>
          <w:u w:val="none" w:color="auto"/>
          <w14:textFill>
            <w14:solidFill>
              <w14:schemeClr w14:val="tx1"/>
            </w14:solidFill>
          </w14:textFill>
        </w:rPr>
        <w:fldChar w:fldCharType="separate"/>
      </w:r>
      <w:r>
        <w:rPr>
          <w:color w:val="000000" w:themeColor="text1"/>
          <w:u w:val="none" w:color="auto"/>
          <w14:textFill>
            <w14:solidFill>
              <w14:schemeClr w14:val="tx1"/>
            </w14:solidFill>
          </w14:textFill>
        </w:rPr>
        <w:t>⑦</w:t>
      </w:r>
      <w:r>
        <w:rPr>
          <w:color w:val="000000" w:themeColor="text1"/>
          <w:u w:val="none" w:color="auto"/>
          <w14:textFill>
            <w14:solidFill>
              <w14:schemeClr w14:val="tx1"/>
            </w14:solidFill>
          </w14:textFill>
        </w:rPr>
        <w:fldChar w:fldCharType="end"/>
      </w:r>
      <w:r>
        <w:rPr>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fldChar w:fldCharType="begin"/>
      </w:r>
      <w:r>
        <w:rPr>
          <w:color w:val="000000" w:themeColor="text1"/>
          <w:u w:val="none" w:color="auto"/>
          <w14:textFill>
            <w14:solidFill>
              <w14:schemeClr w14:val="tx1"/>
            </w14:solidFill>
          </w14:textFill>
        </w:rPr>
        <w:instrText xml:space="preserve"> = 6 \* GB3 \* MERGEFORMAT </w:instrText>
      </w:r>
      <w:r>
        <w:rPr>
          <w:color w:val="000000" w:themeColor="text1"/>
          <w:u w:val="none" w:color="auto"/>
          <w14:textFill>
            <w14:solidFill>
              <w14:schemeClr w14:val="tx1"/>
            </w14:solidFill>
          </w14:textFill>
        </w:rPr>
        <w:fldChar w:fldCharType="separate"/>
      </w:r>
      <w:r>
        <w:rPr>
          <w:color w:val="000000" w:themeColor="text1"/>
          <w:u w:val="none" w:color="auto"/>
          <w14:textFill>
            <w14:solidFill>
              <w14:schemeClr w14:val="tx1"/>
            </w14:solidFill>
          </w14:textFill>
        </w:rPr>
        <w:t>⑥</w:t>
      </w:r>
      <w:r>
        <w:rPr>
          <w:color w:val="000000" w:themeColor="text1"/>
          <w:u w:val="none" w:color="auto"/>
          <w14:textFill>
            <w14:solidFill>
              <w14:schemeClr w14:val="tx1"/>
            </w14:solidFill>
          </w14:textFill>
        </w:rPr>
        <w:fldChar w:fldCharType="end"/>
      </w:r>
      <w:r>
        <w:rPr>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fldChar w:fldCharType="begin"/>
      </w:r>
      <w:r>
        <w:rPr>
          <w:color w:val="000000" w:themeColor="text1"/>
          <w:u w:val="none" w:color="auto"/>
          <w14:textFill>
            <w14:solidFill>
              <w14:schemeClr w14:val="tx1"/>
            </w14:solidFill>
          </w14:textFill>
        </w:rPr>
        <w:instrText xml:space="preserve"> = 1 \* GB3 \* MERGEFORMAT </w:instrText>
      </w:r>
      <w:r>
        <w:rPr>
          <w:color w:val="000000" w:themeColor="text1"/>
          <w:u w:val="none" w:color="auto"/>
          <w14:textFill>
            <w14:solidFill>
              <w14:schemeClr w14:val="tx1"/>
            </w14:solidFill>
          </w14:textFill>
        </w:rPr>
        <w:fldChar w:fldCharType="separate"/>
      </w:r>
      <w:r>
        <w:rPr>
          <w:color w:val="000000" w:themeColor="text1"/>
          <w:u w:val="none" w:color="auto"/>
          <w14:textFill>
            <w14:solidFill>
              <w14:schemeClr w14:val="tx1"/>
            </w14:solidFill>
          </w14:textFill>
        </w:rPr>
        <w:t>①</w:t>
      </w:r>
      <w:r>
        <w:rPr>
          <w:color w:val="000000" w:themeColor="text1"/>
          <w:u w:val="none" w:color="auto"/>
          <w14:textFill>
            <w14:solidFill>
              <w14:schemeClr w14:val="tx1"/>
            </w14:solidFill>
          </w14:textFill>
        </w:rPr>
        <w:fldChar w:fldCharType="end"/>
      </w:r>
    </w:p>
    <w:p w14:paraId="699D235A">
      <w:pPr>
        <w:ind w:firstLine="0" w:firstLineChars="0"/>
        <w:jc w:val="left"/>
        <w:outlineLvl w:val="0"/>
        <w:rPr>
          <w:rFonts w:ascii="Times New Roman" w:hAnsi="Times New Roman"/>
          <w:b/>
          <w:bCs/>
          <w:sz w:val="24"/>
          <w:szCs w:val="24"/>
        </w:rPr>
      </w:pPr>
      <w:bookmarkStart w:id="26" w:name="_Toc5949"/>
      <w:bookmarkStart w:id="27" w:name="_Toc9262"/>
      <w:bookmarkStart w:id="28" w:name="_Toc16949"/>
      <w:bookmarkStart w:id="29" w:name="_Toc8109"/>
      <w:bookmarkStart w:id="30" w:name="_Toc24477"/>
      <w:bookmarkStart w:id="31" w:name="_Toc14076"/>
      <w:bookmarkStart w:id="32" w:name="_Toc3086"/>
      <w:bookmarkStart w:id="33" w:name="_Toc25197"/>
      <w:bookmarkStart w:id="34" w:name="_Toc30844"/>
      <w:bookmarkStart w:id="35" w:name="_Toc5473"/>
      <w:r>
        <w:rPr>
          <w:rFonts w:hint="eastAsia" w:ascii="Times New Roman" w:hAnsi="Times New Roman"/>
          <w:b/>
          <w:bCs/>
          <w:sz w:val="24"/>
          <w:szCs w:val="24"/>
        </w:rPr>
        <w:t>附件1：</w:t>
      </w:r>
      <w:r>
        <w:rPr>
          <w:rFonts w:hint="eastAsia" w:ascii="Times New Roman" w:hAnsi="Times New Roman"/>
          <w:b/>
          <w:bCs/>
          <w:sz w:val="24"/>
          <w:szCs w:val="24"/>
          <w:lang w:eastAsia="zh-CN"/>
        </w:rPr>
        <w:t>项目环评</w:t>
      </w:r>
      <w:r>
        <w:rPr>
          <w:rFonts w:hint="eastAsia" w:ascii="Times New Roman" w:hAnsi="Times New Roman"/>
          <w:b/>
          <w:bCs/>
          <w:sz w:val="24"/>
          <w:szCs w:val="24"/>
        </w:rPr>
        <w:t>委托书</w:t>
      </w:r>
      <w:bookmarkEnd w:id="26"/>
      <w:bookmarkEnd w:id="27"/>
      <w:bookmarkEnd w:id="28"/>
    </w:p>
    <w:p w14:paraId="3B00E725">
      <w:pPr>
        <w:bidi w:val="0"/>
        <w:jc w:val="right"/>
        <w:rPr>
          <w:rFonts w:hint="eastAsia"/>
          <w:b/>
          <w:bCs/>
          <w:sz w:val="24"/>
          <w:lang w:val="en-US" w:eastAsia="zh-CN"/>
        </w:rPr>
      </w:pPr>
    </w:p>
    <w:p w14:paraId="14E5CC39">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26" w:charSpace="0"/>
        </w:sectPr>
      </w:pPr>
      <w:r>
        <w:rPr>
          <w:rFonts w:hint="eastAsia"/>
          <w:lang w:val="en-US" w:eastAsia="zh-CN"/>
        </w:rPr>
        <w:drawing>
          <wp:inline distT="0" distB="0" distL="114300" distR="114300">
            <wp:extent cx="6155690" cy="8336280"/>
            <wp:effectExtent l="0" t="0" r="0" b="0"/>
            <wp:docPr id="47" name="图片 47" descr="617e2ae7f79c77c507ba297a8fdea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617e2ae7f79c77c507ba297a8fdea568"/>
                    <pic:cNvPicPr>
                      <a:picLocks noChangeAspect="1"/>
                    </pic:cNvPicPr>
                  </pic:nvPicPr>
                  <pic:blipFill>
                    <a:blip r:embed="rId32"/>
                    <a:srcRect l="9023" t="3987" r="6035" b="11513"/>
                    <a:stretch>
                      <a:fillRect/>
                    </a:stretch>
                  </pic:blipFill>
                  <pic:spPr>
                    <a:xfrm>
                      <a:off x="0" y="0"/>
                      <a:ext cx="6155690" cy="8336280"/>
                    </a:xfrm>
                    <a:prstGeom prst="rect">
                      <a:avLst/>
                    </a:prstGeom>
                  </pic:spPr>
                </pic:pic>
              </a:graphicData>
            </a:graphic>
          </wp:inline>
        </w:drawing>
      </w:r>
    </w:p>
    <w:p w14:paraId="4203597F">
      <w:pPr>
        <w:ind w:firstLine="0" w:firstLineChars="0"/>
        <w:jc w:val="left"/>
        <w:outlineLvl w:val="0"/>
        <w:rPr>
          <w:rFonts w:hint="eastAsia" w:ascii="Times New Roman" w:hAnsi="Times New Roman"/>
          <w:b/>
          <w:bCs/>
          <w:sz w:val="24"/>
          <w:szCs w:val="24"/>
        </w:rPr>
      </w:pPr>
      <w:r>
        <w:rPr>
          <w:rFonts w:hint="eastAsia" w:ascii="Times New Roman" w:hAnsi="Times New Roman"/>
          <w:b/>
          <w:bCs/>
          <w:sz w:val="24"/>
          <w:szCs w:val="24"/>
        </w:rPr>
        <w:t>附件2：建设单位责任说明</w:t>
      </w:r>
      <w:bookmarkEnd w:id="29"/>
      <w:bookmarkEnd w:id="30"/>
      <w:bookmarkEnd w:id="31"/>
      <w:bookmarkEnd w:id="32"/>
      <w:bookmarkEnd w:id="33"/>
      <w:bookmarkEnd w:id="34"/>
      <w:bookmarkEnd w:id="35"/>
    </w:p>
    <w:p w14:paraId="56B7952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val="0"/>
          <w:bCs w:val="0"/>
          <w:sz w:val="28"/>
          <w:szCs w:val="28"/>
          <w:u w:val="none" w:color="auto"/>
          <w:lang w:eastAsia="zh-CN"/>
        </w:rPr>
      </w:pPr>
      <w:r>
        <w:rPr>
          <w:rFonts w:hint="eastAsia" w:ascii="Times New Roman" w:hAnsi="Times New Roman" w:eastAsia="宋体" w:cs="Times New Roman"/>
          <w:b w:val="0"/>
          <w:bCs w:val="0"/>
          <w:sz w:val="28"/>
          <w:szCs w:val="28"/>
          <w:u w:val="none" w:color="auto"/>
          <w:lang w:eastAsia="zh-CN"/>
        </w:rPr>
        <w:drawing>
          <wp:inline distT="0" distB="0" distL="114300" distR="114300">
            <wp:extent cx="6116955" cy="8177530"/>
            <wp:effectExtent l="0" t="0" r="17145" b="13970"/>
            <wp:docPr id="48" name="图片 48" descr="d410565e17c47263e525dd1b17f68c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d410565e17c47263e525dd1b17f68c22"/>
                    <pic:cNvPicPr>
                      <a:picLocks noChangeAspect="1"/>
                    </pic:cNvPicPr>
                  </pic:nvPicPr>
                  <pic:blipFill>
                    <a:blip r:embed="rId33"/>
                    <a:srcRect r="5941" b="8830"/>
                    <a:stretch>
                      <a:fillRect/>
                    </a:stretch>
                  </pic:blipFill>
                  <pic:spPr>
                    <a:xfrm>
                      <a:off x="0" y="0"/>
                      <a:ext cx="6116955" cy="8177530"/>
                    </a:xfrm>
                    <a:prstGeom prst="rect">
                      <a:avLst/>
                    </a:prstGeom>
                  </pic:spPr>
                </pic:pic>
              </a:graphicData>
            </a:graphic>
          </wp:inline>
        </w:drawing>
      </w:r>
    </w:p>
    <w:p w14:paraId="668D03E7">
      <w:pPr>
        <w:pStyle w:val="2"/>
        <w:rPr>
          <w:rFonts w:hint="default"/>
        </w:rPr>
      </w:pPr>
    </w:p>
    <w:p w14:paraId="3B3D3732">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b w:val="0"/>
          <w:bCs w:val="0"/>
          <w:sz w:val="28"/>
          <w:szCs w:val="28"/>
          <w:highlight w:val="yellow"/>
          <w:u w:val="none" w:color="auto"/>
        </w:rPr>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26" w:charSpace="0"/>
        </w:sectPr>
      </w:pPr>
    </w:p>
    <w:p w14:paraId="3FEDA3D4">
      <w:pPr>
        <w:pStyle w:val="3"/>
        <w:bidi w:val="0"/>
        <w:rPr>
          <w:rFonts w:hint="default" w:ascii="Times New Roman" w:hAnsi="Times New Roman" w:eastAsia="宋体" w:cs="Times New Roman"/>
          <w:sz w:val="24"/>
          <w:szCs w:val="24"/>
          <w:lang w:val="en-US" w:eastAsia="zh-CN"/>
        </w:rPr>
      </w:pPr>
      <w:bookmarkStart w:id="36" w:name="_Toc5058"/>
      <w:bookmarkStart w:id="37" w:name="_Toc17381"/>
      <w:r>
        <w:rPr>
          <w:rFonts w:hint="default" w:ascii="Times New Roman" w:hAnsi="Times New Roman" w:eastAsia="宋体" w:cs="Times New Roman"/>
          <w:sz w:val="24"/>
          <w:szCs w:val="24"/>
          <w:lang w:val="en-US" w:eastAsia="zh-CN"/>
        </w:rPr>
        <w:t>附件3：营业执照</w:t>
      </w:r>
    </w:p>
    <w:p w14:paraId="0C9A5B8D">
      <w:pPr>
        <w:jc w:val="center"/>
        <w:rPr>
          <w:rFonts w:hint="eastAsia" w:ascii="Times New Roman" w:hAnsi="Times New Roman" w:eastAsia="宋体" w:cs="Times New Roman"/>
          <w:b/>
          <w:bCs/>
          <w:color w:val="auto"/>
          <w:sz w:val="24"/>
          <w:szCs w:val="24"/>
          <w:lang w:eastAsia="zh-CN"/>
        </w:rPr>
      </w:pPr>
    </w:p>
    <w:bookmarkEnd w:id="36"/>
    <w:bookmarkEnd w:id="37"/>
    <w:p w14:paraId="3F5261AA">
      <w:pPr>
        <w:pStyle w:val="50"/>
        <w:jc w:val="center"/>
        <w:rPr>
          <w:rFonts w:hint="eastAsia"/>
          <w:lang w:eastAsia="zh-CN"/>
        </w:rPr>
        <w:sectPr>
          <w:footerReference r:id="rId11"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lang w:eastAsia="zh-CN"/>
        </w:rPr>
        <w:drawing>
          <wp:inline distT="0" distB="0" distL="114300" distR="114300">
            <wp:extent cx="7439025" cy="5000625"/>
            <wp:effectExtent l="0" t="0" r="9525" b="9525"/>
            <wp:docPr id="11" name="图片 11" descr="673fc8a193326ab42dec909e487310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673fc8a193326ab42dec909e487310f9"/>
                    <pic:cNvPicPr>
                      <a:picLocks noChangeAspect="1"/>
                    </pic:cNvPicPr>
                  </pic:nvPicPr>
                  <pic:blipFill>
                    <a:blip r:embed="rId34"/>
                    <a:stretch>
                      <a:fillRect/>
                    </a:stretch>
                  </pic:blipFill>
                  <pic:spPr>
                    <a:xfrm>
                      <a:off x="0" y="0"/>
                      <a:ext cx="7439025" cy="5000625"/>
                    </a:xfrm>
                    <a:prstGeom prst="rect">
                      <a:avLst/>
                    </a:prstGeom>
                  </pic:spPr>
                </pic:pic>
              </a:graphicData>
            </a:graphic>
          </wp:inline>
        </w:drawing>
      </w:r>
    </w:p>
    <w:p w14:paraId="40E8B566">
      <w:pPr>
        <w:pStyle w:val="3"/>
        <w:bidi w:val="0"/>
        <w:rPr>
          <w:rFonts w:hint="default" w:ascii="Times New Roman" w:hAnsi="Times New Roman" w:eastAsia="宋体" w:cs="Times New Roman"/>
          <w:b/>
          <w:color w:val="auto"/>
          <w:kern w:val="2"/>
          <w:sz w:val="24"/>
          <w:szCs w:val="24"/>
          <w:u w:val="none"/>
          <w:lang w:val="en-US" w:eastAsia="zh-CN" w:bidi="ar-SA"/>
        </w:rPr>
      </w:pPr>
      <w:bookmarkStart w:id="38" w:name="_Toc18176"/>
      <w:r>
        <w:rPr>
          <w:rFonts w:hint="default" w:ascii="Times New Roman" w:hAnsi="Times New Roman" w:eastAsia="宋体" w:cs="Times New Roman"/>
          <w:sz w:val="24"/>
          <w:szCs w:val="24"/>
          <w:lang w:val="en-US" w:eastAsia="zh-CN"/>
        </w:rPr>
        <w:t>附件</w:t>
      </w:r>
      <w:r>
        <w:rPr>
          <w:rFonts w:hint="eastAsia" w:eastAsia="宋体" w:cs="Times New Roman"/>
          <w:sz w:val="24"/>
          <w:szCs w:val="24"/>
          <w:lang w:val="en-US" w:eastAsia="zh-CN"/>
        </w:rPr>
        <w:t>4</w:t>
      </w:r>
      <w:r>
        <w:rPr>
          <w:rFonts w:hint="default" w:ascii="Times New Roman" w:hAnsi="Times New Roman" w:eastAsia="宋体" w:cs="Times New Roman"/>
          <w:sz w:val="24"/>
          <w:szCs w:val="24"/>
          <w:lang w:val="en-US" w:eastAsia="zh-CN"/>
        </w:rPr>
        <w:t>：</w:t>
      </w:r>
      <w:r>
        <w:rPr>
          <w:rFonts w:hint="eastAsia" w:eastAsia="宋体" w:cs="Times New Roman"/>
          <w:sz w:val="24"/>
          <w:szCs w:val="24"/>
          <w:lang w:val="en-US" w:eastAsia="zh-CN"/>
        </w:rPr>
        <w:t>备案证明</w:t>
      </w:r>
    </w:p>
    <w:p w14:paraId="12030479">
      <w:pPr>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5442585" cy="8093710"/>
            <wp:effectExtent l="0" t="0" r="5715" b="2540"/>
            <wp:docPr id="37" name="图片 37" descr="d7bb24893e8e322bc53068070e4c76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7bb24893e8e322bc53068070e4c762e"/>
                    <pic:cNvPicPr>
                      <a:picLocks noChangeAspect="1"/>
                    </pic:cNvPicPr>
                  </pic:nvPicPr>
                  <pic:blipFill>
                    <a:blip r:embed="rId35"/>
                    <a:stretch>
                      <a:fillRect/>
                    </a:stretch>
                  </pic:blipFill>
                  <pic:spPr>
                    <a:xfrm>
                      <a:off x="0" y="0"/>
                      <a:ext cx="5442585" cy="8093710"/>
                    </a:xfrm>
                    <a:prstGeom prst="rect">
                      <a:avLst/>
                    </a:prstGeom>
                  </pic:spPr>
                </pic:pic>
              </a:graphicData>
            </a:graphic>
          </wp:inline>
        </w:drawing>
      </w:r>
    </w:p>
    <w:p w14:paraId="5606DC7E">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br w:type="page"/>
      </w:r>
    </w:p>
    <w:p w14:paraId="22A2190B">
      <w:pPr>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5241290" cy="8565515"/>
            <wp:effectExtent l="0" t="0" r="16510" b="6985"/>
            <wp:docPr id="56" name="图片 56" descr="ce93e91b8b342d11b2dcc9e2a80348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ce93e91b8b342d11b2dcc9e2a803482f"/>
                    <pic:cNvPicPr>
                      <a:picLocks noChangeAspect="1"/>
                    </pic:cNvPicPr>
                  </pic:nvPicPr>
                  <pic:blipFill>
                    <a:blip r:embed="rId36"/>
                    <a:stretch>
                      <a:fillRect/>
                    </a:stretch>
                  </pic:blipFill>
                  <pic:spPr>
                    <a:xfrm>
                      <a:off x="0" y="0"/>
                      <a:ext cx="5241290" cy="8565515"/>
                    </a:xfrm>
                    <a:prstGeom prst="rect">
                      <a:avLst/>
                    </a:prstGeom>
                  </pic:spPr>
                </pic:pic>
              </a:graphicData>
            </a:graphic>
          </wp:inline>
        </w:drawing>
      </w:r>
      <w:r>
        <w:rPr>
          <w:rFonts w:hint="default" w:ascii="Times New Roman" w:hAnsi="Times New Roman" w:eastAsia="宋体" w:cs="Times New Roman"/>
          <w:sz w:val="24"/>
          <w:szCs w:val="24"/>
          <w:lang w:val="en-US" w:eastAsia="zh-CN"/>
        </w:rPr>
        <w:br w:type="page"/>
      </w:r>
    </w:p>
    <w:p w14:paraId="2B6369E1">
      <w:pPr>
        <w:pStyle w:val="3"/>
        <w:bidi w:val="0"/>
        <w:rPr>
          <w:rFonts w:hint="eastAsia" w:eastAsia="宋体" w:cs="Times New Roman"/>
          <w:sz w:val="24"/>
          <w:szCs w:val="24"/>
          <w:lang w:val="en-US" w:eastAsia="zh-CN"/>
        </w:rPr>
      </w:pPr>
      <w:r>
        <w:rPr>
          <w:rFonts w:hint="default" w:ascii="Times New Roman" w:hAnsi="Times New Roman" w:eastAsia="宋体" w:cs="Times New Roman"/>
          <w:sz w:val="24"/>
          <w:szCs w:val="24"/>
          <w:lang w:val="en-US" w:eastAsia="zh-CN"/>
        </w:rPr>
        <w:t>附件</w:t>
      </w:r>
      <w:r>
        <w:rPr>
          <w:rFonts w:hint="eastAsia" w:eastAsia="宋体" w:cs="Times New Roman"/>
          <w:sz w:val="24"/>
          <w:szCs w:val="24"/>
          <w:lang w:val="en-US" w:eastAsia="zh-CN"/>
        </w:rPr>
        <w:t>5</w:t>
      </w:r>
      <w:r>
        <w:rPr>
          <w:rFonts w:hint="default" w:ascii="Times New Roman" w:hAnsi="Times New Roman" w:eastAsia="宋体" w:cs="Times New Roman"/>
          <w:sz w:val="24"/>
          <w:szCs w:val="24"/>
          <w:lang w:val="en-US" w:eastAsia="zh-CN"/>
        </w:rPr>
        <w:t>：</w:t>
      </w:r>
      <w:r>
        <w:rPr>
          <w:rFonts w:hint="eastAsia" w:eastAsia="宋体" w:cs="Times New Roman"/>
          <w:sz w:val="24"/>
          <w:szCs w:val="24"/>
          <w:lang w:val="en-US" w:eastAsia="zh-CN"/>
        </w:rPr>
        <w:t>入园协议书</w:t>
      </w:r>
    </w:p>
    <w:p w14:paraId="38DA62A3">
      <w:pPr>
        <w:jc w:val="center"/>
        <w:rPr>
          <w:rFonts w:hint="default"/>
          <w:lang w:val="en-US" w:eastAsia="zh-CN"/>
        </w:rPr>
      </w:pPr>
      <w:r>
        <w:rPr>
          <w:rFonts w:hint="default"/>
          <w:lang w:val="en-US" w:eastAsia="zh-CN"/>
        </w:rPr>
        <w:drawing>
          <wp:inline distT="0" distB="0" distL="114300" distR="114300">
            <wp:extent cx="5433695" cy="8089900"/>
            <wp:effectExtent l="0" t="0" r="14605" b="6350"/>
            <wp:docPr id="120" name="图片 120" descr="19c5ee09d575b19e43691cf547272f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19c5ee09d575b19e43691cf547272ff3"/>
                    <pic:cNvPicPr>
                      <a:picLocks noChangeAspect="1"/>
                    </pic:cNvPicPr>
                  </pic:nvPicPr>
                  <pic:blipFill>
                    <a:blip r:embed="rId37"/>
                    <a:stretch>
                      <a:fillRect/>
                    </a:stretch>
                  </pic:blipFill>
                  <pic:spPr>
                    <a:xfrm>
                      <a:off x="0" y="0"/>
                      <a:ext cx="5433695" cy="8089900"/>
                    </a:xfrm>
                    <a:prstGeom prst="rect">
                      <a:avLst/>
                    </a:prstGeom>
                  </pic:spPr>
                </pic:pic>
              </a:graphicData>
            </a:graphic>
          </wp:inline>
        </w:drawing>
      </w:r>
    </w:p>
    <w:p w14:paraId="05661352">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br w:type="page"/>
      </w:r>
      <w:r>
        <w:rPr>
          <w:rFonts w:hint="default" w:ascii="Times New Roman" w:hAnsi="Times New Roman" w:eastAsia="宋体" w:cs="Times New Roman"/>
          <w:sz w:val="24"/>
          <w:szCs w:val="24"/>
          <w:lang w:val="en-US" w:eastAsia="zh-CN"/>
        </w:rPr>
        <w:drawing>
          <wp:inline distT="0" distB="0" distL="114300" distR="114300">
            <wp:extent cx="5500370" cy="8526145"/>
            <wp:effectExtent l="0" t="0" r="5080" b="8255"/>
            <wp:docPr id="124" name="图片 124" descr="1162f08dc2dab52add750b174cb4cb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1162f08dc2dab52add750b174cb4cb7f"/>
                    <pic:cNvPicPr>
                      <a:picLocks noChangeAspect="1"/>
                    </pic:cNvPicPr>
                  </pic:nvPicPr>
                  <pic:blipFill>
                    <a:blip r:embed="rId38"/>
                    <a:stretch>
                      <a:fillRect/>
                    </a:stretch>
                  </pic:blipFill>
                  <pic:spPr>
                    <a:xfrm>
                      <a:off x="0" y="0"/>
                      <a:ext cx="5500370" cy="8526145"/>
                    </a:xfrm>
                    <a:prstGeom prst="rect">
                      <a:avLst/>
                    </a:prstGeom>
                  </pic:spPr>
                </pic:pic>
              </a:graphicData>
            </a:graphic>
          </wp:inline>
        </w:drawing>
      </w:r>
      <w:r>
        <w:rPr>
          <w:rFonts w:hint="default" w:ascii="Times New Roman" w:hAnsi="Times New Roman" w:eastAsia="宋体" w:cs="Times New Roman"/>
          <w:sz w:val="24"/>
          <w:szCs w:val="24"/>
          <w:lang w:val="en-US" w:eastAsia="zh-CN"/>
        </w:rPr>
        <w:br w:type="page"/>
      </w:r>
    </w:p>
    <w:p w14:paraId="1136D5DB">
      <w:pPr>
        <w:pStyle w:val="2"/>
        <w:rPr>
          <w:rFonts w:hint="default"/>
          <w:lang w:val="en-US" w:eastAsia="zh-CN"/>
        </w:rPr>
      </w:pPr>
      <w:r>
        <w:rPr>
          <w:rFonts w:hint="default"/>
          <w:lang w:val="en-US" w:eastAsia="zh-CN"/>
        </w:rPr>
        <w:drawing>
          <wp:inline distT="0" distB="0" distL="114300" distR="114300">
            <wp:extent cx="5450840" cy="8707755"/>
            <wp:effectExtent l="0" t="0" r="16510" b="17145"/>
            <wp:docPr id="125" name="图片 125" descr="e82015d64a69f8c68de019bcbef170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e82015d64a69f8c68de019bcbef1708f"/>
                    <pic:cNvPicPr>
                      <a:picLocks noChangeAspect="1"/>
                    </pic:cNvPicPr>
                  </pic:nvPicPr>
                  <pic:blipFill>
                    <a:blip r:embed="rId39"/>
                    <a:stretch>
                      <a:fillRect/>
                    </a:stretch>
                  </pic:blipFill>
                  <pic:spPr>
                    <a:xfrm>
                      <a:off x="0" y="0"/>
                      <a:ext cx="5450840" cy="8707755"/>
                    </a:xfrm>
                    <a:prstGeom prst="rect">
                      <a:avLst/>
                    </a:prstGeom>
                  </pic:spPr>
                </pic:pic>
              </a:graphicData>
            </a:graphic>
          </wp:inline>
        </w:drawing>
      </w:r>
    </w:p>
    <w:p w14:paraId="183630B3">
      <w:pPr>
        <w:rPr>
          <w:rFonts w:hint="default"/>
          <w:lang w:val="en-US" w:eastAsia="zh-CN"/>
        </w:rPr>
      </w:pPr>
      <w:r>
        <w:rPr>
          <w:rFonts w:hint="default"/>
          <w:lang w:val="en-US" w:eastAsia="zh-CN"/>
        </w:rPr>
        <w:drawing>
          <wp:inline distT="0" distB="0" distL="114300" distR="114300">
            <wp:extent cx="5549265" cy="8515350"/>
            <wp:effectExtent l="0" t="0" r="13335" b="0"/>
            <wp:docPr id="137" name="图片 137" descr="7b6a10ce6cb481ca25b2c025fd12f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7b6a10ce6cb481ca25b2c025fd12f249"/>
                    <pic:cNvPicPr>
                      <a:picLocks noChangeAspect="1"/>
                    </pic:cNvPicPr>
                  </pic:nvPicPr>
                  <pic:blipFill>
                    <a:blip r:embed="rId40"/>
                    <a:stretch>
                      <a:fillRect/>
                    </a:stretch>
                  </pic:blipFill>
                  <pic:spPr>
                    <a:xfrm>
                      <a:off x="0" y="0"/>
                      <a:ext cx="5549265" cy="8515350"/>
                    </a:xfrm>
                    <a:prstGeom prst="rect">
                      <a:avLst/>
                    </a:prstGeom>
                  </pic:spPr>
                </pic:pic>
              </a:graphicData>
            </a:graphic>
          </wp:inline>
        </w:drawing>
      </w:r>
      <w:r>
        <w:rPr>
          <w:rFonts w:hint="default"/>
          <w:lang w:val="en-US" w:eastAsia="zh-CN"/>
        </w:rPr>
        <w:br w:type="page"/>
      </w:r>
    </w:p>
    <w:p w14:paraId="0E56CCCB">
      <w:pPr>
        <w:bidi w:val="0"/>
        <w:rPr>
          <w:rFonts w:hint="default"/>
          <w:lang w:val="en-US" w:eastAsia="zh-CN"/>
        </w:rPr>
      </w:pPr>
      <w:r>
        <w:rPr>
          <w:rFonts w:hint="default"/>
          <w:lang w:val="en-US" w:eastAsia="zh-CN"/>
        </w:rPr>
        <w:drawing>
          <wp:inline distT="0" distB="0" distL="114300" distR="114300">
            <wp:extent cx="5741035" cy="8483600"/>
            <wp:effectExtent l="0" t="0" r="12065" b="12700"/>
            <wp:docPr id="141" name="图片 141" descr="d8ccfe8cdf082b14d833a6ee3eef47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d8ccfe8cdf082b14d833a6ee3eef47d7"/>
                    <pic:cNvPicPr>
                      <a:picLocks noChangeAspect="1"/>
                    </pic:cNvPicPr>
                  </pic:nvPicPr>
                  <pic:blipFill>
                    <a:blip r:embed="rId41"/>
                    <a:stretch>
                      <a:fillRect/>
                    </a:stretch>
                  </pic:blipFill>
                  <pic:spPr>
                    <a:xfrm>
                      <a:off x="0" y="0"/>
                      <a:ext cx="5741035" cy="8483600"/>
                    </a:xfrm>
                    <a:prstGeom prst="rect">
                      <a:avLst/>
                    </a:prstGeom>
                  </pic:spPr>
                </pic:pic>
              </a:graphicData>
            </a:graphic>
          </wp:inline>
        </w:drawing>
      </w:r>
    </w:p>
    <w:p w14:paraId="5079E50F">
      <w:pPr>
        <w:pStyle w:val="3"/>
        <w:bidi w:val="0"/>
        <w:rPr>
          <w:rFonts w:hint="default" w:ascii="Times New Roman" w:hAnsi="Times New Roman" w:eastAsia="宋体" w:cs="Times New Roman"/>
          <w:b/>
          <w:color w:val="auto"/>
          <w:kern w:val="2"/>
          <w:sz w:val="24"/>
          <w:szCs w:val="24"/>
          <w:u w:val="none"/>
          <w:lang w:val="en-US" w:eastAsia="zh-CN" w:bidi="ar-SA"/>
        </w:rPr>
      </w:pPr>
      <w:r>
        <w:rPr>
          <w:rFonts w:hint="default" w:ascii="Times New Roman" w:hAnsi="Times New Roman" w:eastAsia="宋体" w:cs="Times New Roman"/>
          <w:sz w:val="24"/>
          <w:szCs w:val="24"/>
          <w:lang w:val="en-US" w:eastAsia="zh-CN"/>
        </w:rPr>
        <w:t>附件</w:t>
      </w:r>
      <w:r>
        <w:rPr>
          <w:rFonts w:hint="eastAsia" w:eastAsia="宋体" w:cs="Times New Roman"/>
          <w:sz w:val="24"/>
          <w:szCs w:val="24"/>
          <w:lang w:val="en-US" w:eastAsia="zh-CN"/>
        </w:rPr>
        <w:t>6</w:t>
      </w:r>
      <w:r>
        <w:rPr>
          <w:rFonts w:hint="default" w:ascii="Times New Roman" w:hAnsi="Times New Roman" w:eastAsia="宋体" w:cs="Times New Roman"/>
          <w:sz w:val="24"/>
          <w:szCs w:val="24"/>
          <w:lang w:val="en-US" w:eastAsia="zh-CN"/>
        </w:rPr>
        <w:t>：</w:t>
      </w:r>
      <w:r>
        <w:rPr>
          <w:rFonts w:hint="eastAsia" w:eastAsia="宋体" w:cs="Times New Roman"/>
          <w:sz w:val="24"/>
          <w:szCs w:val="24"/>
          <w:lang w:val="en-US" w:eastAsia="zh-CN"/>
        </w:rPr>
        <w:t>厂房租赁合同</w:t>
      </w:r>
    </w:p>
    <w:p w14:paraId="21C64C44">
      <w:pPr>
        <w:bidi w:val="0"/>
        <w:jc w:val="center"/>
        <w:rPr>
          <w:rFonts w:hint="default" w:ascii="微软雅黑" w:hAnsi="微软雅黑" w:eastAsia="微软雅黑"/>
          <w:color w:val="000000" w:themeColor="text1"/>
          <w:sz w:val="24"/>
          <w:szCs w:val="24"/>
          <w:lang w:val="en-US" w:eastAsia="zh-CN"/>
          <w14:textFill>
            <w14:solidFill>
              <w14:schemeClr w14:val="tx1"/>
            </w14:solidFill>
          </w14:textFill>
        </w:rPr>
      </w:pPr>
      <w:r>
        <w:rPr>
          <w:rFonts w:hint="default" w:ascii="微软雅黑" w:hAnsi="微软雅黑" w:eastAsia="微软雅黑"/>
          <w:color w:val="000000" w:themeColor="text1"/>
          <w:sz w:val="24"/>
          <w:szCs w:val="24"/>
          <w:lang w:val="en-US" w:eastAsia="zh-CN"/>
          <w14:textFill>
            <w14:solidFill>
              <w14:schemeClr w14:val="tx1"/>
            </w14:solidFill>
          </w14:textFill>
        </w:rPr>
        <w:drawing>
          <wp:inline distT="0" distB="0" distL="114300" distR="114300">
            <wp:extent cx="5285105" cy="8172450"/>
            <wp:effectExtent l="0" t="0" r="10795" b="0"/>
            <wp:docPr id="58" name="图片 58" descr="a5c76e3960f5606ed3e64e206b1f98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a5c76e3960f5606ed3e64e206b1f985a"/>
                    <pic:cNvPicPr>
                      <a:picLocks noChangeAspect="1"/>
                    </pic:cNvPicPr>
                  </pic:nvPicPr>
                  <pic:blipFill>
                    <a:blip r:embed="rId42"/>
                    <a:srcRect l="2120" t="2721" r="6132" b="2753"/>
                    <a:stretch>
                      <a:fillRect/>
                    </a:stretch>
                  </pic:blipFill>
                  <pic:spPr>
                    <a:xfrm>
                      <a:off x="0" y="0"/>
                      <a:ext cx="5285105" cy="8172450"/>
                    </a:xfrm>
                    <a:prstGeom prst="rect">
                      <a:avLst/>
                    </a:prstGeom>
                  </pic:spPr>
                </pic:pic>
              </a:graphicData>
            </a:graphic>
          </wp:inline>
        </w:drawing>
      </w:r>
    </w:p>
    <w:p w14:paraId="2984BDC9">
      <w:pPr>
        <w:rPr>
          <w:rFonts w:hint="default" w:ascii="微软雅黑" w:hAnsi="微软雅黑" w:eastAsia="微软雅黑"/>
          <w:color w:val="000000" w:themeColor="text1"/>
          <w:sz w:val="24"/>
          <w:szCs w:val="24"/>
          <w:lang w:val="en-US" w:eastAsia="zh-CN"/>
          <w14:textFill>
            <w14:solidFill>
              <w14:schemeClr w14:val="tx1"/>
            </w14:solidFill>
          </w14:textFill>
        </w:rPr>
      </w:pPr>
      <w:r>
        <w:rPr>
          <w:rFonts w:hint="default" w:ascii="微软雅黑" w:hAnsi="微软雅黑" w:eastAsia="微软雅黑"/>
          <w:color w:val="000000" w:themeColor="text1"/>
          <w:sz w:val="24"/>
          <w:szCs w:val="24"/>
          <w:lang w:val="en-US" w:eastAsia="zh-CN"/>
          <w14:textFill>
            <w14:solidFill>
              <w14:schemeClr w14:val="tx1"/>
            </w14:solidFill>
          </w14:textFill>
        </w:rPr>
        <w:br w:type="page"/>
      </w:r>
    </w:p>
    <w:p w14:paraId="5A798EBD">
      <w:pPr>
        <w:bidi w:val="0"/>
        <w:jc w:val="center"/>
        <w:rPr>
          <w:rFonts w:hint="default" w:ascii="微软雅黑" w:hAnsi="微软雅黑" w:eastAsia="微软雅黑"/>
          <w:color w:val="000000" w:themeColor="text1"/>
          <w:sz w:val="24"/>
          <w:szCs w:val="24"/>
          <w:lang w:val="en-US" w:eastAsia="zh-CN"/>
          <w14:textFill>
            <w14:solidFill>
              <w14:schemeClr w14:val="tx1"/>
            </w14:solidFill>
          </w14:textFill>
        </w:rPr>
      </w:pPr>
      <w:r>
        <w:rPr>
          <w:rFonts w:hint="default" w:ascii="微软雅黑" w:hAnsi="微软雅黑" w:eastAsia="微软雅黑"/>
          <w:color w:val="000000" w:themeColor="text1"/>
          <w:sz w:val="24"/>
          <w:szCs w:val="24"/>
          <w:lang w:val="en-US" w:eastAsia="zh-CN"/>
          <w14:textFill>
            <w14:solidFill>
              <w14:schemeClr w14:val="tx1"/>
            </w14:solidFill>
          </w14:textFill>
        </w:rPr>
        <w:drawing>
          <wp:inline distT="0" distB="0" distL="114300" distR="114300">
            <wp:extent cx="6089650" cy="8305165"/>
            <wp:effectExtent l="0" t="0" r="6350" b="635"/>
            <wp:docPr id="59" name="图片 59" descr="e22010bca44d89834d1030b54d2b89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e22010bca44d89834d1030b54d2b896d"/>
                    <pic:cNvPicPr>
                      <a:picLocks noChangeAspect="1"/>
                    </pic:cNvPicPr>
                  </pic:nvPicPr>
                  <pic:blipFill>
                    <a:blip r:embed="rId43"/>
                    <a:stretch>
                      <a:fillRect/>
                    </a:stretch>
                  </pic:blipFill>
                  <pic:spPr>
                    <a:xfrm>
                      <a:off x="0" y="0"/>
                      <a:ext cx="6089650" cy="8305165"/>
                    </a:xfrm>
                    <a:prstGeom prst="rect">
                      <a:avLst/>
                    </a:prstGeom>
                  </pic:spPr>
                </pic:pic>
              </a:graphicData>
            </a:graphic>
          </wp:inline>
        </w:drawing>
      </w:r>
    </w:p>
    <w:p w14:paraId="347B0B4B">
      <w:pPr>
        <w:rPr>
          <w:rFonts w:hint="default" w:ascii="微软雅黑" w:hAnsi="微软雅黑" w:eastAsia="微软雅黑"/>
          <w:color w:val="000000" w:themeColor="text1"/>
          <w:sz w:val="24"/>
          <w:szCs w:val="24"/>
          <w:lang w:val="en-US" w:eastAsia="zh-CN"/>
          <w14:textFill>
            <w14:solidFill>
              <w14:schemeClr w14:val="tx1"/>
            </w14:solidFill>
          </w14:textFill>
        </w:rPr>
      </w:pPr>
      <w:r>
        <w:rPr>
          <w:rFonts w:hint="default" w:ascii="微软雅黑" w:hAnsi="微软雅黑" w:eastAsia="微软雅黑"/>
          <w:color w:val="000000" w:themeColor="text1"/>
          <w:sz w:val="24"/>
          <w:szCs w:val="24"/>
          <w:lang w:val="en-US" w:eastAsia="zh-CN"/>
          <w14:textFill>
            <w14:solidFill>
              <w14:schemeClr w14:val="tx1"/>
            </w14:solidFill>
          </w14:textFill>
        </w:rPr>
        <w:br w:type="page"/>
      </w:r>
    </w:p>
    <w:p w14:paraId="5762AAE6">
      <w:pPr>
        <w:bidi w:val="0"/>
        <w:jc w:val="center"/>
        <w:rPr>
          <w:rFonts w:hint="default" w:ascii="微软雅黑" w:hAnsi="微软雅黑" w:eastAsia="微软雅黑"/>
          <w:color w:val="000000" w:themeColor="text1"/>
          <w:sz w:val="24"/>
          <w:szCs w:val="24"/>
          <w:lang w:val="en-US" w:eastAsia="zh-CN"/>
          <w14:textFill>
            <w14:solidFill>
              <w14:schemeClr w14:val="tx1"/>
            </w14:solidFill>
          </w14:textFill>
        </w:rPr>
      </w:pPr>
      <w:r>
        <w:rPr>
          <w:rFonts w:hint="default" w:ascii="微软雅黑" w:hAnsi="微软雅黑" w:eastAsia="微软雅黑"/>
          <w:color w:val="000000" w:themeColor="text1"/>
          <w:sz w:val="24"/>
          <w:szCs w:val="24"/>
          <w:lang w:val="en-US" w:eastAsia="zh-CN"/>
          <w14:textFill>
            <w14:solidFill>
              <w14:schemeClr w14:val="tx1"/>
            </w14:solidFill>
          </w14:textFill>
        </w:rPr>
        <w:drawing>
          <wp:inline distT="0" distB="0" distL="114300" distR="114300">
            <wp:extent cx="5373370" cy="8133715"/>
            <wp:effectExtent l="0" t="0" r="17780" b="635"/>
            <wp:docPr id="60" name="图片 60" descr="6efc1f4a8f65db4a1b401fd34f58bd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6efc1f4a8f65db4a1b401fd34f58bd1b"/>
                    <pic:cNvPicPr>
                      <a:picLocks noChangeAspect="1"/>
                    </pic:cNvPicPr>
                  </pic:nvPicPr>
                  <pic:blipFill>
                    <a:blip r:embed="rId44"/>
                    <a:stretch>
                      <a:fillRect/>
                    </a:stretch>
                  </pic:blipFill>
                  <pic:spPr>
                    <a:xfrm>
                      <a:off x="0" y="0"/>
                      <a:ext cx="5373370" cy="8133715"/>
                    </a:xfrm>
                    <a:prstGeom prst="rect">
                      <a:avLst/>
                    </a:prstGeom>
                  </pic:spPr>
                </pic:pic>
              </a:graphicData>
            </a:graphic>
          </wp:inline>
        </w:drawing>
      </w:r>
    </w:p>
    <w:p w14:paraId="3D179345">
      <w:pPr>
        <w:rPr>
          <w:rFonts w:hint="default"/>
        </w:rPr>
      </w:pPr>
      <w:r>
        <w:rPr>
          <w:rFonts w:hint="default"/>
        </w:rPr>
        <w:br w:type="page"/>
      </w:r>
    </w:p>
    <w:p w14:paraId="5F12C23C">
      <w:pPr>
        <w:rPr>
          <w:rFonts w:hint="eastAsia" w:eastAsia="宋体"/>
          <w:lang w:eastAsia="zh-CN"/>
        </w:rPr>
      </w:pPr>
      <w:r>
        <w:rPr>
          <w:rFonts w:hint="eastAsia" w:eastAsia="宋体"/>
          <w:lang w:eastAsia="zh-CN"/>
        </w:rPr>
        <w:drawing>
          <wp:inline distT="0" distB="0" distL="114300" distR="114300">
            <wp:extent cx="5705475" cy="8333740"/>
            <wp:effectExtent l="0" t="0" r="9525" b="10160"/>
            <wp:docPr id="61" name="图片 61" descr="a9812bc0a961e55f3e3da7c1133cac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a9812bc0a961e55f3e3da7c1133cac42"/>
                    <pic:cNvPicPr>
                      <a:picLocks noChangeAspect="1"/>
                    </pic:cNvPicPr>
                  </pic:nvPicPr>
                  <pic:blipFill>
                    <a:blip r:embed="rId45"/>
                    <a:stretch>
                      <a:fillRect/>
                    </a:stretch>
                  </pic:blipFill>
                  <pic:spPr>
                    <a:xfrm>
                      <a:off x="0" y="0"/>
                      <a:ext cx="5705475" cy="8333740"/>
                    </a:xfrm>
                    <a:prstGeom prst="rect">
                      <a:avLst/>
                    </a:prstGeom>
                  </pic:spPr>
                </pic:pic>
              </a:graphicData>
            </a:graphic>
          </wp:inline>
        </w:drawing>
      </w:r>
    </w:p>
    <w:p w14:paraId="77D1FF69">
      <w:pPr>
        <w:jc w:val="center"/>
        <w:rPr>
          <w:rFonts w:hint="default"/>
        </w:rPr>
      </w:pPr>
      <w:r>
        <w:rPr>
          <w:rFonts w:hint="default"/>
        </w:rPr>
        <w:br w:type="page"/>
      </w:r>
      <w:r>
        <w:rPr>
          <w:rFonts w:hint="default"/>
        </w:rPr>
        <w:drawing>
          <wp:inline distT="0" distB="0" distL="114300" distR="114300">
            <wp:extent cx="5469255" cy="8544560"/>
            <wp:effectExtent l="0" t="0" r="17145" b="8890"/>
            <wp:docPr id="64" name="图片 64" descr="9bb3141c5a8bfce8cf8d35472aff5c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9bb3141c5a8bfce8cf8d35472aff5c9f"/>
                    <pic:cNvPicPr>
                      <a:picLocks noChangeAspect="1"/>
                    </pic:cNvPicPr>
                  </pic:nvPicPr>
                  <pic:blipFill>
                    <a:blip r:embed="rId46"/>
                    <a:stretch>
                      <a:fillRect/>
                    </a:stretch>
                  </pic:blipFill>
                  <pic:spPr>
                    <a:xfrm>
                      <a:off x="0" y="0"/>
                      <a:ext cx="5469255" cy="8544560"/>
                    </a:xfrm>
                    <a:prstGeom prst="rect">
                      <a:avLst/>
                    </a:prstGeom>
                  </pic:spPr>
                </pic:pic>
              </a:graphicData>
            </a:graphic>
          </wp:inline>
        </w:drawing>
      </w:r>
      <w:r>
        <w:rPr>
          <w:rFonts w:hint="default"/>
        </w:rPr>
        <w:br w:type="page"/>
      </w:r>
    </w:p>
    <w:p w14:paraId="75772C83">
      <w:pPr>
        <w:pStyle w:val="50"/>
        <w:rPr>
          <w:rFonts w:hint="eastAsia" w:eastAsia="宋体"/>
          <w:lang w:eastAsia="zh-CN"/>
        </w:rPr>
      </w:pPr>
      <w:r>
        <w:rPr>
          <w:rFonts w:hint="eastAsia" w:eastAsia="宋体"/>
          <w:lang w:eastAsia="zh-CN"/>
        </w:rPr>
        <w:drawing>
          <wp:inline distT="0" distB="0" distL="114300" distR="114300">
            <wp:extent cx="5577205" cy="8334375"/>
            <wp:effectExtent l="0" t="0" r="4445" b="9525"/>
            <wp:docPr id="65" name="图片 65" descr="ec1d41dae4cc94be54a3379d26fd30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ec1d41dae4cc94be54a3379d26fd301e"/>
                    <pic:cNvPicPr>
                      <a:picLocks noChangeAspect="1"/>
                    </pic:cNvPicPr>
                  </pic:nvPicPr>
                  <pic:blipFill>
                    <a:blip r:embed="rId47"/>
                    <a:stretch>
                      <a:fillRect/>
                    </a:stretch>
                  </pic:blipFill>
                  <pic:spPr>
                    <a:xfrm>
                      <a:off x="0" y="0"/>
                      <a:ext cx="5577205" cy="8334375"/>
                    </a:xfrm>
                    <a:prstGeom prst="rect">
                      <a:avLst/>
                    </a:prstGeom>
                  </pic:spPr>
                </pic:pic>
              </a:graphicData>
            </a:graphic>
          </wp:inline>
        </w:drawing>
      </w:r>
    </w:p>
    <w:p w14:paraId="73878F6D">
      <w:pPr>
        <w:rPr>
          <w:rFonts w:hint="eastAsia" w:eastAsia="宋体"/>
          <w:lang w:eastAsia="zh-CN"/>
        </w:rPr>
      </w:pPr>
      <w:r>
        <w:rPr>
          <w:rFonts w:hint="eastAsia" w:eastAsia="宋体"/>
          <w:lang w:eastAsia="zh-CN"/>
        </w:rPr>
        <w:br w:type="page"/>
      </w:r>
    </w:p>
    <w:p w14:paraId="481E110A">
      <w:pPr>
        <w:jc w:val="center"/>
        <w:rPr>
          <w:rFonts w:hint="eastAsia"/>
          <w:lang w:eastAsia="zh-CN"/>
        </w:rPr>
      </w:pPr>
      <w:r>
        <w:rPr>
          <w:rFonts w:hint="eastAsia"/>
          <w:lang w:eastAsia="zh-CN"/>
        </w:rPr>
        <w:drawing>
          <wp:inline distT="0" distB="0" distL="114300" distR="114300">
            <wp:extent cx="5567680" cy="8483600"/>
            <wp:effectExtent l="0" t="0" r="13970" b="12700"/>
            <wp:docPr id="66" name="图片 66" descr="af160bc6b8737c251e7dbe2e4b06d3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af160bc6b8737c251e7dbe2e4b06d3d7"/>
                    <pic:cNvPicPr>
                      <a:picLocks noChangeAspect="1"/>
                    </pic:cNvPicPr>
                  </pic:nvPicPr>
                  <pic:blipFill>
                    <a:blip r:embed="rId48"/>
                    <a:stretch>
                      <a:fillRect/>
                    </a:stretch>
                  </pic:blipFill>
                  <pic:spPr>
                    <a:xfrm>
                      <a:off x="0" y="0"/>
                      <a:ext cx="5567680" cy="8483600"/>
                    </a:xfrm>
                    <a:prstGeom prst="rect">
                      <a:avLst/>
                    </a:prstGeom>
                  </pic:spPr>
                </pic:pic>
              </a:graphicData>
            </a:graphic>
          </wp:inline>
        </w:drawing>
      </w:r>
    </w:p>
    <w:p w14:paraId="72F1762F">
      <w:pPr>
        <w:rPr>
          <w:rFonts w:hint="eastAsia"/>
          <w:lang w:eastAsia="zh-CN"/>
        </w:rPr>
      </w:pPr>
      <w:r>
        <w:rPr>
          <w:rFonts w:hint="eastAsia"/>
          <w:lang w:eastAsia="zh-CN"/>
        </w:rPr>
        <w:br w:type="page"/>
      </w:r>
    </w:p>
    <w:p w14:paraId="7E3F634B">
      <w:pPr>
        <w:pStyle w:val="50"/>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lang w:eastAsia="zh-CN"/>
        </w:rPr>
      </w:pPr>
      <w:r>
        <w:rPr>
          <w:rFonts w:hint="eastAsia"/>
          <w:lang w:eastAsia="zh-CN"/>
        </w:rPr>
        <w:drawing>
          <wp:inline distT="0" distB="0" distL="114300" distR="114300">
            <wp:extent cx="5608320" cy="8391525"/>
            <wp:effectExtent l="0" t="0" r="11430" b="9525"/>
            <wp:docPr id="67" name="图片 67" descr="6754b9543a26a1a4d1bcf4874a7709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6754b9543a26a1a4d1bcf4874a7709fe"/>
                    <pic:cNvPicPr>
                      <a:picLocks noChangeAspect="1"/>
                    </pic:cNvPicPr>
                  </pic:nvPicPr>
                  <pic:blipFill>
                    <a:blip r:embed="rId49"/>
                    <a:stretch>
                      <a:fillRect/>
                    </a:stretch>
                  </pic:blipFill>
                  <pic:spPr>
                    <a:xfrm>
                      <a:off x="0" y="0"/>
                      <a:ext cx="5608320" cy="8391525"/>
                    </a:xfrm>
                    <a:prstGeom prst="rect">
                      <a:avLst/>
                    </a:prstGeom>
                  </pic:spPr>
                </pic:pic>
              </a:graphicData>
            </a:graphic>
          </wp:inline>
        </w:drawing>
      </w:r>
    </w:p>
    <w:p w14:paraId="622E4699">
      <w:pPr>
        <w:pStyle w:val="3"/>
        <w:bidi w:val="0"/>
        <w:rPr>
          <w:rFonts w:hint="default" w:ascii="Times New Roman" w:hAnsi="Times New Roman" w:eastAsia="宋体" w:cs="Times New Roman"/>
          <w:b/>
          <w:color w:val="auto"/>
          <w:kern w:val="2"/>
          <w:sz w:val="24"/>
          <w:szCs w:val="24"/>
          <w:u w:val="none"/>
          <w:lang w:val="en-US" w:eastAsia="zh-CN" w:bidi="ar-SA"/>
        </w:rPr>
      </w:pPr>
      <w:r>
        <w:rPr>
          <w:rFonts w:hint="default" w:ascii="Times New Roman" w:hAnsi="Times New Roman" w:eastAsia="宋体" w:cs="Times New Roman"/>
          <w:sz w:val="24"/>
          <w:szCs w:val="24"/>
          <w:lang w:val="en-US" w:eastAsia="zh-CN"/>
        </w:rPr>
        <w:t>附件</w:t>
      </w:r>
      <w:r>
        <w:rPr>
          <w:rFonts w:hint="eastAsia" w:eastAsia="宋体" w:cs="Times New Roman"/>
          <w:sz w:val="24"/>
          <w:szCs w:val="24"/>
          <w:lang w:val="en-US" w:eastAsia="zh-CN"/>
        </w:rPr>
        <w:t>7</w:t>
      </w:r>
      <w:r>
        <w:rPr>
          <w:rFonts w:hint="default" w:ascii="Times New Roman" w:hAnsi="Times New Roman" w:eastAsia="宋体" w:cs="Times New Roman"/>
          <w:sz w:val="24"/>
          <w:szCs w:val="24"/>
          <w:lang w:val="en-US" w:eastAsia="zh-CN"/>
        </w:rPr>
        <w:t>：</w:t>
      </w:r>
      <w:r>
        <w:rPr>
          <w:rFonts w:hint="eastAsia" w:eastAsia="宋体" w:cs="Times New Roman"/>
          <w:sz w:val="24"/>
          <w:szCs w:val="24"/>
          <w:lang w:val="en-US" w:eastAsia="zh-CN"/>
        </w:rPr>
        <w:t>项目涉VOCs物料MSDS</w:t>
      </w:r>
    </w:p>
    <w:p w14:paraId="2B1DFAD7">
      <w:pPr>
        <w:jc w:val="center"/>
        <w:rPr>
          <w:rFonts w:hint="eastAsia" w:eastAsia="宋体"/>
          <w:lang w:eastAsia="zh-CN"/>
        </w:rPr>
      </w:pPr>
      <w:r>
        <w:rPr>
          <w:rFonts w:hint="eastAsia" w:eastAsia="宋体"/>
          <w:lang w:eastAsia="zh-CN"/>
        </w:rPr>
        <w:drawing>
          <wp:inline distT="0" distB="0" distL="114300" distR="114300">
            <wp:extent cx="5762625" cy="8124190"/>
            <wp:effectExtent l="0" t="0" r="9525" b="10160"/>
            <wp:docPr id="68" name="图片 68" descr="a85f536fa82c768940d5829750f8b9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a85f536fa82c768940d5829750f8b94c"/>
                    <pic:cNvPicPr>
                      <a:picLocks noChangeAspect="1"/>
                    </pic:cNvPicPr>
                  </pic:nvPicPr>
                  <pic:blipFill>
                    <a:blip r:embed="rId50"/>
                    <a:stretch>
                      <a:fillRect/>
                    </a:stretch>
                  </pic:blipFill>
                  <pic:spPr>
                    <a:xfrm>
                      <a:off x="0" y="0"/>
                      <a:ext cx="5762625" cy="8124190"/>
                    </a:xfrm>
                    <a:prstGeom prst="rect">
                      <a:avLst/>
                    </a:prstGeom>
                  </pic:spPr>
                </pic:pic>
              </a:graphicData>
            </a:graphic>
          </wp:inline>
        </w:drawing>
      </w:r>
    </w:p>
    <w:p w14:paraId="51EF9ED0">
      <w:pPr>
        <w:rPr>
          <w:rFonts w:hint="default"/>
        </w:rPr>
      </w:pPr>
      <w:r>
        <w:rPr>
          <w:rFonts w:hint="default"/>
        </w:rPr>
        <w:br w:type="page"/>
      </w:r>
    </w:p>
    <w:p w14:paraId="68BC6BFA">
      <w:pPr>
        <w:rPr>
          <w:rFonts w:hint="eastAsia" w:eastAsia="宋体"/>
          <w:lang w:eastAsia="zh-CN"/>
        </w:rPr>
      </w:pPr>
      <w:r>
        <w:rPr>
          <w:rFonts w:hint="eastAsia" w:eastAsia="宋体"/>
          <w:lang w:eastAsia="zh-CN"/>
        </w:rPr>
        <w:drawing>
          <wp:inline distT="0" distB="0" distL="114300" distR="114300">
            <wp:extent cx="5980430" cy="8486775"/>
            <wp:effectExtent l="0" t="0" r="1270" b="9525"/>
            <wp:docPr id="69" name="图片 69" descr="55e4d33a0e59efe8e76bc1424a8a79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55e4d33a0e59efe8e76bc1424a8a799c"/>
                    <pic:cNvPicPr>
                      <a:picLocks noChangeAspect="1"/>
                    </pic:cNvPicPr>
                  </pic:nvPicPr>
                  <pic:blipFill>
                    <a:blip r:embed="rId51"/>
                    <a:stretch>
                      <a:fillRect/>
                    </a:stretch>
                  </pic:blipFill>
                  <pic:spPr>
                    <a:xfrm>
                      <a:off x="0" y="0"/>
                      <a:ext cx="5980430" cy="8486775"/>
                    </a:xfrm>
                    <a:prstGeom prst="rect">
                      <a:avLst/>
                    </a:prstGeom>
                  </pic:spPr>
                </pic:pic>
              </a:graphicData>
            </a:graphic>
          </wp:inline>
        </w:drawing>
      </w:r>
    </w:p>
    <w:p w14:paraId="514CC10E">
      <w:pPr>
        <w:rPr>
          <w:rFonts w:hint="default"/>
        </w:rPr>
      </w:pPr>
      <w:r>
        <w:rPr>
          <w:rFonts w:hint="default"/>
        </w:rPr>
        <w:br w:type="page"/>
      </w:r>
    </w:p>
    <w:p w14:paraId="36D260C2">
      <w:pPr>
        <w:rPr>
          <w:rFonts w:hint="default"/>
        </w:rPr>
      </w:pPr>
      <w:r>
        <w:rPr>
          <w:rFonts w:hint="default"/>
        </w:rPr>
        <w:drawing>
          <wp:inline distT="0" distB="0" distL="114300" distR="114300">
            <wp:extent cx="6027420" cy="8438515"/>
            <wp:effectExtent l="0" t="0" r="11430" b="635"/>
            <wp:docPr id="70" name="图片 70" descr="9fd118f2751a19db9d4d6e5012f28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9fd118f2751a19db9d4d6e5012f28458"/>
                    <pic:cNvPicPr>
                      <a:picLocks noChangeAspect="1"/>
                    </pic:cNvPicPr>
                  </pic:nvPicPr>
                  <pic:blipFill>
                    <a:blip r:embed="rId52"/>
                    <a:stretch>
                      <a:fillRect/>
                    </a:stretch>
                  </pic:blipFill>
                  <pic:spPr>
                    <a:xfrm>
                      <a:off x="0" y="0"/>
                      <a:ext cx="6027420" cy="8438515"/>
                    </a:xfrm>
                    <a:prstGeom prst="rect">
                      <a:avLst/>
                    </a:prstGeom>
                  </pic:spPr>
                </pic:pic>
              </a:graphicData>
            </a:graphic>
          </wp:inline>
        </w:drawing>
      </w:r>
      <w:r>
        <w:rPr>
          <w:rFonts w:hint="default"/>
        </w:rPr>
        <w:br w:type="page"/>
      </w:r>
    </w:p>
    <w:p w14:paraId="75C71057">
      <w:pPr>
        <w:rPr>
          <w:rFonts w:hint="eastAsia" w:eastAsia="宋体"/>
          <w:lang w:eastAsia="zh-CN"/>
        </w:rPr>
      </w:pPr>
      <w:r>
        <w:rPr>
          <w:rFonts w:hint="eastAsia" w:eastAsia="宋体"/>
          <w:lang w:eastAsia="zh-CN"/>
        </w:rPr>
        <w:drawing>
          <wp:inline distT="0" distB="0" distL="114300" distR="114300">
            <wp:extent cx="6058535" cy="8467090"/>
            <wp:effectExtent l="0" t="0" r="18415" b="10160"/>
            <wp:docPr id="71" name="图片 71" descr="9fd11177e380899461d891f0e1097a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9fd11177e380899461d891f0e1097a03"/>
                    <pic:cNvPicPr>
                      <a:picLocks noChangeAspect="1"/>
                    </pic:cNvPicPr>
                  </pic:nvPicPr>
                  <pic:blipFill>
                    <a:blip r:embed="rId53"/>
                    <a:stretch>
                      <a:fillRect/>
                    </a:stretch>
                  </pic:blipFill>
                  <pic:spPr>
                    <a:xfrm>
                      <a:off x="0" y="0"/>
                      <a:ext cx="6058535" cy="8467090"/>
                    </a:xfrm>
                    <a:prstGeom prst="rect">
                      <a:avLst/>
                    </a:prstGeom>
                  </pic:spPr>
                </pic:pic>
              </a:graphicData>
            </a:graphic>
          </wp:inline>
        </w:drawing>
      </w:r>
    </w:p>
    <w:p w14:paraId="426CEEEB">
      <w:pPr>
        <w:rPr>
          <w:rFonts w:hint="default"/>
        </w:rPr>
      </w:pPr>
      <w:r>
        <w:rPr>
          <w:rFonts w:hint="default"/>
        </w:rPr>
        <w:br w:type="page"/>
      </w:r>
    </w:p>
    <w:p w14:paraId="171B9255">
      <w:pPr>
        <w:rPr>
          <w:rFonts w:hint="eastAsia" w:eastAsia="宋体"/>
          <w:lang w:eastAsia="zh-CN"/>
        </w:rPr>
      </w:pPr>
      <w:r>
        <w:rPr>
          <w:rFonts w:hint="eastAsia" w:eastAsia="宋体"/>
          <w:lang w:eastAsia="zh-CN"/>
        </w:rPr>
        <w:drawing>
          <wp:inline distT="0" distB="0" distL="114300" distR="114300">
            <wp:extent cx="5941695" cy="8430260"/>
            <wp:effectExtent l="0" t="0" r="1905" b="8890"/>
            <wp:docPr id="72" name="图片 72" descr="09be035b3327de261c0a301c29fbfa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09be035b3327de261c0a301c29fbfa78"/>
                    <pic:cNvPicPr>
                      <a:picLocks noChangeAspect="1"/>
                    </pic:cNvPicPr>
                  </pic:nvPicPr>
                  <pic:blipFill>
                    <a:blip r:embed="rId54"/>
                    <a:stretch>
                      <a:fillRect/>
                    </a:stretch>
                  </pic:blipFill>
                  <pic:spPr>
                    <a:xfrm>
                      <a:off x="0" y="0"/>
                      <a:ext cx="5941695" cy="8430260"/>
                    </a:xfrm>
                    <a:prstGeom prst="rect">
                      <a:avLst/>
                    </a:prstGeom>
                  </pic:spPr>
                </pic:pic>
              </a:graphicData>
            </a:graphic>
          </wp:inline>
        </w:drawing>
      </w:r>
    </w:p>
    <w:p w14:paraId="285EDCDF">
      <w:pPr>
        <w:rPr>
          <w:rFonts w:hint="default"/>
        </w:rPr>
      </w:pPr>
      <w:r>
        <w:rPr>
          <w:rFonts w:hint="default"/>
        </w:rPr>
        <w:br w:type="page"/>
      </w:r>
    </w:p>
    <w:p w14:paraId="7AA36F3F">
      <w:pPr>
        <w:rPr>
          <w:rFonts w:hint="eastAsia" w:eastAsia="宋体"/>
          <w:lang w:eastAsia="zh-CN"/>
        </w:rPr>
      </w:pPr>
      <w:r>
        <w:rPr>
          <w:rFonts w:hint="eastAsia" w:eastAsia="宋体"/>
          <w:lang w:eastAsia="zh-CN"/>
        </w:rPr>
        <w:drawing>
          <wp:inline distT="0" distB="0" distL="114300" distR="114300">
            <wp:extent cx="6039485" cy="8505825"/>
            <wp:effectExtent l="0" t="0" r="18415" b="9525"/>
            <wp:docPr id="78" name="图片 78" descr="17ab3b9d157f197a3385d701117273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17ab3b9d157f197a3385d7011172734a"/>
                    <pic:cNvPicPr>
                      <a:picLocks noChangeAspect="1"/>
                    </pic:cNvPicPr>
                  </pic:nvPicPr>
                  <pic:blipFill>
                    <a:blip r:embed="rId55"/>
                    <a:stretch>
                      <a:fillRect/>
                    </a:stretch>
                  </pic:blipFill>
                  <pic:spPr>
                    <a:xfrm>
                      <a:off x="0" y="0"/>
                      <a:ext cx="6039485" cy="8505825"/>
                    </a:xfrm>
                    <a:prstGeom prst="rect">
                      <a:avLst/>
                    </a:prstGeom>
                  </pic:spPr>
                </pic:pic>
              </a:graphicData>
            </a:graphic>
          </wp:inline>
        </w:drawing>
      </w:r>
    </w:p>
    <w:p w14:paraId="3AFDBC6F">
      <w:pPr>
        <w:rPr>
          <w:rFonts w:hint="default"/>
        </w:rPr>
      </w:pPr>
      <w:r>
        <w:rPr>
          <w:rFonts w:hint="default"/>
        </w:rPr>
        <w:br w:type="page"/>
      </w:r>
    </w:p>
    <w:p w14:paraId="168F4FBF">
      <w:pPr>
        <w:rPr>
          <w:rFonts w:hint="default"/>
        </w:rPr>
      </w:pPr>
      <w:r>
        <w:rPr>
          <w:rFonts w:hint="default" w:ascii="Times New Roman" w:hAnsi="Times New Roman" w:eastAsia="宋体" w:cs="Times New Roman"/>
          <w:b/>
          <w:lang w:val="en-US" w:eastAsia="zh-CN"/>
        </w:rPr>
        <w:drawing>
          <wp:inline distT="0" distB="0" distL="114300" distR="114300">
            <wp:extent cx="5700395" cy="8035925"/>
            <wp:effectExtent l="0" t="0" r="14605" b="3175"/>
            <wp:docPr id="74" name="图片 74" descr="aebd3e46de612543168bb2e33c67ed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aebd3e46de612543168bb2e33c67ed32"/>
                    <pic:cNvPicPr>
                      <a:picLocks noChangeAspect="1"/>
                    </pic:cNvPicPr>
                  </pic:nvPicPr>
                  <pic:blipFill>
                    <a:blip r:embed="rId56"/>
                    <a:stretch>
                      <a:fillRect/>
                    </a:stretch>
                  </pic:blipFill>
                  <pic:spPr>
                    <a:xfrm>
                      <a:off x="0" y="0"/>
                      <a:ext cx="5700395" cy="8035925"/>
                    </a:xfrm>
                    <a:prstGeom prst="rect">
                      <a:avLst/>
                    </a:prstGeom>
                  </pic:spPr>
                </pic:pic>
              </a:graphicData>
            </a:graphic>
          </wp:inline>
        </w:drawing>
      </w:r>
    </w:p>
    <w:p w14:paraId="10084C8B">
      <w:pPr>
        <w:rPr>
          <w:rFonts w:hint="default"/>
        </w:rPr>
      </w:pPr>
      <w:r>
        <w:rPr>
          <w:rFonts w:hint="default"/>
        </w:rPr>
        <w:br w:type="page"/>
      </w:r>
    </w:p>
    <w:p w14:paraId="4ACEAC5D">
      <w:pP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drawing>
          <wp:inline distT="0" distB="0" distL="114300" distR="114300">
            <wp:extent cx="5787390" cy="8146415"/>
            <wp:effectExtent l="0" t="0" r="3810" b="6985"/>
            <wp:docPr id="75" name="图片 75" descr="c427be0b33c8a5519785d338c5907b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c427be0b33c8a5519785d338c5907b58"/>
                    <pic:cNvPicPr>
                      <a:picLocks noChangeAspect="1"/>
                    </pic:cNvPicPr>
                  </pic:nvPicPr>
                  <pic:blipFill>
                    <a:blip r:embed="rId57"/>
                    <a:stretch>
                      <a:fillRect/>
                    </a:stretch>
                  </pic:blipFill>
                  <pic:spPr>
                    <a:xfrm>
                      <a:off x="0" y="0"/>
                      <a:ext cx="5787390" cy="8146415"/>
                    </a:xfrm>
                    <a:prstGeom prst="rect">
                      <a:avLst/>
                    </a:prstGeom>
                  </pic:spPr>
                </pic:pic>
              </a:graphicData>
            </a:graphic>
          </wp:inline>
        </w:drawing>
      </w:r>
    </w:p>
    <w:p w14:paraId="5E2D378A">
      <w:pP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br w:type="page"/>
      </w:r>
    </w:p>
    <w:p w14:paraId="09B0B5C8">
      <w:pP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drawing>
          <wp:inline distT="0" distB="0" distL="114300" distR="114300">
            <wp:extent cx="5904230" cy="8274685"/>
            <wp:effectExtent l="0" t="0" r="1270" b="12065"/>
            <wp:docPr id="76" name="图片 76" descr="9b16a5cbbb18e078c283e1bffe696b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9b16a5cbbb18e078c283e1bffe696b82"/>
                    <pic:cNvPicPr>
                      <a:picLocks noChangeAspect="1"/>
                    </pic:cNvPicPr>
                  </pic:nvPicPr>
                  <pic:blipFill>
                    <a:blip r:embed="rId58"/>
                    <a:stretch>
                      <a:fillRect/>
                    </a:stretch>
                  </pic:blipFill>
                  <pic:spPr>
                    <a:xfrm>
                      <a:off x="0" y="0"/>
                      <a:ext cx="5904230" cy="8274685"/>
                    </a:xfrm>
                    <a:prstGeom prst="rect">
                      <a:avLst/>
                    </a:prstGeom>
                  </pic:spPr>
                </pic:pic>
              </a:graphicData>
            </a:graphic>
          </wp:inline>
        </w:drawing>
      </w:r>
    </w:p>
    <w:p w14:paraId="2AB66278">
      <w:pP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br w:type="page"/>
      </w:r>
    </w:p>
    <w:p w14:paraId="414BB8FC">
      <w:pP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drawing>
          <wp:inline distT="0" distB="0" distL="114300" distR="114300">
            <wp:extent cx="5883275" cy="8260715"/>
            <wp:effectExtent l="0" t="0" r="3175" b="6985"/>
            <wp:docPr id="77" name="图片 77" descr="693a4993a038dddee6feec34bc413a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693a4993a038dddee6feec34bc413ac3"/>
                    <pic:cNvPicPr>
                      <a:picLocks noChangeAspect="1"/>
                    </pic:cNvPicPr>
                  </pic:nvPicPr>
                  <pic:blipFill>
                    <a:blip r:embed="rId59"/>
                    <a:stretch>
                      <a:fillRect/>
                    </a:stretch>
                  </pic:blipFill>
                  <pic:spPr>
                    <a:xfrm>
                      <a:off x="0" y="0"/>
                      <a:ext cx="5883275" cy="8260715"/>
                    </a:xfrm>
                    <a:prstGeom prst="rect">
                      <a:avLst/>
                    </a:prstGeom>
                  </pic:spPr>
                </pic:pic>
              </a:graphicData>
            </a:graphic>
          </wp:inline>
        </w:drawing>
      </w:r>
    </w:p>
    <w:p w14:paraId="36E5BD69">
      <w:pPr>
        <w:bidi w:val="0"/>
        <w:rPr>
          <w:rFonts w:hint="default"/>
          <w:lang w:val="en-US" w:eastAsia="zh-CN"/>
        </w:rPr>
      </w:pPr>
      <w:r>
        <w:rPr>
          <w:rFonts w:hint="default"/>
          <w:lang w:val="en-US" w:eastAsia="zh-CN"/>
        </w:rPr>
        <w:br w:type="page"/>
      </w:r>
    </w:p>
    <w:p w14:paraId="046B5FBE">
      <w:pPr>
        <w:jc w:val="cente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drawing>
          <wp:inline distT="0" distB="0" distL="114300" distR="114300">
            <wp:extent cx="6012180" cy="8448040"/>
            <wp:effectExtent l="0" t="0" r="7620" b="10160"/>
            <wp:docPr id="19" name="图片 19" descr="1972cd6e45d7f5ab98178bb7a37bd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972cd6e45d7f5ab98178bb7a37bd713"/>
                    <pic:cNvPicPr>
                      <a:picLocks noChangeAspect="1"/>
                    </pic:cNvPicPr>
                  </pic:nvPicPr>
                  <pic:blipFill>
                    <a:blip r:embed="rId60"/>
                    <a:stretch>
                      <a:fillRect/>
                    </a:stretch>
                  </pic:blipFill>
                  <pic:spPr>
                    <a:xfrm>
                      <a:off x="0" y="0"/>
                      <a:ext cx="6012180" cy="8448040"/>
                    </a:xfrm>
                    <a:prstGeom prst="rect">
                      <a:avLst/>
                    </a:prstGeom>
                  </pic:spPr>
                </pic:pic>
              </a:graphicData>
            </a:graphic>
          </wp:inline>
        </w:drawing>
      </w:r>
    </w:p>
    <w:p w14:paraId="262666C9">
      <w:pP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br w:type="page"/>
      </w:r>
    </w:p>
    <w:p w14:paraId="26FD3FB8">
      <w:pPr>
        <w:jc w:val="cente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drawing>
          <wp:inline distT="0" distB="0" distL="114300" distR="114300">
            <wp:extent cx="6017895" cy="8419465"/>
            <wp:effectExtent l="0" t="0" r="1905" b="635"/>
            <wp:docPr id="43" name="图片 43" descr="42e56e49858070f85b4e1960f57dec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42e56e49858070f85b4e1960f57decf4"/>
                    <pic:cNvPicPr>
                      <a:picLocks noChangeAspect="1"/>
                    </pic:cNvPicPr>
                  </pic:nvPicPr>
                  <pic:blipFill>
                    <a:blip r:embed="rId61"/>
                    <a:stretch>
                      <a:fillRect/>
                    </a:stretch>
                  </pic:blipFill>
                  <pic:spPr>
                    <a:xfrm>
                      <a:off x="0" y="0"/>
                      <a:ext cx="6017895" cy="8419465"/>
                    </a:xfrm>
                    <a:prstGeom prst="rect">
                      <a:avLst/>
                    </a:prstGeom>
                  </pic:spPr>
                </pic:pic>
              </a:graphicData>
            </a:graphic>
          </wp:inline>
        </w:drawing>
      </w:r>
    </w:p>
    <w:p w14:paraId="7FC4C491">
      <w:pP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br w:type="page"/>
      </w:r>
    </w:p>
    <w:p w14:paraId="1EC638FB">
      <w:pPr>
        <w:jc w:val="cente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drawing>
          <wp:inline distT="0" distB="0" distL="114300" distR="114300">
            <wp:extent cx="5964555" cy="8391525"/>
            <wp:effectExtent l="0" t="0" r="17145" b="9525"/>
            <wp:docPr id="44" name="图片 44" descr="f1577cc09d5dce0ae3a667bfae4ab8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f1577cc09d5dce0ae3a667bfae4ab8ba"/>
                    <pic:cNvPicPr>
                      <a:picLocks noChangeAspect="1"/>
                    </pic:cNvPicPr>
                  </pic:nvPicPr>
                  <pic:blipFill>
                    <a:blip r:embed="rId62"/>
                    <a:stretch>
                      <a:fillRect/>
                    </a:stretch>
                  </pic:blipFill>
                  <pic:spPr>
                    <a:xfrm>
                      <a:off x="0" y="0"/>
                      <a:ext cx="5964555" cy="8391525"/>
                    </a:xfrm>
                    <a:prstGeom prst="rect">
                      <a:avLst/>
                    </a:prstGeom>
                  </pic:spPr>
                </pic:pic>
              </a:graphicData>
            </a:graphic>
          </wp:inline>
        </w:drawing>
      </w:r>
    </w:p>
    <w:p w14:paraId="1B92AB6A">
      <w:pP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br w:type="page"/>
      </w:r>
    </w:p>
    <w:p w14:paraId="41827064">
      <w:pPr>
        <w:jc w:val="cente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drawing>
          <wp:inline distT="0" distB="0" distL="114300" distR="114300">
            <wp:extent cx="6102350" cy="8571865"/>
            <wp:effectExtent l="0" t="0" r="12700" b="635"/>
            <wp:docPr id="57" name="图片 57" descr="b8138b99fc443874fb7ece0af6ac2f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b8138b99fc443874fb7ece0af6ac2f8e"/>
                    <pic:cNvPicPr>
                      <a:picLocks noChangeAspect="1"/>
                    </pic:cNvPicPr>
                  </pic:nvPicPr>
                  <pic:blipFill>
                    <a:blip r:embed="rId63"/>
                    <a:stretch>
                      <a:fillRect/>
                    </a:stretch>
                  </pic:blipFill>
                  <pic:spPr>
                    <a:xfrm>
                      <a:off x="0" y="0"/>
                      <a:ext cx="6102350" cy="8571865"/>
                    </a:xfrm>
                    <a:prstGeom prst="rect">
                      <a:avLst/>
                    </a:prstGeom>
                  </pic:spPr>
                </pic:pic>
              </a:graphicData>
            </a:graphic>
          </wp:inline>
        </w:drawing>
      </w:r>
    </w:p>
    <w:p w14:paraId="3FA18D75">
      <w:pP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drawing>
          <wp:inline distT="0" distB="0" distL="114300" distR="114300">
            <wp:extent cx="5334000" cy="7486650"/>
            <wp:effectExtent l="0" t="0" r="0" b="0"/>
            <wp:docPr id="118" name="图片 118" descr="6b302d2faba8886f2815dcdda21d4f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6b302d2faba8886f2815dcdda21d4faa"/>
                    <pic:cNvPicPr>
                      <a:picLocks noChangeAspect="1"/>
                    </pic:cNvPicPr>
                  </pic:nvPicPr>
                  <pic:blipFill>
                    <a:blip r:embed="rId64"/>
                    <a:stretch>
                      <a:fillRect/>
                    </a:stretch>
                  </pic:blipFill>
                  <pic:spPr>
                    <a:xfrm>
                      <a:off x="0" y="0"/>
                      <a:ext cx="5334000" cy="7486650"/>
                    </a:xfrm>
                    <a:prstGeom prst="rect">
                      <a:avLst/>
                    </a:prstGeom>
                  </pic:spPr>
                </pic:pic>
              </a:graphicData>
            </a:graphic>
          </wp:inline>
        </w:drawing>
      </w:r>
      <w:r>
        <w:rPr>
          <w:rFonts w:hint="default" w:ascii="Times New Roman" w:hAnsi="Times New Roman" w:eastAsia="宋体" w:cs="Times New Roman"/>
          <w:b/>
          <w:lang w:val="en-US" w:eastAsia="zh-CN"/>
        </w:rPr>
        <w:br w:type="page"/>
      </w:r>
    </w:p>
    <w:p w14:paraId="330CC4F6">
      <w:pPr>
        <w:jc w:val="center"/>
        <w:rPr>
          <w:rFonts w:hint="default" w:ascii="Times New Roman" w:hAnsi="Times New Roman" w:eastAsia="宋体" w:cs="Times New Roman"/>
          <w:b/>
          <w:lang w:val="en-US" w:eastAsia="zh-CN"/>
        </w:rPr>
      </w:pPr>
      <w:r>
        <w:rPr>
          <w:rFonts w:hint="default" w:ascii="Times New Roman" w:hAnsi="Times New Roman" w:eastAsia="宋体" w:cs="Times New Roman"/>
          <w:b/>
          <w:lang w:val="en-US" w:eastAsia="zh-CN"/>
        </w:rPr>
        <w:drawing>
          <wp:inline distT="0" distB="0" distL="114300" distR="114300">
            <wp:extent cx="5972175" cy="8410575"/>
            <wp:effectExtent l="0" t="0" r="9525" b="9525"/>
            <wp:docPr id="122" name="图片 122" descr="4347a28a9068bbb8f9883ef964da6c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4347a28a9068bbb8f9883ef964da6c7f"/>
                    <pic:cNvPicPr>
                      <a:picLocks noChangeAspect="1"/>
                    </pic:cNvPicPr>
                  </pic:nvPicPr>
                  <pic:blipFill>
                    <a:blip r:embed="rId65"/>
                    <a:stretch>
                      <a:fillRect/>
                    </a:stretch>
                  </pic:blipFill>
                  <pic:spPr>
                    <a:xfrm>
                      <a:off x="0" y="0"/>
                      <a:ext cx="5972175" cy="8410575"/>
                    </a:xfrm>
                    <a:prstGeom prst="rect">
                      <a:avLst/>
                    </a:prstGeom>
                  </pic:spPr>
                </pic:pic>
              </a:graphicData>
            </a:graphic>
          </wp:inline>
        </w:drawing>
      </w:r>
      <w:r>
        <w:rPr>
          <w:rFonts w:hint="default" w:ascii="Times New Roman" w:hAnsi="Times New Roman" w:eastAsia="宋体" w:cs="Times New Roman"/>
          <w:b/>
          <w:lang w:val="en-US" w:eastAsia="zh-CN"/>
        </w:rPr>
        <w:br w:type="page"/>
      </w:r>
    </w:p>
    <w:p w14:paraId="53EFBD15">
      <w:pPr>
        <w:pStyle w:val="3"/>
        <w:bidi w:val="0"/>
        <w:rPr>
          <w:rFonts w:hint="eastAsia" w:eastAsia="宋体" w:cs="Times New Roman"/>
          <w:sz w:val="24"/>
          <w:szCs w:val="24"/>
          <w:lang w:val="en-US" w:eastAsia="zh-CN"/>
        </w:rPr>
      </w:pPr>
      <w:r>
        <w:rPr>
          <w:rFonts w:hint="default" w:ascii="Times New Roman" w:hAnsi="Times New Roman" w:eastAsia="宋体" w:cs="Times New Roman"/>
          <w:sz w:val="24"/>
          <w:szCs w:val="24"/>
          <w:lang w:val="en-US" w:eastAsia="zh-CN"/>
        </w:rPr>
        <w:t>附件</w:t>
      </w:r>
      <w:r>
        <w:rPr>
          <w:rFonts w:hint="eastAsia" w:eastAsia="宋体" w:cs="Times New Roman"/>
          <w:sz w:val="24"/>
          <w:szCs w:val="24"/>
          <w:lang w:val="en-US" w:eastAsia="zh-CN"/>
        </w:rPr>
        <w:t>8</w:t>
      </w:r>
      <w:r>
        <w:rPr>
          <w:rFonts w:hint="default" w:ascii="Times New Roman" w:hAnsi="Times New Roman" w:eastAsia="宋体" w:cs="Times New Roman"/>
          <w:sz w:val="24"/>
          <w:szCs w:val="24"/>
          <w:lang w:val="en-US" w:eastAsia="zh-CN"/>
        </w:rPr>
        <w:t>：</w:t>
      </w:r>
      <w:r>
        <w:rPr>
          <w:rFonts w:hint="eastAsia" w:eastAsia="宋体" w:cs="Times New Roman"/>
          <w:sz w:val="24"/>
          <w:szCs w:val="24"/>
          <w:lang w:val="en-US" w:eastAsia="zh-CN"/>
        </w:rPr>
        <w:t>环境空气引用检测报告</w:t>
      </w:r>
    </w:p>
    <w:p w14:paraId="272CF425">
      <w:pPr>
        <w:bidi w:val="0"/>
        <w:rPr>
          <w:rFonts w:hint="default"/>
        </w:rPr>
      </w:pPr>
      <w:r>
        <w:rPr>
          <w:rFonts w:hint="default"/>
        </w:rPr>
        <w:drawing>
          <wp:inline distT="0" distB="0" distL="114300" distR="114300">
            <wp:extent cx="5610860" cy="7908290"/>
            <wp:effectExtent l="0" t="0" r="8890" b="16510"/>
            <wp:docPr id="18" name="图片 18" descr="c64bce73e0200484b70c780110c3fa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64bce73e0200484b70c780110c3fa0d"/>
                    <pic:cNvPicPr>
                      <a:picLocks noChangeAspect="1"/>
                    </pic:cNvPicPr>
                  </pic:nvPicPr>
                  <pic:blipFill>
                    <a:blip r:embed="rId66"/>
                    <a:stretch>
                      <a:fillRect/>
                    </a:stretch>
                  </pic:blipFill>
                  <pic:spPr>
                    <a:xfrm>
                      <a:off x="0" y="0"/>
                      <a:ext cx="5610860" cy="7908290"/>
                    </a:xfrm>
                    <a:prstGeom prst="rect">
                      <a:avLst/>
                    </a:prstGeom>
                  </pic:spPr>
                </pic:pic>
              </a:graphicData>
            </a:graphic>
          </wp:inline>
        </w:drawing>
      </w:r>
    </w:p>
    <w:p w14:paraId="732933CA">
      <w:pPr>
        <w:rPr>
          <w:rFonts w:hint="default"/>
        </w:rPr>
      </w:pPr>
      <w:r>
        <w:rPr>
          <w:rFonts w:hint="default"/>
        </w:rPr>
        <w:br w:type="page"/>
      </w:r>
    </w:p>
    <w:p w14:paraId="73CA2CAB">
      <w:pPr>
        <w:bidi w:val="0"/>
        <w:rPr>
          <w:rFonts w:hint="default"/>
        </w:rPr>
      </w:pPr>
      <w:r>
        <w:rPr>
          <w:rFonts w:hint="default"/>
        </w:rPr>
        <w:drawing>
          <wp:inline distT="0" distB="0" distL="114300" distR="114300">
            <wp:extent cx="5614035" cy="7976235"/>
            <wp:effectExtent l="0" t="0" r="5715" b="5715"/>
            <wp:docPr id="29" name="图片 29" descr="59f661a9c76cceb4710f00a779a011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59f661a9c76cceb4710f00a779a011e8"/>
                    <pic:cNvPicPr>
                      <a:picLocks noChangeAspect="1"/>
                    </pic:cNvPicPr>
                  </pic:nvPicPr>
                  <pic:blipFill>
                    <a:blip r:embed="rId67"/>
                    <a:stretch>
                      <a:fillRect/>
                    </a:stretch>
                  </pic:blipFill>
                  <pic:spPr>
                    <a:xfrm>
                      <a:off x="0" y="0"/>
                      <a:ext cx="5614035" cy="7976235"/>
                    </a:xfrm>
                    <a:prstGeom prst="rect">
                      <a:avLst/>
                    </a:prstGeom>
                  </pic:spPr>
                </pic:pic>
              </a:graphicData>
            </a:graphic>
          </wp:inline>
        </w:drawing>
      </w:r>
    </w:p>
    <w:p w14:paraId="3FDA440E">
      <w:pPr>
        <w:rPr>
          <w:rFonts w:hint="default"/>
        </w:rPr>
      </w:pPr>
      <w:r>
        <w:rPr>
          <w:rFonts w:hint="default"/>
        </w:rPr>
        <w:br w:type="page"/>
      </w:r>
    </w:p>
    <w:p w14:paraId="1953BD61">
      <w:pPr>
        <w:bidi w:val="0"/>
        <w:rPr>
          <w:rFonts w:hint="default"/>
        </w:rPr>
      </w:pPr>
      <w:r>
        <w:rPr>
          <w:rFonts w:hint="default"/>
        </w:rPr>
        <w:drawing>
          <wp:inline distT="0" distB="0" distL="114300" distR="114300">
            <wp:extent cx="5609590" cy="7887335"/>
            <wp:effectExtent l="0" t="0" r="10160" b="18415"/>
            <wp:docPr id="30" name="图片 30" descr="291672c8ceb3fec5eb8777bf87491c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291672c8ceb3fec5eb8777bf87491c3a"/>
                    <pic:cNvPicPr>
                      <a:picLocks noChangeAspect="1"/>
                    </pic:cNvPicPr>
                  </pic:nvPicPr>
                  <pic:blipFill>
                    <a:blip r:embed="rId68"/>
                    <a:stretch>
                      <a:fillRect/>
                    </a:stretch>
                  </pic:blipFill>
                  <pic:spPr>
                    <a:xfrm>
                      <a:off x="0" y="0"/>
                      <a:ext cx="5609590" cy="7887335"/>
                    </a:xfrm>
                    <a:prstGeom prst="rect">
                      <a:avLst/>
                    </a:prstGeom>
                  </pic:spPr>
                </pic:pic>
              </a:graphicData>
            </a:graphic>
          </wp:inline>
        </w:drawing>
      </w:r>
    </w:p>
    <w:p w14:paraId="2D2FA2F4">
      <w:pPr>
        <w:rPr>
          <w:rFonts w:hint="default"/>
        </w:rPr>
      </w:pPr>
      <w:r>
        <w:rPr>
          <w:rFonts w:hint="default"/>
        </w:rPr>
        <w:br w:type="page"/>
      </w:r>
    </w:p>
    <w:p w14:paraId="3AEDEB70">
      <w:pPr>
        <w:bidi w:val="0"/>
        <w:rPr>
          <w:rFonts w:hint="default"/>
        </w:rPr>
      </w:pPr>
      <w:r>
        <w:rPr>
          <w:rFonts w:hint="default"/>
        </w:rPr>
        <w:drawing>
          <wp:inline distT="0" distB="0" distL="114300" distR="114300">
            <wp:extent cx="5615940" cy="7869555"/>
            <wp:effectExtent l="0" t="0" r="3810" b="17145"/>
            <wp:docPr id="31" name="图片 31" descr="ed305d841acc6c1f1a4549819be810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d305d841acc6c1f1a4549819be810d5"/>
                    <pic:cNvPicPr>
                      <a:picLocks noChangeAspect="1"/>
                    </pic:cNvPicPr>
                  </pic:nvPicPr>
                  <pic:blipFill>
                    <a:blip r:embed="rId69"/>
                    <a:stretch>
                      <a:fillRect/>
                    </a:stretch>
                  </pic:blipFill>
                  <pic:spPr>
                    <a:xfrm>
                      <a:off x="0" y="0"/>
                      <a:ext cx="5615940" cy="7869555"/>
                    </a:xfrm>
                    <a:prstGeom prst="rect">
                      <a:avLst/>
                    </a:prstGeom>
                  </pic:spPr>
                </pic:pic>
              </a:graphicData>
            </a:graphic>
          </wp:inline>
        </w:drawing>
      </w:r>
    </w:p>
    <w:p w14:paraId="5F688B0E">
      <w:pPr>
        <w:rPr>
          <w:rFonts w:hint="default"/>
        </w:rPr>
      </w:pPr>
      <w:r>
        <w:rPr>
          <w:rFonts w:hint="default"/>
        </w:rPr>
        <w:br w:type="page"/>
      </w:r>
    </w:p>
    <w:p w14:paraId="5E14DAE1">
      <w:pPr>
        <w:bidi w:val="0"/>
        <w:rPr>
          <w:rFonts w:hint="default"/>
        </w:rPr>
      </w:pPr>
      <w:r>
        <w:rPr>
          <w:rFonts w:hint="default"/>
        </w:rPr>
        <w:drawing>
          <wp:inline distT="0" distB="0" distL="114300" distR="114300">
            <wp:extent cx="5609590" cy="7830820"/>
            <wp:effectExtent l="0" t="0" r="10160" b="17780"/>
            <wp:docPr id="32" name="图片 32" descr="28a386efbf0117e66cebbdc3e2fd2e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28a386efbf0117e66cebbdc3e2fd2e6e"/>
                    <pic:cNvPicPr>
                      <a:picLocks noChangeAspect="1"/>
                    </pic:cNvPicPr>
                  </pic:nvPicPr>
                  <pic:blipFill>
                    <a:blip r:embed="rId70"/>
                    <a:stretch>
                      <a:fillRect/>
                    </a:stretch>
                  </pic:blipFill>
                  <pic:spPr>
                    <a:xfrm>
                      <a:off x="0" y="0"/>
                      <a:ext cx="5609590" cy="7830820"/>
                    </a:xfrm>
                    <a:prstGeom prst="rect">
                      <a:avLst/>
                    </a:prstGeom>
                  </pic:spPr>
                </pic:pic>
              </a:graphicData>
            </a:graphic>
          </wp:inline>
        </w:drawing>
      </w:r>
    </w:p>
    <w:p w14:paraId="540D5BED">
      <w:pPr>
        <w:rPr>
          <w:rFonts w:hint="default"/>
        </w:rPr>
      </w:pPr>
      <w:r>
        <w:rPr>
          <w:rFonts w:hint="default"/>
        </w:rPr>
        <w:br w:type="page"/>
      </w:r>
    </w:p>
    <w:p w14:paraId="090F1BF7">
      <w:pPr>
        <w:bidi w:val="0"/>
        <w:rPr>
          <w:rFonts w:hint="default"/>
        </w:rPr>
      </w:pPr>
      <w:r>
        <w:rPr>
          <w:rFonts w:hint="default"/>
        </w:rPr>
        <w:drawing>
          <wp:inline distT="0" distB="0" distL="114300" distR="114300">
            <wp:extent cx="5615940" cy="7855585"/>
            <wp:effectExtent l="0" t="0" r="3810" b="12065"/>
            <wp:docPr id="33" name="图片 33" descr="9625db31a72949c7ea16b2fb49a039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9625db31a72949c7ea16b2fb49a0391e"/>
                    <pic:cNvPicPr>
                      <a:picLocks noChangeAspect="1"/>
                    </pic:cNvPicPr>
                  </pic:nvPicPr>
                  <pic:blipFill>
                    <a:blip r:embed="rId71"/>
                    <a:stretch>
                      <a:fillRect/>
                    </a:stretch>
                  </pic:blipFill>
                  <pic:spPr>
                    <a:xfrm>
                      <a:off x="0" y="0"/>
                      <a:ext cx="5615940" cy="7855585"/>
                    </a:xfrm>
                    <a:prstGeom prst="rect">
                      <a:avLst/>
                    </a:prstGeom>
                  </pic:spPr>
                </pic:pic>
              </a:graphicData>
            </a:graphic>
          </wp:inline>
        </w:drawing>
      </w:r>
    </w:p>
    <w:p w14:paraId="2BFC8436">
      <w:pPr>
        <w:rPr>
          <w:rFonts w:hint="default"/>
        </w:rPr>
      </w:pPr>
      <w:r>
        <w:rPr>
          <w:rFonts w:hint="default"/>
        </w:rPr>
        <w:br w:type="page"/>
      </w:r>
    </w:p>
    <w:p w14:paraId="3EAD7C6D">
      <w:pPr>
        <w:bidi w:val="0"/>
        <w:rPr>
          <w:rFonts w:hint="default"/>
        </w:rPr>
      </w:pPr>
      <w:r>
        <w:rPr>
          <w:rFonts w:hint="default"/>
        </w:rPr>
        <w:drawing>
          <wp:inline distT="0" distB="0" distL="114300" distR="114300">
            <wp:extent cx="5610860" cy="7954645"/>
            <wp:effectExtent l="0" t="0" r="8890" b="8255"/>
            <wp:docPr id="34" name="图片 34" descr="95e14a8d08b6a6f58820fb327e3b8a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95e14a8d08b6a6f58820fb327e3b8a9e"/>
                    <pic:cNvPicPr>
                      <a:picLocks noChangeAspect="1"/>
                    </pic:cNvPicPr>
                  </pic:nvPicPr>
                  <pic:blipFill>
                    <a:blip r:embed="rId72"/>
                    <a:stretch>
                      <a:fillRect/>
                    </a:stretch>
                  </pic:blipFill>
                  <pic:spPr>
                    <a:xfrm>
                      <a:off x="0" y="0"/>
                      <a:ext cx="5610860" cy="7954645"/>
                    </a:xfrm>
                    <a:prstGeom prst="rect">
                      <a:avLst/>
                    </a:prstGeom>
                  </pic:spPr>
                </pic:pic>
              </a:graphicData>
            </a:graphic>
          </wp:inline>
        </w:drawing>
      </w:r>
    </w:p>
    <w:p w14:paraId="4E3D0979">
      <w:pPr>
        <w:rPr>
          <w:rFonts w:hint="default"/>
        </w:rPr>
      </w:pPr>
      <w:r>
        <w:rPr>
          <w:rFonts w:hint="default"/>
        </w:rPr>
        <w:br w:type="page"/>
      </w:r>
    </w:p>
    <w:p w14:paraId="405F73FE">
      <w:pPr>
        <w:bidi w:val="0"/>
        <w:rPr>
          <w:rFonts w:hint="default"/>
        </w:rPr>
      </w:pPr>
      <w:r>
        <w:rPr>
          <w:rFonts w:hint="default"/>
        </w:rPr>
        <w:drawing>
          <wp:inline distT="0" distB="0" distL="114300" distR="114300">
            <wp:extent cx="5612765" cy="7954645"/>
            <wp:effectExtent l="0" t="0" r="6985" b="8255"/>
            <wp:docPr id="35" name="图片 35" descr="45272665594a0651c998cdca2691a9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45272665594a0651c998cdca2691a94e"/>
                    <pic:cNvPicPr>
                      <a:picLocks noChangeAspect="1"/>
                    </pic:cNvPicPr>
                  </pic:nvPicPr>
                  <pic:blipFill>
                    <a:blip r:embed="rId73"/>
                    <a:stretch>
                      <a:fillRect/>
                    </a:stretch>
                  </pic:blipFill>
                  <pic:spPr>
                    <a:xfrm>
                      <a:off x="0" y="0"/>
                      <a:ext cx="5612765" cy="7954645"/>
                    </a:xfrm>
                    <a:prstGeom prst="rect">
                      <a:avLst/>
                    </a:prstGeom>
                  </pic:spPr>
                </pic:pic>
              </a:graphicData>
            </a:graphic>
          </wp:inline>
        </w:drawing>
      </w:r>
      <w:r>
        <w:rPr>
          <w:rFonts w:hint="default"/>
        </w:rPr>
        <w:br w:type="page"/>
      </w:r>
    </w:p>
    <w:p w14:paraId="5673C0D4">
      <w:pPr>
        <w:pStyle w:val="3"/>
        <w:bidi w:val="0"/>
        <w:rPr>
          <w:rFonts w:hint="default" w:ascii="Times New Roman" w:hAnsi="Times New Roman" w:eastAsia="宋体" w:cs="Times New Roman"/>
          <w:b/>
          <w:color w:val="auto"/>
          <w:kern w:val="2"/>
          <w:sz w:val="24"/>
          <w:szCs w:val="24"/>
          <w:u w:val="none"/>
          <w:lang w:val="en-US" w:eastAsia="zh-CN" w:bidi="ar-SA"/>
        </w:rPr>
      </w:pPr>
      <w:r>
        <w:rPr>
          <w:rFonts w:hint="default" w:ascii="Times New Roman" w:hAnsi="Times New Roman" w:eastAsia="宋体" w:cs="Times New Roman"/>
          <w:sz w:val="24"/>
          <w:szCs w:val="24"/>
          <w:lang w:val="en-US" w:eastAsia="zh-CN"/>
        </w:rPr>
        <w:t>附件</w:t>
      </w:r>
      <w:r>
        <w:rPr>
          <w:rFonts w:hint="eastAsia" w:eastAsia="宋体" w:cs="Times New Roman"/>
          <w:sz w:val="24"/>
          <w:szCs w:val="24"/>
          <w:lang w:val="en-US" w:eastAsia="zh-CN"/>
        </w:rPr>
        <w:t>9</w:t>
      </w:r>
      <w:r>
        <w:rPr>
          <w:rFonts w:hint="default" w:ascii="Times New Roman" w:hAnsi="Times New Roman" w:eastAsia="宋体" w:cs="Times New Roman"/>
          <w:sz w:val="24"/>
          <w:szCs w:val="24"/>
          <w:lang w:val="en-US" w:eastAsia="zh-CN"/>
        </w:rPr>
        <w:t>：</w:t>
      </w:r>
      <w:r>
        <w:rPr>
          <w:rFonts w:hint="eastAsia" w:eastAsia="宋体" w:cs="Times New Roman"/>
          <w:sz w:val="24"/>
          <w:szCs w:val="24"/>
          <w:lang w:val="en-US" w:eastAsia="zh-CN"/>
        </w:rPr>
        <w:t>地表水引用检测报告</w:t>
      </w:r>
    </w:p>
    <w:p w14:paraId="793F80AF">
      <w:pPr>
        <w:rPr>
          <w:rFonts w:hint="default"/>
        </w:rPr>
      </w:pPr>
      <w:r>
        <w:rPr>
          <w:rFonts w:hint="default"/>
        </w:rPr>
        <w:drawing>
          <wp:inline distT="0" distB="0" distL="114300" distR="114300">
            <wp:extent cx="5615305" cy="7914640"/>
            <wp:effectExtent l="0" t="0" r="4445" b="10160"/>
            <wp:docPr id="6" name="图片 6" descr="8784bf0536ff265e18be7de2ae43fb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784bf0536ff265e18be7de2ae43fbd3"/>
                    <pic:cNvPicPr>
                      <a:picLocks noChangeAspect="1"/>
                    </pic:cNvPicPr>
                  </pic:nvPicPr>
                  <pic:blipFill>
                    <a:blip r:embed="rId74"/>
                    <a:stretch>
                      <a:fillRect/>
                    </a:stretch>
                  </pic:blipFill>
                  <pic:spPr>
                    <a:xfrm>
                      <a:off x="0" y="0"/>
                      <a:ext cx="5615305" cy="7914640"/>
                    </a:xfrm>
                    <a:prstGeom prst="rect">
                      <a:avLst/>
                    </a:prstGeom>
                  </pic:spPr>
                </pic:pic>
              </a:graphicData>
            </a:graphic>
          </wp:inline>
        </w:drawing>
      </w:r>
    </w:p>
    <w:p w14:paraId="62E6AE22">
      <w:pPr>
        <w:rPr>
          <w:rFonts w:hint="default"/>
        </w:rPr>
      </w:pPr>
      <w:r>
        <w:rPr>
          <w:rFonts w:hint="default"/>
        </w:rPr>
        <w:br w:type="page"/>
      </w:r>
    </w:p>
    <w:p w14:paraId="3784A2F0">
      <w:pPr>
        <w:rPr>
          <w:rFonts w:hint="default"/>
        </w:rPr>
      </w:pPr>
      <w:r>
        <w:rPr>
          <w:rFonts w:hint="default"/>
        </w:rPr>
        <w:drawing>
          <wp:inline distT="0" distB="0" distL="114300" distR="114300">
            <wp:extent cx="5612765" cy="7836535"/>
            <wp:effectExtent l="0" t="0" r="6985" b="12065"/>
            <wp:docPr id="7" name="图片 7" descr="2a4a93ca8b88a92bb410ec107adca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a4a93ca8b88a92bb410ec107adca759"/>
                    <pic:cNvPicPr>
                      <a:picLocks noChangeAspect="1"/>
                    </pic:cNvPicPr>
                  </pic:nvPicPr>
                  <pic:blipFill>
                    <a:blip r:embed="rId75"/>
                    <a:stretch>
                      <a:fillRect/>
                    </a:stretch>
                  </pic:blipFill>
                  <pic:spPr>
                    <a:xfrm>
                      <a:off x="0" y="0"/>
                      <a:ext cx="5612765" cy="7836535"/>
                    </a:xfrm>
                    <a:prstGeom prst="rect">
                      <a:avLst/>
                    </a:prstGeom>
                  </pic:spPr>
                </pic:pic>
              </a:graphicData>
            </a:graphic>
          </wp:inline>
        </w:drawing>
      </w:r>
    </w:p>
    <w:p w14:paraId="542744F9">
      <w:pPr>
        <w:rPr>
          <w:rFonts w:hint="default"/>
        </w:rPr>
      </w:pPr>
      <w:r>
        <w:rPr>
          <w:rFonts w:hint="default"/>
        </w:rPr>
        <w:br w:type="page"/>
      </w:r>
    </w:p>
    <w:p w14:paraId="29665DA6">
      <w:pPr>
        <w:rPr>
          <w:rFonts w:hint="default"/>
        </w:rPr>
      </w:pPr>
      <w:r>
        <w:rPr>
          <w:rFonts w:hint="default"/>
        </w:rPr>
        <w:drawing>
          <wp:inline distT="0" distB="0" distL="114300" distR="114300">
            <wp:extent cx="5612765" cy="7926070"/>
            <wp:effectExtent l="0" t="0" r="6985" b="17780"/>
            <wp:docPr id="8" name="图片 8" descr="36f6f61940f3ff9135df47bab93adb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6f6f61940f3ff9135df47bab93adb98"/>
                    <pic:cNvPicPr>
                      <a:picLocks noChangeAspect="1"/>
                    </pic:cNvPicPr>
                  </pic:nvPicPr>
                  <pic:blipFill>
                    <a:blip r:embed="rId76"/>
                    <a:stretch>
                      <a:fillRect/>
                    </a:stretch>
                  </pic:blipFill>
                  <pic:spPr>
                    <a:xfrm>
                      <a:off x="0" y="0"/>
                      <a:ext cx="5612765" cy="7926070"/>
                    </a:xfrm>
                    <a:prstGeom prst="rect">
                      <a:avLst/>
                    </a:prstGeom>
                  </pic:spPr>
                </pic:pic>
              </a:graphicData>
            </a:graphic>
          </wp:inline>
        </w:drawing>
      </w:r>
    </w:p>
    <w:p w14:paraId="0C3D1ED6">
      <w:pPr>
        <w:rPr>
          <w:rFonts w:hint="default"/>
        </w:rPr>
      </w:pPr>
      <w:r>
        <w:rPr>
          <w:rFonts w:hint="default"/>
        </w:rPr>
        <w:br w:type="page"/>
      </w:r>
    </w:p>
    <w:p w14:paraId="714ED4A6">
      <w:pPr>
        <w:rPr>
          <w:rFonts w:hint="default"/>
        </w:rPr>
      </w:pPr>
      <w:r>
        <w:rPr>
          <w:rFonts w:hint="default"/>
        </w:rPr>
        <w:drawing>
          <wp:inline distT="0" distB="0" distL="114300" distR="114300">
            <wp:extent cx="5610225" cy="7856855"/>
            <wp:effectExtent l="0" t="0" r="9525" b="10795"/>
            <wp:docPr id="9" name="图片 9" descr="e390ed9491e709d6163474f581c59c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390ed9491e709d6163474f581c59c26"/>
                    <pic:cNvPicPr>
                      <a:picLocks noChangeAspect="1"/>
                    </pic:cNvPicPr>
                  </pic:nvPicPr>
                  <pic:blipFill>
                    <a:blip r:embed="rId77"/>
                    <a:stretch>
                      <a:fillRect/>
                    </a:stretch>
                  </pic:blipFill>
                  <pic:spPr>
                    <a:xfrm>
                      <a:off x="0" y="0"/>
                      <a:ext cx="5610225" cy="7856855"/>
                    </a:xfrm>
                    <a:prstGeom prst="rect">
                      <a:avLst/>
                    </a:prstGeom>
                  </pic:spPr>
                </pic:pic>
              </a:graphicData>
            </a:graphic>
          </wp:inline>
        </w:drawing>
      </w:r>
    </w:p>
    <w:p w14:paraId="2EB0103F">
      <w:pPr>
        <w:rPr>
          <w:rFonts w:hint="default"/>
        </w:rPr>
      </w:pPr>
      <w:r>
        <w:rPr>
          <w:rFonts w:hint="default"/>
        </w:rPr>
        <w:br w:type="page"/>
      </w:r>
    </w:p>
    <w:p w14:paraId="7DA79E13">
      <w:pPr>
        <w:rPr>
          <w:rFonts w:hint="default"/>
        </w:rPr>
      </w:pPr>
      <w:r>
        <w:rPr>
          <w:rFonts w:hint="default"/>
        </w:rPr>
        <w:drawing>
          <wp:inline distT="0" distB="0" distL="114300" distR="114300">
            <wp:extent cx="5613400" cy="8007350"/>
            <wp:effectExtent l="0" t="0" r="6350" b="12700"/>
            <wp:docPr id="10" name="图片 10" descr="13b9e4b317708f82983bf7421e211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3b9e4b317708f82983bf7421e211ce1"/>
                    <pic:cNvPicPr>
                      <a:picLocks noChangeAspect="1"/>
                    </pic:cNvPicPr>
                  </pic:nvPicPr>
                  <pic:blipFill>
                    <a:blip r:embed="rId78"/>
                    <a:stretch>
                      <a:fillRect/>
                    </a:stretch>
                  </pic:blipFill>
                  <pic:spPr>
                    <a:xfrm>
                      <a:off x="0" y="0"/>
                      <a:ext cx="5613400" cy="8007350"/>
                    </a:xfrm>
                    <a:prstGeom prst="rect">
                      <a:avLst/>
                    </a:prstGeom>
                  </pic:spPr>
                </pic:pic>
              </a:graphicData>
            </a:graphic>
          </wp:inline>
        </w:drawing>
      </w:r>
    </w:p>
    <w:p w14:paraId="3F5CB20D">
      <w:pPr>
        <w:rPr>
          <w:rFonts w:hint="default"/>
        </w:rPr>
      </w:pPr>
      <w:r>
        <w:rPr>
          <w:rFonts w:hint="default"/>
        </w:rPr>
        <w:br w:type="page"/>
      </w:r>
    </w:p>
    <w:p w14:paraId="13350C39">
      <w:pPr>
        <w:rPr>
          <w:rFonts w:hint="default"/>
        </w:rPr>
      </w:pPr>
      <w:r>
        <w:rPr>
          <w:rFonts w:hint="default"/>
        </w:rPr>
        <w:drawing>
          <wp:inline distT="0" distB="0" distL="114300" distR="114300">
            <wp:extent cx="5609590" cy="7926070"/>
            <wp:effectExtent l="0" t="0" r="10160" b="17780"/>
            <wp:docPr id="20" name="图片 20" descr="ed564b8f3b8f9f58fda44d780c909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d564b8f3b8f9f58fda44d780c909e67"/>
                    <pic:cNvPicPr>
                      <a:picLocks noChangeAspect="1"/>
                    </pic:cNvPicPr>
                  </pic:nvPicPr>
                  <pic:blipFill>
                    <a:blip r:embed="rId79"/>
                    <a:stretch>
                      <a:fillRect/>
                    </a:stretch>
                  </pic:blipFill>
                  <pic:spPr>
                    <a:xfrm>
                      <a:off x="0" y="0"/>
                      <a:ext cx="5609590" cy="7926070"/>
                    </a:xfrm>
                    <a:prstGeom prst="rect">
                      <a:avLst/>
                    </a:prstGeom>
                  </pic:spPr>
                </pic:pic>
              </a:graphicData>
            </a:graphic>
          </wp:inline>
        </w:drawing>
      </w:r>
    </w:p>
    <w:p w14:paraId="74B62068">
      <w:pPr>
        <w:rPr>
          <w:rFonts w:hint="default"/>
        </w:rPr>
      </w:pPr>
      <w:r>
        <w:rPr>
          <w:rFonts w:hint="default"/>
        </w:rPr>
        <w:br w:type="page"/>
      </w:r>
    </w:p>
    <w:p w14:paraId="0BBDB6DD">
      <w:pPr>
        <w:rPr>
          <w:rFonts w:hint="default"/>
        </w:rPr>
      </w:pPr>
      <w:r>
        <w:rPr>
          <w:rFonts w:hint="default"/>
        </w:rPr>
        <w:drawing>
          <wp:inline distT="0" distB="0" distL="114300" distR="114300">
            <wp:extent cx="5612130" cy="7941945"/>
            <wp:effectExtent l="0" t="0" r="7620" b="1905"/>
            <wp:docPr id="13" name="图片 13" descr="ec0bb4bccacf424554006cae55832a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c0bb4bccacf424554006cae55832a5a"/>
                    <pic:cNvPicPr>
                      <a:picLocks noChangeAspect="1"/>
                    </pic:cNvPicPr>
                  </pic:nvPicPr>
                  <pic:blipFill>
                    <a:blip r:embed="rId80"/>
                    <a:stretch>
                      <a:fillRect/>
                    </a:stretch>
                  </pic:blipFill>
                  <pic:spPr>
                    <a:xfrm>
                      <a:off x="0" y="0"/>
                      <a:ext cx="5612130" cy="7941945"/>
                    </a:xfrm>
                    <a:prstGeom prst="rect">
                      <a:avLst/>
                    </a:prstGeom>
                  </pic:spPr>
                </pic:pic>
              </a:graphicData>
            </a:graphic>
          </wp:inline>
        </w:drawing>
      </w:r>
    </w:p>
    <w:p w14:paraId="3B010075">
      <w:pPr>
        <w:rPr>
          <w:rFonts w:hint="default"/>
        </w:rPr>
      </w:pPr>
      <w:r>
        <w:rPr>
          <w:rFonts w:hint="default"/>
        </w:rPr>
        <w:br w:type="page"/>
      </w:r>
    </w:p>
    <w:p w14:paraId="122B1F28">
      <w:pPr>
        <w:rPr>
          <w:rFonts w:hint="default"/>
        </w:rPr>
      </w:pPr>
      <w:r>
        <w:rPr>
          <w:rFonts w:hint="default"/>
        </w:rPr>
        <w:drawing>
          <wp:inline distT="0" distB="0" distL="114300" distR="114300">
            <wp:extent cx="5614035" cy="7876540"/>
            <wp:effectExtent l="0" t="0" r="5715" b="10160"/>
            <wp:docPr id="15" name="图片 15" descr="499739bf5246f4ff87121a3abb657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99739bf5246f4ff87121a3abb657872"/>
                    <pic:cNvPicPr>
                      <a:picLocks noChangeAspect="1"/>
                    </pic:cNvPicPr>
                  </pic:nvPicPr>
                  <pic:blipFill>
                    <a:blip r:embed="rId81"/>
                    <a:stretch>
                      <a:fillRect/>
                    </a:stretch>
                  </pic:blipFill>
                  <pic:spPr>
                    <a:xfrm>
                      <a:off x="0" y="0"/>
                      <a:ext cx="5614035" cy="7876540"/>
                    </a:xfrm>
                    <a:prstGeom prst="rect">
                      <a:avLst/>
                    </a:prstGeom>
                  </pic:spPr>
                </pic:pic>
              </a:graphicData>
            </a:graphic>
          </wp:inline>
        </w:drawing>
      </w:r>
    </w:p>
    <w:p w14:paraId="28E7AB13">
      <w:pPr>
        <w:rPr>
          <w:rFonts w:hint="default"/>
        </w:rPr>
      </w:pPr>
      <w:r>
        <w:rPr>
          <w:rFonts w:hint="default"/>
        </w:rPr>
        <w:br w:type="page"/>
      </w:r>
    </w:p>
    <w:p w14:paraId="1BE5D524">
      <w:pPr>
        <w:rPr>
          <w:rFonts w:hint="default"/>
        </w:rPr>
      </w:pPr>
      <w:r>
        <w:rPr>
          <w:rFonts w:hint="default"/>
        </w:rPr>
        <w:drawing>
          <wp:inline distT="0" distB="0" distL="114300" distR="114300">
            <wp:extent cx="5608955" cy="7858760"/>
            <wp:effectExtent l="0" t="0" r="10795" b="8890"/>
            <wp:docPr id="16" name="图片 16" descr="9d7735b839de414f525cd2d4f0dfd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9d7735b839de414f525cd2d4f0dfd915"/>
                    <pic:cNvPicPr>
                      <a:picLocks noChangeAspect="1"/>
                    </pic:cNvPicPr>
                  </pic:nvPicPr>
                  <pic:blipFill>
                    <a:blip r:embed="rId82"/>
                    <a:stretch>
                      <a:fillRect/>
                    </a:stretch>
                  </pic:blipFill>
                  <pic:spPr>
                    <a:xfrm>
                      <a:off x="0" y="0"/>
                      <a:ext cx="5608955" cy="7858760"/>
                    </a:xfrm>
                    <a:prstGeom prst="rect">
                      <a:avLst/>
                    </a:prstGeom>
                  </pic:spPr>
                </pic:pic>
              </a:graphicData>
            </a:graphic>
          </wp:inline>
        </w:drawing>
      </w:r>
    </w:p>
    <w:p w14:paraId="4A54C9DA">
      <w:pPr>
        <w:rPr>
          <w:rFonts w:hint="default"/>
        </w:rPr>
      </w:pPr>
      <w:r>
        <w:rPr>
          <w:rFonts w:hint="default"/>
        </w:rPr>
        <w:br w:type="page"/>
      </w:r>
    </w:p>
    <w:p w14:paraId="32757DFB">
      <w:pPr>
        <w:rPr>
          <w:rFonts w:hint="default"/>
        </w:rPr>
      </w:pPr>
      <w:r>
        <w:rPr>
          <w:rFonts w:hint="default"/>
        </w:rPr>
        <w:drawing>
          <wp:inline distT="0" distB="0" distL="114300" distR="114300">
            <wp:extent cx="5614035" cy="7903845"/>
            <wp:effectExtent l="0" t="0" r="5715" b="1905"/>
            <wp:docPr id="17" name="图片 17" descr="ddb922d7272e497e69b18466331c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ddb922d7272e497e69b18466331c12c7"/>
                    <pic:cNvPicPr>
                      <a:picLocks noChangeAspect="1"/>
                    </pic:cNvPicPr>
                  </pic:nvPicPr>
                  <pic:blipFill>
                    <a:blip r:embed="rId83"/>
                    <a:stretch>
                      <a:fillRect/>
                    </a:stretch>
                  </pic:blipFill>
                  <pic:spPr>
                    <a:xfrm>
                      <a:off x="0" y="0"/>
                      <a:ext cx="5614035" cy="7903845"/>
                    </a:xfrm>
                    <a:prstGeom prst="rect">
                      <a:avLst/>
                    </a:prstGeom>
                  </pic:spPr>
                </pic:pic>
              </a:graphicData>
            </a:graphic>
          </wp:inline>
        </w:drawing>
      </w:r>
    </w:p>
    <w:p w14:paraId="39AEF31E">
      <w:pPr>
        <w:rPr>
          <w:rFonts w:hint="default"/>
        </w:rPr>
      </w:pPr>
      <w:r>
        <w:rPr>
          <w:rFonts w:hint="default"/>
        </w:rPr>
        <w:br w:type="page"/>
      </w:r>
    </w:p>
    <w:p w14:paraId="4F34B251">
      <w:pPr>
        <w:pStyle w:val="3"/>
        <w:bidi w:val="0"/>
        <w:rPr>
          <w:rFonts w:hint="default" w:ascii="Times New Roman" w:hAnsi="Times New Roman" w:eastAsia="宋体" w:cs="Times New Roman"/>
          <w:b/>
          <w:color w:val="auto"/>
          <w:kern w:val="2"/>
          <w:sz w:val="24"/>
          <w:szCs w:val="24"/>
          <w:u w:val="none"/>
          <w:lang w:val="en-US" w:eastAsia="zh-CN" w:bidi="ar-SA"/>
        </w:rPr>
      </w:pPr>
      <w:r>
        <w:rPr>
          <w:rFonts w:hint="default" w:ascii="Times New Roman" w:hAnsi="Times New Roman" w:eastAsia="宋体" w:cs="Times New Roman"/>
          <w:sz w:val="24"/>
          <w:szCs w:val="24"/>
          <w:lang w:val="en-US" w:eastAsia="zh-CN"/>
        </w:rPr>
        <w:t>附件</w:t>
      </w:r>
      <w:r>
        <w:rPr>
          <w:rFonts w:hint="eastAsia" w:eastAsia="宋体" w:cs="Times New Roman"/>
          <w:sz w:val="24"/>
          <w:szCs w:val="24"/>
          <w:lang w:val="en-US" w:eastAsia="zh-CN"/>
        </w:rPr>
        <w:t>10</w:t>
      </w:r>
      <w:r>
        <w:rPr>
          <w:rFonts w:hint="default" w:ascii="Times New Roman" w:hAnsi="Times New Roman" w:eastAsia="宋体" w:cs="Times New Roman"/>
          <w:sz w:val="24"/>
          <w:szCs w:val="24"/>
          <w:lang w:val="en-US" w:eastAsia="zh-CN"/>
        </w:rPr>
        <w:t>：</w:t>
      </w:r>
      <w:r>
        <w:rPr>
          <w:rFonts w:hint="eastAsia" w:eastAsia="宋体" w:cs="Times New Roman"/>
          <w:sz w:val="24"/>
          <w:szCs w:val="24"/>
          <w:lang w:val="en-US" w:eastAsia="zh-CN"/>
        </w:rPr>
        <w:t>关于《中方工业集中区总体规划环境影响报告书》审查意见的函</w:t>
      </w:r>
    </w:p>
    <w:p w14:paraId="4BB7DA63">
      <w:pPr>
        <w:rPr>
          <w:rFonts w:hint="default"/>
        </w:rPr>
      </w:pPr>
      <w:r>
        <w:rPr>
          <w:rFonts w:hint="default"/>
        </w:rPr>
        <w:drawing>
          <wp:inline distT="0" distB="0" distL="114300" distR="114300">
            <wp:extent cx="5608320" cy="7914640"/>
            <wp:effectExtent l="0" t="0" r="11430" b="10160"/>
            <wp:docPr id="1" name="图片 1" descr="9063d6281d6c06dcf1cadddae60258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063d6281d6c06dcf1cadddae60258aa"/>
                    <pic:cNvPicPr>
                      <a:picLocks noChangeAspect="1"/>
                    </pic:cNvPicPr>
                  </pic:nvPicPr>
                  <pic:blipFill>
                    <a:blip r:embed="rId84"/>
                    <a:stretch>
                      <a:fillRect/>
                    </a:stretch>
                  </pic:blipFill>
                  <pic:spPr>
                    <a:xfrm>
                      <a:off x="0" y="0"/>
                      <a:ext cx="5608320" cy="7914640"/>
                    </a:xfrm>
                    <a:prstGeom prst="rect">
                      <a:avLst/>
                    </a:prstGeom>
                  </pic:spPr>
                </pic:pic>
              </a:graphicData>
            </a:graphic>
          </wp:inline>
        </w:drawing>
      </w:r>
    </w:p>
    <w:p w14:paraId="50B526BA">
      <w:pPr>
        <w:rPr>
          <w:rFonts w:hint="default"/>
        </w:rPr>
      </w:pPr>
      <w:r>
        <w:rPr>
          <w:rFonts w:hint="default"/>
        </w:rPr>
        <w:br w:type="page"/>
      </w:r>
    </w:p>
    <w:p w14:paraId="2E92C38B">
      <w:pPr>
        <w:rPr>
          <w:rFonts w:hint="default"/>
        </w:rPr>
      </w:pPr>
      <w:r>
        <w:rPr>
          <w:rFonts w:hint="default"/>
        </w:rPr>
        <w:drawing>
          <wp:inline distT="0" distB="0" distL="114300" distR="114300">
            <wp:extent cx="5755005" cy="8086090"/>
            <wp:effectExtent l="0" t="0" r="17145" b="10160"/>
            <wp:docPr id="46" name="图片 46" descr="ffb95cf6eee06c369c70c0181dc374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ffb95cf6eee06c369c70c0181dc3744b"/>
                    <pic:cNvPicPr>
                      <a:picLocks noChangeAspect="1"/>
                    </pic:cNvPicPr>
                  </pic:nvPicPr>
                  <pic:blipFill>
                    <a:blip r:embed="rId85"/>
                    <a:stretch>
                      <a:fillRect/>
                    </a:stretch>
                  </pic:blipFill>
                  <pic:spPr>
                    <a:xfrm>
                      <a:off x="0" y="0"/>
                      <a:ext cx="5755005" cy="8086090"/>
                    </a:xfrm>
                    <a:prstGeom prst="rect">
                      <a:avLst/>
                    </a:prstGeom>
                  </pic:spPr>
                </pic:pic>
              </a:graphicData>
            </a:graphic>
          </wp:inline>
        </w:drawing>
      </w:r>
    </w:p>
    <w:p w14:paraId="00158CFA">
      <w:pPr>
        <w:rPr>
          <w:rFonts w:hint="default"/>
        </w:rPr>
      </w:pPr>
      <w:r>
        <w:rPr>
          <w:rFonts w:hint="default"/>
        </w:rPr>
        <w:br w:type="page"/>
      </w:r>
    </w:p>
    <w:p w14:paraId="7CA2120E">
      <w:pPr>
        <w:rPr>
          <w:rFonts w:hint="default"/>
        </w:rPr>
      </w:pPr>
      <w:r>
        <w:rPr>
          <w:rFonts w:hint="default"/>
        </w:rPr>
        <w:drawing>
          <wp:inline distT="0" distB="0" distL="114300" distR="114300">
            <wp:extent cx="5839460" cy="8238490"/>
            <wp:effectExtent l="0" t="0" r="8890" b="10160"/>
            <wp:docPr id="54" name="图片 54" descr="30ee1bb87381533d7ab17f9668c080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30ee1bb87381533d7ab17f9668c0800b"/>
                    <pic:cNvPicPr>
                      <a:picLocks noChangeAspect="1"/>
                    </pic:cNvPicPr>
                  </pic:nvPicPr>
                  <pic:blipFill>
                    <a:blip r:embed="rId86"/>
                    <a:stretch>
                      <a:fillRect/>
                    </a:stretch>
                  </pic:blipFill>
                  <pic:spPr>
                    <a:xfrm>
                      <a:off x="0" y="0"/>
                      <a:ext cx="5839460" cy="8238490"/>
                    </a:xfrm>
                    <a:prstGeom prst="rect">
                      <a:avLst/>
                    </a:prstGeom>
                  </pic:spPr>
                </pic:pic>
              </a:graphicData>
            </a:graphic>
          </wp:inline>
        </w:drawing>
      </w:r>
    </w:p>
    <w:p w14:paraId="7C4E9CE0">
      <w:pPr>
        <w:rPr>
          <w:rFonts w:hint="default"/>
        </w:rPr>
      </w:pPr>
      <w:r>
        <w:rPr>
          <w:rFonts w:hint="default"/>
        </w:rPr>
        <w:br w:type="page"/>
      </w:r>
    </w:p>
    <w:p w14:paraId="31473C68">
      <w:pPr>
        <w:rPr>
          <w:rFonts w:hint="default"/>
        </w:rPr>
      </w:pPr>
      <w:r>
        <w:rPr>
          <w:rFonts w:hint="default"/>
        </w:rPr>
        <w:drawing>
          <wp:inline distT="0" distB="0" distL="114300" distR="114300">
            <wp:extent cx="5858510" cy="8238490"/>
            <wp:effectExtent l="0" t="0" r="8890" b="10160"/>
            <wp:docPr id="85" name="图片 85" descr="101030c9d950e2ea579d58ce687a9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101030c9d950e2ea579d58ce687a9545"/>
                    <pic:cNvPicPr>
                      <a:picLocks noChangeAspect="1"/>
                    </pic:cNvPicPr>
                  </pic:nvPicPr>
                  <pic:blipFill>
                    <a:blip r:embed="rId87"/>
                    <a:stretch>
                      <a:fillRect/>
                    </a:stretch>
                  </pic:blipFill>
                  <pic:spPr>
                    <a:xfrm>
                      <a:off x="0" y="0"/>
                      <a:ext cx="5858510" cy="8238490"/>
                    </a:xfrm>
                    <a:prstGeom prst="rect">
                      <a:avLst/>
                    </a:prstGeom>
                  </pic:spPr>
                </pic:pic>
              </a:graphicData>
            </a:graphic>
          </wp:inline>
        </w:drawing>
      </w:r>
    </w:p>
    <w:p w14:paraId="5094DEA4">
      <w:pPr>
        <w:rPr>
          <w:rFonts w:hint="default"/>
        </w:rPr>
      </w:pPr>
      <w:r>
        <w:rPr>
          <w:rFonts w:hint="default"/>
        </w:rPr>
        <w:br w:type="page"/>
      </w:r>
    </w:p>
    <w:p w14:paraId="1D7F8949">
      <w:pPr>
        <w:rPr>
          <w:rFonts w:hint="default"/>
        </w:rPr>
      </w:pPr>
      <w:r>
        <w:rPr>
          <w:rFonts w:hint="default"/>
        </w:rPr>
        <w:drawing>
          <wp:inline distT="0" distB="0" distL="114300" distR="114300">
            <wp:extent cx="5801995" cy="8096250"/>
            <wp:effectExtent l="0" t="0" r="8255" b="0"/>
            <wp:docPr id="94" name="图片 94" descr="b3ae843f303b709e52299e2203c9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b3ae843f303b709e52299e2203c93056"/>
                    <pic:cNvPicPr>
                      <a:picLocks noChangeAspect="1"/>
                    </pic:cNvPicPr>
                  </pic:nvPicPr>
                  <pic:blipFill>
                    <a:blip r:embed="rId88"/>
                    <a:stretch>
                      <a:fillRect/>
                    </a:stretch>
                  </pic:blipFill>
                  <pic:spPr>
                    <a:xfrm>
                      <a:off x="0" y="0"/>
                      <a:ext cx="5801995" cy="8096250"/>
                    </a:xfrm>
                    <a:prstGeom prst="rect">
                      <a:avLst/>
                    </a:prstGeom>
                  </pic:spPr>
                </pic:pic>
              </a:graphicData>
            </a:graphic>
          </wp:inline>
        </w:drawing>
      </w:r>
    </w:p>
    <w:p w14:paraId="37931D63">
      <w:pPr>
        <w:rPr>
          <w:rFonts w:hint="default"/>
        </w:rPr>
      </w:pPr>
      <w:r>
        <w:rPr>
          <w:rFonts w:hint="default"/>
        </w:rPr>
        <w:br w:type="page"/>
      </w:r>
    </w:p>
    <w:p w14:paraId="1A807EE5">
      <w:pPr>
        <w:pStyle w:val="3"/>
        <w:bidi w:val="0"/>
        <w:rPr>
          <w:rFonts w:hint="default" w:ascii="Times New Roman" w:hAnsi="Times New Roman" w:eastAsia="宋体" w:cs="Times New Roman"/>
          <w:b/>
          <w:color w:val="auto"/>
          <w:kern w:val="2"/>
          <w:sz w:val="24"/>
          <w:szCs w:val="24"/>
          <w:u w:val="none"/>
          <w:lang w:val="en-US" w:eastAsia="zh-CN" w:bidi="ar-SA"/>
        </w:rPr>
      </w:pPr>
      <w:r>
        <w:rPr>
          <w:rFonts w:hint="default" w:ascii="Times New Roman" w:hAnsi="Times New Roman" w:eastAsia="宋体" w:cs="Times New Roman"/>
          <w:sz w:val="24"/>
          <w:szCs w:val="24"/>
          <w:lang w:val="en-US" w:eastAsia="zh-CN"/>
        </w:rPr>
        <w:t>附件</w:t>
      </w:r>
      <w:r>
        <w:rPr>
          <w:rFonts w:hint="eastAsia" w:eastAsia="宋体" w:cs="Times New Roman"/>
          <w:sz w:val="24"/>
          <w:szCs w:val="24"/>
          <w:lang w:val="en-US" w:eastAsia="zh-CN"/>
        </w:rPr>
        <w:t>11</w:t>
      </w:r>
      <w:r>
        <w:rPr>
          <w:rFonts w:hint="default" w:ascii="Times New Roman" w:hAnsi="Times New Roman" w:eastAsia="宋体" w:cs="Times New Roman"/>
          <w:sz w:val="24"/>
          <w:szCs w:val="24"/>
          <w:lang w:val="en-US" w:eastAsia="zh-CN"/>
        </w:rPr>
        <w:t>：</w:t>
      </w:r>
      <w:r>
        <w:rPr>
          <w:rFonts w:hint="eastAsia" w:eastAsia="宋体" w:cs="Times New Roman"/>
          <w:sz w:val="24"/>
          <w:szCs w:val="24"/>
          <w:lang w:val="en-US" w:eastAsia="zh-CN"/>
        </w:rPr>
        <w:t>生态环境分区管研判报告</w:t>
      </w:r>
    </w:p>
    <w:p w14:paraId="50021E83">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5829300" cy="8146415"/>
            <wp:effectExtent l="0" t="0" r="0" b="6985"/>
            <wp:docPr id="4" name="图片 4" descr="5899332d598f970f6a62ce4e8a9b19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899332d598f970f6a62ce4e8a9b19fb"/>
                    <pic:cNvPicPr>
                      <a:picLocks noChangeAspect="1"/>
                    </pic:cNvPicPr>
                  </pic:nvPicPr>
                  <pic:blipFill>
                    <a:blip r:embed="rId89"/>
                    <a:stretch>
                      <a:fillRect/>
                    </a:stretch>
                  </pic:blipFill>
                  <pic:spPr>
                    <a:xfrm>
                      <a:off x="0" y="0"/>
                      <a:ext cx="5829300" cy="8146415"/>
                    </a:xfrm>
                    <a:prstGeom prst="rect">
                      <a:avLst/>
                    </a:prstGeom>
                  </pic:spPr>
                </pic:pic>
              </a:graphicData>
            </a:graphic>
          </wp:inline>
        </w:drawing>
      </w:r>
    </w:p>
    <w:p w14:paraId="4AB3E3F3">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br w:type="page"/>
      </w:r>
    </w:p>
    <w:p w14:paraId="5A9761AA">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6008370" cy="8457565"/>
            <wp:effectExtent l="0" t="0" r="11430" b="635"/>
            <wp:docPr id="73" name="图片 73" descr="e8b0e04b5982346e190a2e3e073e24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e8b0e04b5982346e190a2e3e073e244d"/>
                    <pic:cNvPicPr>
                      <a:picLocks noChangeAspect="1"/>
                    </pic:cNvPicPr>
                  </pic:nvPicPr>
                  <pic:blipFill>
                    <a:blip r:embed="rId90"/>
                    <a:stretch>
                      <a:fillRect/>
                    </a:stretch>
                  </pic:blipFill>
                  <pic:spPr>
                    <a:xfrm>
                      <a:off x="0" y="0"/>
                      <a:ext cx="6008370" cy="8457565"/>
                    </a:xfrm>
                    <a:prstGeom prst="rect">
                      <a:avLst/>
                    </a:prstGeom>
                  </pic:spPr>
                </pic:pic>
              </a:graphicData>
            </a:graphic>
          </wp:inline>
        </w:drawing>
      </w:r>
    </w:p>
    <w:p w14:paraId="715646DD">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br w:type="page"/>
      </w:r>
    </w:p>
    <w:p w14:paraId="329A9072">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6046470" cy="8409940"/>
            <wp:effectExtent l="0" t="0" r="11430" b="10160"/>
            <wp:docPr id="156" name="图片 156" descr="f838500244236949a8c06318350709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f838500244236949a8c06318350709c2"/>
                    <pic:cNvPicPr>
                      <a:picLocks noChangeAspect="1"/>
                    </pic:cNvPicPr>
                  </pic:nvPicPr>
                  <pic:blipFill>
                    <a:blip r:embed="rId91"/>
                    <a:stretch>
                      <a:fillRect/>
                    </a:stretch>
                  </pic:blipFill>
                  <pic:spPr>
                    <a:xfrm>
                      <a:off x="0" y="0"/>
                      <a:ext cx="6046470" cy="8409940"/>
                    </a:xfrm>
                    <a:prstGeom prst="rect">
                      <a:avLst/>
                    </a:prstGeom>
                  </pic:spPr>
                </pic:pic>
              </a:graphicData>
            </a:graphic>
          </wp:inline>
        </w:drawing>
      </w:r>
    </w:p>
    <w:p w14:paraId="608FED74">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br w:type="page"/>
      </w:r>
    </w:p>
    <w:p w14:paraId="0C65DD12">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5986780" cy="8454390"/>
            <wp:effectExtent l="0" t="0" r="13970" b="3810"/>
            <wp:docPr id="164" name="图片 164" descr="e38b09332bbbd71328d98a85f11f3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e38b09332bbbd71328d98a85f11f3bc9"/>
                    <pic:cNvPicPr>
                      <a:picLocks noChangeAspect="1"/>
                    </pic:cNvPicPr>
                  </pic:nvPicPr>
                  <pic:blipFill>
                    <a:blip r:embed="rId92"/>
                    <a:stretch>
                      <a:fillRect/>
                    </a:stretch>
                  </pic:blipFill>
                  <pic:spPr>
                    <a:xfrm>
                      <a:off x="0" y="0"/>
                      <a:ext cx="5986780" cy="8454390"/>
                    </a:xfrm>
                    <a:prstGeom prst="rect">
                      <a:avLst/>
                    </a:prstGeom>
                  </pic:spPr>
                </pic:pic>
              </a:graphicData>
            </a:graphic>
          </wp:inline>
        </w:drawing>
      </w:r>
    </w:p>
    <w:p w14:paraId="43118FFA">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br w:type="page"/>
      </w:r>
    </w:p>
    <w:p w14:paraId="64DEE2B7">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6007100" cy="8447405"/>
            <wp:effectExtent l="0" t="0" r="12700" b="10795"/>
            <wp:docPr id="165" name="图片 165" descr="6cac49cd823553e96e41fc21a1c04f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6cac49cd823553e96e41fc21a1c04fba"/>
                    <pic:cNvPicPr>
                      <a:picLocks noChangeAspect="1"/>
                    </pic:cNvPicPr>
                  </pic:nvPicPr>
                  <pic:blipFill>
                    <a:blip r:embed="rId93"/>
                    <a:stretch>
                      <a:fillRect/>
                    </a:stretch>
                  </pic:blipFill>
                  <pic:spPr>
                    <a:xfrm>
                      <a:off x="0" y="0"/>
                      <a:ext cx="6007100" cy="8447405"/>
                    </a:xfrm>
                    <a:prstGeom prst="rect">
                      <a:avLst/>
                    </a:prstGeom>
                  </pic:spPr>
                </pic:pic>
              </a:graphicData>
            </a:graphic>
          </wp:inline>
        </w:drawing>
      </w:r>
    </w:p>
    <w:p w14:paraId="47DD2C8C">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br w:type="page"/>
      </w:r>
    </w:p>
    <w:p w14:paraId="00FC2312">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6043930" cy="8438515"/>
            <wp:effectExtent l="0" t="0" r="13970" b="635"/>
            <wp:docPr id="182" name="图片 182" descr="6b12000eba30250a35ca897f356d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descr="6b12000eba30250a35ca897f356d5935"/>
                    <pic:cNvPicPr>
                      <a:picLocks noChangeAspect="1"/>
                    </pic:cNvPicPr>
                  </pic:nvPicPr>
                  <pic:blipFill>
                    <a:blip r:embed="rId94"/>
                    <a:stretch>
                      <a:fillRect/>
                    </a:stretch>
                  </pic:blipFill>
                  <pic:spPr>
                    <a:xfrm>
                      <a:off x="0" y="0"/>
                      <a:ext cx="6043930" cy="8438515"/>
                    </a:xfrm>
                    <a:prstGeom prst="rect">
                      <a:avLst/>
                    </a:prstGeom>
                  </pic:spPr>
                </pic:pic>
              </a:graphicData>
            </a:graphic>
          </wp:inline>
        </w:drawing>
      </w:r>
    </w:p>
    <w:p w14:paraId="0091403E">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br w:type="page"/>
      </w:r>
    </w:p>
    <w:p w14:paraId="27BCD259">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6030595" cy="8428990"/>
            <wp:effectExtent l="0" t="0" r="8255" b="10160"/>
            <wp:docPr id="183" name="图片 183" descr="30847457162706016b897f7bc78ceb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30847457162706016b897f7bc78cebe9"/>
                    <pic:cNvPicPr>
                      <a:picLocks noChangeAspect="1"/>
                    </pic:cNvPicPr>
                  </pic:nvPicPr>
                  <pic:blipFill>
                    <a:blip r:embed="rId95"/>
                    <a:stretch>
                      <a:fillRect/>
                    </a:stretch>
                  </pic:blipFill>
                  <pic:spPr>
                    <a:xfrm>
                      <a:off x="0" y="0"/>
                      <a:ext cx="6030595" cy="8428990"/>
                    </a:xfrm>
                    <a:prstGeom prst="rect">
                      <a:avLst/>
                    </a:prstGeom>
                  </pic:spPr>
                </pic:pic>
              </a:graphicData>
            </a:graphic>
          </wp:inline>
        </w:drawing>
      </w:r>
      <w:r>
        <w:rPr>
          <w:rFonts w:hint="default" w:ascii="Times New Roman" w:hAnsi="Times New Roman" w:eastAsia="宋体" w:cs="Times New Roman"/>
          <w:sz w:val="24"/>
          <w:szCs w:val="24"/>
          <w:lang w:val="en-US" w:eastAsia="zh-CN"/>
        </w:rPr>
        <w:br w:type="page"/>
      </w:r>
    </w:p>
    <w:p w14:paraId="5502D917">
      <w:pPr>
        <w:pStyle w:val="3"/>
        <w:bidi w:val="0"/>
        <w:rPr>
          <w:rFonts w:hint="default" w:ascii="Times New Roman" w:hAnsi="Times New Roman" w:eastAsia="宋体" w:cs="Times New Roman"/>
          <w:b/>
          <w:color w:val="auto"/>
          <w:kern w:val="2"/>
          <w:sz w:val="24"/>
          <w:szCs w:val="24"/>
          <w:u w:val="none"/>
          <w:lang w:val="en-US" w:eastAsia="zh-CN" w:bidi="ar-SA"/>
        </w:rPr>
      </w:pPr>
      <w:r>
        <w:rPr>
          <w:rFonts w:hint="default" w:ascii="Times New Roman" w:hAnsi="Times New Roman" w:eastAsia="宋体" w:cs="Times New Roman"/>
          <w:sz w:val="24"/>
          <w:szCs w:val="24"/>
          <w:lang w:val="en-US" w:eastAsia="zh-CN"/>
        </w:rPr>
        <w:t>附件</w:t>
      </w:r>
      <w:r>
        <w:rPr>
          <w:rFonts w:hint="eastAsia" w:eastAsia="宋体" w:cs="Times New Roman"/>
          <w:sz w:val="24"/>
          <w:szCs w:val="24"/>
          <w:lang w:val="en-US" w:eastAsia="zh-CN"/>
        </w:rPr>
        <w:t>12</w:t>
      </w:r>
      <w:r>
        <w:rPr>
          <w:rFonts w:hint="default" w:ascii="Times New Roman" w:hAnsi="Times New Roman" w:eastAsia="宋体" w:cs="Times New Roman"/>
          <w:sz w:val="24"/>
          <w:szCs w:val="24"/>
          <w:lang w:val="en-US" w:eastAsia="zh-CN"/>
        </w:rPr>
        <w:t>：</w:t>
      </w:r>
      <w:r>
        <w:rPr>
          <w:rFonts w:hint="eastAsia" w:eastAsia="宋体" w:cs="Times New Roman"/>
          <w:sz w:val="24"/>
          <w:szCs w:val="24"/>
          <w:lang w:val="en-US" w:eastAsia="zh-CN"/>
        </w:rPr>
        <w:t>专家评审意见</w:t>
      </w:r>
    </w:p>
    <w:p w14:paraId="35B16DA1">
      <w:pPr>
        <w:rPr>
          <w:rFonts w:hint="default"/>
        </w:rPr>
      </w:pPr>
      <w:r>
        <w:rPr>
          <w:rFonts w:hint="default"/>
        </w:rPr>
        <w:drawing>
          <wp:inline distT="0" distB="0" distL="114300" distR="114300">
            <wp:extent cx="5723890" cy="8062595"/>
            <wp:effectExtent l="0" t="0" r="10160" b="14605"/>
            <wp:docPr id="160" name="图片 160" descr="6639bc56e4a69383b763915413e4e5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descr="6639bc56e4a69383b763915413e4e5c9"/>
                    <pic:cNvPicPr>
                      <a:picLocks noChangeAspect="1"/>
                    </pic:cNvPicPr>
                  </pic:nvPicPr>
                  <pic:blipFill>
                    <a:blip r:embed="rId96"/>
                    <a:stretch>
                      <a:fillRect/>
                    </a:stretch>
                  </pic:blipFill>
                  <pic:spPr>
                    <a:xfrm>
                      <a:off x="0" y="0"/>
                      <a:ext cx="5723890" cy="8062595"/>
                    </a:xfrm>
                    <a:prstGeom prst="rect">
                      <a:avLst/>
                    </a:prstGeom>
                  </pic:spPr>
                </pic:pic>
              </a:graphicData>
            </a:graphic>
          </wp:inline>
        </w:drawing>
      </w:r>
    </w:p>
    <w:p w14:paraId="6A8FCD2C">
      <w:pPr>
        <w:rPr>
          <w:rFonts w:hint="default"/>
        </w:rPr>
      </w:pPr>
      <w:r>
        <w:rPr>
          <w:rFonts w:hint="default"/>
        </w:rPr>
        <w:br w:type="page"/>
      </w:r>
    </w:p>
    <w:p w14:paraId="1593F45E">
      <w:pPr>
        <w:rPr>
          <w:rFonts w:hint="default"/>
        </w:rPr>
      </w:pPr>
      <w:r>
        <w:rPr>
          <w:rFonts w:hint="default"/>
        </w:rPr>
        <w:drawing>
          <wp:inline distT="0" distB="0" distL="114300" distR="114300">
            <wp:extent cx="6024880" cy="8515985"/>
            <wp:effectExtent l="0" t="0" r="13970" b="18415"/>
            <wp:docPr id="161" name="图片 161" descr="f1e832eb930ea8849a950ef7c8d53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descr="f1e832eb930ea8849a950ef7c8d53973"/>
                    <pic:cNvPicPr>
                      <a:picLocks noChangeAspect="1"/>
                    </pic:cNvPicPr>
                  </pic:nvPicPr>
                  <pic:blipFill>
                    <a:blip r:embed="rId97"/>
                    <a:stretch>
                      <a:fillRect/>
                    </a:stretch>
                  </pic:blipFill>
                  <pic:spPr>
                    <a:xfrm>
                      <a:off x="0" y="0"/>
                      <a:ext cx="6024880" cy="8515985"/>
                    </a:xfrm>
                    <a:prstGeom prst="rect">
                      <a:avLst/>
                    </a:prstGeom>
                  </pic:spPr>
                </pic:pic>
              </a:graphicData>
            </a:graphic>
          </wp:inline>
        </w:drawing>
      </w:r>
      <w:r>
        <w:rPr>
          <w:rFonts w:hint="default"/>
        </w:rPr>
        <w:br w:type="page"/>
      </w:r>
    </w:p>
    <w:p w14:paraId="5A6551BA">
      <w:pPr>
        <w:bidi w:val="0"/>
        <w:rPr>
          <w:rFonts w:hint="default"/>
        </w:rPr>
        <w:sectPr>
          <w:footerReference r:id="rId12"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F506FD1">
      <w:pPr>
        <w:ind w:firstLine="0" w:firstLineChars="0"/>
        <w:jc w:val="left"/>
        <w:outlineLvl w:val="0"/>
        <w:rPr>
          <w:rFonts w:hint="eastAsia" w:ascii="Times New Roman" w:hAnsi="Times New Roman"/>
          <w:b/>
          <w:bCs/>
          <w:sz w:val="24"/>
          <w:szCs w:val="24"/>
          <w:lang w:eastAsia="zh-CN"/>
        </w:rPr>
      </w:pPr>
      <w:r>
        <w:rPr>
          <w:rFonts w:hint="eastAsia" w:ascii="Times New Roman" w:hAnsi="Times New Roman"/>
          <w:b/>
          <w:bCs/>
          <w:sz w:val="24"/>
          <w:szCs w:val="24"/>
        </w:rPr>
        <w:t>附</w:t>
      </w:r>
      <w:r>
        <w:rPr>
          <w:rFonts w:hint="eastAsia" w:ascii="Times New Roman" w:hAnsi="Times New Roman"/>
          <w:b/>
          <w:bCs/>
          <w:sz w:val="24"/>
          <w:szCs w:val="24"/>
          <w:lang w:eastAsia="zh-CN"/>
        </w:rPr>
        <w:t>图</w:t>
      </w:r>
      <w:r>
        <w:rPr>
          <w:rFonts w:hint="eastAsia" w:ascii="Times New Roman" w:hAnsi="Times New Roman"/>
          <w:b/>
          <w:bCs/>
          <w:sz w:val="24"/>
          <w:szCs w:val="24"/>
          <w:lang w:val="en-US" w:eastAsia="zh-CN"/>
        </w:rPr>
        <w:t>1</w:t>
      </w:r>
      <w:r>
        <w:rPr>
          <w:rFonts w:hint="eastAsia" w:ascii="Times New Roman" w:hAnsi="Times New Roman"/>
          <w:b/>
          <w:bCs/>
          <w:sz w:val="24"/>
          <w:szCs w:val="24"/>
        </w:rPr>
        <w:t>：</w:t>
      </w:r>
      <w:r>
        <w:rPr>
          <w:rFonts w:hint="eastAsia" w:ascii="Times New Roman" w:hAnsi="Times New Roman"/>
          <w:b/>
          <w:bCs/>
          <w:sz w:val="24"/>
          <w:szCs w:val="24"/>
          <w:lang w:eastAsia="zh-CN"/>
        </w:rPr>
        <w:t>项目地理位置图</w:t>
      </w:r>
    </w:p>
    <w:p w14:paraId="083B0119">
      <w:pPr>
        <w:bidi w:val="0"/>
        <w:rPr>
          <w:rFonts w:hint="default"/>
        </w:rPr>
      </w:pPr>
    </w:p>
    <w:p w14:paraId="19E71030">
      <w:pPr>
        <w:pStyle w:val="28"/>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sz w:val="24"/>
        </w:rPr>
        <mc:AlternateContent>
          <mc:Choice Requires="wps">
            <w:drawing>
              <wp:anchor distT="0" distB="0" distL="114300" distR="114300" simplePos="0" relativeHeight="251663360" behindDoc="0" locked="0" layoutInCell="1" allowOverlap="1">
                <wp:simplePos x="0" y="0"/>
                <wp:positionH relativeFrom="column">
                  <wp:posOffset>4387850</wp:posOffset>
                </wp:positionH>
                <wp:positionV relativeFrom="paragraph">
                  <wp:posOffset>633095</wp:posOffset>
                </wp:positionV>
                <wp:extent cx="1002665" cy="305435"/>
                <wp:effectExtent l="94615" t="6350" r="7620" b="354965"/>
                <wp:wrapNone/>
                <wp:docPr id="63" name="矩形标注 63"/>
                <wp:cNvGraphicFramePr/>
                <a:graphic xmlns:a="http://schemas.openxmlformats.org/drawingml/2006/main">
                  <a:graphicData uri="http://schemas.microsoft.com/office/word/2010/wordprocessingShape">
                    <wps:wsp>
                      <wps:cNvSpPr/>
                      <wps:spPr>
                        <a:xfrm>
                          <a:off x="0" y="0"/>
                          <a:ext cx="1002665" cy="305435"/>
                        </a:xfrm>
                        <a:prstGeom prst="wedgeRectCallout">
                          <a:avLst>
                            <a:gd name="adj1" fmla="val -56839"/>
                            <a:gd name="adj2" fmla="val 15686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E92A96">
                            <w:pPr>
                              <w:jc w:val="center"/>
                              <w:rPr>
                                <w:rFonts w:hint="eastAsia"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45.5pt;margin-top:49.85pt;height:24.05pt;width:78.95pt;z-index:251663360;v-text-anchor:middle;mso-width-relative:page;mso-height-relative:page;" filled="f" stroked="t" coordsize="21600,21600" o:gfxdata="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P2EOvdYAAAAKAQAADwAAAAAAAAABACAAAAAiAAAAZHJzL2Rvd25y&#10;ZXYueG1sUEsBAhQAFAAAAAgAh07iQEQTlM2rAgAAPQUAAA4AAAAAAAAAAQAgAAAAJQEAAGRycy9l&#10;Mm9Eb2MueG1sUEsFBgAAAAAGAAYAWQEAAEIGAAAAAA==&#10;" adj="-1477,44682">
                <v:fill on="f" focussize="0,0"/>
                <v:stroke weight="1pt" color="#FF0000 [3204]" miterlimit="8" joinstyle="miter"/>
                <v:imagedata o:title=""/>
                <o:lock v:ext="edit" aspectratio="f"/>
                <v:textbox>
                  <w:txbxContent>
                    <w:p w14:paraId="2AE92A96">
                      <w:pPr>
                        <w:jc w:val="center"/>
                        <w:rPr>
                          <w:rFonts w:hint="eastAsia"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项目所在地</w:t>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4242435</wp:posOffset>
                </wp:positionH>
                <wp:positionV relativeFrom="paragraph">
                  <wp:posOffset>1266190</wp:posOffset>
                </wp:positionV>
                <wp:extent cx="75565" cy="75565"/>
                <wp:effectExtent l="19050" t="21590" r="19685" b="17145"/>
                <wp:wrapNone/>
                <wp:docPr id="62" name="五角星 62"/>
                <wp:cNvGraphicFramePr/>
                <a:graphic xmlns:a="http://schemas.openxmlformats.org/drawingml/2006/main">
                  <a:graphicData uri="http://schemas.microsoft.com/office/word/2010/wordprocessingShape">
                    <wps:wsp>
                      <wps:cNvSpPr/>
                      <wps:spPr>
                        <a:xfrm>
                          <a:off x="0" y="0"/>
                          <a:ext cx="75565" cy="75565"/>
                        </a:xfrm>
                        <a:prstGeom prst="star5">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34.05pt;margin-top:99.7pt;height:5.95pt;width:5.95pt;z-index:251662336;v-text-anchor:middle;mso-width-relative:page;mso-height-relative:page;" filled="f" stroked="t" coordsize="75565,75565" o:gfxdata="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l8+tB2QAAAAsBAAAPAAAAAAAAAAEAIAAAACIAAABkcnMvZG93bnJl&#10;di54bWxQSwECFAAUAAAACACHTuJAFGfCXW4CAADOBAAADgAAAAAAAAABACAAAAAoAQAAZHJzL2Uy&#10;b0RvYy54bWxQSwUGAAAAAAYABgBZAQAACAYAAAAA&#10;" path="m0,28863l28863,28863,37782,0,46701,28863,75564,28863,52213,46701,61133,75564,37782,57726,14431,75564,23351,46701xe">
                <v:path o:connectlocs="37782,0;0,28863;14431,75564;61133,75564;75564,28863" o:connectangles="247,164,82,82,0"/>
                <v:fill on="f" focussize="0,0"/>
                <v:stroke weight="1pt" color="#FF0000 [3204]" miterlimit="8" joinstyle="miter"/>
                <v:imagedata o:title=""/>
                <o:lock v:ext="edit" aspectratio="f"/>
              </v:shape>
            </w:pict>
          </mc:Fallback>
        </mc:AlternateContent>
      </w:r>
      <w:r>
        <w:rPr>
          <w:sz w:val="24"/>
        </w:rPr>
        <w:drawing>
          <wp:inline distT="0" distB="0" distL="114300" distR="114300">
            <wp:extent cx="7285990" cy="5135880"/>
            <wp:effectExtent l="0" t="0" r="10160" b="7620"/>
            <wp:docPr id="21" name="图片 21" descr="中方县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中方县地图"/>
                    <pic:cNvPicPr>
                      <a:picLocks noChangeAspect="1"/>
                    </pic:cNvPicPr>
                  </pic:nvPicPr>
                  <pic:blipFill>
                    <a:blip r:embed="rId98"/>
                    <a:stretch>
                      <a:fillRect/>
                    </a:stretch>
                  </pic:blipFill>
                  <pic:spPr>
                    <a:xfrm>
                      <a:off x="0" y="0"/>
                      <a:ext cx="7285990" cy="5135880"/>
                    </a:xfrm>
                    <a:prstGeom prst="rect">
                      <a:avLst/>
                    </a:prstGeom>
                  </pic:spPr>
                </pic:pic>
              </a:graphicData>
            </a:graphic>
          </wp:inline>
        </w:drawing>
      </w:r>
    </w:p>
    <w:bookmarkEnd w:id="38"/>
    <w:p w14:paraId="54FE484E">
      <w:pPr>
        <w:ind w:firstLine="0" w:firstLineChars="0"/>
        <w:jc w:val="left"/>
        <w:outlineLvl w:val="0"/>
        <w:rPr>
          <w:rFonts w:hint="eastAsia"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rPr>
        <w:t>附</w:t>
      </w:r>
      <w:r>
        <w:rPr>
          <w:rFonts w:hint="eastAsia" w:ascii="Times New Roman" w:hAnsi="Times New Roman" w:eastAsia="宋体" w:cs="Times New Roman"/>
          <w:b/>
          <w:bCs/>
          <w:sz w:val="24"/>
          <w:szCs w:val="24"/>
          <w:lang w:eastAsia="zh-CN"/>
        </w:rPr>
        <w:t>图</w:t>
      </w:r>
      <w:r>
        <w:rPr>
          <w:rFonts w:hint="eastAsia" w:ascii="Times New Roman" w:hAnsi="Times New Roman" w:eastAsia="宋体" w:cs="Times New Roman"/>
          <w:b/>
          <w:bCs/>
          <w:sz w:val="24"/>
          <w:szCs w:val="24"/>
          <w:lang w:val="en-US" w:eastAsia="zh-CN"/>
        </w:rPr>
        <w:t>2</w:t>
      </w:r>
      <w:r>
        <w:rPr>
          <w:rFonts w:hint="eastAsia" w:ascii="Times New Roman" w:hAnsi="Times New Roman" w:eastAsia="宋体" w:cs="Times New Roman"/>
          <w:b/>
          <w:bCs/>
          <w:sz w:val="24"/>
          <w:szCs w:val="24"/>
        </w:rPr>
        <w:t>：</w:t>
      </w:r>
      <w:r>
        <w:rPr>
          <w:rFonts w:hint="eastAsia" w:ascii="Times New Roman" w:hAnsi="Times New Roman" w:eastAsia="宋体" w:cs="Times New Roman"/>
          <w:b/>
          <w:bCs/>
          <w:sz w:val="24"/>
          <w:szCs w:val="24"/>
          <w:lang w:eastAsia="zh-CN"/>
        </w:rPr>
        <w:t>项目总平面布置图</w:t>
      </w:r>
    </w:p>
    <w:p w14:paraId="302CE144">
      <w:pPr>
        <w:pStyle w:val="2"/>
        <w:rPr>
          <w:rFonts w:hint="eastAsia"/>
          <w:lang w:eastAsia="zh-CN"/>
        </w:rPr>
      </w:pPr>
    </w:p>
    <w:p w14:paraId="6CBED22E">
      <w:pPr>
        <w:pStyle w:val="2"/>
        <w:rPr>
          <w:rFonts w:hint="eastAsia"/>
          <w:lang w:eastAsia="zh-CN"/>
        </w:rPr>
      </w:pPr>
      <w:r>
        <w:rPr>
          <w:rFonts w:hint="eastAsia"/>
          <w:lang w:eastAsia="zh-CN"/>
        </w:rPr>
        <w:drawing>
          <wp:inline distT="0" distB="0" distL="114300" distR="114300">
            <wp:extent cx="9248140" cy="4411345"/>
            <wp:effectExtent l="0" t="0" r="10160" b="8255"/>
            <wp:docPr id="188" name="图片 188" descr="fc18b408a2ccce13c1f79e7d4ff8a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descr="fc18b408a2ccce13c1f79e7d4ff8a805"/>
                    <pic:cNvPicPr>
                      <a:picLocks noChangeAspect="1"/>
                    </pic:cNvPicPr>
                  </pic:nvPicPr>
                  <pic:blipFill>
                    <a:blip r:embed="rId99"/>
                    <a:srcRect l="3903" t="2397" r="1164"/>
                    <a:stretch>
                      <a:fillRect/>
                    </a:stretch>
                  </pic:blipFill>
                  <pic:spPr>
                    <a:xfrm>
                      <a:off x="0" y="0"/>
                      <a:ext cx="9248140" cy="4411345"/>
                    </a:xfrm>
                    <a:prstGeom prst="rect">
                      <a:avLst/>
                    </a:prstGeom>
                  </pic:spPr>
                </pic:pic>
              </a:graphicData>
            </a:graphic>
          </wp:inline>
        </w:drawing>
      </w:r>
    </w:p>
    <w:p w14:paraId="1C538F85">
      <w:pPr>
        <w:pStyle w:val="37"/>
        <w:jc w:val="both"/>
        <w:rPr>
          <w:rFonts w:hint="eastAsia"/>
          <w:color w:val="auto"/>
          <w:lang w:eastAsia="zh-CN"/>
          <w14:textFill>
            <w14:no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14:paraId="0C3CBE36">
      <w:pPr>
        <w:ind w:firstLine="0" w:firstLineChars="0"/>
        <w:jc w:val="left"/>
        <w:outlineLvl w:val="0"/>
        <w:rPr>
          <w:rFonts w:hint="eastAsia" w:ascii="Times New Roman" w:hAnsi="Times New Roman" w:eastAsia="宋体" w:cs="Times New Roman"/>
          <w:b/>
          <w:bCs/>
          <w:color w:val="auto"/>
          <w:sz w:val="24"/>
          <w:szCs w:val="24"/>
          <w:lang w:eastAsia="zh-CN"/>
        </w:rPr>
      </w:pPr>
      <w:bookmarkStart w:id="39" w:name="_Toc23122"/>
      <w:r>
        <w:rPr>
          <w:rFonts w:hint="eastAsia" w:ascii="Times New Roman" w:hAnsi="Times New Roman" w:eastAsia="宋体" w:cs="Times New Roman"/>
          <w:b/>
          <w:bCs/>
          <w:color w:val="auto"/>
          <w:sz w:val="24"/>
          <w:szCs w:val="24"/>
        </w:rPr>
        <w:t>附</w:t>
      </w:r>
      <w:r>
        <w:rPr>
          <w:rFonts w:hint="eastAsia" w:ascii="Times New Roman" w:hAnsi="Times New Roman" w:eastAsia="宋体" w:cs="Times New Roman"/>
          <w:b/>
          <w:bCs/>
          <w:color w:val="auto"/>
          <w:sz w:val="24"/>
          <w:szCs w:val="24"/>
          <w:lang w:eastAsia="zh-CN"/>
        </w:rPr>
        <w:t>图</w:t>
      </w:r>
      <w:r>
        <w:rPr>
          <w:rFonts w:hint="eastAsia" w:ascii="Times New Roman" w:hAnsi="Times New Roman" w:eastAsia="宋体" w:cs="Times New Roman"/>
          <w:b/>
          <w:bCs/>
          <w:color w:val="auto"/>
          <w:sz w:val="24"/>
          <w:szCs w:val="24"/>
          <w:lang w:val="en-US" w:eastAsia="zh-CN"/>
        </w:rPr>
        <w:t>3</w:t>
      </w:r>
      <w:r>
        <w:rPr>
          <w:rFonts w:hint="eastAsia" w:ascii="Times New Roman" w:hAnsi="Times New Roman" w:eastAsia="宋体" w:cs="Times New Roman"/>
          <w:b/>
          <w:bCs/>
          <w:color w:val="auto"/>
          <w:sz w:val="24"/>
          <w:szCs w:val="24"/>
        </w:rPr>
        <w:t>：</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项目环境保护目标图</w:t>
      </w:r>
      <w:bookmarkEnd w:id="39"/>
    </w:p>
    <w:p w14:paraId="2EE17133">
      <w:pPr>
        <w:rPr>
          <w:rFonts w:hint="eastAsia"/>
          <w:lang w:eastAsia="zh-CN"/>
        </w:rPr>
      </w:pPr>
    </w:p>
    <w:p w14:paraId="0B28F019">
      <w:pPr>
        <w:jc w:val="center"/>
        <w:rPr>
          <w:rFonts w:hint="eastAsia"/>
          <w:lang w:eastAsia="zh-CN"/>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drawing>
          <wp:inline distT="0" distB="0" distL="114300" distR="114300">
            <wp:extent cx="8521700" cy="4340225"/>
            <wp:effectExtent l="0" t="0" r="12700" b="3175"/>
            <wp:docPr id="1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
                    <pic:cNvPicPr>
                      <a:picLocks noChangeAspect="1"/>
                    </pic:cNvPicPr>
                  </pic:nvPicPr>
                  <pic:blipFill>
                    <a:blip r:embed="rId100"/>
                    <a:stretch>
                      <a:fillRect/>
                    </a:stretch>
                  </pic:blipFill>
                  <pic:spPr>
                    <a:xfrm>
                      <a:off x="0" y="0"/>
                      <a:ext cx="8521700" cy="4340225"/>
                    </a:xfrm>
                    <a:prstGeom prst="rect">
                      <a:avLst/>
                    </a:prstGeom>
                    <a:noFill/>
                    <a:ln>
                      <a:noFill/>
                    </a:ln>
                  </pic:spPr>
                </pic:pic>
              </a:graphicData>
            </a:graphic>
          </wp:inline>
        </w:drawing>
      </w:r>
      <w:r>
        <w:rPr>
          <w:sz w:val="21"/>
        </w:rPr>
        <mc:AlternateContent>
          <mc:Choice Requires="wps">
            <w:drawing>
              <wp:anchor distT="0" distB="0" distL="114300" distR="114300" simplePos="0" relativeHeight="251668480" behindDoc="0" locked="0" layoutInCell="1" allowOverlap="1">
                <wp:simplePos x="0" y="0"/>
                <wp:positionH relativeFrom="column">
                  <wp:posOffset>40640</wp:posOffset>
                </wp:positionH>
                <wp:positionV relativeFrom="paragraph">
                  <wp:posOffset>3777615</wp:posOffset>
                </wp:positionV>
                <wp:extent cx="299085" cy="0"/>
                <wp:effectExtent l="0" t="12700" r="0" b="12700"/>
                <wp:wrapNone/>
                <wp:docPr id="27" name="直接连接符 27"/>
                <wp:cNvGraphicFramePr/>
                <a:graphic xmlns:a="http://schemas.openxmlformats.org/drawingml/2006/main">
                  <a:graphicData uri="http://schemas.microsoft.com/office/word/2010/wordprocessingShape">
                    <wps:wsp>
                      <wps:cNvCnPr/>
                      <wps:spPr>
                        <a:xfrm>
                          <a:off x="0" y="0"/>
                          <a:ext cx="299085" cy="0"/>
                        </a:xfrm>
                        <a:prstGeom prst="line">
                          <a:avLst/>
                        </a:prstGeom>
                        <a:ln w="25400">
                          <a:solidFill>
                            <a:srgbClr val="FFFF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2pt;margin-top:297.45pt;height:0pt;width:23.55pt;z-index:251668480;mso-width-relative:page;mso-height-relative:page;" filled="f" stroked="t" coordsize="21600,21600" o:gfxdata="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7WZmdcA&#10;AAAIAQAADwAAAAAAAAABACAAAAAiAAAAZHJzL2Rvd25yZXYueG1sUEsBAhQAFAAAAAgAh07iQP9A&#10;yVLnAQAAswMAAA4AAAAAAAAAAQAgAAAAJgEAAGRycy9lMm9Eb2MueG1sUEsFBgAAAAAGAAYAWQEA&#10;AH8FAAAAAA==&#10;">
                <v:fill on="f" focussize="0,0"/>
                <v:stroke weight="2pt" color="#FFFF00 [3204]" miterlimit="8" joinstyle="miter"/>
                <v:imagedata o:title=""/>
                <o:lock v:ext="edit" aspectratio="f"/>
              </v:lin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29845</wp:posOffset>
                </wp:positionH>
                <wp:positionV relativeFrom="paragraph">
                  <wp:posOffset>3238500</wp:posOffset>
                </wp:positionV>
                <wp:extent cx="1689100" cy="1099820"/>
                <wp:effectExtent l="4445" t="4445" r="20955" b="19685"/>
                <wp:wrapNone/>
                <wp:docPr id="14" name="文本框 14"/>
                <wp:cNvGraphicFramePr/>
                <a:graphic xmlns:a="http://schemas.openxmlformats.org/drawingml/2006/main">
                  <a:graphicData uri="http://schemas.microsoft.com/office/word/2010/wordprocessingShape">
                    <wps:wsp>
                      <wps:cNvSpPr txBox="1"/>
                      <wps:spPr>
                        <a:xfrm>
                          <a:off x="0" y="0"/>
                          <a:ext cx="1689100" cy="1099820"/>
                        </a:xfrm>
                        <a:prstGeom prst="rect">
                          <a:avLst/>
                        </a:prstGeom>
                        <a:noFill/>
                        <a:ln w="6350">
                          <a:solidFill>
                            <a:prstClr val="black"/>
                          </a:solidFill>
                        </a:ln>
                        <a:effectLst/>
                      </wps:spPr>
                      <wps:txbx>
                        <w:txbxContent>
                          <w:p w14:paraId="280B016B">
                            <w:pPr>
                              <w:ind w:firstLine="482" w:firstLineChars="200"/>
                              <w:jc w:val="left"/>
                              <w:rPr>
                                <w:rFonts w:hint="eastAsia"/>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图例</w:t>
                            </w:r>
                          </w:p>
                          <w:p w14:paraId="21909E49">
                            <w:pPr>
                              <w:ind w:firstLine="482" w:firstLineChars="200"/>
                              <w:jc w:val="both"/>
                              <w:rPr>
                                <w:rFonts w:hint="eastAsia"/>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项目厂界</w:t>
                            </w:r>
                          </w:p>
                          <w:p w14:paraId="78DB6266">
                            <w:pPr>
                              <w:jc w:val="center"/>
                              <w:rPr>
                                <w:rFonts w:hint="eastAsia"/>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 xml:space="preserve">   大气环境保护范围</w:t>
                            </w:r>
                          </w:p>
                          <w:p w14:paraId="585A7334">
                            <w:pPr>
                              <w:jc w:val="center"/>
                              <w:rPr>
                                <w:rFonts w:hint="default"/>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声环境保护范围</w:t>
                            </w:r>
                          </w:p>
                          <w:p w14:paraId="01B82E36">
                            <w:pPr>
                              <w:ind w:firstLine="482" w:firstLineChars="200"/>
                              <w:jc w:val="both"/>
                              <w:rPr>
                                <w:rFonts w:hint="default"/>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环境保护目标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pt;margin-top:255pt;height:86.6pt;width:133pt;z-index:251666432;mso-width-relative:page;mso-height-relative:page;" filled="f" stroked="t" coordsize="21600,21600" o:gfxdata="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mp0eg&#10;2QAAAAkBAAAPAAAAAAAAAAEAIAAAACIAAABkcnMvZG93bnJldi54bWxQSwECFAAUAAAACACHTuJA&#10;uNAKa1kCAACfBAAADgAAAAAAAAABACAAAAAoAQAAZHJzL2Uyb0RvYy54bWxQSwUGAAAAAAYABgBZ&#10;AQAA8wUAAAAA&#10;">
                <v:fill on="f" focussize="0,0"/>
                <v:stroke weight="0.5pt" color="#000000" joinstyle="round"/>
                <v:imagedata o:title=""/>
                <o:lock v:ext="edit" aspectratio="f"/>
                <v:textbox>
                  <w:txbxContent>
                    <w:p w14:paraId="280B016B">
                      <w:pPr>
                        <w:ind w:firstLine="482" w:firstLineChars="200"/>
                        <w:jc w:val="left"/>
                        <w:rPr>
                          <w:rFonts w:hint="eastAsia"/>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图例</w:t>
                      </w:r>
                    </w:p>
                    <w:p w14:paraId="21909E49">
                      <w:pPr>
                        <w:ind w:firstLine="482" w:firstLineChars="200"/>
                        <w:jc w:val="both"/>
                        <w:rPr>
                          <w:rFonts w:hint="eastAsia"/>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项目厂界</w:t>
                      </w:r>
                    </w:p>
                    <w:p w14:paraId="78DB6266">
                      <w:pPr>
                        <w:jc w:val="center"/>
                        <w:rPr>
                          <w:rFonts w:hint="eastAsia"/>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 xml:space="preserve">   大气环境保护范围</w:t>
                      </w:r>
                    </w:p>
                    <w:p w14:paraId="585A7334">
                      <w:pPr>
                        <w:jc w:val="center"/>
                        <w:rPr>
                          <w:rFonts w:hint="default"/>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声环境保护范围</w:t>
                      </w:r>
                    </w:p>
                    <w:p w14:paraId="01B82E36">
                      <w:pPr>
                        <w:ind w:firstLine="482" w:firstLineChars="200"/>
                        <w:jc w:val="both"/>
                        <w:rPr>
                          <w:rFonts w:hint="default"/>
                          <w:b/>
                          <w:bCs/>
                          <w:color w:val="FFFFFF" w:themeColor="background1"/>
                          <w:lang w:val="en-US" w:eastAsia="zh-CN"/>
                          <w14:textFill>
                            <w14:solidFill>
                              <w14:schemeClr w14:val="bg1"/>
                            </w14:solidFill>
                          </w14:textFill>
                        </w:rPr>
                      </w:pPr>
                      <w:r>
                        <w:rPr>
                          <w:rFonts w:hint="eastAsia"/>
                          <w:b/>
                          <w:bCs/>
                          <w:color w:val="FFFFFF" w:themeColor="background1"/>
                          <w:lang w:val="en-US" w:eastAsia="zh-CN"/>
                          <w14:textFill>
                            <w14:solidFill>
                              <w14:schemeClr w14:val="bg1"/>
                            </w14:solidFill>
                          </w14:textFill>
                        </w:rPr>
                        <w:t>环境保护目标</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20320</wp:posOffset>
                </wp:positionH>
                <wp:positionV relativeFrom="paragraph">
                  <wp:posOffset>4181475</wp:posOffset>
                </wp:positionV>
                <wp:extent cx="299085" cy="0"/>
                <wp:effectExtent l="0" t="12700" r="0" b="12700"/>
                <wp:wrapNone/>
                <wp:docPr id="36" name="直接连接符 36"/>
                <wp:cNvGraphicFramePr/>
                <a:graphic xmlns:a="http://schemas.openxmlformats.org/drawingml/2006/main">
                  <a:graphicData uri="http://schemas.microsoft.com/office/word/2010/wordprocessingShape">
                    <wps:wsp>
                      <wps:cNvCnPr/>
                      <wps:spPr>
                        <a:xfrm>
                          <a:off x="0" y="0"/>
                          <a:ext cx="299085" cy="0"/>
                        </a:xfrm>
                        <a:prstGeom prst="line">
                          <a:avLst/>
                        </a:prstGeom>
                        <a:ln w="25400">
                          <a:solidFill>
                            <a:srgbClr val="92D05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6pt;margin-top:329.25pt;height:0pt;width:23.55pt;z-index:251670528;mso-width-relative:page;mso-height-relative:page;" filled="f" stroked="t" coordsize="21600,21600" o:gfxdata="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fcJ&#10;kdcAAAAIAQAADwAAAAAAAAABACAAAAAiAAAAZHJzL2Rvd25yZXYueG1sUEsBAhQAFAAAAAgAh07i&#10;QG9iq2/qAQAAswMAAA4AAAAAAAAAAQAgAAAAJgEAAGRycy9lMm9Eb2MueG1sUEsFBgAAAAAGAAYA&#10;WQEAAIIFAAAAAA==&#10;">
                <v:fill on="f" focussize="0,0"/>
                <v:stroke weight="2pt" color="#92D050 [3204]" miterlimit="8" joinstyle="miter"/>
                <v:imagedata o:title=""/>
                <o:lock v:ext="edit" aspectratio="f"/>
              </v:lin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1905</wp:posOffset>
                </wp:positionH>
                <wp:positionV relativeFrom="paragraph">
                  <wp:posOffset>3965575</wp:posOffset>
                </wp:positionV>
                <wp:extent cx="299085" cy="0"/>
                <wp:effectExtent l="0" t="12700" r="0" b="12700"/>
                <wp:wrapNone/>
                <wp:docPr id="28" name="直接连接符 28"/>
                <wp:cNvGraphicFramePr/>
                <a:graphic xmlns:a="http://schemas.openxmlformats.org/drawingml/2006/main">
                  <a:graphicData uri="http://schemas.microsoft.com/office/word/2010/wordprocessingShape">
                    <wps:wsp>
                      <wps:cNvCnPr/>
                      <wps:spPr>
                        <a:xfrm>
                          <a:off x="0" y="0"/>
                          <a:ext cx="299085" cy="0"/>
                        </a:xfrm>
                        <a:prstGeom prst="line">
                          <a:avLst/>
                        </a:prstGeom>
                        <a:ln w="25400">
                          <a:solidFill>
                            <a:srgbClr val="EE7FEF"/>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15pt;margin-top:312.25pt;height:0pt;width:23.55pt;z-index:251669504;mso-width-relative:page;mso-height-relative:page;" filled="f" stroked="t" coordsize="21600,21600" o:gfxdata="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yvRkd0wAA&#10;AAcBAAAPAAAAAAAAAAEAIAAAACIAAABkcnMvZG93bnJldi54bWxQSwECFAAUAAAACACHTuJABaws&#10;3uoBAACzAwAADgAAAAAAAAABACAAAAAiAQAAZHJzL2Uyb0RvYy54bWxQSwUGAAAAAAYABgBZAQAA&#10;fgUAAAAA&#10;">
                <v:fill on="f" focussize="0,0"/>
                <v:stroke weight="2pt" color="#EE7FEF [3204]" miterlimit="8" joinstyle="miter"/>
                <v:imagedata o:title=""/>
                <o:lock v:ext="edit" aspectratio="f"/>
              </v:lin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20955</wp:posOffset>
                </wp:positionH>
                <wp:positionV relativeFrom="paragraph">
                  <wp:posOffset>3597275</wp:posOffset>
                </wp:positionV>
                <wp:extent cx="299085" cy="0"/>
                <wp:effectExtent l="0" t="12700" r="0" b="12700"/>
                <wp:wrapNone/>
                <wp:docPr id="3" name="直接连接符 3"/>
                <wp:cNvGraphicFramePr/>
                <a:graphic xmlns:a="http://schemas.openxmlformats.org/drawingml/2006/main">
                  <a:graphicData uri="http://schemas.microsoft.com/office/word/2010/wordprocessingShape">
                    <wps:wsp>
                      <wps:cNvCnPr/>
                      <wps:spPr>
                        <a:xfrm>
                          <a:off x="0" y="0"/>
                          <a:ext cx="299085" cy="0"/>
                        </a:xfrm>
                        <a:prstGeom prst="line">
                          <a:avLst/>
                        </a:prstGeom>
                        <a:ln w="2540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65pt;margin-top:283.25pt;height:0pt;width:23.55pt;z-index:251667456;mso-width-relative:page;mso-height-relative:page;" filled="f" stroked="t" coordsize="21600,21600" o:gfxdata="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jBud/VAAAA&#10;CAEAAA8AAAAAAAAAAQAgAAAAIgAAAGRycy9kb3ducmV2LnhtbFBLAQIUABQAAAAIAIdO4kB78aJ+&#10;5wEAALEDAAAOAAAAAAAAAAEAIAAAACQBAABkcnMvZTJvRG9jLnhtbFBLBQYAAAAABgAGAFkBAAB9&#10;BQAAAAA=&#10;">
                <v:fill on="f" focussize="0,0"/>
                <v:stroke weight="2pt" color="#FF0000 [3204]" miterlimit="8" joinstyle="miter"/>
                <v:imagedata o:title=""/>
                <o:lock v:ext="edit" aspectratio="f"/>
              </v:lin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7611110</wp:posOffset>
                </wp:positionH>
                <wp:positionV relativeFrom="paragraph">
                  <wp:posOffset>35560</wp:posOffset>
                </wp:positionV>
                <wp:extent cx="960120" cy="1166495"/>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960120" cy="1166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D77FD8">
                            <w:r>
                              <w:drawing>
                                <wp:inline distT="0" distB="0" distL="114300" distR="114300">
                                  <wp:extent cx="783590" cy="907415"/>
                                  <wp:effectExtent l="0" t="0" r="16510" b="6985"/>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101"/>
                                          <a:stretch>
                                            <a:fillRect/>
                                          </a:stretch>
                                        </pic:blipFill>
                                        <pic:spPr>
                                          <a:xfrm>
                                            <a:off x="0" y="0"/>
                                            <a:ext cx="783590" cy="9074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9.3pt;margin-top:2.8pt;height:91.85pt;width:75.6pt;z-index:251671552;mso-width-relative:page;mso-height-relative:page;" filled="f" stroked="f" coordsize="21600,21600" o:gfxdata="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&#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G4rxY2wAAAAsBAAAPAAAAAAAAAAEAIAAAACIAAABk&#10;cnMvZG93bnJldi54bWxQSwECFAAUAAAACACHTuJAXUYKTTwCAABoBAAADgAAAAAAAAABACAAAAAq&#10;AQAAZHJzL2Uyb0RvYy54bWxQSwUGAAAAAAYABgBZAQAA2AUAAAAA&#10;">
                <v:fill on="f" focussize="0,0"/>
                <v:stroke on="f" weight="0.5pt"/>
                <v:imagedata o:title=""/>
                <o:lock v:ext="edit" aspectratio="f"/>
                <v:textbox>
                  <w:txbxContent>
                    <w:p w14:paraId="6DD77FD8">
                      <w:r>
                        <w:drawing>
                          <wp:inline distT="0" distB="0" distL="114300" distR="114300">
                            <wp:extent cx="783590" cy="907415"/>
                            <wp:effectExtent l="0" t="0" r="16510" b="6985"/>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101"/>
                                    <a:stretch>
                                      <a:fillRect/>
                                    </a:stretch>
                                  </pic:blipFill>
                                  <pic:spPr>
                                    <a:xfrm>
                                      <a:off x="0" y="0"/>
                                      <a:ext cx="783590" cy="907415"/>
                                    </a:xfrm>
                                    <a:prstGeom prst="rect">
                                      <a:avLst/>
                                    </a:prstGeom>
                                    <a:noFill/>
                                    <a:ln>
                                      <a:noFill/>
                                    </a:ln>
                                  </pic:spPr>
                                </pic:pic>
                              </a:graphicData>
                            </a:graphic>
                          </wp:inline>
                        </w:drawing>
                      </w:r>
                    </w:p>
                  </w:txbxContent>
                </v:textbox>
              </v:shape>
            </w:pict>
          </mc:Fallback>
        </mc:AlternateContent>
      </w:r>
    </w:p>
    <w:p w14:paraId="43B13C5E">
      <w:pPr>
        <w:pStyle w:val="43"/>
        <w:bidi w:val="0"/>
        <w:rPr>
          <w:rFonts w:hint="eastAsia"/>
          <w:sz w:val="24"/>
          <w:szCs w:val="24"/>
          <w:u w:val="none" w:color="auto"/>
          <w:lang w:val="en-US" w:eastAsia="zh-CN"/>
        </w:rPr>
      </w:pPr>
      <w:bookmarkStart w:id="40" w:name="_Toc24"/>
      <w:bookmarkStart w:id="41" w:name="_Toc28716"/>
      <w:r>
        <w:rPr>
          <w:rFonts w:hint="eastAsia"/>
          <w:sz w:val="24"/>
          <w:szCs w:val="24"/>
          <w:u w:val="none" w:color="auto"/>
          <w:lang w:val="en-US" w:eastAsia="zh-CN"/>
        </w:rPr>
        <w:t>附图4：引用监测布点示意图</w:t>
      </w:r>
      <w:bookmarkEnd w:id="40"/>
      <w:bookmarkEnd w:id="41"/>
    </w:p>
    <w:p w14:paraId="418CDAA1">
      <w:pPr>
        <w:bidi w:val="0"/>
      </w:pPr>
    </w:p>
    <w:p w14:paraId="687E48F8">
      <w:pPr>
        <w:bidi w:val="0"/>
        <w:rPr>
          <w:rFonts w:hint="eastAsia"/>
          <w:lang w:val="en-US" w:eastAsia="zh-CN"/>
        </w:rPr>
      </w:pPr>
      <w:r>
        <w:drawing>
          <wp:inline distT="0" distB="0" distL="114300" distR="114300">
            <wp:extent cx="8521700" cy="4319905"/>
            <wp:effectExtent l="0" t="0" r="12700" b="4445"/>
            <wp:docPr id="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
                    <pic:cNvPicPr>
                      <a:picLocks noChangeAspect="1"/>
                    </pic:cNvPicPr>
                  </pic:nvPicPr>
                  <pic:blipFill>
                    <a:blip r:embed="rId102"/>
                    <a:stretch>
                      <a:fillRect/>
                    </a:stretch>
                  </pic:blipFill>
                  <pic:spPr>
                    <a:xfrm>
                      <a:off x="0" y="0"/>
                      <a:ext cx="8521700" cy="4319905"/>
                    </a:xfrm>
                    <a:prstGeom prst="rect">
                      <a:avLst/>
                    </a:prstGeom>
                    <a:noFill/>
                    <a:ln>
                      <a:noFill/>
                    </a:ln>
                  </pic:spPr>
                </pic:pic>
              </a:graphicData>
            </a:graphic>
          </wp:inline>
        </w:drawing>
      </w:r>
    </w:p>
    <w:p w14:paraId="291428BF">
      <w:pPr>
        <w:rPr>
          <w:rFonts w:hint="eastAsia" w:ascii="Times New Roman" w:hAnsi="Times New Roman" w:eastAsia="宋体" w:cs="Times New Roman"/>
          <w:b/>
          <w:bCs/>
          <w:sz w:val="24"/>
          <w:szCs w:val="24"/>
        </w:rPr>
      </w:pPr>
    </w:p>
    <w:p w14:paraId="172B97FB">
      <w:pPr>
        <w:rPr>
          <w:rFonts w:hint="eastAsia" w:ascii="Times New Roman" w:hAnsi="Times New Roman" w:eastAsia="宋体" w:cs="Times New Roman"/>
          <w:b/>
          <w:bCs/>
          <w:sz w:val="24"/>
          <w:szCs w:val="24"/>
          <w:lang w:eastAsia="zh-CN"/>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14:paraId="2F51BB42">
      <w:pPr>
        <w:pStyle w:val="43"/>
        <w:bidi w:val="0"/>
        <w:rPr>
          <w:rFonts w:hint="default"/>
          <w:sz w:val="24"/>
          <w:szCs w:val="24"/>
          <w:lang w:val="en-US" w:eastAsia="zh-CN"/>
        </w:rPr>
      </w:pPr>
      <w:r>
        <w:rPr>
          <w:rFonts w:hint="eastAsia"/>
          <w:sz w:val="24"/>
          <w:szCs w:val="24"/>
          <w:lang w:val="en-US" w:eastAsia="zh-CN"/>
        </w:rPr>
        <w:t>附图5：湖南省生态分区管控智慧服务平台截图</w:t>
      </w:r>
    </w:p>
    <w:p w14:paraId="44104F17">
      <w:pPr>
        <w:bidi w:val="0"/>
        <w:rPr>
          <w:rFonts w:hint="eastAsia"/>
          <w:lang w:val="en-US" w:eastAsia="zh-CN"/>
        </w:rPr>
      </w:pPr>
      <w:r>
        <w:rPr>
          <w:sz w:val="24"/>
        </w:rPr>
        <mc:AlternateContent>
          <mc:Choice Requires="wps">
            <w:drawing>
              <wp:anchor distT="0" distB="0" distL="114300" distR="114300" simplePos="0" relativeHeight="251665408" behindDoc="0" locked="0" layoutInCell="1" allowOverlap="1">
                <wp:simplePos x="0" y="0"/>
                <wp:positionH relativeFrom="column">
                  <wp:posOffset>4792980</wp:posOffset>
                </wp:positionH>
                <wp:positionV relativeFrom="paragraph">
                  <wp:posOffset>1766570</wp:posOffset>
                </wp:positionV>
                <wp:extent cx="1002665" cy="305435"/>
                <wp:effectExtent l="94615" t="6350" r="7620" b="354965"/>
                <wp:wrapNone/>
                <wp:docPr id="40" name="矩形标注 40"/>
                <wp:cNvGraphicFramePr/>
                <a:graphic xmlns:a="http://schemas.openxmlformats.org/drawingml/2006/main">
                  <a:graphicData uri="http://schemas.microsoft.com/office/word/2010/wordprocessingShape">
                    <wps:wsp>
                      <wps:cNvSpPr/>
                      <wps:spPr>
                        <a:xfrm>
                          <a:off x="0" y="0"/>
                          <a:ext cx="1002665" cy="305435"/>
                        </a:xfrm>
                        <a:prstGeom prst="wedgeRectCallout">
                          <a:avLst>
                            <a:gd name="adj1" fmla="val -56839"/>
                            <a:gd name="adj2" fmla="val 15686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5E52AC">
                            <w:pPr>
                              <w:jc w:val="center"/>
                              <w:rPr>
                                <w:rFonts w:hint="eastAsia" w:eastAsia="宋体"/>
                                <w:b/>
                                <w:bCs/>
                                <w:color w:val="FF0000"/>
                                <w:lang w:val="en-US" w:eastAsia="zh-CN"/>
                              </w:rPr>
                            </w:pPr>
                            <w:r>
                              <w:rPr>
                                <w:rFonts w:hint="eastAsia"/>
                                <w:b/>
                                <w:bCs/>
                                <w:color w:val="FF0000"/>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77.4pt;margin-top:139.1pt;height:24.05pt;width:78.95pt;z-index:251665408;v-text-anchor:middle;mso-width-relative:page;mso-height-relative:page;" filled="f" stroked="t" coordsize="21600,21600" o:gfxdata="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Ig+3W2AAAAAsBAAAPAAAAAAAAAAEAIAAAACIAAABkcnMvZG93&#10;bnJldi54bWxQSwECFAAUAAAACACHTuJA6xCKs6sCAAA9BQAADgAAAAAAAAABACAAAAAnAQAAZHJz&#10;L2Uyb0RvYy54bWxQSwUGAAAAAAYABgBZAQAARAYAAAAA&#10;" adj="-1477,44682">
                <v:fill on="f" focussize="0,0"/>
                <v:stroke weight="1pt" color="#FF0000 [3204]" miterlimit="8" joinstyle="miter"/>
                <v:imagedata o:title=""/>
                <o:lock v:ext="edit" aspectratio="f"/>
                <v:textbox>
                  <w:txbxContent>
                    <w:p w14:paraId="0A5E52AC">
                      <w:pPr>
                        <w:jc w:val="center"/>
                        <w:rPr>
                          <w:rFonts w:hint="eastAsia" w:eastAsia="宋体"/>
                          <w:b/>
                          <w:bCs/>
                          <w:color w:val="FF0000"/>
                          <w:lang w:val="en-US" w:eastAsia="zh-CN"/>
                        </w:rPr>
                      </w:pPr>
                      <w:r>
                        <w:rPr>
                          <w:rFonts w:hint="eastAsia"/>
                          <w:b/>
                          <w:bCs/>
                          <w:color w:val="FF0000"/>
                          <w:lang w:val="en-US" w:eastAsia="zh-CN"/>
                        </w:rPr>
                        <w:t>项目所在地</w:t>
                      </w:r>
                    </w:p>
                  </w:txbxContent>
                </v:textbox>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4665980</wp:posOffset>
                </wp:positionH>
                <wp:positionV relativeFrom="paragraph">
                  <wp:posOffset>2374900</wp:posOffset>
                </wp:positionV>
                <wp:extent cx="76200" cy="76200"/>
                <wp:effectExtent l="19050" t="21590" r="19050" b="35560"/>
                <wp:wrapNone/>
                <wp:docPr id="41" name="五角星 41"/>
                <wp:cNvGraphicFramePr/>
                <a:graphic xmlns:a="http://schemas.openxmlformats.org/drawingml/2006/main">
                  <a:graphicData uri="http://schemas.microsoft.com/office/word/2010/wordprocessingShape">
                    <wps:wsp>
                      <wps:cNvSpPr/>
                      <wps:spPr>
                        <a:xfrm>
                          <a:off x="0" y="0"/>
                          <a:ext cx="76200" cy="76200"/>
                        </a:xfrm>
                        <a:prstGeom prst="star5">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67.4pt;margin-top:187pt;height:6pt;width:6pt;z-index:251664384;v-text-anchor:middle;mso-width-relative:page;mso-height-relative:page;" filled="f" stroked="t" coordsize="76200,76200" o:gfxdata="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sYpmbYAAAACwEAAA8AAAAAAAAAAQAgAAAAIgAAAGRycy9kb3ducmV2Lnht&#10;bFBLAQIUABQAAAAIAIdO4kBenZMAawIAAM4EAAAOAAAAAAAAAAEAIAAAACcBAABkcnMvZTJvRG9j&#10;LnhtbFBLBQYAAAAABgAGAFkBAAAEBgAAAAA=&#10;" path="m0,29105l29105,29105,38100,0,47094,29105,76199,29105,52652,47093,61647,76199,38100,58211,14552,76199,23547,47093xe">
                <v:path o:connectlocs="38100,0;0,29105;14552,76199;61647,76199;76199,29105" o:connectangles="247,164,82,82,0"/>
                <v:fill on="f" focussize="0,0"/>
                <v:stroke weight="1pt" color="#FF0000 [3204]" miterlimit="8" joinstyle="miter"/>
                <v:imagedata o:title=""/>
                <o:lock v:ext="edit" aspectratio="f"/>
              </v:shape>
            </w:pict>
          </mc:Fallback>
        </mc:AlternateContent>
      </w:r>
      <w:r>
        <w:drawing>
          <wp:inline distT="0" distB="0" distL="114300" distR="114300">
            <wp:extent cx="8507730" cy="4360545"/>
            <wp:effectExtent l="0" t="0" r="7620" b="1905"/>
            <wp:docPr id="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a:picLocks noChangeAspect="1"/>
                    </pic:cNvPicPr>
                  </pic:nvPicPr>
                  <pic:blipFill>
                    <a:blip r:embed="rId103"/>
                    <a:stretch>
                      <a:fillRect/>
                    </a:stretch>
                  </pic:blipFill>
                  <pic:spPr>
                    <a:xfrm>
                      <a:off x="0" y="0"/>
                      <a:ext cx="8507730" cy="4360545"/>
                    </a:xfrm>
                    <a:prstGeom prst="rect">
                      <a:avLst/>
                    </a:prstGeom>
                    <a:noFill/>
                    <a:ln>
                      <a:noFill/>
                    </a:ln>
                  </pic:spPr>
                </pic:pic>
              </a:graphicData>
            </a:graphic>
          </wp:inline>
        </w:drawing>
      </w:r>
    </w:p>
    <w:p w14:paraId="4CE0E1B1">
      <w:pPr>
        <w:rPr>
          <w:rFonts w:hint="default"/>
          <w:sz w:val="24"/>
          <w:szCs w:val="24"/>
          <w:lang w:val="en-US" w:eastAsia="zh-CN"/>
        </w:rPr>
      </w:pPr>
      <w:r>
        <w:rPr>
          <w:rFonts w:hint="default"/>
          <w:sz w:val="24"/>
          <w:szCs w:val="24"/>
          <w:lang w:val="en-US" w:eastAsia="zh-CN"/>
        </w:rPr>
        <w:br w:type="page"/>
      </w:r>
    </w:p>
    <w:p w14:paraId="5A88EF22">
      <w:pPr>
        <w:pStyle w:val="43"/>
        <w:bidi w:val="0"/>
        <w:rPr>
          <w:rFonts w:hint="default"/>
          <w:sz w:val="24"/>
          <w:szCs w:val="24"/>
          <w:lang w:val="en-US" w:eastAsia="zh-CN"/>
        </w:rPr>
      </w:pPr>
      <w:r>
        <w:rPr>
          <w:rFonts w:hint="eastAsia"/>
          <w:sz w:val="24"/>
          <w:szCs w:val="24"/>
          <w:lang w:val="en-US" w:eastAsia="zh-CN"/>
        </w:rPr>
        <w:t>附图6：项目分区防渗图</w:t>
      </w:r>
    </w:p>
    <w:p w14:paraId="509930BF">
      <w:pPr>
        <w:rPr>
          <w:rFonts w:hint="default"/>
          <w:sz w:val="24"/>
          <w:szCs w:val="24"/>
          <w:lang w:val="en-US" w:eastAsia="zh-CN"/>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sz w:val="18"/>
        </w:rPr>
        <mc:AlternateContent>
          <mc:Choice Requires="wps">
            <w:drawing>
              <wp:anchor distT="0" distB="0" distL="114300" distR="114300" simplePos="0" relativeHeight="251709440" behindDoc="0" locked="0" layoutInCell="1" allowOverlap="1">
                <wp:simplePos x="0" y="0"/>
                <wp:positionH relativeFrom="column">
                  <wp:posOffset>2814955</wp:posOffset>
                </wp:positionH>
                <wp:positionV relativeFrom="paragraph">
                  <wp:posOffset>1364615</wp:posOffset>
                </wp:positionV>
                <wp:extent cx="4521200" cy="768350"/>
                <wp:effectExtent l="0" t="0" r="12700" b="12700"/>
                <wp:wrapNone/>
                <wp:docPr id="197" name="矩形 197"/>
                <wp:cNvGraphicFramePr/>
                <a:graphic xmlns:a="http://schemas.openxmlformats.org/drawingml/2006/main">
                  <a:graphicData uri="http://schemas.microsoft.com/office/word/2010/wordprocessingShape">
                    <wps:wsp>
                      <wps:cNvSpPr/>
                      <wps:spPr>
                        <a:xfrm>
                          <a:off x="0" y="0"/>
                          <a:ext cx="4521200" cy="768350"/>
                        </a:xfrm>
                        <a:prstGeom prst="rect">
                          <a:avLst/>
                        </a:prstGeom>
                        <a:solidFill>
                          <a:srgbClr val="FFFF0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1.65pt;margin-top:107.45pt;height:60.5pt;width:356pt;z-index:251709440;v-text-anchor:middle;mso-width-relative:page;mso-height-relative:page;" fillcolor="#FFFF00" filled="t" stroked="f" coordsize="21600,21600" o:gfxdata="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TpgVV9kAAAAMAQAADwAAAAAAAAABACAAAAAi&#10;AAAAZHJzL2Rvd25yZXYueG1sUEsBAhQAFAAAAAgAh07iQNk9mih7AgAA8AQAAA4AAAAAAAAAAQAg&#10;AAAAKAEAAGRycy9lMm9Eb2MueG1sUEsFBgAAAAAGAAYAWQEAABUGAAAAAA==&#10;">
                <v:fill on="t" opacity="45875f" focussize="0,0"/>
                <v:stroke on="f" weight="1pt" miterlimit="8" joinstyle="miter"/>
                <v:imagedata o:title=""/>
                <o:lock v:ext="edit" aspectratio="f"/>
              </v:rect>
            </w:pict>
          </mc:Fallback>
        </mc:AlternateContent>
      </w:r>
      <w:r>
        <w:rPr>
          <w:sz w:val="18"/>
        </w:rPr>
        <mc:AlternateContent>
          <mc:Choice Requires="wps">
            <w:drawing>
              <wp:anchor distT="0" distB="0" distL="114300" distR="114300" simplePos="0" relativeHeight="251708416" behindDoc="0" locked="0" layoutInCell="1" allowOverlap="1">
                <wp:simplePos x="0" y="0"/>
                <wp:positionH relativeFrom="column">
                  <wp:posOffset>2814955</wp:posOffset>
                </wp:positionH>
                <wp:positionV relativeFrom="paragraph">
                  <wp:posOffset>2539365</wp:posOffset>
                </wp:positionV>
                <wp:extent cx="4521200" cy="768350"/>
                <wp:effectExtent l="0" t="0" r="0" b="0"/>
                <wp:wrapNone/>
                <wp:docPr id="196" name="矩形 196"/>
                <wp:cNvGraphicFramePr/>
                <a:graphic xmlns:a="http://schemas.openxmlformats.org/drawingml/2006/main">
                  <a:graphicData uri="http://schemas.microsoft.com/office/word/2010/wordprocessingShape">
                    <wps:wsp>
                      <wps:cNvSpPr/>
                      <wps:spPr>
                        <a:xfrm>
                          <a:off x="3895090" y="2540635"/>
                          <a:ext cx="4521200" cy="768350"/>
                        </a:xfrm>
                        <a:prstGeom prst="rect">
                          <a:avLst/>
                        </a:prstGeom>
                        <a:solidFill>
                          <a:srgbClr val="FFFF0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1.65pt;margin-top:199.95pt;height:60.5pt;width:356pt;z-index:251708416;v-text-anchor:middle;mso-width-relative:page;mso-height-relative:page;" fillcolor="#FFFF00" filled="t" stroked="f" coordsize="21600,21600" o:gfxdata="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1vTXtdoAAAAMAQAA&#10;DwAAAAAAAAABACAAAAAiAAAAZHJzL2Rvd25yZXYueG1sUEsBAhQAFAAAAAgAh07iQMFEMriJAgAA&#10;/AQAAA4AAAAAAAAAAQAgAAAAKQEAAGRycy9lMm9Eb2MueG1sUEsFBgAAAAAGAAYAWQEAACQGAAAA&#10;AA==&#10;">
                <v:fill on="t" opacity="45875f" focussize="0,0"/>
                <v:stroke on="f" weight="1pt" miterlimit="8" joinstyle="miter"/>
                <v:imagedata o:title=""/>
                <o:lock v:ext="edit" aspectratio="f"/>
              </v:rect>
            </w:pict>
          </mc:Fallback>
        </mc:AlternateContent>
      </w:r>
      <w:r>
        <w:rPr>
          <w:sz w:val="18"/>
        </w:rPr>
        <mc:AlternateContent>
          <mc:Choice Requires="wps">
            <w:drawing>
              <wp:anchor distT="0" distB="0" distL="114300" distR="114300" simplePos="0" relativeHeight="251707392" behindDoc="0" locked="0" layoutInCell="1" allowOverlap="1">
                <wp:simplePos x="0" y="0"/>
                <wp:positionH relativeFrom="column">
                  <wp:posOffset>7342505</wp:posOffset>
                </wp:positionH>
                <wp:positionV relativeFrom="paragraph">
                  <wp:posOffset>3650615</wp:posOffset>
                </wp:positionV>
                <wp:extent cx="260350" cy="323850"/>
                <wp:effectExtent l="0" t="0" r="6350" b="0"/>
                <wp:wrapNone/>
                <wp:docPr id="195" name="矩形 195"/>
                <wp:cNvGraphicFramePr/>
                <a:graphic xmlns:a="http://schemas.openxmlformats.org/drawingml/2006/main">
                  <a:graphicData uri="http://schemas.microsoft.com/office/word/2010/wordprocessingShape">
                    <wps:wsp>
                      <wps:cNvSpPr/>
                      <wps:spPr>
                        <a:xfrm>
                          <a:off x="8422640" y="4820285"/>
                          <a:ext cx="260350" cy="323850"/>
                        </a:xfrm>
                        <a:prstGeom prst="rect">
                          <a:avLst/>
                        </a:prstGeom>
                        <a:solidFill>
                          <a:srgbClr val="FFFF0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8.15pt;margin-top:287.45pt;height:25.5pt;width:20.5pt;z-index:251707392;v-text-anchor:middle;mso-width-relative:page;mso-height-relative:page;" fillcolor="#FFFF00" filled="t" stroked="f" coordsize="21600,21600" o:gfxdata="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WRHoFdkAAAANAQAADwAA&#10;AAAAAAABACAAAAAiAAAAZHJzL2Rvd25yZXYueG1sUEsBAhQAFAAAAAgAh07iQHIJDNeHAgAA+wQA&#10;AA4AAAAAAAAAAQAgAAAAKAEAAGRycy9lMm9Eb2MueG1sUEsFBgAAAAAGAAYAWQEAACEGAAAAAA==&#10;">
                <v:fill on="t" opacity="45875f" focussize="0,0"/>
                <v:stroke on="f" weight="1pt" miterlimit="8" joinstyle="miter"/>
                <v:imagedata o:title=""/>
                <o:lock v:ext="edit" aspectratio="f"/>
              </v:rect>
            </w:pict>
          </mc:Fallback>
        </mc:AlternateContent>
      </w:r>
      <w:r>
        <w:rPr>
          <w:sz w:val="18"/>
        </w:rPr>
        <mc:AlternateContent>
          <mc:Choice Requires="wps">
            <w:drawing>
              <wp:anchor distT="0" distB="0" distL="114300" distR="114300" simplePos="0" relativeHeight="251704320" behindDoc="0" locked="0" layoutInCell="1" allowOverlap="1">
                <wp:simplePos x="0" y="0"/>
                <wp:positionH relativeFrom="column">
                  <wp:posOffset>7615555</wp:posOffset>
                </wp:positionH>
                <wp:positionV relativeFrom="paragraph">
                  <wp:posOffset>3656965</wp:posOffset>
                </wp:positionV>
                <wp:extent cx="520700" cy="317500"/>
                <wp:effectExtent l="0" t="0" r="12700" b="6350"/>
                <wp:wrapNone/>
                <wp:docPr id="192" name="矩形 192"/>
                <wp:cNvGraphicFramePr/>
                <a:graphic xmlns:a="http://schemas.openxmlformats.org/drawingml/2006/main">
                  <a:graphicData uri="http://schemas.microsoft.com/office/word/2010/wordprocessingShape">
                    <wps:wsp>
                      <wps:cNvSpPr/>
                      <wps:spPr>
                        <a:xfrm>
                          <a:off x="8422640" y="4826635"/>
                          <a:ext cx="520700" cy="317500"/>
                        </a:xfrm>
                        <a:prstGeom prst="rect">
                          <a:avLst/>
                        </a:prstGeom>
                        <a:solidFill>
                          <a:srgbClr val="FF000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9.65pt;margin-top:287.95pt;height:25pt;width:41pt;z-index:251704320;v-text-anchor:middle;mso-width-relative:page;mso-height-relative:page;" fillcolor="#FF0000" filled="t" stroked="f" coordsize="21600,21600" o:gfxdata="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FkPjbfbAAAADQEAAA8AAAAA&#10;AAAAAQAgAAAAIgAAAGRycy9kb3ducmV2LnhtbFBLAQIUABQAAAAIAIdO4kB2trxGgwIAAPsEAAAO&#10;AAAAAAAAAAEAIAAAACoBAABkcnMvZTJvRG9jLnhtbFBLBQYAAAAABgAGAFkBAAAfBgAAAAA=&#10;">
                <v:fill on="t" opacity="45875f" focussize="0,0"/>
                <v:stroke on="f" weight="1pt" miterlimit="8" joinstyle="miter"/>
                <v:imagedata o:title=""/>
                <o:lock v:ext="edit" aspectratio="f"/>
              </v:rect>
            </w:pict>
          </mc:Fallback>
        </mc:AlternateContent>
      </w:r>
      <w:r>
        <w:rPr>
          <w:sz w:val="18"/>
        </w:rPr>
        <mc:AlternateContent>
          <mc:Choice Requires="wps">
            <w:drawing>
              <wp:anchor distT="0" distB="0" distL="114300" distR="114300" simplePos="0" relativeHeight="251706368" behindDoc="0" locked="0" layoutInCell="1" allowOverlap="1">
                <wp:simplePos x="0" y="0"/>
                <wp:positionH relativeFrom="column">
                  <wp:posOffset>2141855</wp:posOffset>
                </wp:positionH>
                <wp:positionV relativeFrom="paragraph">
                  <wp:posOffset>1358265</wp:posOffset>
                </wp:positionV>
                <wp:extent cx="635000" cy="1301750"/>
                <wp:effectExtent l="0" t="0" r="0" b="0"/>
                <wp:wrapNone/>
                <wp:docPr id="194" name="矩形 194"/>
                <wp:cNvGraphicFramePr/>
                <a:graphic xmlns:a="http://schemas.openxmlformats.org/drawingml/2006/main">
                  <a:graphicData uri="http://schemas.microsoft.com/office/word/2010/wordprocessingShape">
                    <wps:wsp>
                      <wps:cNvSpPr/>
                      <wps:spPr>
                        <a:xfrm>
                          <a:off x="3221990" y="2527935"/>
                          <a:ext cx="635000" cy="1301750"/>
                        </a:xfrm>
                        <a:prstGeom prst="rect">
                          <a:avLst/>
                        </a:prstGeom>
                        <a:solidFill>
                          <a:srgbClr val="FFFF0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8.65pt;margin-top:106.95pt;height:102.5pt;width:50pt;z-index:251706368;v-text-anchor:middle;mso-width-relative:page;mso-height-relative:page;" fillcolor="#FFFF00" filled="t" stroked="f" coordsize="21600,21600" o:gfxdata="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iKXMP2AAAAAsBAAAPAAAA&#10;AAAAAAEAIAAAACIAAABkcnMvZG93bnJldi54bWxQSwECFAAUAAAACACHTuJAkIFDr4cCAAD8BAAA&#10;DgAAAAAAAAABACAAAAAnAQAAZHJzL2Uyb0RvYy54bWxQSwUGAAAAAAYABgBZAQAAIAYAAAAA&#10;">
                <v:fill on="t" opacity="45875f" focussize="0,0"/>
                <v:stroke on="f" weight="1pt" miterlimit="8" joinstyle="miter"/>
                <v:imagedata o:title=""/>
                <o:lock v:ext="edit" aspectratio="f"/>
              </v:rect>
            </w:pict>
          </mc:Fallback>
        </mc:AlternateContent>
      </w:r>
      <w:r>
        <w:rPr>
          <w:sz w:val="18"/>
        </w:rPr>
        <mc:AlternateContent>
          <mc:Choice Requires="wps">
            <w:drawing>
              <wp:anchor distT="0" distB="0" distL="114300" distR="114300" simplePos="0" relativeHeight="251705344" behindDoc="0" locked="0" layoutInCell="1" allowOverlap="1">
                <wp:simplePos x="0" y="0"/>
                <wp:positionH relativeFrom="column">
                  <wp:posOffset>7361555</wp:posOffset>
                </wp:positionH>
                <wp:positionV relativeFrom="paragraph">
                  <wp:posOffset>710565</wp:posOffset>
                </wp:positionV>
                <wp:extent cx="1308100" cy="2603500"/>
                <wp:effectExtent l="0" t="0" r="0" b="0"/>
                <wp:wrapNone/>
                <wp:docPr id="193" name="矩形 193"/>
                <wp:cNvGraphicFramePr/>
                <a:graphic xmlns:a="http://schemas.openxmlformats.org/drawingml/2006/main">
                  <a:graphicData uri="http://schemas.microsoft.com/office/word/2010/wordprocessingShape">
                    <wps:wsp>
                      <wps:cNvSpPr/>
                      <wps:spPr>
                        <a:xfrm>
                          <a:off x="8441690" y="1880235"/>
                          <a:ext cx="1308100" cy="2603500"/>
                        </a:xfrm>
                        <a:prstGeom prst="rect">
                          <a:avLst/>
                        </a:prstGeom>
                        <a:solidFill>
                          <a:srgbClr val="FFFF0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9.65pt;margin-top:55.95pt;height:205pt;width:103pt;z-index:251705344;v-text-anchor:middle;mso-width-relative:page;mso-height-relative:page;" fillcolor="#FFFF00" filled="t" stroked="f" coordsize="21600,21600" o:gfxdata="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fGkbXtcAAAANAQAADwAAAAAA&#10;AAABACAAAAAiAAAAZHJzL2Rvd25yZXYueG1sUEsBAhQAFAAAAAgAh07iQPuKQtOGAgAA/QQAAA4A&#10;AAAAAAAAAQAgAAAAJgEAAGRycy9lMm9Eb2MueG1sUEsFBgAAAAAGAAYAWQEAAB4GAAAAAA==&#10;">
                <v:fill on="t" opacity="45875f" focussize="0,0"/>
                <v:stroke on="f" weight="1pt" miterlimit="8" joinstyle="miter"/>
                <v:imagedata o:title=""/>
                <o:lock v:ext="edit" aspectratio="f"/>
              </v:rect>
            </w:pict>
          </mc:Fallback>
        </mc:AlternateContent>
      </w:r>
      <w:r>
        <w:rPr>
          <w:sz w:val="18"/>
        </w:rPr>
        <mc:AlternateContent>
          <mc:Choice Requires="wps">
            <w:drawing>
              <wp:anchor distT="0" distB="0" distL="114300" distR="114300" simplePos="0" relativeHeight="251676672" behindDoc="0" locked="0" layoutInCell="1" allowOverlap="1">
                <wp:simplePos x="0" y="0"/>
                <wp:positionH relativeFrom="column">
                  <wp:posOffset>46990</wp:posOffset>
                </wp:positionH>
                <wp:positionV relativeFrom="paragraph">
                  <wp:posOffset>4769485</wp:posOffset>
                </wp:positionV>
                <wp:extent cx="285750" cy="156210"/>
                <wp:effectExtent l="6350" t="6350" r="12700" b="8890"/>
                <wp:wrapNone/>
                <wp:docPr id="123" name="矩形 123"/>
                <wp:cNvGraphicFramePr/>
                <a:graphic xmlns:a="http://schemas.openxmlformats.org/drawingml/2006/main">
                  <a:graphicData uri="http://schemas.microsoft.com/office/word/2010/wordprocessingShape">
                    <wps:wsp>
                      <wps:cNvSpPr/>
                      <wps:spPr>
                        <a:xfrm>
                          <a:off x="0" y="0"/>
                          <a:ext cx="285750" cy="156210"/>
                        </a:xfrm>
                        <a:prstGeom prst="rect">
                          <a:avLst/>
                        </a:prstGeom>
                        <a:solidFill>
                          <a:srgbClr val="92D050"/>
                        </a:solidFill>
                        <a:ln>
                          <a:solidFill>
                            <a:srgbClr val="E5EFE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pt;margin-top:375.55pt;height:12.3pt;width:22.5pt;z-index:251676672;v-text-anchor:middle;mso-width-relative:page;mso-height-relative:page;" fillcolor="#92D050" filled="t" stroked="t" coordsize="21600,21600" o:gfxdata="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&#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E2B1LHYAAAACAEAAA8AAAAAAAAAAQAgAAAAIgAAAGRy&#10;cy9kb3ducmV2LnhtbFBLAQIUABQAAAAIAIdO4kAs1jnVdwIAAPcEAAAOAAAAAAAAAAEAIAAAACcB&#10;AABkcnMvZTJvRG9jLnhtbFBLBQYAAAAABgAGAFkBAAAQBgAAAAA=&#10;">
                <v:fill on="t" focussize="0,0"/>
                <v:stroke weight="1pt" color="#E5EFEB [3204]" miterlimit="8" joinstyle="miter"/>
                <v:imagedata o:title=""/>
                <o:lock v:ext="edit" aspectratio="f"/>
              </v:rect>
            </w:pict>
          </mc:Fallback>
        </mc:AlternateContent>
      </w:r>
      <w:r>
        <w:rPr>
          <w:sz w:val="18"/>
        </w:rPr>
        <mc:AlternateContent>
          <mc:Choice Requires="wps">
            <w:drawing>
              <wp:anchor distT="0" distB="0" distL="114300" distR="114300" simplePos="0" relativeHeight="251675648" behindDoc="0" locked="0" layoutInCell="1" allowOverlap="1">
                <wp:simplePos x="0" y="0"/>
                <wp:positionH relativeFrom="column">
                  <wp:posOffset>76835</wp:posOffset>
                </wp:positionH>
                <wp:positionV relativeFrom="paragraph">
                  <wp:posOffset>4579620</wp:posOffset>
                </wp:positionV>
                <wp:extent cx="266700" cy="150495"/>
                <wp:effectExtent l="6350" t="6350" r="12700" b="14605"/>
                <wp:wrapNone/>
                <wp:docPr id="119" name="矩形 119"/>
                <wp:cNvGraphicFramePr/>
                <a:graphic xmlns:a="http://schemas.openxmlformats.org/drawingml/2006/main">
                  <a:graphicData uri="http://schemas.microsoft.com/office/word/2010/wordprocessingShape">
                    <wps:wsp>
                      <wps:cNvSpPr/>
                      <wps:spPr>
                        <a:xfrm>
                          <a:off x="0" y="0"/>
                          <a:ext cx="266700" cy="150495"/>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5pt;margin-top:360.6pt;height:11.85pt;width:21pt;z-index:251675648;v-text-anchor:middle;mso-width-relative:page;mso-height-relative:page;" fillcolor="#FFFF00" filled="t" stroked="t" coordsize="21600,21600" o:gfxdata="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aDzNl2AAAAAkBAAAPAAAAAAAAAAEAIAAAACIAAABkcnMvZG93bnJldi54&#10;bWxQSwECFAAUAAAACACHTuJAZKOf+GwCAAD3BAAADgAAAAAAAAABACAAAAAnAQAAZHJzL2Uyb0Rv&#10;Yy54bWxQSwUGAAAAAAYABgBZAQAABQYAAAAA&#10;">
                <v:fill on="t" focussize="0,0"/>
                <v:stroke weight="1pt" color="#FFFF00 [3204]" miterlimit="8" joinstyle="miter"/>
                <v:imagedata o:title=""/>
                <o:lock v:ext="edit" aspectratio="f"/>
              </v:rect>
            </w:pict>
          </mc:Fallback>
        </mc:AlternateContent>
      </w:r>
      <w:r>
        <w:rPr>
          <w:sz w:val="24"/>
        </w:rPr>
        <mc:AlternateContent>
          <mc:Choice Requires="wps">
            <w:drawing>
              <wp:anchor distT="0" distB="0" distL="114300" distR="114300" simplePos="0" relativeHeight="251703296" behindDoc="0" locked="0" layoutInCell="1" allowOverlap="1">
                <wp:simplePos x="0" y="0"/>
                <wp:positionH relativeFrom="column">
                  <wp:posOffset>2141855</wp:posOffset>
                </wp:positionH>
                <wp:positionV relativeFrom="paragraph">
                  <wp:posOffset>2679065</wp:posOffset>
                </wp:positionV>
                <wp:extent cx="647700" cy="1289050"/>
                <wp:effectExtent l="0" t="0" r="0" b="0"/>
                <wp:wrapNone/>
                <wp:docPr id="191" name="矩形 191"/>
                <wp:cNvGraphicFramePr/>
                <a:graphic xmlns:a="http://schemas.openxmlformats.org/drawingml/2006/main">
                  <a:graphicData uri="http://schemas.microsoft.com/office/word/2010/wordprocessingShape">
                    <wps:wsp>
                      <wps:cNvSpPr/>
                      <wps:spPr>
                        <a:xfrm>
                          <a:off x="3221990" y="3848735"/>
                          <a:ext cx="647700" cy="1289050"/>
                        </a:xfrm>
                        <a:prstGeom prst="rect">
                          <a:avLst/>
                        </a:prstGeom>
                        <a:solidFill>
                          <a:srgbClr val="FF000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8.65pt;margin-top:210.95pt;height:101.5pt;width:51pt;z-index:251703296;v-text-anchor:middle;mso-width-relative:page;mso-height-relative:page;" fillcolor="#FF0000" filled="t" stroked="f" coordsize="21600,21600" o:gfxdata="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SFfdBdoAAAALAQAADwAAAAAA&#10;AAABACAAAAAiAAAAZHJzL2Rvd25yZXYueG1sUEsBAhQAFAAAAAgAh07iQONUafiDAgAA/AQAAA4A&#10;AAAAAAAAAQAgAAAAKQEAAGRycy9lMm9Eb2MueG1sUEsFBgAAAAAGAAYAWQEAAB4GAAAAAA==&#10;">
                <v:fill on="t" opacity="45875f" focussize="0,0"/>
                <v:stroke on="f" weight="1pt" miterlimit="8" joinstyle="miter"/>
                <v:imagedata o:title=""/>
                <o:lock v:ext="edit" aspectratio="f"/>
              </v:rect>
            </w:pict>
          </mc:Fallback>
        </mc:AlternateContent>
      </w:r>
      <w:r>
        <w:rPr>
          <w:rFonts w:hint="eastAsia"/>
          <w:lang w:eastAsia="zh-CN"/>
        </w:rPr>
        <w:drawing>
          <wp:inline distT="0" distB="0" distL="114300" distR="114300">
            <wp:extent cx="9248140" cy="4411345"/>
            <wp:effectExtent l="0" t="0" r="10160" b="8255"/>
            <wp:docPr id="189" name="图片 189" descr="fc18b408a2ccce13c1f79e7d4ff8a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descr="fc18b408a2ccce13c1f79e7d4ff8a805"/>
                    <pic:cNvPicPr>
                      <a:picLocks noChangeAspect="1"/>
                    </pic:cNvPicPr>
                  </pic:nvPicPr>
                  <pic:blipFill>
                    <a:blip r:embed="rId99"/>
                    <a:srcRect l="3903" t="2397" r="1164"/>
                    <a:stretch>
                      <a:fillRect/>
                    </a:stretch>
                  </pic:blipFill>
                  <pic:spPr>
                    <a:xfrm>
                      <a:off x="0" y="0"/>
                      <a:ext cx="9248140" cy="4411345"/>
                    </a:xfrm>
                    <a:prstGeom prst="rect">
                      <a:avLst/>
                    </a:prstGeom>
                  </pic:spPr>
                </pic:pic>
              </a:graphicData>
            </a:graphic>
          </wp:inline>
        </w:drawing>
      </w:r>
      <w:r>
        <w:rPr>
          <w:sz w:val="18"/>
        </w:rPr>
        <mc:AlternateContent>
          <mc:Choice Requires="wps">
            <w:drawing>
              <wp:anchor distT="0" distB="0" distL="114300" distR="114300" simplePos="0" relativeHeight="251702272" behindDoc="0" locked="0" layoutInCell="1" allowOverlap="1">
                <wp:simplePos x="0" y="0"/>
                <wp:positionH relativeFrom="column">
                  <wp:posOffset>821055</wp:posOffset>
                </wp:positionH>
                <wp:positionV relativeFrom="paragraph">
                  <wp:posOffset>2018665</wp:posOffset>
                </wp:positionV>
                <wp:extent cx="1301750" cy="1936750"/>
                <wp:effectExtent l="0" t="0" r="12700" b="6350"/>
                <wp:wrapNone/>
                <wp:docPr id="190" name="矩形 190"/>
                <wp:cNvGraphicFramePr/>
                <a:graphic xmlns:a="http://schemas.openxmlformats.org/drawingml/2006/main">
                  <a:graphicData uri="http://schemas.microsoft.com/office/word/2010/wordprocessingShape">
                    <wps:wsp>
                      <wps:cNvSpPr/>
                      <wps:spPr>
                        <a:xfrm>
                          <a:off x="1913890" y="3201035"/>
                          <a:ext cx="1301750" cy="1936750"/>
                        </a:xfrm>
                        <a:prstGeom prst="rect">
                          <a:avLst/>
                        </a:prstGeom>
                        <a:solidFill>
                          <a:srgbClr val="92D05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4.65pt;margin-top:158.95pt;height:152.5pt;width:102.5pt;z-index:251702272;v-text-anchor:middle;mso-width-relative:page;mso-height-relative:page;" fillcolor="#92D050" filled="t" stroked="f" coordsize="21600,21600" o:gfxdata="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I2quvtoAAAALAQAADwAAAAAA&#10;AAABACAAAAAiAAAAZHJzL2Rvd25yZXYueG1sUEsBAhQAFAAAAAgAh07iQFPxKbSDAgAA/QQAAA4A&#10;AAAAAAAAAQAgAAAAKQEAAGRycy9lMm9Eb2MueG1sUEsFBgAAAAAGAAYAWQEAAB4GAAAAAA==&#10;">
                <v:fill on="t" opacity="45875f" focussize="0,0"/>
                <v:stroke on="f" weight="1pt" miterlimit="8" joinstyle="miter"/>
                <v:imagedata o:title=""/>
                <o:lock v:ext="edit" aspectratio="f"/>
              </v:rect>
            </w:pict>
          </mc:Fallback>
        </mc:AlternateContent>
      </w:r>
      <w:r>
        <w:rPr>
          <w:sz w:val="18"/>
        </w:rPr>
        <mc:AlternateContent>
          <mc:Choice Requires="wps">
            <w:drawing>
              <wp:anchor distT="0" distB="0" distL="114300" distR="114300" simplePos="0" relativeHeight="251674624" behindDoc="0" locked="0" layoutInCell="1" allowOverlap="1">
                <wp:simplePos x="0" y="0"/>
                <wp:positionH relativeFrom="column">
                  <wp:posOffset>83185</wp:posOffset>
                </wp:positionH>
                <wp:positionV relativeFrom="paragraph">
                  <wp:posOffset>4359275</wp:posOffset>
                </wp:positionV>
                <wp:extent cx="247650" cy="156845"/>
                <wp:effectExtent l="6350" t="6350" r="12700" b="8255"/>
                <wp:wrapNone/>
                <wp:docPr id="116" name="矩形 116"/>
                <wp:cNvGraphicFramePr/>
                <a:graphic xmlns:a="http://schemas.openxmlformats.org/drawingml/2006/main">
                  <a:graphicData uri="http://schemas.microsoft.com/office/word/2010/wordprocessingShape">
                    <wps:wsp>
                      <wps:cNvSpPr/>
                      <wps:spPr>
                        <a:xfrm>
                          <a:off x="1169035" y="4802505"/>
                          <a:ext cx="247650" cy="15684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55pt;margin-top:343.25pt;height:12.35pt;width:19.5pt;z-index:251674624;v-text-anchor:middle;mso-width-relative:page;mso-height-relative:page;" fillcolor="#FF0000" filled="t" stroked="t" coordsize="21600,21600" o:gfxdata="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ubH3nWAAAACQEAAA8AAAAAAAAAAQAgAAAAIgAAAGRy&#10;cy9kb3ducmV2LnhtbFBLAQIUABQAAAAIAIdO4kCU2m85eQIAAAMFAAAOAAAAAAAAAAEAIAAAACUB&#10;AABkcnMvZTJvRG9jLnhtbFBLBQYAAAAABgAGAFkBAAAQBgAAAAA=&#10;">
                <v:fill on="t" focussize="0,0"/>
                <v:stroke weight="1pt" color="#FF0000 [3204]" miterlimit="8" joinstyle="miter"/>
                <v:imagedata o:title=""/>
                <o:lock v:ext="edit" aspectratio="f"/>
              </v:rect>
            </w:pict>
          </mc:Fallback>
        </mc:AlternateContent>
      </w:r>
      <w:r>
        <w:rPr>
          <w:sz w:val="18"/>
        </w:rPr>
        <mc:AlternateContent>
          <mc:Choice Requires="wps">
            <w:drawing>
              <wp:anchor distT="0" distB="0" distL="114300" distR="114300" simplePos="0" relativeHeight="251673600" behindDoc="0" locked="0" layoutInCell="1" allowOverlap="1">
                <wp:simplePos x="0" y="0"/>
                <wp:positionH relativeFrom="column">
                  <wp:posOffset>-29210</wp:posOffset>
                </wp:positionH>
                <wp:positionV relativeFrom="paragraph">
                  <wp:posOffset>4093845</wp:posOffset>
                </wp:positionV>
                <wp:extent cx="1480820" cy="978535"/>
                <wp:effectExtent l="0" t="0" r="5080" b="12065"/>
                <wp:wrapNone/>
                <wp:docPr id="115" name="文本框 115"/>
                <wp:cNvGraphicFramePr/>
                <a:graphic xmlns:a="http://schemas.openxmlformats.org/drawingml/2006/main">
                  <a:graphicData uri="http://schemas.microsoft.com/office/word/2010/wordprocessingShape">
                    <wps:wsp>
                      <wps:cNvSpPr txBox="1"/>
                      <wps:spPr>
                        <a:xfrm>
                          <a:off x="1108075" y="4482465"/>
                          <a:ext cx="1480820" cy="9785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AB17B1">
                            <w:pPr>
                              <w:rPr>
                                <w:rFonts w:hint="eastAsia"/>
                                <w:lang w:val="en-US" w:eastAsia="zh-CN"/>
                              </w:rPr>
                            </w:pPr>
                            <w:r>
                              <w:rPr>
                                <w:rFonts w:hint="eastAsia"/>
                                <w:lang w:val="en-US" w:eastAsia="zh-CN"/>
                              </w:rPr>
                              <w:t>图例：</w:t>
                            </w:r>
                          </w:p>
                          <w:p w14:paraId="0FDC74C9">
                            <w:pPr>
                              <w:ind w:firstLine="480" w:firstLineChars="200"/>
                              <w:rPr>
                                <w:rFonts w:hint="eastAsia"/>
                                <w:lang w:val="en-US" w:eastAsia="zh-CN"/>
                              </w:rPr>
                            </w:pPr>
                            <w:r>
                              <w:rPr>
                                <w:rFonts w:hint="eastAsia"/>
                                <w:lang w:val="en-US" w:eastAsia="zh-CN"/>
                              </w:rPr>
                              <w:t>重点防渗区</w:t>
                            </w:r>
                          </w:p>
                          <w:p w14:paraId="59D400B4">
                            <w:pPr>
                              <w:ind w:firstLine="480" w:firstLineChars="200"/>
                              <w:rPr>
                                <w:rFonts w:hint="eastAsia"/>
                                <w:lang w:val="en-US" w:eastAsia="zh-CN"/>
                              </w:rPr>
                            </w:pPr>
                            <w:r>
                              <w:rPr>
                                <w:rFonts w:hint="eastAsia"/>
                                <w:lang w:val="en-US" w:eastAsia="zh-CN"/>
                              </w:rPr>
                              <w:t>一般防渗区</w:t>
                            </w:r>
                          </w:p>
                          <w:p w14:paraId="42800704">
                            <w:pPr>
                              <w:ind w:firstLine="480" w:firstLineChars="200"/>
                              <w:rPr>
                                <w:rFonts w:hint="default"/>
                                <w:lang w:val="en-US" w:eastAsia="zh-CN"/>
                              </w:rPr>
                            </w:pPr>
                            <w:r>
                              <w:rPr>
                                <w:rFonts w:hint="eastAsia"/>
                                <w:lang w:val="en-US" w:eastAsia="zh-CN"/>
                              </w:rPr>
                              <w:t>非污染区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322.35pt;height:77.05pt;width:116.6pt;z-index:251673600;mso-width-relative:page;mso-height-relative:page;" filled="f" stroked="f" coordsize="21600,21600" o:gfxdata="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0CHrm3AAAAAoBAAAPAAAA&#10;AAAAAAEAIAAAACIAAABkcnMvZG93bnJldi54bWxQSwECFAAUAAAACACHTuJAcnbJskoCAAB2BAAA&#10;DgAAAAAAAAABACAAAAArAQAAZHJzL2Uyb0RvYy54bWxQSwUGAAAAAAYABgBZAQAA5wUAAAAA&#10;">
                <v:fill on="f" focussize="0,0"/>
                <v:stroke on="f" weight="0.5pt"/>
                <v:imagedata o:title=""/>
                <o:lock v:ext="edit" aspectratio="f"/>
                <v:textbox>
                  <w:txbxContent>
                    <w:p w14:paraId="73AB17B1">
                      <w:pPr>
                        <w:rPr>
                          <w:rFonts w:hint="eastAsia"/>
                          <w:lang w:val="en-US" w:eastAsia="zh-CN"/>
                        </w:rPr>
                      </w:pPr>
                      <w:r>
                        <w:rPr>
                          <w:rFonts w:hint="eastAsia"/>
                          <w:lang w:val="en-US" w:eastAsia="zh-CN"/>
                        </w:rPr>
                        <w:t>图例：</w:t>
                      </w:r>
                    </w:p>
                    <w:p w14:paraId="0FDC74C9">
                      <w:pPr>
                        <w:ind w:firstLine="480" w:firstLineChars="200"/>
                        <w:rPr>
                          <w:rFonts w:hint="eastAsia"/>
                          <w:lang w:val="en-US" w:eastAsia="zh-CN"/>
                        </w:rPr>
                      </w:pPr>
                      <w:r>
                        <w:rPr>
                          <w:rFonts w:hint="eastAsia"/>
                          <w:lang w:val="en-US" w:eastAsia="zh-CN"/>
                        </w:rPr>
                        <w:t>重点防渗区</w:t>
                      </w:r>
                    </w:p>
                    <w:p w14:paraId="59D400B4">
                      <w:pPr>
                        <w:ind w:firstLine="480" w:firstLineChars="200"/>
                        <w:rPr>
                          <w:rFonts w:hint="eastAsia"/>
                          <w:lang w:val="en-US" w:eastAsia="zh-CN"/>
                        </w:rPr>
                      </w:pPr>
                      <w:r>
                        <w:rPr>
                          <w:rFonts w:hint="eastAsia"/>
                          <w:lang w:val="en-US" w:eastAsia="zh-CN"/>
                        </w:rPr>
                        <w:t>一般防渗区</w:t>
                      </w:r>
                    </w:p>
                    <w:p w14:paraId="42800704">
                      <w:pPr>
                        <w:ind w:firstLine="480" w:firstLineChars="200"/>
                        <w:rPr>
                          <w:rFonts w:hint="default"/>
                          <w:lang w:val="en-US" w:eastAsia="zh-CN"/>
                        </w:rPr>
                      </w:pPr>
                      <w:r>
                        <w:rPr>
                          <w:rFonts w:hint="eastAsia"/>
                          <w:lang w:val="en-US" w:eastAsia="zh-CN"/>
                        </w:rPr>
                        <w:t>非污染区</w:t>
                      </w:r>
                    </w:p>
                  </w:txbxContent>
                </v:textbox>
              </v:shape>
            </w:pict>
          </mc:Fallback>
        </mc:AlternateContent>
      </w:r>
      <w:r>
        <w:rPr>
          <w:rFonts w:hint="default"/>
          <w:sz w:val="24"/>
          <w:szCs w:val="24"/>
          <w:lang w:val="en-US" w:eastAsia="zh-CN"/>
        </w:rPr>
        <w:br w:type="page"/>
      </w:r>
    </w:p>
    <w:p w14:paraId="32D5666C">
      <w:pPr>
        <w:pStyle w:val="43"/>
        <w:bidi w:val="0"/>
        <w:rPr>
          <w:rFonts w:hint="default"/>
          <w:lang w:val="en-US" w:eastAsia="zh-CN"/>
        </w:rPr>
      </w:pPr>
      <w:bookmarkStart w:id="42" w:name="_Toc29672"/>
      <w:r>
        <w:rPr>
          <w:rFonts w:hint="eastAsia"/>
          <w:lang w:val="en-US" w:eastAsia="zh-CN"/>
        </w:rPr>
        <w:t>附图7：项目周边水系及水环境保护目标图</w:t>
      </w:r>
    </w:p>
    <w:p w14:paraId="32AFCC8F">
      <w:pPr>
        <w:bidi w:val="0"/>
        <w:rPr>
          <w:rFonts w:hint="default"/>
          <w:lang w:val="en-US" w:eastAsia="zh-CN"/>
        </w:rPr>
      </w:pPr>
    </w:p>
    <w:p w14:paraId="7ADB50F1">
      <w:pPr>
        <w:pStyle w:val="43"/>
        <w:bidi w:val="0"/>
        <w:rPr>
          <w:rFonts w:hint="eastAsia"/>
          <w:sz w:val="24"/>
          <w:szCs w:val="24"/>
          <w:lang w:val="en-US" w:eastAsia="zh-CN"/>
        </w:rPr>
        <w:sectPr>
          <w:footerReference r:id="rId13"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sz w:val="24"/>
        </w:rPr>
        <mc:AlternateContent>
          <mc:Choice Requires="wps">
            <w:drawing>
              <wp:anchor distT="0" distB="0" distL="114300" distR="114300" simplePos="0" relativeHeight="251679744" behindDoc="0" locked="0" layoutInCell="1" allowOverlap="1">
                <wp:simplePos x="0" y="0"/>
                <wp:positionH relativeFrom="column">
                  <wp:posOffset>2927985</wp:posOffset>
                </wp:positionH>
                <wp:positionV relativeFrom="paragraph">
                  <wp:posOffset>1113790</wp:posOffset>
                </wp:positionV>
                <wp:extent cx="695325" cy="266700"/>
                <wp:effectExtent l="0" t="0" r="0" b="0"/>
                <wp:wrapNone/>
                <wp:docPr id="134" name="文本框 134"/>
                <wp:cNvGraphicFramePr/>
                <a:graphic xmlns:a="http://schemas.openxmlformats.org/drawingml/2006/main">
                  <a:graphicData uri="http://schemas.microsoft.com/office/word/2010/wordprocessingShape">
                    <wps:wsp>
                      <wps:cNvSpPr txBox="1"/>
                      <wps:spPr>
                        <a:xfrm>
                          <a:off x="3617595" y="2614295"/>
                          <a:ext cx="69532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DA19A">
                            <w:pPr>
                              <w:rPr>
                                <w:rFonts w:hint="eastAsia" w:eastAsia="宋体"/>
                                <w:b/>
                                <w:bCs/>
                                <w:color w:val="00FF40"/>
                                <w:lang w:val="en-US" w:eastAsia="zh-CN"/>
                              </w:rPr>
                            </w:pPr>
                            <w:r>
                              <w:rPr>
                                <w:rFonts w:hint="eastAsia"/>
                                <w:b/>
                                <w:bCs/>
                                <w:color w:val="00FF40"/>
                                <w:lang w:val="en-US" w:eastAsia="zh-CN"/>
                              </w:rPr>
                              <w:t>太平溪</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0.55pt;margin-top:87.7pt;height:21pt;width:54.75pt;z-index:251679744;mso-width-relative:page;mso-height-relative:page;" filled="f" stroked="f" coordsize="21600,21600" o:gfxdata="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bFAHvbAAAACwEAAA8AAAAAAAAA&#10;AQAgAAAAIgAAAGRycy9kb3ducmV2LnhtbFBLAQIUABQAAAAIAIdO4kCT9Hk6RwIAAHUEAAAOAAAA&#10;AAAAAAEAIAAAACoBAABkcnMvZTJvRG9jLnhtbFBLBQYAAAAABgAGAFkBAADjBQAAAAA=&#10;">
                <v:fill on="f" focussize="0,0"/>
                <v:stroke on="f" weight="0.5pt"/>
                <v:imagedata o:title=""/>
                <o:lock v:ext="edit" aspectratio="f"/>
                <v:textbox>
                  <w:txbxContent>
                    <w:p w14:paraId="768DA19A">
                      <w:pPr>
                        <w:rPr>
                          <w:rFonts w:hint="eastAsia" w:eastAsia="宋体"/>
                          <w:b/>
                          <w:bCs/>
                          <w:color w:val="00FF40"/>
                          <w:lang w:val="en-US" w:eastAsia="zh-CN"/>
                        </w:rPr>
                      </w:pPr>
                      <w:r>
                        <w:rPr>
                          <w:rFonts w:hint="eastAsia"/>
                          <w:b/>
                          <w:bCs/>
                          <w:color w:val="00FF40"/>
                          <w:lang w:val="en-US" w:eastAsia="zh-CN"/>
                        </w:rPr>
                        <w:t>太平溪</w:t>
                      </w:r>
                    </w:p>
                  </w:txbxContent>
                </v:textbox>
              </v:shap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2213610</wp:posOffset>
                </wp:positionH>
                <wp:positionV relativeFrom="paragraph">
                  <wp:posOffset>3380740</wp:posOffset>
                </wp:positionV>
                <wp:extent cx="695325" cy="2667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69532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6DFEC4">
                            <w:pPr>
                              <w:rPr>
                                <w:rFonts w:hint="default" w:eastAsia="宋体"/>
                                <w:b/>
                                <w:bCs/>
                                <w:color w:val="00FFFF"/>
                                <w:lang w:val="en-US" w:eastAsia="zh-CN"/>
                              </w:rPr>
                            </w:pPr>
                            <w:r>
                              <w:rPr>
                                <w:rFonts w:hint="eastAsia" w:eastAsia="宋体"/>
                                <w:b/>
                                <w:bCs/>
                                <w:color w:val="00FFFF"/>
                                <w:lang w:val="en-US" w:eastAsia="zh-CN"/>
                              </w:rPr>
                              <w:t>泸阳溪</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4.3pt;margin-top:266.2pt;height:21pt;width:54.75pt;z-index:251680768;mso-width-relative:page;mso-height-relative:page;" filled="f" stroked="f" coordsize="21600,21600" o:gfxdata="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i9Ze3cAAAACwEAAA8AAAAAAAAAAQAgAAAAIgAA&#10;AGRycy9kb3ducmV2LnhtbFBLAQIUABQAAAAIAIdO4kBzIq4TPQIAAGkEAAAOAAAAAAAAAAEAIAAA&#10;ACsBAABkcnMvZTJvRG9jLnhtbFBLBQYAAAAABgAGAFkBAADaBQAAAAA=&#10;">
                <v:fill on="f" focussize="0,0"/>
                <v:stroke on="f" weight="0.5pt"/>
                <v:imagedata o:title=""/>
                <o:lock v:ext="edit" aspectratio="f"/>
                <v:textbox>
                  <w:txbxContent>
                    <w:p w14:paraId="4A6DFEC4">
                      <w:pPr>
                        <w:rPr>
                          <w:rFonts w:hint="default" w:eastAsia="宋体"/>
                          <w:b/>
                          <w:bCs/>
                          <w:color w:val="00FFFF"/>
                          <w:lang w:val="en-US" w:eastAsia="zh-CN"/>
                        </w:rPr>
                      </w:pPr>
                      <w:r>
                        <w:rPr>
                          <w:rFonts w:hint="eastAsia" w:eastAsia="宋体"/>
                          <w:b/>
                          <w:bCs/>
                          <w:color w:val="00FFFF"/>
                          <w:lang w:val="en-US" w:eastAsia="zh-CN"/>
                        </w:rPr>
                        <w:t>泸阳溪</w:t>
                      </w:r>
                    </w:p>
                  </w:txbxContent>
                </v:textbox>
              </v:shape>
            </w:pict>
          </mc:Fallback>
        </mc:AlternateContent>
      </w:r>
      <w:r>
        <w:drawing>
          <wp:inline distT="0" distB="0" distL="114300" distR="114300">
            <wp:extent cx="8528050" cy="4338955"/>
            <wp:effectExtent l="0" t="0" r="6350" b="4445"/>
            <wp:docPr id="1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
                    <pic:cNvPicPr>
                      <a:picLocks noChangeAspect="1"/>
                    </pic:cNvPicPr>
                  </pic:nvPicPr>
                  <pic:blipFill>
                    <a:blip r:embed="rId104"/>
                    <a:stretch>
                      <a:fillRect/>
                    </a:stretch>
                  </pic:blipFill>
                  <pic:spPr>
                    <a:xfrm>
                      <a:off x="0" y="0"/>
                      <a:ext cx="8528050" cy="4338955"/>
                    </a:xfrm>
                    <a:prstGeom prst="rect">
                      <a:avLst/>
                    </a:prstGeom>
                    <a:noFill/>
                    <a:ln>
                      <a:noFill/>
                    </a:ln>
                  </pic:spPr>
                </pic:pic>
              </a:graphicData>
            </a:graphic>
          </wp:inline>
        </w:drawing>
      </w:r>
    </w:p>
    <w:p w14:paraId="73B00FF0">
      <w:pPr>
        <w:pStyle w:val="43"/>
        <w:bidi w:val="0"/>
        <w:rPr>
          <w:rFonts w:hint="default"/>
          <w:sz w:val="24"/>
          <w:szCs w:val="24"/>
          <w:lang w:val="en-US" w:eastAsia="zh-CN"/>
        </w:rPr>
      </w:pPr>
      <w:r>
        <w:rPr>
          <w:rFonts w:hint="eastAsia"/>
          <w:sz w:val="24"/>
          <w:szCs w:val="24"/>
          <w:lang w:val="en-US" w:eastAsia="zh-CN"/>
        </w:rPr>
        <w:t>附图8：中方工业集中区总体规划(2020-2035)--泸阳片区土地利用规划图</w:t>
      </w:r>
    </w:p>
    <w:p w14:paraId="5C9F4FFB">
      <w:pPr>
        <w:bidi w:val="0"/>
        <w:rPr>
          <w:rFonts w:hint="eastAsia"/>
          <w:lang w:val="en-US" w:eastAsia="zh-CN"/>
        </w:rPr>
      </w:pPr>
    </w:p>
    <w:p w14:paraId="3A6FE60F">
      <w:pPr>
        <w:bidi w:val="0"/>
      </w:pPr>
      <w:r>
        <mc:AlternateContent>
          <mc:Choice Requires="wps">
            <w:drawing>
              <wp:anchor distT="0" distB="0" distL="114300" distR="114300" simplePos="0" relativeHeight="251678720" behindDoc="0" locked="0" layoutInCell="1" allowOverlap="1">
                <wp:simplePos x="0" y="0"/>
                <wp:positionH relativeFrom="column">
                  <wp:posOffset>1989455</wp:posOffset>
                </wp:positionH>
                <wp:positionV relativeFrom="paragraph">
                  <wp:posOffset>1160145</wp:posOffset>
                </wp:positionV>
                <wp:extent cx="970280" cy="289560"/>
                <wp:effectExtent l="6350" t="6350" r="928370" b="523240"/>
                <wp:wrapNone/>
                <wp:docPr id="127" name="矩形标注 127"/>
                <wp:cNvGraphicFramePr/>
                <a:graphic xmlns:a="http://schemas.openxmlformats.org/drawingml/2006/main">
                  <a:graphicData uri="http://schemas.microsoft.com/office/word/2010/wordprocessingShape">
                    <wps:wsp>
                      <wps:cNvSpPr/>
                      <wps:spPr>
                        <a:xfrm>
                          <a:off x="3496310" y="2791460"/>
                          <a:ext cx="970280" cy="289560"/>
                        </a:xfrm>
                        <a:prstGeom prst="wedgeRectCallout">
                          <a:avLst>
                            <a:gd name="adj1" fmla="val 139935"/>
                            <a:gd name="adj2" fmla="val 22171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65E2CA">
                            <w:pPr>
                              <w:jc w:val="center"/>
                              <w:rPr>
                                <w:rFonts w:hint="eastAsia" w:eastAsia="宋体"/>
                                <w:color w:val="FF0000"/>
                                <w:lang w:val="en-US" w:eastAsia="zh-CN"/>
                              </w:rPr>
                            </w:pPr>
                            <w:r>
                              <w:rPr>
                                <w:rFonts w:hint="eastAsia"/>
                                <w:b/>
                                <w:bCs/>
                                <w:color w:val="FF0000"/>
                                <w:lang w:val="en-US" w:eastAsia="zh-CN"/>
                              </w:rPr>
                              <w:t>项目所在</w:t>
                            </w:r>
                            <w:r>
                              <w:rPr>
                                <w:rFonts w:hint="eastAsia"/>
                                <w:color w:val="FF0000"/>
                                <w:lang w:val="en-US" w:eastAsia="zh-CN"/>
                              </w:rPr>
                              <w:t>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56.65pt;margin-top:91.35pt;height:22.8pt;width:76.4pt;z-index:251678720;v-text-anchor:middle;mso-width-relative:page;mso-height-relative:page;" filled="f" stroked="t" coordsize="21600,21600" o:gfxdata="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9Ha/9doAAAALAQAADwAAAAAAAAABACAAAAAiAAAA&#10;ZHJzL2Rvd25yZXYueG1sUEsBAhQAFAAAAAgAh07iQC7WO3WwAgAASgUAAA4AAAAAAAAAAQAgAAAA&#10;KQEAAGRycy9lMm9Eb2MueG1sUEsFBgAAAAAGAAYAWQEAAEsGAAAAAA==&#10;" adj="41026,58690">
                <v:fill on="f" focussize="0,0"/>
                <v:stroke weight="1pt" color="#000000 [3213]" miterlimit="8" joinstyle="miter"/>
                <v:imagedata o:title=""/>
                <o:lock v:ext="edit" aspectratio="f"/>
                <v:textbox>
                  <w:txbxContent>
                    <w:p w14:paraId="7865E2CA">
                      <w:pPr>
                        <w:jc w:val="center"/>
                        <w:rPr>
                          <w:rFonts w:hint="eastAsia" w:eastAsia="宋体"/>
                          <w:color w:val="FF0000"/>
                          <w:lang w:val="en-US" w:eastAsia="zh-CN"/>
                        </w:rPr>
                      </w:pPr>
                      <w:r>
                        <w:rPr>
                          <w:rFonts w:hint="eastAsia"/>
                          <w:b/>
                          <w:bCs/>
                          <w:color w:val="FF0000"/>
                          <w:lang w:val="en-US" w:eastAsia="zh-CN"/>
                        </w:rPr>
                        <w:t>项目所在</w:t>
                      </w:r>
                      <w:r>
                        <w:rPr>
                          <w:rFonts w:hint="eastAsia"/>
                          <w:color w:val="FF0000"/>
                          <w:lang w:val="en-US" w:eastAsia="zh-CN"/>
                        </w:rPr>
                        <w:t>地</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3869055</wp:posOffset>
                </wp:positionH>
                <wp:positionV relativeFrom="paragraph">
                  <wp:posOffset>1950085</wp:posOffset>
                </wp:positionV>
                <wp:extent cx="76200" cy="76200"/>
                <wp:effectExtent l="19050" t="21590" r="19050" b="35560"/>
                <wp:wrapNone/>
                <wp:docPr id="126" name="五角星 126"/>
                <wp:cNvGraphicFramePr/>
                <a:graphic xmlns:a="http://schemas.openxmlformats.org/drawingml/2006/main">
                  <a:graphicData uri="http://schemas.microsoft.com/office/word/2010/wordprocessingShape">
                    <wps:wsp>
                      <wps:cNvSpPr/>
                      <wps:spPr>
                        <a:xfrm>
                          <a:off x="4869180" y="3415030"/>
                          <a:ext cx="76200" cy="7620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04.65pt;margin-top:153.55pt;height:6pt;width:6pt;z-index:251677696;v-text-anchor:middle;mso-width-relative:page;mso-height-relative:page;" fillcolor="#FF0000" filled="t" stroked="t" coordsize="76200,76200" o:gfxdata="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A7TxgjZAAAACwEAAA8AAAAAAAAAAQAgAAAA&#10;IgAAAGRycy9kb3ducmV2LnhtbFBLAQIUABQAAAAIAIdO4kCyLOEgfAIAAAUFAAAOAAAAAAAAAAEA&#10;IAAAACgBAABkcnMvZTJvRG9jLnhtbFBLBQYAAAAABgAGAFkBAAAWBgAAAAA=&#10;" path="m0,29105l29105,29105,38100,0,47094,29105,76199,29105,52652,47093,61647,76199,38100,58211,14552,76199,23547,47093xe">
                <v:path o:connectlocs="38100,0;0,29105;14552,76199;61647,76199;76199,29105" o:connectangles="247,164,82,82,0"/>
                <v:fill on="t" focussize="0,0"/>
                <v:stroke weight="1pt" color="#FF0000 [3204]" miterlimit="8" joinstyle="miter"/>
                <v:imagedata o:title=""/>
                <o:lock v:ext="edit" aspectratio="f"/>
              </v:shape>
            </w:pict>
          </mc:Fallback>
        </mc:AlternateContent>
      </w:r>
      <w:r>
        <w:drawing>
          <wp:inline distT="0" distB="0" distL="114300" distR="114300">
            <wp:extent cx="5601970" cy="7927340"/>
            <wp:effectExtent l="0" t="0" r="17780" b="16510"/>
            <wp:docPr id="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
                    <pic:cNvPicPr>
                      <a:picLocks noChangeAspect="1"/>
                    </pic:cNvPicPr>
                  </pic:nvPicPr>
                  <pic:blipFill>
                    <a:blip r:embed="rId105"/>
                    <a:stretch>
                      <a:fillRect/>
                    </a:stretch>
                  </pic:blipFill>
                  <pic:spPr>
                    <a:xfrm>
                      <a:off x="0" y="0"/>
                      <a:ext cx="5601970" cy="7927340"/>
                    </a:xfrm>
                    <a:prstGeom prst="rect">
                      <a:avLst/>
                    </a:prstGeom>
                    <a:noFill/>
                    <a:ln>
                      <a:noFill/>
                    </a:ln>
                  </pic:spPr>
                </pic:pic>
              </a:graphicData>
            </a:graphic>
          </wp:inline>
        </w:drawing>
      </w:r>
    </w:p>
    <w:p w14:paraId="62D549C4">
      <w:r>
        <w:br w:type="page"/>
      </w:r>
    </w:p>
    <w:p w14:paraId="1F044525">
      <w:pPr>
        <w:pStyle w:val="43"/>
        <w:bidi w:val="0"/>
        <w:rPr>
          <w:rFonts w:hint="default"/>
          <w:sz w:val="24"/>
          <w:szCs w:val="24"/>
          <w:lang w:val="en-US" w:eastAsia="zh-CN"/>
        </w:rPr>
      </w:pPr>
      <w:r>
        <w:rPr>
          <w:rFonts w:hint="eastAsia"/>
          <w:sz w:val="24"/>
          <w:szCs w:val="24"/>
          <w:lang w:val="en-US" w:eastAsia="zh-CN"/>
        </w:rPr>
        <w:t>附图9：中方工业集中区总体规划(2020-2035)--泸阳片区污水管网规划图</w:t>
      </w:r>
    </w:p>
    <w:p w14:paraId="7BA20D61">
      <w:p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sz w:val="24"/>
        </w:rPr>
        <mc:AlternateContent>
          <mc:Choice Requires="wps">
            <w:drawing>
              <wp:anchor distT="0" distB="0" distL="114300" distR="114300" simplePos="0" relativeHeight="251682816" behindDoc="0" locked="0" layoutInCell="1" allowOverlap="1">
                <wp:simplePos x="0" y="0"/>
                <wp:positionH relativeFrom="column">
                  <wp:posOffset>2006600</wp:posOffset>
                </wp:positionH>
                <wp:positionV relativeFrom="paragraph">
                  <wp:posOffset>1136650</wp:posOffset>
                </wp:positionV>
                <wp:extent cx="970280" cy="289560"/>
                <wp:effectExtent l="6350" t="6350" r="928370" b="523240"/>
                <wp:wrapNone/>
                <wp:docPr id="140" name="矩形标注 140"/>
                <wp:cNvGraphicFramePr/>
                <a:graphic xmlns:a="http://schemas.openxmlformats.org/drawingml/2006/main">
                  <a:graphicData uri="http://schemas.microsoft.com/office/word/2010/wordprocessingShape">
                    <wps:wsp>
                      <wps:cNvSpPr/>
                      <wps:spPr>
                        <a:xfrm>
                          <a:off x="0" y="0"/>
                          <a:ext cx="970280" cy="289560"/>
                        </a:xfrm>
                        <a:prstGeom prst="wedgeRectCallout">
                          <a:avLst>
                            <a:gd name="adj1" fmla="val 139935"/>
                            <a:gd name="adj2" fmla="val 22171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61CEC6">
                            <w:pPr>
                              <w:jc w:val="center"/>
                              <w:rPr>
                                <w:rFonts w:hint="eastAsia" w:eastAsia="宋体"/>
                                <w:color w:val="FF0000"/>
                                <w:lang w:val="en-US" w:eastAsia="zh-CN"/>
                              </w:rPr>
                            </w:pPr>
                            <w:r>
                              <w:rPr>
                                <w:rFonts w:hint="eastAsia"/>
                                <w:b/>
                                <w:bCs/>
                                <w:color w:val="FF0000"/>
                                <w:lang w:val="en-US" w:eastAsia="zh-CN"/>
                              </w:rPr>
                              <w:t>项目所在</w:t>
                            </w:r>
                            <w:r>
                              <w:rPr>
                                <w:rFonts w:hint="eastAsia"/>
                                <w:color w:val="FF0000"/>
                                <w:lang w:val="en-US" w:eastAsia="zh-CN"/>
                              </w:rPr>
                              <w:t>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58pt;margin-top:89.5pt;height:22.8pt;width:76.4pt;z-index:251682816;v-text-anchor:middle;mso-width-relative:page;mso-height-relative:page;" filled="f" stroked="t" coordsize="21600,21600" o:gfxdata="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DVurxZ2gAAAAsBAAAPAAAAAAAAAAEAIAAAACIAAABkcnMvZG93bnJl&#10;di54bWxQSwECFAAUAAAACACHTuJA6sUGwKYCAAA+BQAADgAAAAAAAAABACAAAAApAQAAZHJzL2Uy&#10;b0RvYy54bWxQSwUGAAAAAAYABgBZAQAAQQYAAAAA&#10;" adj="41026,58690">
                <v:fill on="f" focussize="0,0"/>
                <v:stroke weight="1pt" color="#000000 [3213]" miterlimit="8" joinstyle="miter"/>
                <v:imagedata o:title=""/>
                <o:lock v:ext="edit" aspectratio="f"/>
                <v:textbox>
                  <w:txbxContent>
                    <w:p w14:paraId="1361CEC6">
                      <w:pPr>
                        <w:jc w:val="center"/>
                        <w:rPr>
                          <w:rFonts w:hint="eastAsia" w:eastAsia="宋体"/>
                          <w:color w:val="FF0000"/>
                          <w:lang w:val="en-US" w:eastAsia="zh-CN"/>
                        </w:rPr>
                      </w:pPr>
                      <w:r>
                        <w:rPr>
                          <w:rFonts w:hint="eastAsia"/>
                          <w:b/>
                          <w:bCs/>
                          <w:color w:val="FF0000"/>
                          <w:lang w:val="en-US" w:eastAsia="zh-CN"/>
                        </w:rPr>
                        <w:t>项目所在</w:t>
                      </w:r>
                      <w:r>
                        <w:rPr>
                          <w:rFonts w:hint="eastAsia"/>
                          <w:color w:val="FF0000"/>
                          <w:lang w:val="en-US" w:eastAsia="zh-CN"/>
                        </w:rPr>
                        <w:t>地</w:t>
                      </w:r>
                    </w:p>
                  </w:txbxContent>
                </v:textbox>
              </v:shape>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column">
                  <wp:posOffset>3864610</wp:posOffset>
                </wp:positionH>
                <wp:positionV relativeFrom="paragraph">
                  <wp:posOffset>1939925</wp:posOffset>
                </wp:positionV>
                <wp:extent cx="76200" cy="76200"/>
                <wp:effectExtent l="19050" t="21590" r="19050" b="35560"/>
                <wp:wrapNone/>
                <wp:docPr id="139" name="五角星 139"/>
                <wp:cNvGraphicFramePr/>
                <a:graphic xmlns:a="http://schemas.openxmlformats.org/drawingml/2006/main">
                  <a:graphicData uri="http://schemas.microsoft.com/office/word/2010/wordprocessingShape">
                    <wps:wsp>
                      <wps:cNvSpPr/>
                      <wps:spPr>
                        <a:xfrm>
                          <a:off x="0" y="0"/>
                          <a:ext cx="76200" cy="7620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04.3pt;margin-top:152.75pt;height:6pt;width:6pt;z-index:251681792;v-text-anchor:middle;mso-width-relative:page;mso-height-relative:page;" fillcolor="#FF0000" filled="t" stroked="t" coordsize="76200,76200" o:gfxdata="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HFucA2QAAAAsBAAAPAAAAAAAAAAEAIAAAACIAAABkcnMvZG93bnJl&#10;di54bWxQSwECFAAUAAAACACHTuJAeyXmjm4CAAD5BAAADgAAAAAAAAABACAAAAAoAQAAZHJzL2Uy&#10;b0RvYy54bWxQSwUGAAAAAAYABgBZAQAACAYAAAAA&#10;" path="m0,29105l29105,29105,38100,0,47094,29105,76199,29105,52652,47093,61647,76199,38100,58211,14552,76199,23547,47093xe">
                <v:path o:connectlocs="38100,0;0,29105;14552,76199;61647,76199;76199,29105" o:connectangles="247,164,82,82,0"/>
                <v:fill on="t" focussize="0,0"/>
                <v:stroke weight="1pt" color="#FF0000 [3204]" miterlimit="8" joinstyle="miter"/>
                <v:imagedata o:title=""/>
                <o:lock v:ext="edit" aspectratio="f"/>
              </v:shape>
            </w:pict>
          </mc:Fallback>
        </mc:AlternateContent>
      </w:r>
      <w:r>
        <w:drawing>
          <wp:inline distT="0" distB="0" distL="114300" distR="114300">
            <wp:extent cx="5601970" cy="7941310"/>
            <wp:effectExtent l="0" t="0" r="17780" b="2540"/>
            <wp:docPr id="1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4"/>
                    <pic:cNvPicPr>
                      <a:picLocks noChangeAspect="1"/>
                    </pic:cNvPicPr>
                  </pic:nvPicPr>
                  <pic:blipFill>
                    <a:blip r:embed="rId106"/>
                    <a:stretch>
                      <a:fillRect/>
                    </a:stretch>
                  </pic:blipFill>
                  <pic:spPr>
                    <a:xfrm>
                      <a:off x="0" y="0"/>
                      <a:ext cx="5601970" cy="7941310"/>
                    </a:xfrm>
                    <a:prstGeom prst="rect">
                      <a:avLst/>
                    </a:prstGeom>
                    <a:noFill/>
                    <a:ln>
                      <a:noFill/>
                    </a:ln>
                  </pic:spPr>
                </pic:pic>
              </a:graphicData>
            </a:graphic>
          </wp:inline>
        </w:drawing>
      </w:r>
    </w:p>
    <w:p w14:paraId="30991FF5">
      <w:pPr>
        <w:jc w:val="left"/>
        <w:outlineLvl w:val="0"/>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附图</w:t>
      </w:r>
      <w:r>
        <w:rPr>
          <w:rFonts w:hint="eastAsia" w:cs="Times New Roman"/>
          <w:b/>
          <w:bCs/>
          <w:sz w:val="24"/>
          <w:lang w:val="en-US" w:eastAsia="zh-CN"/>
        </w:rPr>
        <w:t>10</w:t>
      </w:r>
      <w:r>
        <w:rPr>
          <w:rFonts w:hint="eastAsia" w:ascii="Times New Roman" w:hAnsi="Times New Roman" w:eastAsia="宋体" w:cs="Times New Roman"/>
          <w:b/>
          <w:bCs/>
          <w:sz w:val="24"/>
          <w:lang w:val="en-US" w:eastAsia="zh-CN"/>
        </w:rPr>
        <w:t>：</w:t>
      </w:r>
      <w:r>
        <w:rPr>
          <w:rFonts w:hint="eastAsia" w:cs="Times New Roman"/>
          <w:b/>
          <w:bCs/>
          <w:sz w:val="24"/>
          <w:szCs w:val="24"/>
          <w:highlight w:val="none"/>
          <w:lang w:val="en-US" w:eastAsia="zh-CN"/>
        </w:rPr>
        <w:t>项目四至图</w:t>
      </w:r>
    </w:p>
    <w:p w14:paraId="2D81045E">
      <w:r>
        <w:rPr>
          <w:sz w:val="24"/>
        </w:rPr>
        <mc:AlternateContent>
          <mc:Choice Requires="wps">
            <w:drawing>
              <wp:anchor distT="0" distB="0" distL="114300" distR="114300" simplePos="0" relativeHeight="251701248" behindDoc="0" locked="0" layoutInCell="1" allowOverlap="1">
                <wp:simplePos x="0" y="0"/>
                <wp:positionH relativeFrom="column">
                  <wp:posOffset>1697355</wp:posOffset>
                </wp:positionH>
                <wp:positionV relativeFrom="paragraph">
                  <wp:posOffset>1223010</wp:posOffset>
                </wp:positionV>
                <wp:extent cx="1238250" cy="704850"/>
                <wp:effectExtent l="0" t="0" r="0" b="0"/>
                <wp:wrapNone/>
                <wp:docPr id="180" name="文本框 180"/>
                <wp:cNvGraphicFramePr/>
                <a:graphic xmlns:a="http://schemas.openxmlformats.org/drawingml/2006/main">
                  <a:graphicData uri="http://schemas.microsoft.com/office/word/2010/wordprocessingShape">
                    <wps:wsp>
                      <wps:cNvSpPr txBox="1"/>
                      <wps:spPr>
                        <a:xfrm rot="21060000">
                          <a:off x="0" y="0"/>
                          <a:ext cx="1238250" cy="7048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A5ED30">
                            <w:pPr>
                              <w:jc w:val="center"/>
                              <w:rPr>
                                <w:rFonts w:hint="default"/>
                                <w:b/>
                                <w:bCs/>
                                <w:lang w:val="en-US" w:eastAsia="zh-CN"/>
                              </w:rPr>
                            </w:pPr>
                            <w:r>
                              <w:rPr>
                                <w:rFonts w:hint="eastAsia"/>
                                <w:b/>
                                <w:bCs/>
                                <w:lang w:val="en-US" w:eastAsia="zh-CN"/>
                              </w:rPr>
                              <w:t>湖南亿福照明科技有限公司（1F、3F）</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65pt;margin-top:96.3pt;height:55.5pt;width:97.5pt;rotation:-589824f;z-index:251701248;mso-width-relative:page;mso-height-relative:page;" filled="f" stroked="f" coordsize="21600,21600" o:gfxdata="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C+KdfaAAAACwEAAA8AAAAAAAAAAQAgAAAA&#10;IgAAAGRycy9kb3ducmV2LnhtbFBLAQIUABQAAAAIAIdO4kBqVGnBQgIAAHkEAAAOAAAAAAAAAAEA&#10;IAAAACkBAABkcnMvZTJvRG9jLnhtbFBLBQYAAAAABgAGAFkBAADdBQAAAAA=&#10;">
                <v:fill on="f" focussize="0,0"/>
                <v:stroke on="f" weight="0.5pt"/>
                <v:imagedata o:title=""/>
                <o:lock v:ext="edit" aspectratio="f"/>
                <v:textbox>
                  <w:txbxContent>
                    <w:p w14:paraId="21A5ED30">
                      <w:pPr>
                        <w:jc w:val="center"/>
                        <w:rPr>
                          <w:rFonts w:hint="default"/>
                          <w:b/>
                          <w:bCs/>
                          <w:lang w:val="en-US" w:eastAsia="zh-CN"/>
                        </w:rPr>
                      </w:pPr>
                      <w:r>
                        <w:rPr>
                          <w:rFonts w:hint="eastAsia"/>
                          <w:b/>
                          <w:bCs/>
                          <w:lang w:val="en-US" w:eastAsia="zh-CN"/>
                        </w:rPr>
                        <w:t>湖南亿福照明科技有限公司（1F、3F）</w:t>
                      </w:r>
                    </w:p>
                  </w:txbxContent>
                </v:textbox>
              </v:shape>
            </w:pict>
          </mc:Fallback>
        </mc:AlternateContent>
      </w:r>
      <w:r>
        <w:rPr>
          <w:sz w:val="24"/>
        </w:rPr>
        <mc:AlternateContent>
          <mc:Choice Requires="wps">
            <w:drawing>
              <wp:anchor distT="0" distB="0" distL="114300" distR="114300" simplePos="0" relativeHeight="251691008" behindDoc="0" locked="0" layoutInCell="1" allowOverlap="1">
                <wp:simplePos x="0" y="0"/>
                <wp:positionH relativeFrom="column">
                  <wp:posOffset>2575560</wp:posOffset>
                </wp:positionH>
                <wp:positionV relativeFrom="paragraph">
                  <wp:posOffset>785495</wp:posOffset>
                </wp:positionV>
                <wp:extent cx="1238250" cy="487680"/>
                <wp:effectExtent l="0" t="0" r="0" b="0"/>
                <wp:wrapNone/>
                <wp:docPr id="170" name="文本框 170"/>
                <wp:cNvGraphicFramePr/>
                <a:graphic xmlns:a="http://schemas.openxmlformats.org/drawingml/2006/main">
                  <a:graphicData uri="http://schemas.microsoft.com/office/word/2010/wordprocessingShape">
                    <wps:wsp>
                      <wps:cNvSpPr txBox="1"/>
                      <wps:spPr>
                        <a:xfrm rot="21060000">
                          <a:off x="0" y="0"/>
                          <a:ext cx="1238250" cy="487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B8CAD">
                            <w:pPr>
                              <w:rPr>
                                <w:rFonts w:hint="eastAsia"/>
                                <w:b/>
                                <w:bCs/>
                                <w:lang w:val="en-US" w:eastAsia="zh-CN"/>
                              </w:rPr>
                            </w:pPr>
                            <w:r>
                              <w:rPr>
                                <w:rFonts w:hint="eastAsia"/>
                                <w:b/>
                                <w:bCs/>
                                <w:lang w:val="en-US" w:eastAsia="zh-CN"/>
                              </w:rPr>
                              <w:t>湖南绿燊环保科技有限公司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2.8pt;margin-top:61.85pt;height:38.4pt;width:97.5pt;rotation:-589824f;z-index:251691008;mso-width-relative:page;mso-height-relative:page;" filled="f" stroked="f" coordsize="21600,21600" o:gfxdata="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58dzP2QAAAAsBAAAPAAAAAAAAAAEAIAAA&#10;ACIAAABkcnMvZG93bnJldi54bWxQSwECFAAUAAAACACHTuJAQ2VHR0QCAAB5BAAADgAAAAAAAAAB&#10;ACAAAAAoAQAAZHJzL2Uyb0RvYy54bWxQSwUGAAAAAAYABgBZAQAA3gUAAAAA&#10;">
                <v:fill on="f" focussize="0,0"/>
                <v:stroke on="f" weight="0.5pt"/>
                <v:imagedata o:title=""/>
                <o:lock v:ext="edit" aspectratio="f"/>
                <v:textbox>
                  <w:txbxContent>
                    <w:p w14:paraId="6ABB8CAD">
                      <w:pPr>
                        <w:rPr>
                          <w:rFonts w:hint="eastAsia"/>
                          <w:b/>
                          <w:bCs/>
                          <w:lang w:val="en-US" w:eastAsia="zh-CN"/>
                        </w:rPr>
                      </w:pPr>
                      <w:r>
                        <w:rPr>
                          <w:rFonts w:hint="eastAsia"/>
                          <w:b/>
                          <w:bCs/>
                          <w:lang w:val="en-US" w:eastAsia="zh-CN"/>
                        </w:rPr>
                        <w:t>湖南绿燊环保科技有限公司</w:t>
                      </w:r>
                    </w:p>
                  </w:txbxContent>
                </v:textbox>
              </v:shape>
            </w:pict>
          </mc:Fallback>
        </mc:AlternateContent>
      </w:r>
      <w:r>
        <w:rPr>
          <w:sz w:val="24"/>
        </w:rPr>
        <mc:AlternateContent>
          <mc:Choice Requires="wps">
            <w:drawing>
              <wp:anchor distT="0" distB="0" distL="114300" distR="114300" simplePos="0" relativeHeight="251700224" behindDoc="0" locked="0" layoutInCell="1" allowOverlap="1">
                <wp:simplePos x="0" y="0"/>
                <wp:positionH relativeFrom="column">
                  <wp:posOffset>2690495</wp:posOffset>
                </wp:positionH>
                <wp:positionV relativeFrom="paragraph">
                  <wp:posOffset>1671955</wp:posOffset>
                </wp:positionV>
                <wp:extent cx="1457325" cy="781050"/>
                <wp:effectExtent l="0" t="3810" r="9525" b="15240"/>
                <wp:wrapNone/>
                <wp:docPr id="179" name="直接箭头连接符 179"/>
                <wp:cNvGraphicFramePr/>
                <a:graphic xmlns:a="http://schemas.openxmlformats.org/drawingml/2006/main">
                  <a:graphicData uri="http://schemas.microsoft.com/office/word/2010/wordprocessingShape">
                    <wps:wsp>
                      <wps:cNvCnPr/>
                      <wps:spPr>
                        <a:xfrm flipH="1" flipV="1">
                          <a:off x="0" y="0"/>
                          <a:ext cx="1457325" cy="7810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211.85pt;margin-top:131.65pt;height:61.5pt;width:114.75pt;z-index:251700224;mso-width-relative:page;mso-height-relative:page;" filled="f" stroked="t" coordsize="21600,21600" o:gfxdata="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Y/HQbbAAAACwEA&#10;AA8AAAAAAAAAAQAgAAAAIgAAAGRycy9kb3ducmV2LnhtbFBLAQIUABQAAAAIAIdO4kCOSQwmFwIA&#10;APwDAAAOAAAAAAAAAAEAIAAAACoBAABkcnMvZTJvRG9jLnhtbFBLBQYAAAAABgAGAFkBAACzBQAA&#10;AAA=&#10;">
                <v:fill on="f" focussize="0,0"/>
                <v:stroke weight="1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97152" behindDoc="0" locked="0" layoutInCell="1" allowOverlap="1">
                <wp:simplePos x="0" y="0"/>
                <wp:positionH relativeFrom="column">
                  <wp:posOffset>5203825</wp:posOffset>
                </wp:positionH>
                <wp:positionV relativeFrom="paragraph">
                  <wp:posOffset>1131570</wp:posOffset>
                </wp:positionV>
                <wp:extent cx="1331595" cy="487680"/>
                <wp:effectExtent l="0" t="0" r="0" b="0"/>
                <wp:wrapNone/>
                <wp:docPr id="176" name="文本框 176"/>
                <wp:cNvGraphicFramePr/>
                <a:graphic xmlns:a="http://schemas.openxmlformats.org/drawingml/2006/main">
                  <a:graphicData uri="http://schemas.microsoft.com/office/word/2010/wordprocessingShape">
                    <wps:wsp>
                      <wps:cNvSpPr txBox="1"/>
                      <wps:spPr>
                        <a:xfrm rot="21060000">
                          <a:off x="0" y="0"/>
                          <a:ext cx="1331595" cy="487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A5BAF">
                            <w:pPr>
                              <w:jc w:val="center"/>
                              <w:rPr>
                                <w:rFonts w:hint="eastAsia"/>
                                <w:b/>
                                <w:bCs/>
                                <w:lang w:val="en-US" w:eastAsia="zh-CN"/>
                              </w:rPr>
                            </w:pPr>
                            <w:r>
                              <w:rPr>
                                <w:rFonts w:hint="eastAsia"/>
                                <w:b/>
                                <w:bCs/>
                                <w:lang w:val="en-US" w:eastAsia="zh-CN"/>
                              </w:rPr>
                              <w:t>湖南金维新材料科技有限公司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75pt;margin-top:89.1pt;height:38.4pt;width:104.85pt;rotation:-589824f;z-index:251697152;mso-width-relative:page;mso-height-relative:page;" filled="f" stroked="f" coordsize="21600,21600" o:gfxdata="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b1WkDtoAAAAMAQAADwAAAAAAAAAB&#10;ACAAAAAiAAAAZHJzL2Rvd25yZXYueG1sUEsBAhQAFAAAAAgAh07iQG2egpRHAgAAeQQAAA4AAAAA&#10;AAAAAQAgAAAAKQEAAGRycy9lMm9Eb2MueG1sUEsFBgAAAAAGAAYAWQEAAOIFAAAAAA==&#10;">
                <v:fill on="f" focussize="0,0"/>
                <v:stroke on="f" weight="0.5pt"/>
                <v:imagedata o:title=""/>
                <o:lock v:ext="edit" aspectratio="f"/>
                <v:textbox>
                  <w:txbxContent>
                    <w:p w14:paraId="4BFA5BAF">
                      <w:pPr>
                        <w:jc w:val="center"/>
                        <w:rPr>
                          <w:rFonts w:hint="eastAsia"/>
                          <w:b/>
                          <w:bCs/>
                          <w:lang w:val="en-US" w:eastAsia="zh-CN"/>
                        </w:rPr>
                      </w:pPr>
                      <w:r>
                        <w:rPr>
                          <w:rFonts w:hint="eastAsia"/>
                          <w:b/>
                          <w:bCs/>
                          <w:lang w:val="en-US" w:eastAsia="zh-CN"/>
                        </w:rPr>
                        <w:t>湖南金维新材料科技有限公司</w:t>
                      </w:r>
                    </w:p>
                  </w:txbxContent>
                </v:textbox>
              </v:shape>
            </w:pict>
          </mc:Fallback>
        </mc:AlternateContent>
      </w:r>
      <w:r>
        <w:rPr>
          <w:sz w:val="24"/>
        </w:rPr>
        <mc:AlternateContent>
          <mc:Choice Requires="wps">
            <w:drawing>
              <wp:anchor distT="0" distB="0" distL="114300" distR="114300" simplePos="0" relativeHeight="251696128" behindDoc="0" locked="0" layoutInCell="1" allowOverlap="1">
                <wp:simplePos x="0" y="0"/>
                <wp:positionH relativeFrom="column">
                  <wp:posOffset>5013325</wp:posOffset>
                </wp:positionH>
                <wp:positionV relativeFrom="paragraph">
                  <wp:posOffset>2922270</wp:posOffset>
                </wp:positionV>
                <wp:extent cx="1331595" cy="487680"/>
                <wp:effectExtent l="0" t="0" r="0" b="0"/>
                <wp:wrapNone/>
                <wp:docPr id="175" name="文本框 175"/>
                <wp:cNvGraphicFramePr/>
                <a:graphic xmlns:a="http://schemas.openxmlformats.org/drawingml/2006/main">
                  <a:graphicData uri="http://schemas.microsoft.com/office/word/2010/wordprocessingShape">
                    <wps:wsp>
                      <wps:cNvSpPr txBox="1"/>
                      <wps:spPr>
                        <a:xfrm rot="21060000">
                          <a:off x="0" y="0"/>
                          <a:ext cx="1331595" cy="487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5D760">
                            <w:pPr>
                              <w:jc w:val="center"/>
                              <w:rPr>
                                <w:rFonts w:hint="eastAsia"/>
                                <w:b/>
                                <w:bCs/>
                                <w:lang w:val="en-US" w:eastAsia="zh-CN"/>
                              </w:rPr>
                            </w:pPr>
                            <w:r>
                              <w:rPr>
                                <w:rFonts w:hint="eastAsia"/>
                                <w:b/>
                                <w:bCs/>
                                <w:lang w:val="en-US" w:eastAsia="zh-CN"/>
                              </w:rPr>
                              <w:t>怀化市硅曼电子材料有限公司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4.75pt;margin-top:230.1pt;height:38.4pt;width:104.85pt;rotation:-589824f;z-index:251696128;mso-width-relative:page;mso-height-relative:page;" filled="f" stroked="f" coordsize="21600,21600" o:gfxdata="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LQHtzbAAAACwEAAA8AAAAAAAAA&#10;AQAgAAAAIgAAAGRycy9kb3ducmV2LnhtbFBLAQIUABQAAAAIAIdO4kCEHStaRwIAAHkEAAAOAAAA&#10;AAAAAAEAIAAAACoBAABkcnMvZTJvRG9jLnhtbFBLBQYAAAAABgAGAFkBAADjBQAAAAA=&#10;">
                <v:fill on="f" focussize="0,0"/>
                <v:stroke on="f" weight="0.5pt"/>
                <v:imagedata o:title=""/>
                <o:lock v:ext="edit" aspectratio="f"/>
                <v:textbox>
                  <w:txbxContent>
                    <w:p w14:paraId="3B75D760">
                      <w:pPr>
                        <w:jc w:val="center"/>
                        <w:rPr>
                          <w:rFonts w:hint="eastAsia"/>
                          <w:b/>
                          <w:bCs/>
                          <w:lang w:val="en-US" w:eastAsia="zh-CN"/>
                        </w:rPr>
                      </w:pPr>
                      <w:r>
                        <w:rPr>
                          <w:rFonts w:hint="eastAsia"/>
                          <w:b/>
                          <w:bCs/>
                          <w:lang w:val="en-US" w:eastAsia="zh-CN"/>
                        </w:rPr>
                        <w:t>怀化市硅曼电子材料有限公司</w:t>
                      </w:r>
                    </w:p>
                  </w:txbxContent>
                </v:textbox>
              </v:shape>
            </w:pict>
          </mc:Fallback>
        </mc:AlternateContent>
      </w:r>
      <w:r>
        <w:rPr>
          <w:sz w:val="24"/>
        </w:rPr>
        <mc:AlternateContent>
          <mc:Choice Requires="wps">
            <w:drawing>
              <wp:anchor distT="0" distB="0" distL="114300" distR="114300" simplePos="0" relativeHeight="251699200" behindDoc="0" locked="0" layoutInCell="1" allowOverlap="1">
                <wp:simplePos x="0" y="0"/>
                <wp:positionH relativeFrom="column">
                  <wp:posOffset>5483225</wp:posOffset>
                </wp:positionH>
                <wp:positionV relativeFrom="paragraph">
                  <wp:posOffset>1793875</wp:posOffset>
                </wp:positionV>
                <wp:extent cx="1331595" cy="328930"/>
                <wp:effectExtent l="501650" t="0" r="0" b="0"/>
                <wp:wrapNone/>
                <wp:docPr id="178" name="文本框 178"/>
                <wp:cNvGraphicFramePr/>
                <a:graphic xmlns:a="http://schemas.openxmlformats.org/drawingml/2006/main">
                  <a:graphicData uri="http://schemas.microsoft.com/office/word/2010/wordprocessingShape">
                    <wps:wsp>
                      <wps:cNvSpPr txBox="1"/>
                      <wps:spPr>
                        <a:xfrm rot="18600000">
                          <a:off x="0" y="0"/>
                          <a:ext cx="1331595" cy="328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A87BC">
                            <w:pPr>
                              <w:jc w:val="center"/>
                              <w:rPr>
                                <w:rFonts w:hint="default"/>
                                <w:b/>
                                <w:bCs/>
                                <w:lang w:val="en-US" w:eastAsia="zh-CN"/>
                              </w:rPr>
                            </w:pPr>
                            <w:r>
                              <w:rPr>
                                <w:rFonts w:hint="eastAsia"/>
                                <w:b/>
                                <w:bCs/>
                                <w:lang w:val="en-US" w:eastAsia="zh-CN"/>
                              </w:rPr>
                              <w:t>S223省道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1.75pt;margin-top:141.25pt;height:25.9pt;width:104.85pt;rotation:-3276800f;z-index:251699200;mso-width-relative:page;mso-height-relative:page;" filled="f" stroked="f" coordsize="21600,21600" o:gfxdata="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7MV39oAAAAMAQAADwAAAAAAAAAB&#10;ACAAAAAiAAAAZHJzL2Rvd25yZXYueG1sUEsBAhQAFAAAAAgAh07iQGg1PvxHAgAAeQQAAA4AAAAA&#10;AAAAAQAgAAAAKQEAAGRycy9lMm9Eb2MueG1sUEsFBgAAAAAGAAYAWQEAAOIFAAAAAA==&#10;">
                <v:fill on="f" focussize="0,0"/>
                <v:stroke on="f" weight="0.5pt"/>
                <v:imagedata o:title=""/>
                <o:lock v:ext="edit" aspectratio="f"/>
                <v:textbox>
                  <w:txbxContent>
                    <w:p w14:paraId="720A87BC">
                      <w:pPr>
                        <w:jc w:val="center"/>
                        <w:rPr>
                          <w:rFonts w:hint="default"/>
                          <w:b/>
                          <w:bCs/>
                          <w:lang w:val="en-US" w:eastAsia="zh-CN"/>
                        </w:rPr>
                      </w:pPr>
                      <w:r>
                        <w:rPr>
                          <w:rFonts w:hint="eastAsia"/>
                          <w:b/>
                          <w:bCs/>
                          <w:lang w:val="en-US" w:eastAsia="zh-CN"/>
                        </w:rPr>
                        <w:t>S223省道</w:t>
                      </w:r>
                    </w:p>
                  </w:txbxContent>
                </v:textbox>
              </v:shape>
            </w:pict>
          </mc:Fallback>
        </mc:AlternateContent>
      </w:r>
      <w:r>
        <w:rPr>
          <w:sz w:val="24"/>
        </w:rPr>
        <mc:AlternateContent>
          <mc:Choice Requires="wps">
            <w:drawing>
              <wp:anchor distT="0" distB="0" distL="114300" distR="114300" simplePos="0" relativeHeight="251698176" behindDoc="0" locked="0" layoutInCell="1" allowOverlap="1">
                <wp:simplePos x="0" y="0"/>
                <wp:positionH relativeFrom="column">
                  <wp:posOffset>4357370</wp:posOffset>
                </wp:positionH>
                <wp:positionV relativeFrom="paragraph">
                  <wp:posOffset>347980</wp:posOffset>
                </wp:positionV>
                <wp:extent cx="2790825" cy="3552825"/>
                <wp:effectExtent l="13335" t="11430" r="15240" b="17145"/>
                <wp:wrapNone/>
                <wp:docPr id="177" name="任意多边形 177"/>
                <wp:cNvGraphicFramePr/>
                <a:graphic xmlns:a="http://schemas.openxmlformats.org/drawingml/2006/main">
                  <a:graphicData uri="http://schemas.microsoft.com/office/word/2010/wordprocessingShape">
                    <wps:wsp>
                      <wps:cNvSpPr/>
                      <wps:spPr>
                        <a:xfrm>
                          <a:off x="5437505" y="1692910"/>
                          <a:ext cx="2790825" cy="3552825"/>
                        </a:xfrm>
                        <a:custGeom>
                          <a:avLst/>
                          <a:gdLst>
                            <a:gd name="connisteX0" fmla="*/ 0 w 2790825"/>
                            <a:gd name="connsiteY0" fmla="*/ 3552825 h 3552825"/>
                            <a:gd name="connisteX1" fmla="*/ 638175 w 2790825"/>
                            <a:gd name="connsiteY1" fmla="*/ 2838450 h 3552825"/>
                            <a:gd name="connisteX2" fmla="*/ 1228725 w 2790825"/>
                            <a:gd name="connsiteY2" fmla="*/ 1924050 h 3552825"/>
                            <a:gd name="connisteX3" fmla="*/ 1809750 w 2790825"/>
                            <a:gd name="connsiteY3" fmla="*/ 1257300 h 3552825"/>
                            <a:gd name="connisteX4" fmla="*/ 2333625 w 2790825"/>
                            <a:gd name="connsiteY4" fmla="*/ 552450 h 3552825"/>
                            <a:gd name="connisteX5" fmla="*/ 2790825 w 2790825"/>
                            <a:gd name="connsiteY5" fmla="*/ 0 h 35528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2790825" h="3552825">
                              <a:moveTo>
                                <a:pt x="0" y="3552825"/>
                              </a:moveTo>
                              <a:lnTo>
                                <a:pt x="638175" y="2838450"/>
                              </a:lnTo>
                              <a:lnTo>
                                <a:pt x="1228725" y="1924050"/>
                              </a:lnTo>
                              <a:lnTo>
                                <a:pt x="1809750" y="1257300"/>
                              </a:lnTo>
                              <a:lnTo>
                                <a:pt x="2333625" y="552450"/>
                              </a:lnTo>
                              <a:lnTo>
                                <a:pt x="2790825" y="0"/>
                              </a:lnTo>
                            </a:path>
                          </a:pathLst>
                        </a:custGeom>
                        <a:noFill/>
                        <a:ln w="349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rtlCol="0" fromWordArt="0" anchor="ctr" anchorCtr="0" compatLnSpc="1">
                        <a:noAutofit/>
                      </wps:bodyPr>
                    </wps:wsp>
                  </a:graphicData>
                </a:graphic>
              </wp:anchor>
            </w:drawing>
          </mc:Choice>
          <mc:Fallback>
            <w:pict>
              <v:shape id="_x0000_s1026" o:spid="_x0000_s1026" o:spt="100" style="position:absolute;left:0pt;margin-left:343.1pt;margin-top:27.4pt;height:279.75pt;width:219.75pt;z-index:251698176;v-text-anchor:middle;mso-width-relative:page;mso-height-relative:page;" filled="f" stroked="t" coordsize="2790825,3552825" o:gfxdata="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" path="m0,3552825l638175,2838450,1228725,1924050,1809750,1257300,2333625,552450,2790825,0e">
                <v:path o:connectlocs="0,3552825;638175,2838450;1228725,1924050;1809750,1257300;2333625,552450;2790825,0" o:connectangles="0,0,0,0,0,0"/>
                <v:fill on="f" focussize="0,0"/>
                <v:stroke weight="2.75pt" color="#FFC000 [3204]" miterlimit="8" joinstyle="miter"/>
                <v:imagedata o:title=""/>
                <o:lock v:ext="edit" aspectratio="f"/>
              </v:shape>
            </w:pict>
          </mc:Fallback>
        </mc:AlternateContent>
      </w:r>
      <w:r>
        <w:rPr>
          <w:sz w:val="24"/>
        </w:rPr>
        <mc:AlternateContent>
          <mc:Choice Requires="wps">
            <w:drawing>
              <wp:anchor distT="0" distB="0" distL="114300" distR="114300" simplePos="0" relativeHeight="251695104" behindDoc="0" locked="0" layoutInCell="1" allowOverlap="1">
                <wp:simplePos x="0" y="0"/>
                <wp:positionH relativeFrom="column">
                  <wp:posOffset>4881245</wp:posOffset>
                </wp:positionH>
                <wp:positionV relativeFrom="paragraph">
                  <wp:posOffset>2491105</wp:posOffset>
                </wp:positionV>
                <wp:extent cx="381000" cy="476250"/>
                <wp:effectExtent l="5080" t="3810" r="13970" b="15240"/>
                <wp:wrapNone/>
                <wp:docPr id="174" name="直接箭头连接符 174"/>
                <wp:cNvGraphicFramePr/>
                <a:graphic xmlns:a="http://schemas.openxmlformats.org/drawingml/2006/main">
                  <a:graphicData uri="http://schemas.microsoft.com/office/word/2010/wordprocessingShape">
                    <wps:wsp>
                      <wps:cNvCnPr/>
                      <wps:spPr>
                        <a:xfrm>
                          <a:off x="0" y="0"/>
                          <a:ext cx="381000" cy="4762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84.35pt;margin-top:196.15pt;height:37.5pt;width:30pt;z-index:251695104;mso-width-relative:page;mso-height-relative:page;" filled="f" stroked="t" coordsize="21600,21600" o:gfxdata="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j1tRH2QAAAAsBAAAPAAAAAAAAAAEAIAAAACIA&#10;AABkcnMvZG93bnJldi54bWxQSwECFAAUAAAACACHTuJAQcJubQgCAADnAwAADgAAAAAAAAABACAA&#10;AAAoAQAAZHJzL2Uyb0RvYy54bWxQSwUGAAAAAAYABgBZAQAAogUAAAAA&#10;">
                <v:fill on="f" focussize="0,0"/>
                <v:stroke weight="1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94080" behindDoc="0" locked="0" layoutInCell="1" allowOverlap="1">
                <wp:simplePos x="0" y="0"/>
                <wp:positionH relativeFrom="column">
                  <wp:posOffset>5338445</wp:posOffset>
                </wp:positionH>
                <wp:positionV relativeFrom="paragraph">
                  <wp:posOffset>1614805</wp:posOffset>
                </wp:positionV>
                <wp:extent cx="514350" cy="285750"/>
                <wp:effectExtent l="3175" t="1905" r="15875" b="17145"/>
                <wp:wrapNone/>
                <wp:docPr id="173" name="直接箭头连接符 173"/>
                <wp:cNvGraphicFramePr/>
                <a:graphic xmlns:a="http://schemas.openxmlformats.org/drawingml/2006/main">
                  <a:graphicData uri="http://schemas.microsoft.com/office/word/2010/wordprocessingShape">
                    <wps:wsp>
                      <wps:cNvCnPr/>
                      <wps:spPr>
                        <a:xfrm flipV="1">
                          <a:off x="0" y="0"/>
                          <a:ext cx="514350" cy="2857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420.35pt;margin-top:127.15pt;height:22.5pt;width:40.5pt;z-index:251694080;mso-width-relative:page;mso-height-relative:page;" filled="f" stroked="t" coordsize="21600,21600" o:gfxdata="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hDxGbdAAAACwEAAA8AAAAA&#10;AAAAAQAgAAAAIgAAAGRycy9kb3ducmV2LnhtbFBLAQIUABQAAAAIAIdO4kBXATMxDwIAAPEDAAAO&#10;AAAAAAAAAAEAIAAAACwBAABkcnMvZTJvRG9jLnhtbFBLBQYAAAAABgAGAFkBAACtBQAAAAA=&#10;">
                <v:fill on="f" focussize="0,0"/>
                <v:stroke weight="1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93056" behindDoc="0" locked="0" layoutInCell="1" allowOverlap="1">
                <wp:simplePos x="0" y="0"/>
                <wp:positionH relativeFrom="column">
                  <wp:posOffset>4860925</wp:posOffset>
                </wp:positionH>
                <wp:positionV relativeFrom="paragraph">
                  <wp:posOffset>588645</wp:posOffset>
                </wp:positionV>
                <wp:extent cx="1331595" cy="487680"/>
                <wp:effectExtent l="0" t="0" r="0" b="0"/>
                <wp:wrapNone/>
                <wp:docPr id="172" name="文本框 172"/>
                <wp:cNvGraphicFramePr/>
                <a:graphic xmlns:a="http://schemas.openxmlformats.org/drawingml/2006/main">
                  <a:graphicData uri="http://schemas.microsoft.com/office/word/2010/wordprocessingShape">
                    <wps:wsp>
                      <wps:cNvSpPr txBox="1"/>
                      <wps:spPr>
                        <a:xfrm rot="21060000">
                          <a:off x="0" y="0"/>
                          <a:ext cx="1331595" cy="487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8C78A">
                            <w:pPr>
                              <w:jc w:val="center"/>
                              <w:rPr>
                                <w:rFonts w:hint="eastAsia"/>
                                <w:b/>
                                <w:bCs/>
                                <w:lang w:val="en-US" w:eastAsia="zh-CN"/>
                              </w:rPr>
                            </w:pPr>
                            <w:r>
                              <w:rPr>
                                <w:rFonts w:hint="eastAsia"/>
                                <w:b/>
                                <w:bCs/>
                                <w:lang w:val="en-US" w:eastAsia="zh-CN"/>
                              </w:rPr>
                              <w:t>怀化市益顺包装制品有限公司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2.75pt;margin-top:46.35pt;height:38.4pt;width:104.85pt;rotation:-589824f;z-index:251693056;mso-width-relative:page;mso-height-relative:page;" filled="f" stroked="f" coordsize="21600,21600" o:gfxdata="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9NYaSNoAAAAKAQAADwAAAAAAAAAB&#10;ACAAAAAiAAAAZHJzL2Rvd25yZXYueG1sUEsBAhQAFAAAAAgAh07iQI9gQe9HAgAAeQQAAA4AAAAA&#10;AAAAAQAgAAAAKQEAAGRycy9lMm9Eb2MueG1sUEsFBgAAAAAGAAYAWQEAAOIFAAAAAA==&#10;">
                <v:fill on="f" focussize="0,0"/>
                <v:stroke on="f" weight="0.5pt"/>
                <v:imagedata o:title=""/>
                <o:lock v:ext="edit" aspectratio="f"/>
                <v:textbox>
                  <w:txbxContent>
                    <w:p w14:paraId="00C8C78A">
                      <w:pPr>
                        <w:jc w:val="center"/>
                        <w:rPr>
                          <w:rFonts w:hint="eastAsia"/>
                          <w:b/>
                          <w:bCs/>
                          <w:lang w:val="en-US" w:eastAsia="zh-CN"/>
                        </w:rPr>
                      </w:pPr>
                      <w:r>
                        <w:rPr>
                          <w:rFonts w:hint="eastAsia"/>
                          <w:b/>
                          <w:bCs/>
                          <w:lang w:val="en-US" w:eastAsia="zh-CN"/>
                        </w:rPr>
                        <w:t>怀化市益顺包装制品有限公司</w:t>
                      </w:r>
                    </w:p>
                  </w:txbxContent>
                </v:textbox>
              </v:shape>
            </w:pict>
          </mc:Fallback>
        </mc:AlternateContent>
      </w:r>
      <w:r>
        <w:rPr>
          <w:sz w:val="24"/>
        </w:rPr>
        <mc:AlternateContent>
          <mc:Choice Requires="wps">
            <w:drawing>
              <wp:anchor distT="0" distB="0" distL="114300" distR="114300" simplePos="0" relativeHeight="251692032" behindDoc="0" locked="0" layoutInCell="1" allowOverlap="1">
                <wp:simplePos x="0" y="0"/>
                <wp:positionH relativeFrom="column">
                  <wp:posOffset>4443095</wp:posOffset>
                </wp:positionH>
                <wp:positionV relativeFrom="paragraph">
                  <wp:posOffset>881380</wp:posOffset>
                </wp:positionV>
                <wp:extent cx="514350" cy="285750"/>
                <wp:effectExtent l="3175" t="1905" r="15875" b="17145"/>
                <wp:wrapNone/>
                <wp:docPr id="171" name="直接箭头连接符 171"/>
                <wp:cNvGraphicFramePr/>
                <a:graphic xmlns:a="http://schemas.openxmlformats.org/drawingml/2006/main">
                  <a:graphicData uri="http://schemas.microsoft.com/office/word/2010/wordprocessingShape">
                    <wps:wsp>
                      <wps:cNvCnPr/>
                      <wps:spPr>
                        <a:xfrm flipV="1">
                          <a:off x="0" y="0"/>
                          <a:ext cx="514350" cy="2857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49.85pt;margin-top:69.4pt;height:22.5pt;width:40.5pt;z-index:251692032;mso-width-relative:page;mso-height-relative:page;" filled="f" stroked="t" coordsize="21600,21600" o:gfxdata="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nmbgu2wAAAAsBAAAPAAAAAAAA&#10;AAEAIAAAACIAAABkcnMvZG93bnJldi54bWxQSwECFAAUAAAACACHTuJA7esfiQ8CAADxAwAADgAA&#10;AAAAAAABACAAAAAqAQAAZHJzL2Uyb0RvYy54bWxQSwUGAAAAAAYABgBZAQAAqwUAAAAA&#10;">
                <v:fill on="f" focussize="0,0"/>
                <v:stroke weight="1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89984" behindDoc="0" locked="0" layoutInCell="1" allowOverlap="1">
                <wp:simplePos x="0" y="0"/>
                <wp:positionH relativeFrom="column">
                  <wp:posOffset>3300095</wp:posOffset>
                </wp:positionH>
                <wp:positionV relativeFrom="paragraph">
                  <wp:posOffset>1271905</wp:posOffset>
                </wp:positionV>
                <wp:extent cx="504825" cy="466725"/>
                <wp:effectExtent l="0" t="0" r="9525" b="9525"/>
                <wp:wrapNone/>
                <wp:docPr id="169" name="直接箭头连接符 169"/>
                <wp:cNvGraphicFramePr/>
                <a:graphic xmlns:a="http://schemas.openxmlformats.org/drawingml/2006/main">
                  <a:graphicData uri="http://schemas.microsoft.com/office/word/2010/wordprocessingShape">
                    <wps:wsp>
                      <wps:cNvCnPr/>
                      <wps:spPr>
                        <a:xfrm flipH="1" flipV="1">
                          <a:off x="4380230" y="2616835"/>
                          <a:ext cx="504825" cy="46672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259.85pt;margin-top:100.15pt;height:36.75pt;width:39.75pt;z-index:251689984;mso-width-relative:page;mso-height-relative:page;" filled="f" stroked="t" coordsize="21600,21600" o:gfxdata="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QnrrnbAAAACwEAAA8AAAAAAAAAAQAgAAAAIgAAAGRycy9kb3ducmV2LnhtbFBLAQIUABQAAAAI&#10;AIdO4kBs2IzDIwIAAAcEAAAOAAAAAAAAAAEAIAAAACoBAABkcnMvZTJvRG9jLnhtbFBLBQYAAAAA&#10;BgAGAFkBAAC/BQAAAAA=&#10;">
                <v:fill on="f" focussize="0,0"/>
                <v:stroke weight="1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88960" behindDoc="0" locked="0" layoutInCell="1" allowOverlap="1">
                <wp:simplePos x="0" y="0"/>
                <wp:positionH relativeFrom="column">
                  <wp:posOffset>2870200</wp:posOffset>
                </wp:positionH>
                <wp:positionV relativeFrom="paragraph">
                  <wp:posOffset>2737485</wp:posOffset>
                </wp:positionV>
                <wp:extent cx="1238250" cy="487680"/>
                <wp:effectExtent l="0" t="0" r="0" b="0"/>
                <wp:wrapNone/>
                <wp:docPr id="168" name="文本框 168"/>
                <wp:cNvGraphicFramePr/>
                <a:graphic xmlns:a="http://schemas.openxmlformats.org/drawingml/2006/main">
                  <a:graphicData uri="http://schemas.microsoft.com/office/word/2010/wordprocessingShape">
                    <wps:wsp>
                      <wps:cNvSpPr txBox="1"/>
                      <wps:spPr>
                        <a:xfrm rot="1260000">
                          <a:off x="0" y="0"/>
                          <a:ext cx="1238250" cy="487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5805B">
                            <w:pPr>
                              <w:jc w:val="center"/>
                              <w:rPr>
                                <w:rFonts w:hint="default" w:eastAsia="宋体"/>
                                <w:b/>
                                <w:bCs/>
                                <w:lang w:val="en-US" w:eastAsia="zh-CN"/>
                              </w:rPr>
                            </w:pPr>
                            <w:r>
                              <w:rPr>
                                <w:rFonts w:hint="eastAsia"/>
                                <w:b/>
                                <w:bCs/>
                                <w:lang w:val="en-US" w:eastAsia="zh-CN"/>
                              </w:rPr>
                              <w:t>湖南梨树园涂料有限公司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pt;margin-top:215.55pt;height:38.4pt;width:97.5pt;rotation:1376256f;z-index:251688960;mso-width-relative:page;mso-height-relative:page;" filled="f" stroked="f" coordsize="21600,21600" o:gfxdata="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EyTLPbAAAACwEAAA8AAAAAAAAAAQAg&#10;AAAAIgAAAGRycy9kb3ducmV2LnhtbFBLAQIUABQAAAAIAIdO4kAEGGVVRAIAAHgEAAAOAAAAAAAA&#10;AAEAIAAAACoBAABkcnMvZTJvRG9jLnhtbFBLBQYAAAAABgAGAFkBAADgBQAAAAA=&#10;">
                <v:fill on="f" focussize="0,0"/>
                <v:stroke on="f" weight="0.5pt"/>
                <v:imagedata o:title=""/>
                <o:lock v:ext="edit" aspectratio="f"/>
                <v:textbox>
                  <w:txbxContent>
                    <w:p w14:paraId="5005805B">
                      <w:pPr>
                        <w:jc w:val="center"/>
                        <w:rPr>
                          <w:rFonts w:hint="default" w:eastAsia="宋体"/>
                          <w:b/>
                          <w:bCs/>
                          <w:lang w:val="en-US" w:eastAsia="zh-CN"/>
                        </w:rPr>
                      </w:pPr>
                      <w:r>
                        <w:rPr>
                          <w:rFonts w:hint="eastAsia"/>
                          <w:b/>
                          <w:bCs/>
                          <w:lang w:val="en-US" w:eastAsia="zh-CN"/>
                        </w:rPr>
                        <w:t>湖南梨树园涂料有限公司</w:t>
                      </w:r>
                    </w:p>
                  </w:txbxContent>
                </v:textbox>
              </v:shape>
            </w:pict>
          </mc:Fallback>
        </mc:AlternateContent>
      </w:r>
      <w:r>
        <w:drawing>
          <wp:inline distT="0" distB="0" distL="114300" distR="114300">
            <wp:extent cx="8516620" cy="4330065"/>
            <wp:effectExtent l="0" t="0" r="17780" b="13335"/>
            <wp:docPr id="1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4"/>
                    <pic:cNvPicPr>
                      <a:picLocks noChangeAspect="1"/>
                    </pic:cNvPicPr>
                  </pic:nvPicPr>
                  <pic:blipFill>
                    <a:blip r:embed="rId107"/>
                    <a:stretch>
                      <a:fillRect/>
                    </a:stretch>
                  </pic:blipFill>
                  <pic:spPr>
                    <a:xfrm>
                      <a:off x="0" y="0"/>
                      <a:ext cx="8516620" cy="4330065"/>
                    </a:xfrm>
                    <a:prstGeom prst="rect">
                      <a:avLst/>
                    </a:prstGeom>
                    <a:noFill/>
                    <a:ln>
                      <a:noFill/>
                    </a:ln>
                  </pic:spPr>
                </pic:pic>
              </a:graphicData>
            </a:graphic>
          </wp:inline>
        </w:drawing>
      </w:r>
    </w:p>
    <w:p w14:paraId="7D765F83">
      <w:pPr>
        <w:rPr>
          <w:rFonts w:hint="eastAsia"/>
          <w:lang w:val="en-US" w:eastAsia="zh-CN"/>
        </w:rPr>
      </w:pPr>
      <w:r>
        <w:rPr>
          <w:sz w:val="24"/>
        </w:rPr>
        <mc:AlternateContent>
          <mc:Choice Requires="wps">
            <w:drawing>
              <wp:anchor distT="0" distB="0" distL="114300" distR="114300" simplePos="0" relativeHeight="251687936" behindDoc="0" locked="0" layoutInCell="1" allowOverlap="1">
                <wp:simplePos x="0" y="0"/>
                <wp:positionH relativeFrom="column">
                  <wp:posOffset>1212215</wp:posOffset>
                </wp:positionH>
                <wp:positionV relativeFrom="paragraph">
                  <wp:posOffset>2098675</wp:posOffset>
                </wp:positionV>
                <wp:extent cx="1238250" cy="487680"/>
                <wp:effectExtent l="0" t="0" r="0" b="0"/>
                <wp:wrapNone/>
                <wp:docPr id="167" name="文本框 167"/>
                <wp:cNvGraphicFramePr/>
                <a:graphic xmlns:a="http://schemas.openxmlformats.org/drawingml/2006/main">
                  <a:graphicData uri="http://schemas.microsoft.com/office/word/2010/wordprocessingShape">
                    <wps:wsp>
                      <wps:cNvSpPr txBox="1"/>
                      <wps:spPr>
                        <a:xfrm rot="1260000">
                          <a:off x="2303780" y="3361690"/>
                          <a:ext cx="1238250" cy="487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D3FE02">
                            <w:pPr>
                              <w:jc w:val="center"/>
                              <w:rPr>
                                <w:rFonts w:hint="default" w:eastAsia="宋体"/>
                                <w:b/>
                                <w:bCs/>
                                <w:lang w:val="en-US" w:eastAsia="zh-CN"/>
                              </w:rPr>
                            </w:pPr>
                            <w:r>
                              <w:rPr>
                                <w:rFonts w:hint="eastAsia"/>
                                <w:b/>
                                <w:bCs/>
                                <w:lang w:val="en-US" w:eastAsia="zh-CN"/>
                              </w:rPr>
                              <w:t>怀化市华恒莫来石有限公司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45pt;margin-top:165.25pt;height:38.4pt;width:97.5pt;rotation:1376256f;z-index:251687936;mso-width-relative:page;mso-height-relative:page;" filled="f" stroked="f" coordsize="21600,21600" o:gfxdata="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HwIDNkAAAALAQAADwAA&#10;AAAAAAABACAAAAAiAAAAZHJzL2Rvd25yZXYueG1sUEsBAhQAFAAAAAgAh07iQPJ4F+1OAgAAhAQA&#10;AA4AAAAAAAAAAQAgAAAAKAEAAGRycy9lMm9Eb2MueG1sUEsFBgAAAAAGAAYAWQEAAOgFAAAAAA==&#10;">
                <v:fill on="f" focussize="0,0"/>
                <v:stroke on="f" weight="0.5pt"/>
                <v:imagedata o:title=""/>
                <o:lock v:ext="edit" aspectratio="f"/>
                <v:textbox>
                  <w:txbxContent>
                    <w:p w14:paraId="5FD3FE02">
                      <w:pPr>
                        <w:jc w:val="center"/>
                        <w:rPr>
                          <w:rFonts w:hint="default" w:eastAsia="宋体"/>
                          <w:b/>
                          <w:bCs/>
                          <w:lang w:val="en-US" w:eastAsia="zh-CN"/>
                        </w:rPr>
                      </w:pPr>
                      <w:r>
                        <w:rPr>
                          <w:rFonts w:hint="eastAsia"/>
                          <w:b/>
                          <w:bCs/>
                          <w:lang w:val="en-US" w:eastAsia="zh-CN"/>
                        </w:rPr>
                        <w:t>怀化市华恒莫来石有限公司</w:t>
                      </w:r>
                    </w:p>
                  </w:txbxContent>
                </v:textbox>
              </v:shape>
            </w:pict>
          </mc:Fallback>
        </mc:AlternateContent>
      </w:r>
      <w:r>
        <w:rPr>
          <w:sz w:val="24"/>
        </w:rPr>
        <mc:AlternateContent>
          <mc:Choice Requires="wps">
            <w:drawing>
              <wp:anchor distT="0" distB="0" distL="114300" distR="114300" simplePos="0" relativeHeight="251684864" behindDoc="0" locked="0" layoutInCell="1" allowOverlap="1">
                <wp:simplePos x="0" y="0"/>
                <wp:positionH relativeFrom="column">
                  <wp:posOffset>71120</wp:posOffset>
                </wp:positionH>
                <wp:positionV relativeFrom="paragraph">
                  <wp:posOffset>4182110</wp:posOffset>
                </wp:positionV>
                <wp:extent cx="409575" cy="0"/>
                <wp:effectExtent l="0" t="12700" r="0" b="12700"/>
                <wp:wrapNone/>
                <wp:docPr id="158" name="直接连接符 158"/>
                <wp:cNvGraphicFramePr/>
                <a:graphic xmlns:a="http://schemas.openxmlformats.org/drawingml/2006/main">
                  <a:graphicData uri="http://schemas.microsoft.com/office/word/2010/wordprocessingShape">
                    <wps:wsp>
                      <wps:cNvCnPr/>
                      <wps:spPr>
                        <a:xfrm>
                          <a:off x="1189355" y="5050790"/>
                          <a:ext cx="409575" cy="0"/>
                        </a:xfrm>
                        <a:prstGeom prst="line">
                          <a:avLst/>
                        </a:prstGeom>
                        <a:ln w="25400">
                          <a:solidFill>
                            <a:srgbClr val="FFC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6pt;margin-top:329.3pt;height:0pt;width:32.25pt;z-index:251684864;mso-width-relative:page;mso-height-relative:page;" filled="f" stroked="t" coordsize="21600,21600" o:gfxdata="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xozKNUAAAAJAQAADwAAAAAAAAABACAAAAAiAAAAZHJzL2Rvd25yZXYueG1sUEsBAhQA&#10;FAAAAAgAh07iQCeocNz1AQAAwQMAAA4AAAAAAAAAAQAgAAAAJAEAAGRycy9lMm9Eb2MueG1sUEsF&#10;BgAAAAAGAAYAWQEAAIsFAAAAAA==&#10;">
                <v:fill on="f" focussize="0,0"/>
                <v:stroke weight="2pt" color="#FFC000 [3204]" miterlimit="8" joinstyle="miter"/>
                <v:imagedata o:title=""/>
                <o:lock v:ext="edit" aspectratio="f"/>
              </v:line>
            </w:pict>
          </mc:Fallback>
        </mc:AlternateContent>
      </w:r>
      <w:r>
        <w:rPr>
          <w:sz w:val="24"/>
        </w:rPr>
        <mc:AlternateContent>
          <mc:Choice Requires="wps">
            <w:drawing>
              <wp:anchor distT="0" distB="0" distL="114300" distR="114300" simplePos="0" relativeHeight="251686912" behindDoc="0" locked="0" layoutInCell="1" allowOverlap="1">
                <wp:simplePos x="0" y="0"/>
                <wp:positionH relativeFrom="column">
                  <wp:posOffset>71120</wp:posOffset>
                </wp:positionH>
                <wp:positionV relativeFrom="paragraph">
                  <wp:posOffset>3829685</wp:posOffset>
                </wp:positionV>
                <wp:extent cx="409575" cy="0"/>
                <wp:effectExtent l="0" t="12700" r="0" b="12700"/>
                <wp:wrapNone/>
                <wp:docPr id="163" name="直接连接符 163"/>
                <wp:cNvGraphicFramePr/>
                <a:graphic xmlns:a="http://schemas.openxmlformats.org/drawingml/2006/main">
                  <a:graphicData uri="http://schemas.microsoft.com/office/word/2010/wordprocessingShape">
                    <wps:wsp>
                      <wps:cNvCnPr/>
                      <wps:spPr>
                        <a:xfrm>
                          <a:off x="0" y="0"/>
                          <a:ext cx="409575" cy="0"/>
                        </a:xfrm>
                        <a:prstGeom prst="line">
                          <a:avLst/>
                        </a:prstGeom>
                        <a:ln w="25400">
                          <a:solidFill>
                            <a:srgbClr val="92D05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6pt;margin-top:301.55pt;height:0pt;width:32.25pt;z-index:251686912;mso-width-relative:page;mso-height-relative:page;" filled="f" stroked="t" coordsize="21600,21600" o:gfxdata="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u&#10;jpoj1wAAAAkBAAAPAAAAAAAAAAEAIAAAACIAAABkcnMvZG93bnJldi54bWxQSwECFAAUAAAACACH&#10;TuJA1Ha09uwBAAC1AwAADgAAAAAAAAABACAAAAAmAQAAZHJzL2Uyb0RvYy54bWxQSwUGAAAAAAYA&#10;BgBZAQAAhAUAAAAA&#10;">
                <v:fill on="f" focussize="0,0"/>
                <v:stroke weight="2pt" color="#92D050 [3204]" miterlimit="8" joinstyle="miter"/>
                <v:imagedata o:title=""/>
                <o:lock v:ext="edit" aspectratio="f"/>
              </v:line>
            </w:pict>
          </mc:Fallback>
        </mc:AlternateContent>
      </w:r>
      <w:r>
        <w:rPr>
          <w:sz w:val="24"/>
        </w:rPr>
        <mc:AlternateContent>
          <mc:Choice Requires="wps">
            <w:drawing>
              <wp:anchor distT="0" distB="0" distL="114300" distR="114300" simplePos="0" relativeHeight="251685888" behindDoc="0" locked="0" layoutInCell="1" allowOverlap="1">
                <wp:simplePos x="0" y="0"/>
                <wp:positionH relativeFrom="column">
                  <wp:posOffset>71120</wp:posOffset>
                </wp:positionH>
                <wp:positionV relativeFrom="paragraph">
                  <wp:posOffset>3543935</wp:posOffset>
                </wp:positionV>
                <wp:extent cx="409575" cy="0"/>
                <wp:effectExtent l="0" t="12700" r="0" b="12700"/>
                <wp:wrapNone/>
                <wp:docPr id="159" name="直接连接符 159"/>
                <wp:cNvGraphicFramePr/>
                <a:graphic xmlns:a="http://schemas.openxmlformats.org/drawingml/2006/main">
                  <a:graphicData uri="http://schemas.microsoft.com/office/word/2010/wordprocessingShape">
                    <wps:wsp>
                      <wps:cNvCnPr/>
                      <wps:spPr>
                        <a:xfrm>
                          <a:off x="0" y="0"/>
                          <a:ext cx="409575" cy="0"/>
                        </a:xfrm>
                        <a:prstGeom prst="line">
                          <a:avLst/>
                        </a:prstGeom>
                        <a:ln w="25400">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6pt;margin-top:279.05pt;height:0pt;width:32.25pt;z-index:251685888;mso-width-relative:page;mso-height-relative:page;" filled="f" stroked="t" coordsize="21600,21600" o:gfxdata="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n02brtUA&#10;AAAJAQAADwAAAAAAAAABACAAAAAiAAAAZHJzL2Rvd25yZXYueG1sUEsBAhQAFAAAAAgAh07iQHFG&#10;EzHpAQAAtQMAAA4AAAAAAAAAAQAgAAAAJAEAAGRycy9lMm9Eb2MueG1sUEsFBgAAAAAGAAYAWQEA&#10;AH8FAAAAAA==&#10;">
                <v:fill on="f" focussize="0,0"/>
                <v:stroke weight="2pt" color="#FF0000 [3204]" miterlimit="8" joinstyle="miter"/>
                <v:imagedata o:title=""/>
                <o:lock v:ext="edit" aspectratio="f"/>
              </v:line>
            </w:pict>
          </mc:Fallback>
        </mc:AlternateContent>
      </w:r>
      <w:r>
        <w:rPr>
          <w:sz w:val="24"/>
        </w:rPr>
        <mc:AlternateContent>
          <mc:Choice Requires="wps">
            <w:drawing>
              <wp:anchor distT="0" distB="0" distL="114300" distR="114300" simplePos="0" relativeHeight="251683840" behindDoc="0" locked="0" layoutInCell="1" allowOverlap="1">
                <wp:simplePos x="0" y="0"/>
                <wp:positionH relativeFrom="column">
                  <wp:posOffset>13970</wp:posOffset>
                </wp:positionH>
                <wp:positionV relativeFrom="paragraph">
                  <wp:posOffset>3155315</wp:posOffset>
                </wp:positionV>
                <wp:extent cx="1724025" cy="1131570"/>
                <wp:effectExtent l="4445" t="4445" r="5080" b="6985"/>
                <wp:wrapNone/>
                <wp:docPr id="157" name="文本框 157"/>
                <wp:cNvGraphicFramePr/>
                <a:graphic xmlns:a="http://schemas.openxmlformats.org/drawingml/2006/main">
                  <a:graphicData uri="http://schemas.microsoft.com/office/word/2010/wordprocessingShape">
                    <wps:wsp>
                      <wps:cNvSpPr txBox="1"/>
                      <wps:spPr>
                        <a:xfrm>
                          <a:off x="1094105" y="4803140"/>
                          <a:ext cx="1724025" cy="1131570"/>
                        </a:xfrm>
                        <a:prstGeom prst="rect">
                          <a:avLst/>
                        </a:prstGeom>
                        <a:solidFill>
                          <a:schemeClr val="lt1">
                            <a:alpha val="5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4CD1EAB">
                            <w:pPr>
                              <w:rPr>
                                <w:rFonts w:hint="eastAsia"/>
                                <w:lang w:val="en-US" w:eastAsia="zh-CN"/>
                              </w:rPr>
                            </w:pPr>
                            <w:r>
                              <w:rPr>
                                <w:rFonts w:hint="eastAsia"/>
                                <w:lang w:val="en-US" w:eastAsia="zh-CN"/>
                              </w:rPr>
                              <w:t>图例</w:t>
                            </w:r>
                          </w:p>
                          <w:p w14:paraId="47F37AA6">
                            <w:pPr>
                              <w:pStyle w:val="2"/>
                              <w:ind w:firstLine="720" w:firstLineChars="300"/>
                              <w:rPr>
                                <w:rFonts w:hint="default"/>
                                <w:sz w:val="24"/>
                                <w:szCs w:val="24"/>
                                <w:lang w:val="en-US" w:eastAsia="zh-CN"/>
                              </w:rPr>
                            </w:pPr>
                            <w:r>
                              <w:rPr>
                                <w:rFonts w:hint="eastAsia"/>
                                <w:sz w:val="24"/>
                                <w:szCs w:val="24"/>
                                <w:lang w:val="en-US" w:eastAsia="zh-CN"/>
                              </w:rPr>
                              <w:t>厂区红线</w:t>
                            </w:r>
                          </w:p>
                          <w:p w14:paraId="2305459B">
                            <w:pPr>
                              <w:pStyle w:val="2"/>
                              <w:ind w:firstLine="720" w:firstLineChars="300"/>
                              <w:rPr>
                                <w:rFonts w:hint="default"/>
                                <w:sz w:val="24"/>
                                <w:szCs w:val="24"/>
                                <w:lang w:val="en-US" w:eastAsia="zh-CN"/>
                              </w:rPr>
                            </w:pPr>
                            <w:r>
                              <w:rPr>
                                <w:rFonts w:hint="eastAsia"/>
                                <w:sz w:val="24"/>
                                <w:szCs w:val="24"/>
                                <w:lang w:val="en-US" w:eastAsia="zh-CN"/>
                              </w:rPr>
                              <w:t>周边企业</w:t>
                            </w:r>
                          </w:p>
                          <w:p w14:paraId="1B3340F2">
                            <w:pPr>
                              <w:pStyle w:val="2"/>
                              <w:ind w:firstLine="720" w:firstLineChars="300"/>
                              <w:rPr>
                                <w:rFonts w:hint="default"/>
                                <w:lang w:val="en-US" w:eastAsia="zh-CN"/>
                              </w:rPr>
                            </w:pPr>
                            <w:r>
                              <w:rPr>
                                <w:rFonts w:hint="eastAsia"/>
                                <w:sz w:val="24"/>
                                <w:szCs w:val="24"/>
                                <w:lang w:val="en-US" w:eastAsia="zh-CN"/>
                              </w:rPr>
                              <w:t>公路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pt;margin-top:248.45pt;height:89.1pt;width:135.75pt;z-index:251683840;mso-width-relative:page;mso-height-relative:page;" fillcolor="#FFFFFF [3201]" filled="t" stroked="t" coordsize="21600,21600" o:gfxdata="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N1Se7tgAAAAJAQAADwAAAAAAAAABACAAAAAiAAAAZHJz&#10;L2Rvd25yZXYueG1sUEsBAhQAFAAAAAgAh07iQL3CvjJ2AgAA6QQAAA4AAAAAAAAAAQAgAAAAJwEA&#10;AGRycy9lMm9Eb2MueG1sUEsFBgAAAAAGAAYAWQEAAA8GAAAAAA==&#10;">
                <v:fill on="t" opacity="32768f" focussize="0,0"/>
                <v:stroke weight="0.5pt" color="#000000 [3204]" joinstyle="round"/>
                <v:imagedata o:title=""/>
                <o:lock v:ext="edit" aspectratio="f"/>
                <v:textbox>
                  <w:txbxContent>
                    <w:p w14:paraId="54CD1EAB">
                      <w:pPr>
                        <w:rPr>
                          <w:rFonts w:hint="eastAsia"/>
                          <w:lang w:val="en-US" w:eastAsia="zh-CN"/>
                        </w:rPr>
                      </w:pPr>
                      <w:r>
                        <w:rPr>
                          <w:rFonts w:hint="eastAsia"/>
                          <w:lang w:val="en-US" w:eastAsia="zh-CN"/>
                        </w:rPr>
                        <w:t>图例</w:t>
                      </w:r>
                    </w:p>
                    <w:p w14:paraId="47F37AA6">
                      <w:pPr>
                        <w:pStyle w:val="2"/>
                        <w:ind w:firstLine="720" w:firstLineChars="300"/>
                        <w:rPr>
                          <w:rFonts w:hint="default"/>
                          <w:sz w:val="24"/>
                          <w:szCs w:val="24"/>
                          <w:lang w:val="en-US" w:eastAsia="zh-CN"/>
                        </w:rPr>
                      </w:pPr>
                      <w:r>
                        <w:rPr>
                          <w:rFonts w:hint="eastAsia"/>
                          <w:sz w:val="24"/>
                          <w:szCs w:val="24"/>
                          <w:lang w:val="en-US" w:eastAsia="zh-CN"/>
                        </w:rPr>
                        <w:t>厂区红线</w:t>
                      </w:r>
                    </w:p>
                    <w:p w14:paraId="2305459B">
                      <w:pPr>
                        <w:pStyle w:val="2"/>
                        <w:ind w:firstLine="720" w:firstLineChars="300"/>
                        <w:rPr>
                          <w:rFonts w:hint="default"/>
                          <w:sz w:val="24"/>
                          <w:szCs w:val="24"/>
                          <w:lang w:val="en-US" w:eastAsia="zh-CN"/>
                        </w:rPr>
                      </w:pPr>
                      <w:r>
                        <w:rPr>
                          <w:rFonts w:hint="eastAsia"/>
                          <w:sz w:val="24"/>
                          <w:szCs w:val="24"/>
                          <w:lang w:val="en-US" w:eastAsia="zh-CN"/>
                        </w:rPr>
                        <w:t>周边企业</w:t>
                      </w:r>
                    </w:p>
                    <w:p w14:paraId="1B3340F2">
                      <w:pPr>
                        <w:pStyle w:val="2"/>
                        <w:ind w:firstLine="720" w:firstLineChars="300"/>
                        <w:rPr>
                          <w:rFonts w:hint="default"/>
                          <w:lang w:val="en-US" w:eastAsia="zh-CN"/>
                        </w:rPr>
                      </w:pPr>
                      <w:r>
                        <w:rPr>
                          <w:rFonts w:hint="eastAsia"/>
                          <w:sz w:val="24"/>
                          <w:szCs w:val="24"/>
                          <w:lang w:val="en-US" w:eastAsia="zh-CN"/>
                        </w:rPr>
                        <w:t>公路</w:t>
                      </w:r>
                    </w:p>
                  </w:txbxContent>
                </v:textbox>
              </v:shape>
            </w:pict>
          </mc:Fallback>
        </mc:AlternateContent>
      </w:r>
      <w:r>
        <w:rPr>
          <w:rFonts w:hint="eastAsia"/>
          <w:lang w:val="en-US" w:eastAsia="zh-CN"/>
        </w:rPr>
        <w:br w:type="page"/>
      </w:r>
    </w:p>
    <w:p w14:paraId="65A3FF6B">
      <w:pPr>
        <w:jc w:val="left"/>
        <w:outlineLvl w:val="0"/>
        <w:rPr>
          <w:rFonts w:hint="eastAsia"/>
          <w:lang w:val="en-US" w:eastAsia="zh-CN"/>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14:paraId="450A6BB2">
      <w:pPr>
        <w:jc w:val="left"/>
        <w:outlineLvl w:val="0"/>
        <w:rPr>
          <w:rFonts w:hint="eastAsia" w:cs="Times New Roman"/>
          <w:b/>
          <w:bCs/>
          <w:sz w:val="24"/>
          <w:szCs w:val="24"/>
          <w:highlight w:val="none"/>
          <w:lang w:val="en-US" w:eastAsia="zh-CN"/>
        </w:rPr>
      </w:pPr>
      <w:r>
        <w:rPr>
          <w:rFonts w:hint="eastAsia" w:ascii="Times New Roman" w:hAnsi="Times New Roman" w:eastAsia="宋体" w:cs="Times New Roman"/>
          <w:b/>
          <w:bCs/>
          <w:sz w:val="24"/>
          <w:lang w:val="en-US" w:eastAsia="zh-CN"/>
        </w:rPr>
        <w:t>附图</w:t>
      </w:r>
      <w:r>
        <w:rPr>
          <w:rFonts w:hint="eastAsia" w:cs="Times New Roman"/>
          <w:b/>
          <w:bCs/>
          <w:sz w:val="24"/>
          <w:lang w:val="en-US" w:eastAsia="zh-CN"/>
        </w:rPr>
        <w:t>11</w:t>
      </w:r>
      <w:r>
        <w:rPr>
          <w:rFonts w:hint="eastAsia" w:ascii="Times New Roman" w:hAnsi="Times New Roman" w:eastAsia="宋体" w:cs="Times New Roman"/>
          <w:b/>
          <w:bCs/>
          <w:sz w:val="24"/>
          <w:lang w:val="en-US" w:eastAsia="zh-CN"/>
        </w:rPr>
        <w:t>：</w:t>
      </w:r>
      <w:r>
        <w:rPr>
          <w:rFonts w:hint="eastAsia" w:cs="Times New Roman"/>
          <w:b/>
          <w:bCs/>
          <w:sz w:val="24"/>
          <w:szCs w:val="24"/>
          <w:highlight w:val="none"/>
          <w:lang w:val="en-US" w:eastAsia="zh-CN"/>
        </w:rPr>
        <w:t>项目废气路径走向图</w:t>
      </w:r>
    </w:p>
    <w:p w14:paraId="7F0E001E">
      <w:pPr>
        <w:pStyle w:val="2"/>
        <w:rPr>
          <w:rFonts w:hint="default"/>
          <w:lang w:val="en-US" w:eastAsia="zh-CN"/>
        </w:rPr>
      </w:pPr>
    </w:p>
    <w:p w14:paraId="383EE481"/>
    <w:p w14:paraId="3E6F4714">
      <w:pPr>
        <w:rPr>
          <w:rFonts w:hint="eastAsia" w:ascii="Times New Roman" w:hAnsi="Times New Roman" w:eastAsia="宋体" w:cs="Times New Roman"/>
          <w:b/>
          <w:bCs/>
          <w:sz w:val="24"/>
          <w:lang w:val="en-US" w:eastAsia="zh-CN"/>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drawing>
          <wp:inline distT="0" distB="0" distL="114300" distR="114300">
            <wp:extent cx="9109075" cy="4950460"/>
            <wp:effectExtent l="0" t="0" r="15875" b="25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8"/>
                    <a:stretch>
                      <a:fillRect/>
                    </a:stretch>
                  </pic:blipFill>
                  <pic:spPr>
                    <a:xfrm>
                      <a:off x="0" y="0"/>
                      <a:ext cx="9109075" cy="4950460"/>
                    </a:xfrm>
                    <a:prstGeom prst="rect">
                      <a:avLst/>
                    </a:prstGeom>
                    <a:noFill/>
                    <a:ln>
                      <a:noFill/>
                    </a:ln>
                  </pic:spPr>
                </pic:pic>
              </a:graphicData>
            </a:graphic>
          </wp:inline>
        </w:drawing>
      </w:r>
    </w:p>
    <w:p w14:paraId="521E4947">
      <w:pPr>
        <w:jc w:val="left"/>
        <w:outlineLvl w:val="0"/>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附图</w:t>
      </w:r>
      <w:r>
        <w:rPr>
          <w:rFonts w:hint="eastAsia" w:cs="Times New Roman"/>
          <w:b/>
          <w:bCs/>
          <w:sz w:val="24"/>
          <w:lang w:val="en-US" w:eastAsia="zh-CN"/>
        </w:rPr>
        <w:t>12</w:t>
      </w:r>
      <w:r>
        <w:rPr>
          <w:rFonts w:hint="eastAsia" w:ascii="Times New Roman" w:hAnsi="Times New Roman" w:eastAsia="宋体" w:cs="Times New Roman"/>
          <w:b/>
          <w:bCs/>
          <w:sz w:val="24"/>
          <w:lang w:val="en-US" w:eastAsia="zh-CN"/>
        </w:rPr>
        <w:t>：</w:t>
      </w:r>
      <w:bookmarkEnd w:id="42"/>
      <w:r>
        <w:rPr>
          <w:rFonts w:hint="eastAsia" w:cs="Times New Roman"/>
          <w:b/>
          <w:bCs/>
          <w:sz w:val="24"/>
          <w:szCs w:val="24"/>
          <w:highlight w:val="none"/>
          <w:lang w:val="en-US" w:eastAsia="zh-CN"/>
        </w:rPr>
        <w:t>项目现场情况</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6"/>
        <w:gridCol w:w="4264"/>
      </w:tblGrid>
      <w:tr w14:paraId="2754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6" w:type="dxa"/>
            <w:noWrap w:val="0"/>
            <w:vAlign w:val="top"/>
          </w:tcPr>
          <w:p w14:paraId="353BA073">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vertAlign w:val="baseline"/>
                <w:lang w:val="en-US" w:eastAsia="zh-CN"/>
              </w:rPr>
            </w:pPr>
            <w:r>
              <w:rPr>
                <w:rFonts w:hint="eastAsia"/>
                <w:vertAlign w:val="baseline"/>
                <w:lang w:val="en-US" w:eastAsia="zh-CN"/>
              </w:rPr>
              <w:drawing>
                <wp:inline distT="0" distB="0" distL="114300" distR="114300">
                  <wp:extent cx="2524125" cy="2343150"/>
                  <wp:effectExtent l="0" t="0" r="9525" b="0"/>
                  <wp:docPr id="151" name="图片 151" descr="d7d1f3cb-0513-4ae2-ae36-997fda6bb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d7d1f3cb-0513-4ae2-ae36-997fda6bb11e"/>
                          <pic:cNvPicPr>
                            <a:picLocks noChangeAspect="1"/>
                          </pic:cNvPicPr>
                        </pic:nvPicPr>
                        <pic:blipFill>
                          <a:blip r:embed="rId109"/>
                          <a:stretch>
                            <a:fillRect/>
                          </a:stretch>
                        </pic:blipFill>
                        <pic:spPr>
                          <a:xfrm>
                            <a:off x="0" y="0"/>
                            <a:ext cx="2524125" cy="2343150"/>
                          </a:xfrm>
                          <a:prstGeom prst="rect">
                            <a:avLst/>
                          </a:prstGeom>
                        </pic:spPr>
                      </pic:pic>
                    </a:graphicData>
                  </a:graphic>
                </wp:inline>
              </w:drawing>
            </w:r>
          </w:p>
        </w:tc>
        <w:tc>
          <w:tcPr>
            <w:tcW w:w="4264" w:type="dxa"/>
            <w:noWrap w:val="0"/>
            <w:vAlign w:val="top"/>
          </w:tcPr>
          <w:p w14:paraId="5AD9ED2B">
            <w:pPr>
              <w:pStyle w:val="2"/>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vertAlign w:val="baseline"/>
                <w:lang w:val="en-US" w:eastAsia="zh-CN"/>
              </w:rPr>
            </w:pPr>
            <w:r>
              <w:rPr>
                <w:rFonts w:hint="eastAsia"/>
                <w:sz w:val="21"/>
                <w:szCs w:val="21"/>
                <w:vertAlign w:val="baseline"/>
                <w:lang w:val="en-US" w:eastAsia="zh-CN"/>
              </w:rPr>
              <w:drawing>
                <wp:inline distT="0" distB="0" distL="114300" distR="114300">
                  <wp:extent cx="2520315" cy="2339975"/>
                  <wp:effectExtent l="0" t="0" r="13335" b="3175"/>
                  <wp:docPr id="81" name="图片 81" descr="ab6201ceb277f9d31f60c1e60ad4241c"/>
                  <wp:cNvGraphicFramePr/>
                  <a:graphic xmlns:a="http://schemas.openxmlformats.org/drawingml/2006/main">
                    <a:graphicData uri="http://schemas.openxmlformats.org/drawingml/2006/picture">
                      <pic:pic xmlns:pic="http://schemas.openxmlformats.org/drawingml/2006/picture">
                        <pic:nvPicPr>
                          <pic:cNvPr id="81" name="图片 81" descr="ab6201ceb277f9d31f60c1e60ad4241c"/>
                          <pic:cNvPicPr/>
                        </pic:nvPicPr>
                        <pic:blipFill>
                          <a:blip r:embed="rId110"/>
                          <a:stretch>
                            <a:fillRect/>
                          </a:stretch>
                        </pic:blipFill>
                        <pic:spPr>
                          <a:xfrm>
                            <a:off x="0" y="0"/>
                            <a:ext cx="2520315" cy="2339975"/>
                          </a:xfrm>
                          <a:prstGeom prst="rect">
                            <a:avLst/>
                          </a:prstGeom>
                        </pic:spPr>
                      </pic:pic>
                    </a:graphicData>
                  </a:graphic>
                </wp:inline>
              </w:drawing>
            </w:r>
          </w:p>
        </w:tc>
      </w:tr>
      <w:tr w14:paraId="22D0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6" w:type="dxa"/>
            <w:noWrap w:val="0"/>
            <w:vAlign w:val="center"/>
          </w:tcPr>
          <w:p w14:paraId="7DC49F4D">
            <w:pPr>
              <w:pStyle w:val="2"/>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sz w:val="21"/>
                <w:szCs w:val="21"/>
                <w:vertAlign w:val="baseline"/>
                <w:lang w:val="en-US" w:eastAsia="zh-CN"/>
              </w:rPr>
            </w:pPr>
            <w:r>
              <w:rPr>
                <w:rFonts w:hint="eastAsia"/>
                <w:sz w:val="21"/>
                <w:szCs w:val="21"/>
                <w:vertAlign w:val="baseline"/>
                <w:lang w:val="en-US" w:eastAsia="zh-CN"/>
              </w:rPr>
              <w:t>项目东侧</w:t>
            </w:r>
          </w:p>
        </w:tc>
        <w:tc>
          <w:tcPr>
            <w:tcW w:w="4264" w:type="dxa"/>
            <w:noWrap w:val="0"/>
            <w:vAlign w:val="center"/>
          </w:tcPr>
          <w:p w14:paraId="4FBAFBCB">
            <w:pPr>
              <w:pStyle w:val="2"/>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项目南侧</w:t>
            </w:r>
          </w:p>
        </w:tc>
      </w:tr>
      <w:tr w14:paraId="1FB2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6" w:type="dxa"/>
            <w:noWrap w:val="0"/>
            <w:vAlign w:val="center"/>
          </w:tcPr>
          <w:p w14:paraId="51630815">
            <w:pPr>
              <w:pStyle w:val="2"/>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eastAsia"/>
                <w:sz w:val="21"/>
                <w:szCs w:val="21"/>
                <w:vertAlign w:val="baseline"/>
                <w:lang w:val="en-US" w:eastAsia="zh-CN"/>
              </w:rPr>
            </w:pPr>
            <w:r>
              <w:rPr>
                <w:rFonts w:hint="eastAsia"/>
                <w:vertAlign w:val="baseline"/>
                <w:lang w:val="en-US" w:eastAsia="zh-CN"/>
              </w:rPr>
              <w:drawing>
                <wp:inline distT="0" distB="0" distL="114300" distR="114300">
                  <wp:extent cx="2524125" cy="2343150"/>
                  <wp:effectExtent l="0" t="0" r="9525" b="0"/>
                  <wp:docPr id="150" name="图片 150" descr="9c601920-5e4c-4061-993d-a132bca977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9c601920-5e4c-4061-993d-a132bca977b4"/>
                          <pic:cNvPicPr>
                            <a:picLocks noChangeAspect="1"/>
                          </pic:cNvPicPr>
                        </pic:nvPicPr>
                        <pic:blipFill>
                          <a:blip r:embed="rId111"/>
                          <a:stretch>
                            <a:fillRect/>
                          </a:stretch>
                        </pic:blipFill>
                        <pic:spPr>
                          <a:xfrm>
                            <a:off x="0" y="0"/>
                            <a:ext cx="2524125" cy="2343150"/>
                          </a:xfrm>
                          <a:prstGeom prst="rect">
                            <a:avLst/>
                          </a:prstGeom>
                        </pic:spPr>
                      </pic:pic>
                    </a:graphicData>
                  </a:graphic>
                </wp:inline>
              </w:drawing>
            </w:r>
          </w:p>
        </w:tc>
        <w:tc>
          <w:tcPr>
            <w:tcW w:w="4264" w:type="dxa"/>
            <w:noWrap w:val="0"/>
            <w:vAlign w:val="center"/>
          </w:tcPr>
          <w:p w14:paraId="30AC5A87">
            <w:pPr>
              <w:pStyle w:val="2"/>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eastAsia" w:cs="Times New Roman"/>
                <w:sz w:val="21"/>
                <w:szCs w:val="21"/>
                <w:vertAlign w:val="baseline"/>
                <w:lang w:val="en-US" w:eastAsia="zh-CN"/>
              </w:rPr>
            </w:pPr>
            <w:r>
              <w:rPr>
                <w:rFonts w:hint="eastAsia"/>
                <w:vertAlign w:val="baseline"/>
                <w:lang w:val="en-US" w:eastAsia="zh-CN"/>
              </w:rPr>
              <w:drawing>
                <wp:inline distT="0" distB="0" distL="114300" distR="114300">
                  <wp:extent cx="2520315" cy="2339975"/>
                  <wp:effectExtent l="0" t="0" r="13335" b="3175"/>
                  <wp:docPr id="53" name="图片 53" descr="09e20bd5b223ff20be466e479354695f"/>
                  <wp:cNvGraphicFramePr/>
                  <a:graphic xmlns:a="http://schemas.openxmlformats.org/drawingml/2006/main">
                    <a:graphicData uri="http://schemas.openxmlformats.org/drawingml/2006/picture">
                      <pic:pic xmlns:pic="http://schemas.openxmlformats.org/drawingml/2006/picture">
                        <pic:nvPicPr>
                          <pic:cNvPr id="53" name="图片 53" descr="09e20bd5b223ff20be466e479354695f"/>
                          <pic:cNvPicPr/>
                        </pic:nvPicPr>
                        <pic:blipFill>
                          <a:blip r:embed="rId112"/>
                          <a:stretch>
                            <a:fillRect/>
                          </a:stretch>
                        </pic:blipFill>
                        <pic:spPr>
                          <a:xfrm>
                            <a:off x="0" y="0"/>
                            <a:ext cx="2520315" cy="2339975"/>
                          </a:xfrm>
                          <a:prstGeom prst="rect">
                            <a:avLst/>
                          </a:prstGeom>
                        </pic:spPr>
                      </pic:pic>
                    </a:graphicData>
                  </a:graphic>
                </wp:inline>
              </w:drawing>
            </w:r>
          </w:p>
        </w:tc>
      </w:tr>
      <w:tr w14:paraId="0E58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6" w:type="dxa"/>
            <w:noWrap w:val="0"/>
            <w:vAlign w:val="center"/>
          </w:tcPr>
          <w:p w14:paraId="16CE8A36">
            <w:pPr>
              <w:pStyle w:val="2"/>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eastAsia"/>
                <w:sz w:val="21"/>
                <w:szCs w:val="21"/>
                <w:vertAlign w:val="baseline"/>
                <w:lang w:val="en-US" w:eastAsia="zh-CN"/>
              </w:rPr>
            </w:pPr>
            <w:r>
              <w:rPr>
                <w:rFonts w:hint="eastAsia"/>
                <w:sz w:val="21"/>
                <w:szCs w:val="21"/>
                <w:vertAlign w:val="baseline"/>
                <w:lang w:val="en-US" w:eastAsia="zh-CN"/>
              </w:rPr>
              <w:t>项目西侧</w:t>
            </w:r>
          </w:p>
        </w:tc>
        <w:tc>
          <w:tcPr>
            <w:tcW w:w="4264" w:type="dxa"/>
            <w:noWrap w:val="0"/>
            <w:vAlign w:val="center"/>
          </w:tcPr>
          <w:p w14:paraId="65755D23">
            <w:pPr>
              <w:pStyle w:val="2"/>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项目北侧</w:t>
            </w:r>
          </w:p>
        </w:tc>
      </w:tr>
      <w:tr w14:paraId="353C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6" w:type="dxa"/>
            <w:noWrap w:val="0"/>
            <w:vAlign w:val="center"/>
          </w:tcPr>
          <w:p w14:paraId="6D63C2B4">
            <w:pPr>
              <w:pStyle w:val="2"/>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eastAsia"/>
                <w:sz w:val="21"/>
                <w:szCs w:val="21"/>
                <w:vertAlign w:val="baseline"/>
                <w:lang w:val="en-US" w:eastAsia="zh-CN"/>
              </w:rPr>
            </w:pPr>
            <w:r>
              <w:rPr>
                <w:rFonts w:hint="eastAsia"/>
                <w:sz w:val="21"/>
                <w:szCs w:val="21"/>
                <w:vertAlign w:val="baseline"/>
                <w:lang w:val="en-US" w:eastAsia="zh-CN"/>
              </w:rPr>
              <w:drawing>
                <wp:inline distT="0" distB="0" distL="114300" distR="114300">
                  <wp:extent cx="2520315" cy="2339975"/>
                  <wp:effectExtent l="0" t="0" r="13335" b="3175"/>
                  <wp:docPr id="132" name="图片 132" descr="da07ed97850c4a15047e2958a32b92b0"/>
                  <wp:cNvGraphicFramePr/>
                  <a:graphic xmlns:a="http://schemas.openxmlformats.org/drawingml/2006/main">
                    <a:graphicData uri="http://schemas.openxmlformats.org/drawingml/2006/picture">
                      <pic:pic xmlns:pic="http://schemas.openxmlformats.org/drawingml/2006/picture">
                        <pic:nvPicPr>
                          <pic:cNvPr id="132" name="图片 132" descr="da07ed97850c4a15047e2958a32b92b0"/>
                          <pic:cNvPicPr/>
                        </pic:nvPicPr>
                        <pic:blipFill>
                          <a:blip r:embed="rId113"/>
                          <a:stretch>
                            <a:fillRect/>
                          </a:stretch>
                        </pic:blipFill>
                        <pic:spPr>
                          <a:xfrm>
                            <a:off x="0" y="0"/>
                            <a:ext cx="2520315" cy="2339975"/>
                          </a:xfrm>
                          <a:prstGeom prst="rect">
                            <a:avLst/>
                          </a:prstGeom>
                        </pic:spPr>
                      </pic:pic>
                    </a:graphicData>
                  </a:graphic>
                </wp:inline>
              </w:drawing>
            </w:r>
          </w:p>
        </w:tc>
        <w:tc>
          <w:tcPr>
            <w:tcW w:w="4264" w:type="dxa"/>
            <w:noWrap w:val="0"/>
            <w:vAlign w:val="center"/>
          </w:tcPr>
          <w:p w14:paraId="327C154E">
            <w:pPr>
              <w:pStyle w:val="2"/>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eastAsia" w:cs="Times New Roman"/>
                <w:sz w:val="21"/>
                <w:szCs w:val="21"/>
                <w:vertAlign w:val="baseline"/>
                <w:lang w:val="en-US" w:eastAsia="zh-CN"/>
              </w:rPr>
            </w:pPr>
            <w:r>
              <w:rPr>
                <w:sz w:val="21"/>
                <w:szCs w:val="21"/>
              </w:rPr>
              <w:drawing>
                <wp:inline distT="0" distB="0" distL="0" distR="0">
                  <wp:extent cx="2520315" cy="2339975"/>
                  <wp:effectExtent l="0" t="0" r="13335" b="3175"/>
                  <wp:docPr id="1392777912" name="图片 89"/>
                  <wp:cNvGraphicFramePr/>
                  <a:graphic xmlns:a="http://schemas.openxmlformats.org/drawingml/2006/main">
                    <a:graphicData uri="http://schemas.openxmlformats.org/drawingml/2006/picture">
                      <pic:pic xmlns:pic="http://schemas.openxmlformats.org/drawingml/2006/picture">
                        <pic:nvPicPr>
                          <pic:cNvPr id="1392777912" name="图片 89"/>
                          <pic:cNvPicPr>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2520315" cy="2339975"/>
                          </a:xfrm>
                          <a:prstGeom prst="rect">
                            <a:avLst/>
                          </a:prstGeom>
                          <a:noFill/>
                          <a:ln>
                            <a:noFill/>
                          </a:ln>
                        </pic:spPr>
                      </pic:pic>
                    </a:graphicData>
                  </a:graphic>
                </wp:inline>
              </w:drawing>
            </w:r>
          </w:p>
        </w:tc>
      </w:tr>
      <w:tr w14:paraId="63597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6" w:type="dxa"/>
            <w:noWrap w:val="0"/>
            <w:vAlign w:val="center"/>
          </w:tcPr>
          <w:p w14:paraId="3FA26CDD">
            <w:pPr>
              <w:pStyle w:val="2"/>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eastAsia"/>
                <w:sz w:val="21"/>
                <w:szCs w:val="21"/>
                <w:vertAlign w:val="baseline"/>
                <w:lang w:val="en-US" w:eastAsia="zh-CN"/>
              </w:rPr>
            </w:pPr>
            <w:r>
              <w:rPr>
                <w:rFonts w:hint="eastAsia"/>
                <w:sz w:val="21"/>
                <w:szCs w:val="21"/>
                <w:vertAlign w:val="baseline"/>
                <w:lang w:val="en-US" w:eastAsia="zh-CN"/>
              </w:rPr>
              <w:t>厂房内部</w:t>
            </w:r>
          </w:p>
        </w:tc>
        <w:tc>
          <w:tcPr>
            <w:tcW w:w="4264" w:type="dxa"/>
            <w:noWrap w:val="0"/>
            <w:vAlign w:val="center"/>
          </w:tcPr>
          <w:p w14:paraId="53C20411">
            <w:pPr>
              <w:pStyle w:val="2"/>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eastAsia" w:cs="Times New Roman"/>
                <w:sz w:val="21"/>
                <w:szCs w:val="21"/>
                <w:vertAlign w:val="baseline"/>
                <w:lang w:val="en-US" w:eastAsia="zh-CN"/>
              </w:rPr>
            </w:pPr>
            <w:r>
              <w:rPr>
                <w:rFonts w:hint="eastAsia"/>
                <w:sz w:val="21"/>
                <w:szCs w:val="21"/>
              </w:rPr>
              <w:t>工程师现场踏勘照片</w:t>
            </w:r>
          </w:p>
        </w:tc>
      </w:tr>
    </w:tbl>
    <w:p w14:paraId="00A3A799">
      <w:pPr>
        <w:rPr>
          <w:rFonts w:hint="default" w:ascii="Times New Roman" w:hAnsi="Times New Roman" w:cs="Times New Roman"/>
          <w:b/>
          <w:bCs/>
          <w:color w:val="000000" w:themeColor="text1"/>
          <w:sz w:val="24"/>
          <w:szCs w:val="32"/>
          <w:u w:val="none" w:color="auto"/>
          <w:lang w:val="en-US" w:eastAsia="zh-CN"/>
          <w14:textFill>
            <w14:solidFill>
              <w14:schemeClr w14:val="tx1"/>
            </w14:solidFill>
          </w14:textFill>
        </w:rPr>
      </w:pPr>
    </w:p>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18030">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decorative"/>
    <w:pitch w:val="default"/>
    <w:sig w:usb0="00000000" w:usb1="00000000" w:usb2="00000000" w:usb3="00000000" w:csb0="80000000" w:csb1="00000000"/>
  </w:font>
  <w:font w:name="方正小标宋_GBK">
    <w:altName w:val="微软雅黑"/>
    <w:panose1 w:val="02000000000000000000"/>
    <w:charset w:val="86"/>
    <w:family w:val="script"/>
    <w:pitch w:val="default"/>
    <w:sig w:usb0="00000000" w:usb1="00000000" w:usb2="00082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6DE99">
    <w:pPr>
      <w:tabs>
        <w:tab w:val="center" w:pos="4153"/>
        <w:tab w:val="right" w:pos="8306"/>
      </w:tabs>
      <w:ind w:right="360" w:firstLine="36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B182A">
    <w:pPr>
      <w:pStyle w:val="24"/>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32365">
    <w:pPr>
      <w:framePr w:wrap="around" w:vAnchor="text" w:hAnchor="margin" w:xAlign="center" w:y="1"/>
      <w:tabs>
        <w:tab w:val="center" w:pos="4153"/>
        <w:tab w:val="right" w:pos="8306"/>
      </w:tabs>
    </w:pPr>
    <w:r>
      <w:fldChar w:fldCharType="begin"/>
    </w:r>
    <w:r>
      <w:instrText xml:space="preserve">PAGE  </w:instrText>
    </w:r>
    <w:r>
      <w:fldChar w:fldCharType="end"/>
    </w:r>
  </w:p>
  <w:p w14:paraId="04E87D27">
    <w:pPr>
      <w:tabs>
        <w:tab w:val="center" w:pos="4153"/>
        <w:tab w:val="right" w:pos="8306"/>
      </w:tabs>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EA50A">
    <w:pPr>
      <w:tabs>
        <w:tab w:val="center" w:pos="4153"/>
        <w:tab w:val="right"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078A7">
    <w:pPr>
      <w:tabs>
        <w:tab w:val="center" w:pos="4153"/>
        <w:tab w:val="right" w:pos="8306"/>
      </w:tabs>
      <w:jc w:val="center"/>
      <w:rPr>
        <w:rFonts w:hint="eastAsia"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84B19C">
                          <w:pPr>
                            <w:tabs>
                              <w:tab w:val="center" w:pos="4153"/>
                              <w:tab w:val="right" w:pos="8306"/>
                            </w:tabs>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fill on="f" focussize="0,0"/>
              <v:stroke on="f" weight="0.5pt"/>
              <v:imagedata o:title=""/>
              <o:lock v:ext="edit" aspectratio="f"/>
              <v:textbox inset="0mm,0mm,0mm,0mm" style="mso-fit-shape-to-text:t;">
                <w:txbxContent>
                  <w:p w14:paraId="0F84B19C">
                    <w:pPr>
                      <w:tabs>
                        <w:tab w:val="center" w:pos="4153"/>
                        <w:tab w:val="right" w:pos="8306"/>
                      </w:tabs>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BD060">
    <w:pPr>
      <w:tabs>
        <w:tab w:val="center" w:pos="4153"/>
        <w:tab w:val="right" w:pos="8306"/>
      </w:tabs>
      <w:ind w:firstLine="48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87FB5">
                          <w:pPr>
                            <w:tabs>
                              <w:tab w:val="center" w:pos="4153"/>
                              <w:tab w:val="right" w:pos="8306"/>
                            </w:tabs>
                          </w:pPr>
                          <w:r>
                            <w:t xml:space="preserve">第 </w:t>
                          </w:r>
                          <w:r>
                            <w:fldChar w:fldCharType="begin"/>
                          </w:r>
                          <w:r>
                            <w:instrText xml:space="preserve"> PAGE  \* MERGEFORMAT </w:instrText>
                          </w:r>
                          <w:r>
                            <w:fldChar w:fldCharType="separate"/>
                          </w:r>
                          <w:r>
                            <w:t>74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Oos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OoszAgAAYwQAAA4AAAAAAAAAAQAgAAAAHwEAAGRycy9lMm9Eb2MueG1sUEsF&#10;BgAAAAAGAAYAWQEAAMQFAAAAAA==&#10;">
              <v:fill on="f" focussize="0,0"/>
              <v:stroke on="f" weight="0.5pt"/>
              <v:imagedata o:title=""/>
              <o:lock v:ext="edit" aspectratio="f"/>
              <v:textbox inset="0mm,0mm,0mm,0mm" style="mso-fit-shape-to-text:t;">
                <w:txbxContent>
                  <w:p w14:paraId="7AF87FB5">
                    <w:pPr>
                      <w:tabs>
                        <w:tab w:val="center" w:pos="4153"/>
                        <w:tab w:val="right" w:pos="8306"/>
                      </w:tabs>
                    </w:pPr>
                    <w:r>
                      <w:t xml:space="preserve">第 </w:t>
                    </w:r>
                    <w:r>
                      <w:fldChar w:fldCharType="begin"/>
                    </w:r>
                    <w:r>
                      <w:instrText xml:space="preserve"> PAGE  \* MERGEFORMAT </w:instrText>
                    </w:r>
                    <w:r>
                      <w:fldChar w:fldCharType="separate"/>
                    </w:r>
                    <w:r>
                      <w:t>74</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A5878">
    <w:pPr>
      <w:pStyle w:val="24"/>
      <w:ind w:right="360" w:firstLine="360"/>
      <w:jc w:val="cente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BEC92">
                          <w:pPr>
                            <w:pStyle w:val="2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747BEC92">
                    <w:pPr>
                      <w:pStyle w:val="24"/>
                    </w:pPr>
                  </w:p>
                </w:txbxContent>
              </v:textbox>
            </v:shape>
          </w:pict>
        </mc:Fallback>
      </mc:AlternateContent>
    </w:r>
    <w:r>
      <w:rPr>
        <w:rFonts w:hint="eastAsia"/>
        <w:lang w:val="en-US" w:eastAsia="zh-CN"/>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063F6">
    <w:pPr>
      <w:pStyle w:val="24"/>
      <w:ind w:right="360" w:firstLine="36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DF69F">
    <w:pPr>
      <w:pStyle w:val="24"/>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11730D">
                          <w:pPr>
                            <w:pStyle w:val="2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StdvskBAACd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iuKHHc4sgvP39cfv25/P5O&#10;shMl6gPUmHkfMDcN7/yA6bMf0JmZDyra/EVOBOMo8PkqsBwSEfnRerVeVxgSGJsviM8enocI6b30&#10;lmSjoREnWITlp4+QxtQ5JVdz/k4bU6Zo3D8OxMwelnsfe8xWGvbDRGjv2zPy6XH4DXW465SYDw61&#10;zXsyG3E29rNxDFEfurJIuR6E22PCJkpvucIIOxXGqRV204bltXh8L1kPf9X2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9K12+yQEAAJ0DAAAOAAAAAAAAAAEAIAAAAB4BAABkcnMvZTJvRG9j&#10;LnhtbFBLBQYAAAAABgAGAFkBAABZBQAAAAA=&#10;">
              <v:fill on="f" focussize="0,0"/>
              <v:stroke on="f"/>
              <v:imagedata o:title=""/>
              <o:lock v:ext="edit" aspectratio="f"/>
              <v:textbox inset="0mm,0mm,0mm,0mm" style="mso-fit-shape-to-text:t;">
                <w:txbxContent>
                  <w:p w14:paraId="2911730D">
                    <w:pPr>
                      <w:pStyle w:val="24"/>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44044">
    <w:pPr>
      <w:pStyle w:val="24"/>
      <w:rPr>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8BB36">
    <w:pPr>
      <w:pBdr>
        <w:bottom w:val="none" w:color="auto" w:sz="0" w:space="0"/>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2984A1"/>
    <w:multiLevelType w:val="singleLevel"/>
    <w:tmpl w:val="942984A1"/>
    <w:lvl w:ilvl="0" w:tentative="0">
      <w:start w:val="1"/>
      <w:numFmt w:val="bullet"/>
      <w:pStyle w:val="22"/>
      <w:lvlText w:val=""/>
      <w:lvlJc w:val="left"/>
      <w:pPr>
        <w:tabs>
          <w:tab w:val="left" w:pos="2040"/>
        </w:tabs>
        <w:ind w:left="2040" w:hanging="360"/>
      </w:pPr>
      <w:rPr>
        <w:rFonts w:hint="default" w:ascii="Wingdings" w:hAnsi="Wingdings"/>
      </w:rPr>
    </w:lvl>
  </w:abstractNum>
  <w:abstractNum w:abstractNumId="1">
    <w:nsid w:val="ED30C5DA"/>
    <w:multiLevelType w:val="singleLevel"/>
    <w:tmpl w:val="ED30C5DA"/>
    <w:lvl w:ilvl="0" w:tentative="0">
      <w:start w:val="1"/>
      <w:numFmt w:val="bullet"/>
      <w:pStyle w:val="13"/>
      <w:lvlText w:val=""/>
      <w:lvlJc w:val="left"/>
      <w:pPr>
        <w:tabs>
          <w:tab w:val="left" w:pos="780"/>
        </w:tabs>
        <w:ind w:left="780" w:hanging="360"/>
      </w:pPr>
      <w:rPr>
        <w:rFonts w:hint="default" w:ascii="Wingdings" w:hAnsi="Wingdings"/>
      </w:rPr>
    </w:lvl>
  </w:abstractNum>
  <w:abstractNum w:abstractNumId="2">
    <w:nsid w:val="2912B352"/>
    <w:multiLevelType w:val="singleLevel"/>
    <w:tmpl w:val="2912B352"/>
    <w:lvl w:ilvl="0" w:tentative="0">
      <w:start w:val="2"/>
      <w:numFmt w:val="decimal"/>
      <w:suff w:val="nothing"/>
      <w:lvlText w:val="（%1）"/>
      <w:lvlJc w:val="left"/>
      <w:rPr>
        <w:rFonts w:hint="default" w:ascii="Times New Roman" w:hAnsi="Times New Roman"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0"/>
  <w:bordersDoNotSurroundFooter w:val="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NTc1Y2I5NzU5ZTQxZGYyZjk0NTQ5ZTczMGNjOTUifQ=="/>
    <w:docVar w:name="KSO_WPS_MARK_KEY" w:val="95384a7f-3f59-466a-88a1-406f965c47b4"/>
  </w:docVars>
  <w:rsids>
    <w:rsidRoot w:val="00172A27"/>
    <w:rsid w:val="00002FCE"/>
    <w:rsid w:val="000060B3"/>
    <w:rsid w:val="000060BC"/>
    <w:rsid w:val="000262D6"/>
    <w:rsid w:val="00033470"/>
    <w:rsid w:val="00033CD5"/>
    <w:rsid w:val="00034EB6"/>
    <w:rsid w:val="000372AC"/>
    <w:rsid w:val="0004364B"/>
    <w:rsid w:val="000501D5"/>
    <w:rsid w:val="00061B1F"/>
    <w:rsid w:val="00064B69"/>
    <w:rsid w:val="000733C4"/>
    <w:rsid w:val="000739ED"/>
    <w:rsid w:val="00074783"/>
    <w:rsid w:val="0008070B"/>
    <w:rsid w:val="000810AC"/>
    <w:rsid w:val="00081A02"/>
    <w:rsid w:val="00082231"/>
    <w:rsid w:val="00092D38"/>
    <w:rsid w:val="0009377B"/>
    <w:rsid w:val="00097136"/>
    <w:rsid w:val="00097DF4"/>
    <w:rsid w:val="000A20C9"/>
    <w:rsid w:val="000B058F"/>
    <w:rsid w:val="000B4467"/>
    <w:rsid w:val="000B4DB9"/>
    <w:rsid w:val="000C09AC"/>
    <w:rsid w:val="000C0DBD"/>
    <w:rsid w:val="000C767F"/>
    <w:rsid w:val="000D0303"/>
    <w:rsid w:val="000D5A44"/>
    <w:rsid w:val="000E3ED2"/>
    <w:rsid w:val="000E4959"/>
    <w:rsid w:val="000E6D64"/>
    <w:rsid w:val="000F4038"/>
    <w:rsid w:val="00113DAD"/>
    <w:rsid w:val="00120308"/>
    <w:rsid w:val="00122B86"/>
    <w:rsid w:val="00131F42"/>
    <w:rsid w:val="001357F1"/>
    <w:rsid w:val="00140FA8"/>
    <w:rsid w:val="00142FEB"/>
    <w:rsid w:val="00143A2D"/>
    <w:rsid w:val="00143C8F"/>
    <w:rsid w:val="00144ABC"/>
    <w:rsid w:val="00145A41"/>
    <w:rsid w:val="00151675"/>
    <w:rsid w:val="00155351"/>
    <w:rsid w:val="00157435"/>
    <w:rsid w:val="00161A03"/>
    <w:rsid w:val="00172A27"/>
    <w:rsid w:val="0017504D"/>
    <w:rsid w:val="0017671A"/>
    <w:rsid w:val="00177422"/>
    <w:rsid w:val="00184590"/>
    <w:rsid w:val="001870D1"/>
    <w:rsid w:val="0018781E"/>
    <w:rsid w:val="0019262D"/>
    <w:rsid w:val="001A1B35"/>
    <w:rsid w:val="001A48A2"/>
    <w:rsid w:val="001A6F61"/>
    <w:rsid w:val="001B72B8"/>
    <w:rsid w:val="001C2F9A"/>
    <w:rsid w:val="001C69B3"/>
    <w:rsid w:val="001D4275"/>
    <w:rsid w:val="001D5595"/>
    <w:rsid w:val="001D7874"/>
    <w:rsid w:val="001D7F22"/>
    <w:rsid w:val="001E3AF0"/>
    <w:rsid w:val="001E7A90"/>
    <w:rsid w:val="001F0F17"/>
    <w:rsid w:val="001F3347"/>
    <w:rsid w:val="001F69E4"/>
    <w:rsid w:val="00200204"/>
    <w:rsid w:val="00205320"/>
    <w:rsid w:val="0020749D"/>
    <w:rsid w:val="00210957"/>
    <w:rsid w:val="00211B64"/>
    <w:rsid w:val="002125B4"/>
    <w:rsid w:val="002155B8"/>
    <w:rsid w:val="00224839"/>
    <w:rsid w:val="002249B2"/>
    <w:rsid w:val="0022575E"/>
    <w:rsid w:val="00226574"/>
    <w:rsid w:val="00226C2A"/>
    <w:rsid w:val="002278EC"/>
    <w:rsid w:val="0023280E"/>
    <w:rsid w:val="002377D1"/>
    <w:rsid w:val="002506BC"/>
    <w:rsid w:val="00254345"/>
    <w:rsid w:val="00264557"/>
    <w:rsid w:val="002713B6"/>
    <w:rsid w:val="00271C73"/>
    <w:rsid w:val="002805AB"/>
    <w:rsid w:val="00284204"/>
    <w:rsid w:val="00291773"/>
    <w:rsid w:val="002A168C"/>
    <w:rsid w:val="002A3DC7"/>
    <w:rsid w:val="002A401D"/>
    <w:rsid w:val="002B49E2"/>
    <w:rsid w:val="002B7B00"/>
    <w:rsid w:val="002B7C44"/>
    <w:rsid w:val="002C2B17"/>
    <w:rsid w:val="002D3DD0"/>
    <w:rsid w:val="002E1F3A"/>
    <w:rsid w:val="002E298A"/>
    <w:rsid w:val="002E6413"/>
    <w:rsid w:val="002F14C5"/>
    <w:rsid w:val="002F3233"/>
    <w:rsid w:val="002F57B3"/>
    <w:rsid w:val="00301978"/>
    <w:rsid w:val="0030332C"/>
    <w:rsid w:val="003051C2"/>
    <w:rsid w:val="003121A1"/>
    <w:rsid w:val="00312296"/>
    <w:rsid w:val="00314F0E"/>
    <w:rsid w:val="00321D8E"/>
    <w:rsid w:val="00325928"/>
    <w:rsid w:val="00332863"/>
    <w:rsid w:val="0033522F"/>
    <w:rsid w:val="0033684D"/>
    <w:rsid w:val="00337B42"/>
    <w:rsid w:val="003409DC"/>
    <w:rsid w:val="00341B42"/>
    <w:rsid w:val="0034348F"/>
    <w:rsid w:val="003434EA"/>
    <w:rsid w:val="00356653"/>
    <w:rsid w:val="0035743F"/>
    <w:rsid w:val="00357BE2"/>
    <w:rsid w:val="0036170C"/>
    <w:rsid w:val="00366E0F"/>
    <w:rsid w:val="003714B4"/>
    <w:rsid w:val="00381A72"/>
    <w:rsid w:val="00382DEE"/>
    <w:rsid w:val="00384676"/>
    <w:rsid w:val="003862A4"/>
    <w:rsid w:val="00386EA4"/>
    <w:rsid w:val="00390857"/>
    <w:rsid w:val="00391021"/>
    <w:rsid w:val="00391E5E"/>
    <w:rsid w:val="00397B30"/>
    <w:rsid w:val="003A4BF3"/>
    <w:rsid w:val="003B2487"/>
    <w:rsid w:val="003B420D"/>
    <w:rsid w:val="003B764C"/>
    <w:rsid w:val="003C6C16"/>
    <w:rsid w:val="003D735B"/>
    <w:rsid w:val="003D794D"/>
    <w:rsid w:val="003E3058"/>
    <w:rsid w:val="003E76A9"/>
    <w:rsid w:val="003F0809"/>
    <w:rsid w:val="003F2B5B"/>
    <w:rsid w:val="003F6A8C"/>
    <w:rsid w:val="003F755C"/>
    <w:rsid w:val="00406F01"/>
    <w:rsid w:val="00416D50"/>
    <w:rsid w:val="00416FD5"/>
    <w:rsid w:val="00417772"/>
    <w:rsid w:val="00420E6A"/>
    <w:rsid w:val="00425A9E"/>
    <w:rsid w:val="00426D6B"/>
    <w:rsid w:val="00427E13"/>
    <w:rsid w:val="00430A1E"/>
    <w:rsid w:val="00431E6C"/>
    <w:rsid w:val="00432343"/>
    <w:rsid w:val="00433CE7"/>
    <w:rsid w:val="004515CC"/>
    <w:rsid w:val="00452738"/>
    <w:rsid w:val="00456091"/>
    <w:rsid w:val="00466321"/>
    <w:rsid w:val="00466D3E"/>
    <w:rsid w:val="00484B9B"/>
    <w:rsid w:val="004855F6"/>
    <w:rsid w:val="0048661E"/>
    <w:rsid w:val="004922FF"/>
    <w:rsid w:val="00494670"/>
    <w:rsid w:val="004955E0"/>
    <w:rsid w:val="004A3823"/>
    <w:rsid w:val="004B41B3"/>
    <w:rsid w:val="004E6946"/>
    <w:rsid w:val="004F1AD8"/>
    <w:rsid w:val="00501A69"/>
    <w:rsid w:val="005039CB"/>
    <w:rsid w:val="0050558F"/>
    <w:rsid w:val="00506286"/>
    <w:rsid w:val="00510813"/>
    <w:rsid w:val="00511234"/>
    <w:rsid w:val="00511990"/>
    <w:rsid w:val="00511DE0"/>
    <w:rsid w:val="00514870"/>
    <w:rsid w:val="00514B9B"/>
    <w:rsid w:val="00517F02"/>
    <w:rsid w:val="00524303"/>
    <w:rsid w:val="005258A2"/>
    <w:rsid w:val="00526A5B"/>
    <w:rsid w:val="005401AE"/>
    <w:rsid w:val="00542E07"/>
    <w:rsid w:val="00545424"/>
    <w:rsid w:val="005505E5"/>
    <w:rsid w:val="00550D93"/>
    <w:rsid w:val="00554A7B"/>
    <w:rsid w:val="0055572C"/>
    <w:rsid w:val="0056106A"/>
    <w:rsid w:val="00565852"/>
    <w:rsid w:val="00571EB7"/>
    <w:rsid w:val="005720AE"/>
    <w:rsid w:val="00586050"/>
    <w:rsid w:val="00594D77"/>
    <w:rsid w:val="005969E4"/>
    <w:rsid w:val="005A06B7"/>
    <w:rsid w:val="005A1759"/>
    <w:rsid w:val="005A53E8"/>
    <w:rsid w:val="005A592F"/>
    <w:rsid w:val="005A68A7"/>
    <w:rsid w:val="005A6D2E"/>
    <w:rsid w:val="005A74C7"/>
    <w:rsid w:val="005C0302"/>
    <w:rsid w:val="005C3F51"/>
    <w:rsid w:val="005D36AB"/>
    <w:rsid w:val="00603999"/>
    <w:rsid w:val="00606F83"/>
    <w:rsid w:val="00617CC3"/>
    <w:rsid w:val="00621B35"/>
    <w:rsid w:val="00625C86"/>
    <w:rsid w:val="00633B44"/>
    <w:rsid w:val="00636396"/>
    <w:rsid w:val="006377A6"/>
    <w:rsid w:val="00637A3D"/>
    <w:rsid w:val="006411EF"/>
    <w:rsid w:val="0066635B"/>
    <w:rsid w:val="006748B8"/>
    <w:rsid w:val="00675981"/>
    <w:rsid w:val="006775C3"/>
    <w:rsid w:val="00682010"/>
    <w:rsid w:val="00682CE8"/>
    <w:rsid w:val="0069290A"/>
    <w:rsid w:val="0069775A"/>
    <w:rsid w:val="00697813"/>
    <w:rsid w:val="006A1C9C"/>
    <w:rsid w:val="006A3EE8"/>
    <w:rsid w:val="006A72BF"/>
    <w:rsid w:val="006B03F2"/>
    <w:rsid w:val="006B37DC"/>
    <w:rsid w:val="006B4F68"/>
    <w:rsid w:val="006B5F64"/>
    <w:rsid w:val="006C0592"/>
    <w:rsid w:val="006C1080"/>
    <w:rsid w:val="006C272E"/>
    <w:rsid w:val="006C5479"/>
    <w:rsid w:val="006D13B5"/>
    <w:rsid w:val="006D2668"/>
    <w:rsid w:val="006E0022"/>
    <w:rsid w:val="006E12FF"/>
    <w:rsid w:val="006E607E"/>
    <w:rsid w:val="006F3994"/>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29E8"/>
    <w:rsid w:val="007A3323"/>
    <w:rsid w:val="007B72B8"/>
    <w:rsid w:val="007B7A58"/>
    <w:rsid w:val="007C1952"/>
    <w:rsid w:val="007C21B5"/>
    <w:rsid w:val="007D1716"/>
    <w:rsid w:val="007D1926"/>
    <w:rsid w:val="007E4BD2"/>
    <w:rsid w:val="00800769"/>
    <w:rsid w:val="00801393"/>
    <w:rsid w:val="00802F88"/>
    <w:rsid w:val="0081293E"/>
    <w:rsid w:val="00815465"/>
    <w:rsid w:val="00817E9A"/>
    <w:rsid w:val="00825E08"/>
    <w:rsid w:val="008306BD"/>
    <w:rsid w:val="00831A80"/>
    <w:rsid w:val="00833743"/>
    <w:rsid w:val="008340A4"/>
    <w:rsid w:val="00854DE8"/>
    <w:rsid w:val="00866888"/>
    <w:rsid w:val="0087135F"/>
    <w:rsid w:val="00871755"/>
    <w:rsid w:val="00872D94"/>
    <w:rsid w:val="00880364"/>
    <w:rsid w:val="00885DD8"/>
    <w:rsid w:val="008878D1"/>
    <w:rsid w:val="00891592"/>
    <w:rsid w:val="00891E9E"/>
    <w:rsid w:val="008948EA"/>
    <w:rsid w:val="008A2F68"/>
    <w:rsid w:val="008B4FA6"/>
    <w:rsid w:val="008B5282"/>
    <w:rsid w:val="008B7C17"/>
    <w:rsid w:val="008C1436"/>
    <w:rsid w:val="008C2D01"/>
    <w:rsid w:val="008C40E6"/>
    <w:rsid w:val="008D0F7A"/>
    <w:rsid w:val="008D4038"/>
    <w:rsid w:val="008D68E4"/>
    <w:rsid w:val="008E0506"/>
    <w:rsid w:val="008E0CFF"/>
    <w:rsid w:val="008E5D6B"/>
    <w:rsid w:val="008E76F0"/>
    <w:rsid w:val="008F15FE"/>
    <w:rsid w:val="008F2D29"/>
    <w:rsid w:val="008F30D9"/>
    <w:rsid w:val="008F5187"/>
    <w:rsid w:val="008F60D8"/>
    <w:rsid w:val="00901DFA"/>
    <w:rsid w:val="00902727"/>
    <w:rsid w:val="0090312B"/>
    <w:rsid w:val="00916925"/>
    <w:rsid w:val="0091736D"/>
    <w:rsid w:val="00927603"/>
    <w:rsid w:val="0093037A"/>
    <w:rsid w:val="0093786C"/>
    <w:rsid w:val="0094154D"/>
    <w:rsid w:val="00947246"/>
    <w:rsid w:val="0095155F"/>
    <w:rsid w:val="00954429"/>
    <w:rsid w:val="009563CE"/>
    <w:rsid w:val="00966894"/>
    <w:rsid w:val="0097180B"/>
    <w:rsid w:val="00976328"/>
    <w:rsid w:val="0097680D"/>
    <w:rsid w:val="00977B14"/>
    <w:rsid w:val="00982438"/>
    <w:rsid w:val="0098404C"/>
    <w:rsid w:val="00985283"/>
    <w:rsid w:val="00986455"/>
    <w:rsid w:val="00992449"/>
    <w:rsid w:val="00995992"/>
    <w:rsid w:val="009A03E5"/>
    <w:rsid w:val="009A0F3B"/>
    <w:rsid w:val="009A1BB4"/>
    <w:rsid w:val="009A2628"/>
    <w:rsid w:val="009A3200"/>
    <w:rsid w:val="009A63EB"/>
    <w:rsid w:val="009B0897"/>
    <w:rsid w:val="009B42B1"/>
    <w:rsid w:val="009B60FE"/>
    <w:rsid w:val="009B7BD9"/>
    <w:rsid w:val="009C7DD5"/>
    <w:rsid w:val="009D0557"/>
    <w:rsid w:val="009D4410"/>
    <w:rsid w:val="009D6B49"/>
    <w:rsid w:val="009E227D"/>
    <w:rsid w:val="009E5019"/>
    <w:rsid w:val="00A000F6"/>
    <w:rsid w:val="00A04F1B"/>
    <w:rsid w:val="00A0501B"/>
    <w:rsid w:val="00A14947"/>
    <w:rsid w:val="00A27E4C"/>
    <w:rsid w:val="00A32A83"/>
    <w:rsid w:val="00A368DB"/>
    <w:rsid w:val="00A423AA"/>
    <w:rsid w:val="00A53EC6"/>
    <w:rsid w:val="00A55C0F"/>
    <w:rsid w:val="00A6116E"/>
    <w:rsid w:val="00A80ACE"/>
    <w:rsid w:val="00A8713F"/>
    <w:rsid w:val="00A90BA1"/>
    <w:rsid w:val="00A92465"/>
    <w:rsid w:val="00A97A9A"/>
    <w:rsid w:val="00AA0671"/>
    <w:rsid w:val="00AA2531"/>
    <w:rsid w:val="00AB1E09"/>
    <w:rsid w:val="00AB2C5E"/>
    <w:rsid w:val="00AB5330"/>
    <w:rsid w:val="00AB7747"/>
    <w:rsid w:val="00AC14CE"/>
    <w:rsid w:val="00AC2A56"/>
    <w:rsid w:val="00AD055E"/>
    <w:rsid w:val="00AD47A7"/>
    <w:rsid w:val="00AD4BF5"/>
    <w:rsid w:val="00AE0044"/>
    <w:rsid w:val="00AE28E4"/>
    <w:rsid w:val="00AF0CBF"/>
    <w:rsid w:val="00AF257F"/>
    <w:rsid w:val="00AF33CF"/>
    <w:rsid w:val="00AF4D50"/>
    <w:rsid w:val="00AF6179"/>
    <w:rsid w:val="00B1295A"/>
    <w:rsid w:val="00B20A45"/>
    <w:rsid w:val="00B212A5"/>
    <w:rsid w:val="00B22C5C"/>
    <w:rsid w:val="00B24F30"/>
    <w:rsid w:val="00B31ABF"/>
    <w:rsid w:val="00B33BE3"/>
    <w:rsid w:val="00B35E75"/>
    <w:rsid w:val="00B37FEE"/>
    <w:rsid w:val="00B53B5D"/>
    <w:rsid w:val="00B6055E"/>
    <w:rsid w:val="00B6317D"/>
    <w:rsid w:val="00B7723F"/>
    <w:rsid w:val="00B80534"/>
    <w:rsid w:val="00B8433C"/>
    <w:rsid w:val="00B87491"/>
    <w:rsid w:val="00B92BAA"/>
    <w:rsid w:val="00BA29E9"/>
    <w:rsid w:val="00BA7142"/>
    <w:rsid w:val="00BB237C"/>
    <w:rsid w:val="00BB41A3"/>
    <w:rsid w:val="00BB477E"/>
    <w:rsid w:val="00BC32DC"/>
    <w:rsid w:val="00BC35B6"/>
    <w:rsid w:val="00BC65A9"/>
    <w:rsid w:val="00BD1B51"/>
    <w:rsid w:val="00BD4596"/>
    <w:rsid w:val="00BD54DC"/>
    <w:rsid w:val="00BD5F42"/>
    <w:rsid w:val="00BE1405"/>
    <w:rsid w:val="00BE312D"/>
    <w:rsid w:val="00BE61BE"/>
    <w:rsid w:val="00BF1C20"/>
    <w:rsid w:val="00BF2F45"/>
    <w:rsid w:val="00BF532E"/>
    <w:rsid w:val="00BF69D5"/>
    <w:rsid w:val="00C10578"/>
    <w:rsid w:val="00C135BC"/>
    <w:rsid w:val="00C15C95"/>
    <w:rsid w:val="00C17442"/>
    <w:rsid w:val="00C2596A"/>
    <w:rsid w:val="00C27537"/>
    <w:rsid w:val="00C328FE"/>
    <w:rsid w:val="00C33507"/>
    <w:rsid w:val="00C4409D"/>
    <w:rsid w:val="00C44E72"/>
    <w:rsid w:val="00C45A06"/>
    <w:rsid w:val="00C47E5B"/>
    <w:rsid w:val="00C5693C"/>
    <w:rsid w:val="00C576E5"/>
    <w:rsid w:val="00C61E4B"/>
    <w:rsid w:val="00C64BFF"/>
    <w:rsid w:val="00C704E9"/>
    <w:rsid w:val="00C763C9"/>
    <w:rsid w:val="00C76727"/>
    <w:rsid w:val="00C7725F"/>
    <w:rsid w:val="00C80057"/>
    <w:rsid w:val="00C82232"/>
    <w:rsid w:val="00C82913"/>
    <w:rsid w:val="00C87036"/>
    <w:rsid w:val="00C91E2D"/>
    <w:rsid w:val="00C9415F"/>
    <w:rsid w:val="00C972B1"/>
    <w:rsid w:val="00CA2CCE"/>
    <w:rsid w:val="00CA43FD"/>
    <w:rsid w:val="00CA7EF8"/>
    <w:rsid w:val="00CB796F"/>
    <w:rsid w:val="00CC489B"/>
    <w:rsid w:val="00CD2BCD"/>
    <w:rsid w:val="00CD3A4C"/>
    <w:rsid w:val="00CE10E9"/>
    <w:rsid w:val="00CE2910"/>
    <w:rsid w:val="00CE5393"/>
    <w:rsid w:val="00CF0710"/>
    <w:rsid w:val="00CF2A4A"/>
    <w:rsid w:val="00CF36BE"/>
    <w:rsid w:val="00CF6000"/>
    <w:rsid w:val="00D003F3"/>
    <w:rsid w:val="00D0364F"/>
    <w:rsid w:val="00D06834"/>
    <w:rsid w:val="00D173D8"/>
    <w:rsid w:val="00D308ED"/>
    <w:rsid w:val="00D340F8"/>
    <w:rsid w:val="00D36D86"/>
    <w:rsid w:val="00D40854"/>
    <w:rsid w:val="00D428AA"/>
    <w:rsid w:val="00D50A34"/>
    <w:rsid w:val="00D53EFA"/>
    <w:rsid w:val="00D70DD8"/>
    <w:rsid w:val="00D741D6"/>
    <w:rsid w:val="00D94A7C"/>
    <w:rsid w:val="00D95896"/>
    <w:rsid w:val="00DB1475"/>
    <w:rsid w:val="00DB2983"/>
    <w:rsid w:val="00DC1257"/>
    <w:rsid w:val="00DC3DC0"/>
    <w:rsid w:val="00DC5B2B"/>
    <w:rsid w:val="00DC7748"/>
    <w:rsid w:val="00DC7C1D"/>
    <w:rsid w:val="00DD23E2"/>
    <w:rsid w:val="00DD318D"/>
    <w:rsid w:val="00DF1384"/>
    <w:rsid w:val="00DF2E12"/>
    <w:rsid w:val="00DF514A"/>
    <w:rsid w:val="00DF6690"/>
    <w:rsid w:val="00DF6804"/>
    <w:rsid w:val="00E0358D"/>
    <w:rsid w:val="00E04323"/>
    <w:rsid w:val="00E070A2"/>
    <w:rsid w:val="00E10B92"/>
    <w:rsid w:val="00E123D4"/>
    <w:rsid w:val="00E173E3"/>
    <w:rsid w:val="00E2656A"/>
    <w:rsid w:val="00E412D0"/>
    <w:rsid w:val="00E421D7"/>
    <w:rsid w:val="00E5467F"/>
    <w:rsid w:val="00E54940"/>
    <w:rsid w:val="00E56322"/>
    <w:rsid w:val="00E60982"/>
    <w:rsid w:val="00E62C62"/>
    <w:rsid w:val="00E654C1"/>
    <w:rsid w:val="00E65D97"/>
    <w:rsid w:val="00E6616A"/>
    <w:rsid w:val="00E72A5A"/>
    <w:rsid w:val="00E73354"/>
    <w:rsid w:val="00E83370"/>
    <w:rsid w:val="00E90165"/>
    <w:rsid w:val="00E9242D"/>
    <w:rsid w:val="00E96D8D"/>
    <w:rsid w:val="00EB5255"/>
    <w:rsid w:val="00EB5C47"/>
    <w:rsid w:val="00EC0C2C"/>
    <w:rsid w:val="00EC1EAA"/>
    <w:rsid w:val="00EC59AF"/>
    <w:rsid w:val="00EC6F92"/>
    <w:rsid w:val="00ED0639"/>
    <w:rsid w:val="00EF4755"/>
    <w:rsid w:val="00EF5B81"/>
    <w:rsid w:val="00EF7135"/>
    <w:rsid w:val="00F027DB"/>
    <w:rsid w:val="00F10CD3"/>
    <w:rsid w:val="00F14A7A"/>
    <w:rsid w:val="00F22985"/>
    <w:rsid w:val="00F32B30"/>
    <w:rsid w:val="00F32C5A"/>
    <w:rsid w:val="00F3383E"/>
    <w:rsid w:val="00F427D7"/>
    <w:rsid w:val="00F465A7"/>
    <w:rsid w:val="00F50B7C"/>
    <w:rsid w:val="00F550E6"/>
    <w:rsid w:val="00F71AD7"/>
    <w:rsid w:val="00F74272"/>
    <w:rsid w:val="00F74345"/>
    <w:rsid w:val="00F776A2"/>
    <w:rsid w:val="00F80A0A"/>
    <w:rsid w:val="00F82B19"/>
    <w:rsid w:val="00F876CA"/>
    <w:rsid w:val="00F9212D"/>
    <w:rsid w:val="00F965DA"/>
    <w:rsid w:val="00FA406A"/>
    <w:rsid w:val="00FA56C9"/>
    <w:rsid w:val="00FB503A"/>
    <w:rsid w:val="00FB516C"/>
    <w:rsid w:val="00FC3130"/>
    <w:rsid w:val="00FD0236"/>
    <w:rsid w:val="00FD18F4"/>
    <w:rsid w:val="00FD54DB"/>
    <w:rsid w:val="00FD619F"/>
    <w:rsid w:val="00FD6967"/>
    <w:rsid w:val="00FF1891"/>
    <w:rsid w:val="01000B17"/>
    <w:rsid w:val="01015368"/>
    <w:rsid w:val="0105533E"/>
    <w:rsid w:val="01104941"/>
    <w:rsid w:val="012511B3"/>
    <w:rsid w:val="012670EA"/>
    <w:rsid w:val="012748E4"/>
    <w:rsid w:val="01290F7E"/>
    <w:rsid w:val="0135550E"/>
    <w:rsid w:val="013578B2"/>
    <w:rsid w:val="0137385C"/>
    <w:rsid w:val="01431A52"/>
    <w:rsid w:val="014359D0"/>
    <w:rsid w:val="0148253F"/>
    <w:rsid w:val="014852B3"/>
    <w:rsid w:val="01531503"/>
    <w:rsid w:val="01532619"/>
    <w:rsid w:val="015D0D5E"/>
    <w:rsid w:val="015D1E09"/>
    <w:rsid w:val="015D50B6"/>
    <w:rsid w:val="016402B4"/>
    <w:rsid w:val="01642E39"/>
    <w:rsid w:val="016F37C7"/>
    <w:rsid w:val="01771648"/>
    <w:rsid w:val="01785F13"/>
    <w:rsid w:val="01792F4B"/>
    <w:rsid w:val="01816A6E"/>
    <w:rsid w:val="01854966"/>
    <w:rsid w:val="01916C5A"/>
    <w:rsid w:val="01924994"/>
    <w:rsid w:val="019422A6"/>
    <w:rsid w:val="0197275E"/>
    <w:rsid w:val="019C7AC0"/>
    <w:rsid w:val="019F0889"/>
    <w:rsid w:val="01A0190A"/>
    <w:rsid w:val="01A94238"/>
    <w:rsid w:val="01AD6E7F"/>
    <w:rsid w:val="01B4686F"/>
    <w:rsid w:val="01D04E8B"/>
    <w:rsid w:val="01D14870"/>
    <w:rsid w:val="01D2616B"/>
    <w:rsid w:val="01D31020"/>
    <w:rsid w:val="01D86DDC"/>
    <w:rsid w:val="01E46229"/>
    <w:rsid w:val="01E62DEF"/>
    <w:rsid w:val="01E77744"/>
    <w:rsid w:val="01EE430F"/>
    <w:rsid w:val="01F62B26"/>
    <w:rsid w:val="01FC0825"/>
    <w:rsid w:val="02063AB2"/>
    <w:rsid w:val="02072BA6"/>
    <w:rsid w:val="02092C94"/>
    <w:rsid w:val="02094DEB"/>
    <w:rsid w:val="020A2568"/>
    <w:rsid w:val="0214569D"/>
    <w:rsid w:val="02287764"/>
    <w:rsid w:val="022C24DE"/>
    <w:rsid w:val="02305E9A"/>
    <w:rsid w:val="02343965"/>
    <w:rsid w:val="023A325D"/>
    <w:rsid w:val="023B5D0F"/>
    <w:rsid w:val="023D4FBA"/>
    <w:rsid w:val="024A3CFC"/>
    <w:rsid w:val="024C3C06"/>
    <w:rsid w:val="025263E9"/>
    <w:rsid w:val="025B7189"/>
    <w:rsid w:val="02697903"/>
    <w:rsid w:val="0270686F"/>
    <w:rsid w:val="027C16B8"/>
    <w:rsid w:val="02873946"/>
    <w:rsid w:val="028D5DB7"/>
    <w:rsid w:val="029D4678"/>
    <w:rsid w:val="029F0F02"/>
    <w:rsid w:val="02A00C92"/>
    <w:rsid w:val="02A42BE4"/>
    <w:rsid w:val="02AD78A2"/>
    <w:rsid w:val="02AE6935"/>
    <w:rsid w:val="02B172B3"/>
    <w:rsid w:val="02BC0A53"/>
    <w:rsid w:val="02BC3862"/>
    <w:rsid w:val="02BE4C75"/>
    <w:rsid w:val="02C34EEE"/>
    <w:rsid w:val="02CE2CB2"/>
    <w:rsid w:val="02D47050"/>
    <w:rsid w:val="02D7069C"/>
    <w:rsid w:val="02DB61EF"/>
    <w:rsid w:val="02E501FA"/>
    <w:rsid w:val="02E648F3"/>
    <w:rsid w:val="02EB774C"/>
    <w:rsid w:val="02F0530D"/>
    <w:rsid w:val="02F764E6"/>
    <w:rsid w:val="02F77034"/>
    <w:rsid w:val="02F96569"/>
    <w:rsid w:val="030D7054"/>
    <w:rsid w:val="0317771F"/>
    <w:rsid w:val="031F2A9B"/>
    <w:rsid w:val="032054F5"/>
    <w:rsid w:val="03240512"/>
    <w:rsid w:val="03246AC5"/>
    <w:rsid w:val="032615A5"/>
    <w:rsid w:val="032764B0"/>
    <w:rsid w:val="032D13FF"/>
    <w:rsid w:val="0334070F"/>
    <w:rsid w:val="036118AC"/>
    <w:rsid w:val="03706BB4"/>
    <w:rsid w:val="037A38B6"/>
    <w:rsid w:val="03862DB0"/>
    <w:rsid w:val="03892F81"/>
    <w:rsid w:val="038C4DE3"/>
    <w:rsid w:val="038E07C0"/>
    <w:rsid w:val="03A2514E"/>
    <w:rsid w:val="03A260B9"/>
    <w:rsid w:val="03C175EE"/>
    <w:rsid w:val="03C53FD2"/>
    <w:rsid w:val="03CC3A90"/>
    <w:rsid w:val="03CD1EC6"/>
    <w:rsid w:val="03D40A6A"/>
    <w:rsid w:val="03E33674"/>
    <w:rsid w:val="03E65E4D"/>
    <w:rsid w:val="03EA7B21"/>
    <w:rsid w:val="03EC7ADB"/>
    <w:rsid w:val="03F51166"/>
    <w:rsid w:val="03FE6873"/>
    <w:rsid w:val="04020DBE"/>
    <w:rsid w:val="040845D4"/>
    <w:rsid w:val="040D32DE"/>
    <w:rsid w:val="041E02B4"/>
    <w:rsid w:val="041F6A07"/>
    <w:rsid w:val="042676C5"/>
    <w:rsid w:val="04272627"/>
    <w:rsid w:val="04302BB6"/>
    <w:rsid w:val="0436799F"/>
    <w:rsid w:val="0439225E"/>
    <w:rsid w:val="04401C5D"/>
    <w:rsid w:val="0446138B"/>
    <w:rsid w:val="0448202E"/>
    <w:rsid w:val="044B02EA"/>
    <w:rsid w:val="044B4A9B"/>
    <w:rsid w:val="044B7594"/>
    <w:rsid w:val="044D7F4B"/>
    <w:rsid w:val="04504BAA"/>
    <w:rsid w:val="04546772"/>
    <w:rsid w:val="045A16A5"/>
    <w:rsid w:val="046619FB"/>
    <w:rsid w:val="047B213D"/>
    <w:rsid w:val="048020CE"/>
    <w:rsid w:val="04846602"/>
    <w:rsid w:val="048503E6"/>
    <w:rsid w:val="0489058D"/>
    <w:rsid w:val="048E3DFD"/>
    <w:rsid w:val="04901F9E"/>
    <w:rsid w:val="049237F4"/>
    <w:rsid w:val="0498752A"/>
    <w:rsid w:val="049D437D"/>
    <w:rsid w:val="049D7F44"/>
    <w:rsid w:val="04AD2804"/>
    <w:rsid w:val="04B12970"/>
    <w:rsid w:val="04B35F64"/>
    <w:rsid w:val="04B862AB"/>
    <w:rsid w:val="04BD00FA"/>
    <w:rsid w:val="04C37DD9"/>
    <w:rsid w:val="04C61C92"/>
    <w:rsid w:val="04E946B7"/>
    <w:rsid w:val="04EC386C"/>
    <w:rsid w:val="04F454D9"/>
    <w:rsid w:val="04F642DE"/>
    <w:rsid w:val="04F76DD4"/>
    <w:rsid w:val="04FE63B4"/>
    <w:rsid w:val="05060621"/>
    <w:rsid w:val="050949D5"/>
    <w:rsid w:val="050E1C57"/>
    <w:rsid w:val="050E411D"/>
    <w:rsid w:val="050E67E7"/>
    <w:rsid w:val="050E7063"/>
    <w:rsid w:val="051F090C"/>
    <w:rsid w:val="05234149"/>
    <w:rsid w:val="052971A9"/>
    <w:rsid w:val="053146EB"/>
    <w:rsid w:val="05351486"/>
    <w:rsid w:val="053C0149"/>
    <w:rsid w:val="05400447"/>
    <w:rsid w:val="05404C1F"/>
    <w:rsid w:val="05490FD9"/>
    <w:rsid w:val="054D733B"/>
    <w:rsid w:val="05527330"/>
    <w:rsid w:val="055F0018"/>
    <w:rsid w:val="0560538B"/>
    <w:rsid w:val="05645862"/>
    <w:rsid w:val="057518E3"/>
    <w:rsid w:val="057523EE"/>
    <w:rsid w:val="057F6B83"/>
    <w:rsid w:val="058773D4"/>
    <w:rsid w:val="059948FC"/>
    <w:rsid w:val="05B16DC3"/>
    <w:rsid w:val="05B47F4E"/>
    <w:rsid w:val="05B71C9D"/>
    <w:rsid w:val="05B76099"/>
    <w:rsid w:val="05B947B0"/>
    <w:rsid w:val="05C13BE9"/>
    <w:rsid w:val="05C34D67"/>
    <w:rsid w:val="05C6423F"/>
    <w:rsid w:val="05CD1A66"/>
    <w:rsid w:val="05CF0740"/>
    <w:rsid w:val="05D05F53"/>
    <w:rsid w:val="05F72E03"/>
    <w:rsid w:val="05F81055"/>
    <w:rsid w:val="05F83EAE"/>
    <w:rsid w:val="05FC4EDD"/>
    <w:rsid w:val="05FE654A"/>
    <w:rsid w:val="06052AED"/>
    <w:rsid w:val="06085010"/>
    <w:rsid w:val="0609596A"/>
    <w:rsid w:val="06135E58"/>
    <w:rsid w:val="0616772D"/>
    <w:rsid w:val="0617156F"/>
    <w:rsid w:val="061B3E89"/>
    <w:rsid w:val="061C146C"/>
    <w:rsid w:val="061E65E2"/>
    <w:rsid w:val="06220096"/>
    <w:rsid w:val="063130C9"/>
    <w:rsid w:val="063D75E1"/>
    <w:rsid w:val="063E7D85"/>
    <w:rsid w:val="064A387B"/>
    <w:rsid w:val="064E5119"/>
    <w:rsid w:val="064F1E2F"/>
    <w:rsid w:val="066E070B"/>
    <w:rsid w:val="06703609"/>
    <w:rsid w:val="067116DF"/>
    <w:rsid w:val="06720911"/>
    <w:rsid w:val="06787270"/>
    <w:rsid w:val="0682130E"/>
    <w:rsid w:val="068B011B"/>
    <w:rsid w:val="068D4A78"/>
    <w:rsid w:val="069218BB"/>
    <w:rsid w:val="06930D7E"/>
    <w:rsid w:val="06964EDF"/>
    <w:rsid w:val="06965E6A"/>
    <w:rsid w:val="069E605E"/>
    <w:rsid w:val="06A92629"/>
    <w:rsid w:val="06B83EA4"/>
    <w:rsid w:val="06B9078C"/>
    <w:rsid w:val="06BA5623"/>
    <w:rsid w:val="06BC2B18"/>
    <w:rsid w:val="06C6337C"/>
    <w:rsid w:val="06C86C9A"/>
    <w:rsid w:val="06E04B30"/>
    <w:rsid w:val="06E710CA"/>
    <w:rsid w:val="06EC23E6"/>
    <w:rsid w:val="06EC66E0"/>
    <w:rsid w:val="06F02E1E"/>
    <w:rsid w:val="06F55595"/>
    <w:rsid w:val="06FD07F3"/>
    <w:rsid w:val="06FD65A2"/>
    <w:rsid w:val="070453F8"/>
    <w:rsid w:val="07061550"/>
    <w:rsid w:val="070976E7"/>
    <w:rsid w:val="071B6159"/>
    <w:rsid w:val="071C6D8E"/>
    <w:rsid w:val="072147A2"/>
    <w:rsid w:val="072432CE"/>
    <w:rsid w:val="07275B8A"/>
    <w:rsid w:val="0728596A"/>
    <w:rsid w:val="07293586"/>
    <w:rsid w:val="07295285"/>
    <w:rsid w:val="072F4F4B"/>
    <w:rsid w:val="07341AB8"/>
    <w:rsid w:val="074616CE"/>
    <w:rsid w:val="074B4535"/>
    <w:rsid w:val="0750343F"/>
    <w:rsid w:val="075C73C2"/>
    <w:rsid w:val="07636392"/>
    <w:rsid w:val="07646EF5"/>
    <w:rsid w:val="076562D9"/>
    <w:rsid w:val="07670AEB"/>
    <w:rsid w:val="076B0225"/>
    <w:rsid w:val="076E33FD"/>
    <w:rsid w:val="077624E6"/>
    <w:rsid w:val="07770C56"/>
    <w:rsid w:val="077C0455"/>
    <w:rsid w:val="077C3CE0"/>
    <w:rsid w:val="077E0924"/>
    <w:rsid w:val="077E1657"/>
    <w:rsid w:val="078139FF"/>
    <w:rsid w:val="0785029D"/>
    <w:rsid w:val="078730B3"/>
    <w:rsid w:val="07895311"/>
    <w:rsid w:val="079270C9"/>
    <w:rsid w:val="079D4AAA"/>
    <w:rsid w:val="07A06ED7"/>
    <w:rsid w:val="07A76608"/>
    <w:rsid w:val="07A80859"/>
    <w:rsid w:val="07AE4B38"/>
    <w:rsid w:val="07AF2167"/>
    <w:rsid w:val="07BA53C9"/>
    <w:rsid w:val="07BA7178"/>
    <w:rsid w:val="07BE682A"/>
    <w:rsid w:val="07C0102B"/>
    <w:rsid w:val="07C02328"/>
    <w:rsid w:val="07C17B6D"/>
    <w:rsid w:val="07C5140B"/>
    <w:rsid w:val="07C764B0"/>
    <w:rsid w:val="07CC0B06"/>
    <w:rsid w:val="07D56BC7"/>
    <w:rsid w:val="07D7131A"/>
    <w:rsid w:val="07DE24CD"/>
    <w:rsid w:val="07F41447"/>
    <w:rsid w:val="07FC597A"/>
    <w:rsid w:val="08026597"/>
    <w:rsid w:val="08071A24"/>
    <w:rsid w:val="0808579C"/>
    <w:rsid w:val="081B1215"/>
    <w:rsid w:val="081D2ACE"/>
    <w:rsid w:val="08250323"/>
    <w:rsid w:val="08306B20"/>
    <w:rsid w:val="08323531"/>
    <w:rsid w:val="08416D5A"/>
    <w:rsid w:val="08442073"/>
    <w:rsid w:val="084533AC"/>
    <w:rsid w:val="084F5A00"/>
    <w:rsid w:val="08512C9F"/>
    <w:rsid w:val="08670714"/>
    <w:rsid w:val="086A245D"/>
    <w:rsid w:val="086C4B49"/>
    <w:rsid w:val="0870641B"/>
    <w:rsid w:val="0878647D"/>
    <w:rsid w:val="087B1D91"/>
    <w:rsid w:val="08816101"/>
    <w:rsid w:val="088303FF"/>
    <w:rsid w:val="088657D1"/>
    <w:rsid w:val="08884F41"/>
    <w:rsid w:val="088C3AE3"/>
    <w:rsid w:val="088C6980"/>
    <w:rsid w:val="0898222B"/>
    <w:rsid w:val="08985BD2"/>
    <w:rsid w:val="089A1160"/>
    <w:rsid w:val="08A4068F"/>
    <w:rsid w:val="08A4163C"/>
    <w:rsid w:val="08B550AD"/>
    <w:rsid w:val="08BA12DC"/>
    <w:rsid w:val="08BA6DE4"/>
    <w:rsid w:val="08BE0D24"/>
    <w:rsid w:val="08C61754"/>
    <w:rsid w:val="08CB0CA3"/>
    <w:rsid w:val="08CB57E4"/>
    <w:rsid w:val="08DB1E99"/>
    <w:rsid w:val="08ED3A94"/>
    <w:rsid w:val="08ED4FE4"/>
    <w:rsid w:val="08EF0AF2"/>
    <w:rsid w:val="08F17900"/>
    <w:rsid w:val="09006F88"/>
    <w:rsid w:val="09020206"/>
    <w:rsid w:val="090304F1"/>
    <w:rsid w:val="09045176"/>
    <w:rsid w:val="090455D0"/>
    <w:rsid w:val="090B72F2"/>
    <w:rsid w:val="090E1D94"/>
    <w:rsid w:val="091449E9"/>
    <w:rsid w:val="091A7E1C"/>
    <w:rsid w:val="091B17AB"/>
    <w:rsid w:val="092217DD"/>
    <w:rsid w:val="09271235"/>
    <w:rsid w:val="092813F0"/>
    <w:rsid w:val="09290E98"/>
    <w:rsid w:val="09292D9E"/>
    <w:rsid w:val="093A7294"/>
    <w:rsid w:val="093E52DA"/>
    <w:rsid w:val="09526CCE"/>
    <w:rsid w:val="095E2288"/>
    <w:rsid w:val="09637A9A"/>
    <w:rsid w:val="09662FD5"/>
    <w:rsid w:val="09694018"/>
    <w:rsid w:val="09724226"/>
    <w:rsid w:val="09755B60"/>
    <w:rsid w:val="09764D3C"/>
    <w:rsid w:val="09772ED3"/>
    <w:rsid w:val="097906FF"/>
    <w:rsid w:val="097C6199"/>
    <w:rsid w:val="0981681B"/>
    <w:rsid w:val="09896FC8"/>
    <w:rsid w:val="098B6F5B"/>
    <w:rsid w:val="098C760D"/>
    <w:rsid w:val="098D79DE"/>
    <w:rsid w:val="09945938"/>
    <w:rsid w:val="09997515"/>
    <w:rsid w:val="099B7645"/>
    <w:rsid w:val="09A268E8"/>
    <w:rsid w:val="09AE36D3"/>
    <w:rsid w:val="09AE5A10"/>
    <w:rsid w:val="09B8526E"/>
    <w:rsid w:val="09BA7F4D"/>
    <w:rsid w:val="09C87125"/>
    <w:rsid w:val="09D601DA"/>
    <w:rsid w:val="09EE2E1B"/>
    <w:rsid w:val="09F233DE"/>
    <w:rsid w:val="09F3156D"/>
    <w:rsid w:val="09F57886"/>
    <w:rsid w:val="09F972DD"/>
    <w:rsid w:val="09FB015D"/>
    <w:rsid w:val="0A0045C6"/>
    <w:rsid w:val="0A057545"/>
    <w:rsid w:val="0A0F01BA"/>
    <w:rsid w:val="0A1E1B2B"/>
    <w:rsid w:val="0A1F1931"/>
    <w:rsid w:val="0A2121C1"/>
    <w:rsid w:val="0A263993"/>
    <w:rsid w:val="0A2D3AC2"/>
    <w:rsid w:val="0A2F0DBE"/>
    <w:rsid w:val="0A33019B"/>
    <w:rsid w:val="0A375EC4"/>
    <w:rsid w:val="0A3B13A2"/>
    <w:rsid w:val="0A3C4EDA"/>
    <w:rsid w:val="0A3E7253"/>
    <w:rsid w:val="0A466107"/>
    <w:rsid w:val="0A47085C"/>
    <w:rsid w:val="0A54709C"/>
    <w:rsid w:val="0A554F13"/>
    <w:rsid w:val="0A580227"/>
    <w:rsid w:val="0A687BF8"/>
    <w:rsid w:val="0A6B4264"/>
    <w:rsid w:val="0A6E2AD9"/>
    <w:rsid w:val="0A704ABF"/>
    <w:rsid w:val="0A717628"/>
    <w:rsid w:val="0A78246D"/>
    <w:rsid w:val="0A7964DD"/>
    <w:rsid w:val="0A7B2255"/>
    <w:rsid w:val="0A8A603B"/>
    <w:rsid w:val="0A9C57EB"/>
    <w:rsid w:val="0A9F4195"/>
    <w:rsid w:val="0AA755DF"/>
    <w:rsid w:val="0AA81837"/>
    <w:rsid w:val="0AAC7207"/>
    <w:rsid w:val="0AAD0CA0"/>
    <w:rsid w:val="0AB17A25"/>
    <w:rsid w:val="0AB9409C"/>
    <w:rsid w:val="0AC043E2"/>
    <w:rsid w:val="0AC43DBF"/>
    <w:rsid w:val="0ADD6A6C"/>
    <w:rsid w:val="0AE3719E"/>
    <w:rsid w:val="0AE61DC4"/>
    <w:rsid w:val="0AE87DBD"/>
    <w:rsid w:val="0AE949C2"/>
    <w:rsid w:val="0AEA6D1A"/>
    <w:rsid w:val="0AF202DD"/>
    <w:rsid w:val="0AF3662D"/>
    <w:rsid w:val="0AFA5870"/>
    <w:rsid w:val="0AFF2E86"/>
    <w:rsid w:val="0AFF50A2"/>
    <w:rsid w:val="0B0424BA"/>
    <w:rsid w:val="0B070A5E"/>
    <w:rsid w:val="0B095AB3"/>
    <w:rsid w:val="0B120D44"/>
    <w:rsid w:val="0B16582B"/>
    <w:rsid w:val="0B1A6BEE"/>
    <w:rsid w:val="0B2C17A1"/>
    <w:rsid w:val="0B2D39F5"/>
    <w:rsid w:val="0B352404"/>
    <w:rsid w:val="0B362C1B"/>
    <w:rsid w:val="0B385C0B"/>
    <w:rsid w:val="0B4243C3"/>
    <w:rsid w:val="0B426BFC"/>
    <w:rsid w:val="0B4F3826"/>
    <w:rsid w:val="0B510D02"/>
    <w:rsid w:val="0B596231"/>
    <w:rsid w:val="0B6F7F34"/>
    <w:rsid w:val="0B733189"/>
    <w:rsid w:val="0B745BD9"/>
    <w:rsid w:val="0B7E024F"/>
    <w:rsid w:val="0B7E674B"/>
    <w:rsid w:val="0B7F5D75"/>
    <w:rsid w:val="0B883A47"/>
    <w:rsid w:val="0B8A614D"/>
    <w:rsid w:val="0B910C34"/>
    <w:rsid w:val="0B956E51"/>
    <w:rsid w:val="0B9A208B"/>
    <w:rsid w:val="0B9A6F3F"/>
    <w:rsid w:val="0BAA52B8"/>
    <w:rsid w:val="0BB06663"/>
    <w:rsid w:val="0BB66088"/>
    <w:rsid w:val="0BBE48C4"/>
    <w:rsid w:val="0BC47C2C"/>
    <w:rsid w:val="0BC70130"/>
    <w:rsid w:val="0BC878CA"/>
    <w:rsid w:val="0BD236E8"/>
    <w:rsid w:val="0BD27BF6"/>
    <w:rsid w:val="0BD460C1"/>
    <w:rsid w:val="0BDE0332"/>
    <w:rsid w:val="0BDF3860"/>
    <w:rsid w:val="0BE618FA"/>
    <w:rsid w:val="0BF67841"/>
    <w:rsid w:val="0C033F39"/>
    <w:rsid w:val="0C03742A"/>
    <w:rsid w:val="0C1472C3"/>
    <w:rsid w:val="0C1B6FE5"/>
    <w:rsid w:val="0C2801BA"/>
    <w:rsid w:val="0C286243"/>
    <w:rsid w:val="0C2F1905"/>
    <w:rsid w:val="0C33430C"/>
    <w:rsid w:val="0C3B187D"/>
    <w:rsid w:val="0C3B3C7D"/>
    <w:rsid w:val="0C3B4A36"/>
    <w:rsid w:val="0C3D078E"/>
    <w:rsid w:val="0C41513A"/>
    <w:rsid w:val="0C467C49"/>
    <w:rsid w:val="0C5631CA"/>
    <w:rsid w:val="0C5E3BDC"/>
    <w:rsid w:val="0C653200"/>
    <w:rsid w:val="0C684CD9"/>
    <w:rsid w:val="0C6B3E00"/>
    <w:rsid w:val="0C6F4CA1"/>
    <w:rsid w:val="0C816873"/>
    <w:rsid w:val="0C880094"/>
    <w:rsid w:val="0C89563F"/>
    <w:rsid w:val="0C8F0F5D"/>
    <w:rsid w:val="0C923886"/>
    <w:rsid w:val="0C957BBA"/>
    <w:rsid w:val="0CA0395D"/>
    <w:rsid w:val="0CA313D8"/>
    <w:rsid w:val="0CAB2EAE"/>
    <w:rsid w:val="0CCA0749"/>
    <w:rsid w:val="0CCD37C8"/>
    <w:rsid w:val="0CD10852"/>
    <w:rsid w:val="0CD204B9"/>
    <w:rsid w:val="0CD67C16"/>
    <w:rsid w:val="0CE06091"/>
    <w:rsid w:val="0CE22F7D"/>
    <w:rsid w:val="0CE374BD"/>
    <w:rsid w:val="0CE426D0"/>
    <w:rsid w:val="0CE51C08"/>
    <w:rsid w:val="0CEA5F50"/>
    <w:rsid w:val="0CF76D88"/>
    <w:rsid w:val="0CFB514F"/>
    <w:rsid w:val="0D014F54"/>
    <w:rsid w:val="0D02335B"/>
    <w:rsid w:val="0D046532"/>
    <w:rsid w:val="0D093B48"/>
    <w:rsid w:val="0D1644B7"/>
    <w:rsid w:val="0D1E1110"/>
    <w:rsid w:val="0D1F6564"/>
    <w:rsid w:val="0D262AAC"/>
    <w:rsid w:val="0D305756"/>
    <w:rsid w:val="0D340C0D"/>
    <w:rsid w:val="0D3606B5"/>
    <w:rsid w:val="0D3F53E9"/>
    <w:rsid w:val="0D405DE1"/>
    <w:rsid w:val="0D586B0A"/>
    <w:rsid w:val="0D5A6F47"/>
    <w:rsid w:val="0D621C7D"/>
    <w:rsid w:val="0D6276FC"/>
    <w:rsid w:val="0D6D057B"/>
    <w:rsid w:val="0D7868C1"/>
    <w:rsid w:val="0D7F13F6"/>
    <w:rsid w:val="0D824AFF"/>
    <w:rsid w:val="0D8465E1"/>
    <w:rsid w:val="0D8F2CAE"/>
    <w:rsid w:val="0D903C4C"/>
    <w:rsid w:val="0D9543F6"/>
    <w:rsid w:val="0D9644B5"/>
    <w:rsid w:val="0DA50C06"/>
    <w:rsid w:val="0DA66037"/>
    <w:rsid w:val="0DA85FF7"/>
    <w:rsid w:val="0DA923F5"/>
    <w:rsid w:val="0DBE5170"/>
    <w:rsid w:val="0DBE5787"/>
    <w:rsid w:val="0DBE5D43"/>
    <w:rsid w:val="0DD235BB"/>
    <w:rsid w:val="0DD560DC"/>
    <w:rsid w:val="0DD97946"/>
    <w:rsid w:val="0DDA60E4"/>
    <w:rsid w:val="0DDB524F"/>
    <w:rsid w:val="0DE66EA9"/>
    <w:rsid w:val="0DF114B4"/>
    <w:rsid w:val="0DFD245E"/>
    <w:rsid w:val="0DFD583A"/>
    <w:rsid w:val="0E06277D"/>
    <w:rsid w:val="0E0A401C"/>
    <w:rsid w:val="0E0B48D0"/>
    <w:rsid w:val="0E0B4D8A"/>
    <w:rsid w:val="0E0D259E"/>
    <w:rsid w:val="0E0F5672"/>
    <w:rsid w:val="0E2A1FC8"/>
    <w:rsid w:val="0E2C23ED"/>
    <w:rsid w:val="0E332684"/>
    <w:rsid w:val="0E432850"/>
    <w:rsid w:val="0E476DBB"/>
    <w:rsid w:val="0E4C018E"/>
    <w:rsid w:val="0E570C38"/>
    <w:rsid w:val="0E5B3288"/>
    <w:rsid w:val="0E5E1ED2"/>
    <w:rsid w:val="0E6656E2"/>
    <w:rsid w:val="0E686877"/>
    <w:rsid w:val="0E6F6FE2"/>
    <w:rsid w:val="0E71099A"/>
    <w:rsid w:val="0E73034D"/>
    <w:rsid w:val="0E866FAD"/>
    <w:rsid w:val="0E8A515C"/>
    <w:rsid w:val="0E8A740A"/>
    <w:rsid w:val="0E8D430E"/>
    <w:rsid w:val="0E8E79E4"/>
    <w:rsid w:val="0E8F4521"/>
    <w:rsid w:val="0E947A72"/>
    <w:rsid w:val="0E9E667F"/>
    <w:rsid w:val="0EA35740"/>
    <w:rsid w:val="0EBC6675"/>
    <w:rsid w:val="0EBC6BD6"/>
    <w:rsid w:val="0EBD0C8E"/>
    <w:rsid w:val="0EC44C40"/>
    <w:rsid w:val="0ECA4A2A"/>
    <w:rsid w:val="0ECA513F"/>
    <w:rsid w:val="0ED77B89"/>
    <w:rsid w:val="0EDB666C"/>
    <w:rsid w:val="0EDE1EA9"/>
    <w:rsid w:val="0EE663A2"/>
    <w:rsid w:val="0EF75897"/>
    <w:rsid w:val="0F0A1DF9"/>
    <w:rsid w:val="0F13775A"/>
    <w:rsid w:val="0F1D427D"/>
    <w:rsid w:val="0F284C16"/>
    <w:rsid w:val="0F2F1860"/>
    <w:rsid w:val="0F2F6775"/>
    <w:rsid w:val="0F334EAC"/>
    <w:rsid w:val="0F381B7E"/>
    <w:rsid w:val="0F3B1C8B"/>
    <w:rsid w:val="0F3E26EF"/>
    <w:rsid w:val="0F413037"/>
    <w:rsid w:val="0F5777A7"/>
    <w:rsid w:val="0F5F45FE"/>
    <w:rsid w:val="0F6B1830"/>
    <w:rsid w:val="0F6D0022"/>
    <w:rsid w:val="0F7835B6"/>
    <w:rsid w:val="0F84154D"/>
    <w:rsid w:val="0F8676D2"/>
    <w:rsid w:val="0F917478"/>
    <w:rsid w:val="0F96314E"/>
    <w:rsid w:val="0F9A112B"/>
    <w:rsid w:val="0F9B6FFB"/>
    <w:rsid w:val="0FA43FFC"/>
    <w:rsid w:val="0FA56667"/>
    <w:rsid w:val="0FAD12E5"/>
    <w:rsid w:val="0FB1412A"/>
    <w:rsid w:val="0FB407FC"/>
    <w:rsid w:val="0FB55497"/>
    <w:rsid w:val="0FC044E6"/>
    <w:rsid w:val="0FC93A62"/>
    <w:rsid w:val="0FD26785"/>
    <w:rsid w:val="0FDB107B"/>
    <w:rsid w:val="0FDC34BA"/>
    <w:rsid w:val="0FDF45B3"/>
    <w:rsid w:val="0FE4016F"/>
    <w:rsid w:val="0FED0424"/>
    <w:rsid w:val="0FED7E9D"/>
    <w:rsid w:val="0FEE42C4"/>
    <w:rsid w:val="0FF10BD9"/>
    <w:rsid w:val="0FFE4E76"/>
    <w:rsid w:val="10001308"/>
    <w:rsid w:val="102D5D9F"/>
    <w:rsid w:val="10316966"/>
    <w:rsid w:val="10327B05"/>
    <w:rsid w:val="10341683"/>
    <w:rsid w:val="103A448E"/>
    <w:rsid w:val="10415F09"/>
    <w:rsid w:val="1047346F"/>
    <w:rsid w:val="104878DF"/>
    <w:rsid w:val="104B2014"/>
    <w:rsid w:val="105C0E72"/>
    <w:rsid w:val="105C29C8"/>
    <w:rsid w:val="105E1622"/>
    <w:rsid w:val="105E61E2"/>
    <w:rsid w:val="106224CE"/>
    <w:rsid w:val="10636499"/>
    <w:rsid w:val="10640022"/>
    <w:rsid w:val="10666866"/>
    <w:rsid w:val="106D2F64"/>
    <w:rsid w:val="106F63B8"/>
    <w:rsid w:val="10857989"/>
    <w:rsid w:val="108952AD"/>
    <w:rsid w:val="10896C2E"/>
    <w:rsid w:val="10930557"/>
    <w:rsid w:val="1098320F"/>
    <w:rsid w:val="10A00E68"/>
    <w:rsid w:val="10A1513D"/>
    <w:rsid w:val="10A217D3"/>
    <w:rsid w:val="10B17F0C"/>
    <w:rsid w:val="10B434F4"/>
    <w:rsid w:val="10B63710"/>
    <w:rsid w:val="10B65D95"/>
    <w:rsid w:val="10BB22A5"/>
    <w:rsid w:val="10C06C14"/>
    <w:rsid w:val="10CA31EE"/>
    <w:rsid w:val="10CB3188"/>
    <w:rsid w:val="10D606A6"/>
    <w:rsid w:val="10D87E2C"/>
    <w:rsid w:val="10EC17B7"/>
    <w:rsid w:val="10F10820"/>
    <w:rsid w:val="10F25D47"/>
    <w:rsid w:val="10FC5772"/>
    <w:rsid w:val="10FD29C6"/>
    <w:rsid w:val="11066BBB"/>
    <w:rsid w:val="1107474A"/>
    <w:rsid w:val="110B1F80"/>
    <w:rsid w:val="1111746F"/>
    <w:rsid w:val="11130C98"/>
    <w:rsid w:val="111C2F7A"/>
    <w:rsid w:val="112523DF"/>
    <w:rsid w:val="11275E12"/>
    <w:rsid w:val="11286D73"/>
    <w:rsid w:val="11390774"/>
    <w:rsid w:val="11391602"/>
    <w:rsid w:val="113A14E1"/>
    <w:rsid w:val="113B5AF2"/>
    <w:rsid w:val="114B2BEB"/>
    <w:rsid w:val="114D7DA7"/>
    <w:rsid w:val="115D4462"/>
    <w:rsid w:val="11665CA1"/>
    <w:rsid w:val="116B5221"/>
    <w:rsid w:val="116F6C37"/>
    <w:rsid w:val="11703F93"/>
    <w:rsid w:val="11734065"/>
    <w:rsid w:val="11763776"/>
    <w:rsid w:val="11785740"/>
    <w:rsid w:val="117C02A5"/>
    <w:rsid w:val="118A5268"/>
    <w:rsid w:val="118D1322"/>
    <w:rsid w:val="11990339"/>
    <w:rsid w:val="119D7C81"/>
    <w:rsid w:val="11A90A37"/>
    <w:rsid w:val="11BF757E"/>
    <w:rsid w:val="11C36C8B"/>
    <w:rsid w:val="11C825C2"/>
    <w:rsid w:val="11C91AF8"/>
    <w:rsid w:val="11CA0B96"/>
    <w:rsid w:val="11CC783A"/>
    <w:rsid w:val="11CD38A7"/>
    <w:rsid w:val="11D56B68"/>
    <w:rsid w:val="11DC515B"/>
    <w:rsid w:val="11DD37F5"/>
    <w:rsid w:val="11EA7595"/>
    <w:rsid w:val="11EE53F3"/>
    <w:rsid w:val="11EF61A6"/>
    <w:rsid w:val="11F51920"/>
    <w:rsid w:val="12033F98"/>
    <w:rsid w:val="12050EDB"/>
    <w:rsid w:val="1209345F"/>
    <w:rsid w:val="120B38DA"/>
    <w:rsid w:val="120B5F02"/>
    <w:rsid w:val="1215360D"/>
    <w:rsid w:val="121543C9"/>
    <w:rsid w:val="12187DEF"/>
    <w:rsid w:val="121F2ECD"/>
    <w:rsid w:val="1233783F"/>
    <w:rsid w:val="12412BFE"/>
    <w:rsid w:val="125131B9"/>
    <w:rsid w:val="125A32B3"/>
    <w:rsid w:val="125A33FD"/>
    <w:rsid w:val="126322EC"/>
    <w:rsid w:val="126B3023"/>
    <w:rsid w:val="126D63AC"/>
    <w:rsid w:val="12720089"/>
    <w:rsid w:val="127740BA"/>
    <w:rsid w:val="12833A99"/>
    <w:rsid w:val="128A341A"/>
    <w:rsid w:val="128E2152"/>
    <w:rsid w:val="1290540B"/>
    <w:rsid w:val="129272BC"/>
    <w:rsid w:val="12992D30"/>
    <w:rsid w:val="12A44C9E"/>
    <w:rsid w:val="12AD296B"/>
    <w:rsid w:val="12B70AFC"/>
    <w:rsid w:val="12B80C61"/>
    <w:rsid w:val="12BB5886"/>
    <w:rsid w:val="12CA5B28"/>
    <w:rsid w:val="12D06786"/>
    <w:rsid w:val="12D7148B"/>
    <w:rsid w:val="12D92491"/>
    <w:rsid w:val="12E60C8E"/>
    <w:rsid w:val="12EA61CA"/>
    <w:rsid w:val="12EE4983"/>
    <w:rsid w:val="12F02B19"/>
    <w:rsid w:val="12F317AC"/>
    <w:rsid w:val="12F9640D"/>
    <w:rsid w:val="12FB4B4E"/>
    <w:rsid w:val="13060840"/>
    <w:rsid w:val="13086650"/>
    <w:rsid w:val="13102A34"/>
    <w:rsid w:val="13185F29"/>
    <w:rsid w:val="13361B2E"/>
    <w:rsid w:val="134173EF"/>
    <w:rsid w:val="134C3603"/>
    <w:rsid w:val="1357474C"/>
    <w:rsid w:val="135B519D"/>
    <w:rsid w:val="135D2E40"/>
    <w:rsid w:val="13623339"/>
    <w:rsid w:val="13674D67"/>
    <w:rsid w:val="13793E62"/>
    <w:rsid w:val="137B23F3"/>
    <w:rsid w:val="13815793"/>
    <w:rsid w:val="138B7F8F"/>
    <w:rsid w:val="138E1A23"/>
    <w:rsid w:val="13910E76"/>
    <w:rsid w:val="13950723"/>
    <w:rsid w:val="13951726"/>
    <w:rsid w:val="13961FEB"/>
    <w:rsid w:val="139F03F6"/>
    <w:rsid w:val="13A52826"/>
    <w:rsid w:val="13B3480E"/>
    <w:rsid w:val="13C1041D"/>
    <w:rsid w:val="13C36EB4"/>
    <w:rsid w:val="13C44C6D"/>
    <w:rsid w:val="13C60E07"/>
    <w:rsid w:val="13CB1562"/>
    <w:rsid w:val="13CB3911"/>
    <w:rsid w:val="13CD13F7"/>
    <w:rsid w:val="13D30CC5"/>
    <w:rsid w:val="13D529D6"/>
    <w:rsid w:val="13D73FBA"/>
    <w:rsid w:val="13D924A0"/>
    <w:rsid w:val="13DB5586"/>
    <w:rsid w:val="13DE2AA7"/>
    <w:rsid w:val="13DE790A"/>
    <w:rsid w:val="13E02727"/>
    <w:rsid w:val="13E250F3"/>
    <w:rsid w:val="13E50B0E"/>
    <w:rsid w:val="13EB48C5"/>
    <w:rsid w:val="13FA68E0"/>
    <w:rsid w:val="140263D0"/>
    <w:rsid w:val="14026DC9"/>
    <w:rsid w:val="14054A87"/>
    <w:rsid w:val="140B6059"/>
    <w:rsid w:val="141352AC"/>
    <w:rsid w:val="14186D00"/>
    <w:rsid w:val="1420568D"/>
    <w:rsid w:val="14257107"/>
    <w:rsid w:val="14281871"/>
    <w:rsid w:val="142B15E3"/>
    <w:rsid w:val="142E0338"/>
    <w:rsid w:val="14396509"/>
    <w:rsid w:val="14416FC6"/>
    <w:rsid w:val="144638D4"/>
    <w:rsid w:val="144731A8"/>
    <w:rsid w:val="144D546B"/>
    <w:rsid w:val="144D7458"/>
    <w:rsid w:val="145E7D70"/>
    <w:rsid w:val="146523C4"/>
    <w:rsid w:val="1465676F"/>
    <w:rsid w:val="147D6AD9"/>
    <w:rsid w:val="147E34D6"/>
    <w:rsid w:val="147F65EA"/>
    <w:rsid w:val="149A29C7"/>
    <w:rsid w:val="149D2BC3"/>
    <w:rsid w:val="14A405FA"/>
    <w:rsid w:val="14AF6E2F"/>
    <w:rsid w:val="14B04E16"/>
    <w:rsid w:val="14BF2A65"/>
    <w:rsid w:val="14BF7F97"/>
    <w:rsid w:val="14C5353F"/>
    <w:rsid w:val="14D966DB"/>
    <w:rsid w:val="14DC568C"/>
    <w:rsid w:val="14DC593D"/>
    <w:rsid w:val="14DD2C3C"/>
    <w:rsid w:val="14DD7852"/>
    <w:rsid w:val="14E60C13"/>
    <w:rsid w:val="14F00199"/>
    <w:rsid w:val="14FC4353"/>
    <w:rsid w:val="1504123B"/>
    <w:rsid w:val="150476F0"/>
    <w:rsid w:val="150C36EA"/>
    <w:rsid w:val="151267AE"/>
    <w:rsid w:val="151614F8"/>
    <w:rsid w:val="1517701E"/>
    <w:rsid w:val="151D6BE9"/>
    <w:rsid w:val="1523270A"/>
    <w:rsid w:val="15260B17"/>
    <w:rsid w:val="152E30D5"/>
    <w:rsid w:val="15322DFA"/>
    <w:rsid w:val="15366941"/>
    <w:rsid w:val="153D2FA1"/>
    <w:rsid w:val="154D1EF6"/>
    <w:rsid w:val="154D2A40"/>
    <w:rsid w:val="1554171E"/>
    <w:rsid w:val="155516D9"/>
    <w:rsid w:val="15596485"/>
    <w:rsid w:val="155B0163"/>
    <w:rsid w:val="155C4FF5"/>
    <w:rsid w:val="155C713F"/>
    <w:rsid w:val="155D0ED5"/>
    <w:rsid w:val="155F3533"/>
    <w:rsid w:val="1561649E"/>
    <w:rsid w:val="15625A92"/>
    <w:rsid w:val="15750BB6"/>
    <w:rsid w:val="15755586"/>
    <w:rsid w:val="157707B1"/>
    <w:rsid w:val="157955E3"/>
    <w:rsid w:val="158004D0"/>
    <w:rsid w:val="158346B4"/>
    <w:rsid w:val="159F6B81"/>
    <w:rsid w:val="15A65979"/>
    <w:rsid w:val="15A77268"/>
    <w:rsid w:val="15A94148"/>
    <w:rsid w:val="15B11221"/>
    <w:rsid w:val="15BB3E4D"/>
    <w:rsid w:val="15C97D3C"/>
    <w:rsid w:val="15CD77D3"/>
    <w:rsid w:val="15D53D40"/>
    <w:rsid w:val="15D55902"/>
    <w:rsid w:val="15D55C6E"/>
    <w:rsid w:val="15DA1475"/>
    <w:rsid w:val="15DE69E2"/>
    <w:rsid w:val="15E76C11"/>
    <w:rsid w:val="15FE6059"/>
    <w:rsid w:val="15FE621E"/>
    <w:rsid w:val="16012553"/>
    <w:rsid w:val="160144DE"/>
    <w:rsid w:val="16022814"/>
    <w:rsid w:val="16027CCE"/>
    <w:rsid w:val="16087E1D"/>
    <w:rsid w:val="160B0067"/>
    <w:rsid w:val="160E0103"/>
    <w:rsid w:val="160F6ACA"/>
    <w:rsid w:val="16135D94"/>
    <w:rsid w:val="161365D3"/>
    <w:rsid w:val="16175528"/>
    <w:rsid w:val="161C0DB9"/>
    <w:rsid w:val="161D0E90"/>
    <w:rsid w:val="161E5DAB"/>
    <w:rsid w:val="16204625"/>
    <w:rsid w:val="163037C2"/>
    <w:rsid w:val="16312918"/>
    <w:rsid w:val="16362253"/>
    <w:rsid w:val="163B2A00"/>
    <w:rsid w:val="163F682C"/>
    <w:rsid w:val="16631BA1"/>
    <w:rsid w:val="16700037"/>
    <w:rsid w:val="1672329C"/>
    <w:rsid w:val="16744D17"/>
    <w:rsid w:val="16806CF3"/>
    <w:rsid w:val="16816E45"/>
    <w:rsid w:val="16827290"/>
    <w:rsid w:val="16840AEE"/>
    <w:rsid w:val="168A0B6A"/>
    <w:rsid w:val="168F4FC6"/>
    <w:rsid w:val="16984E9E"/>
    <w:rsid w:val="169A7F07"/>
    <w:rsid w:val="169B3602"/>
    <w:rsid w:val="169C3756"/>
    <w:rsid w:val="16A2215D"/>
    <w:rsid w:val="16AA2F6E"/>
    <w:rsid w:val="16AD477D"/>
    <w:rsid w:val="16BC3C96"/>
    <w:rsid w:val="16D21EC3"/>
    <w:rsid w:val="16D61C0A"/>
    <w:rsid w:val="16DA5F29"/>
    <w:rsid w:val="16E16394"/>
    <w:rsid w:val="16E25DF4"/>
    <w:rsid w:val="16E93C53"/>
    <w:rsid w:val="16EF32C5"/>
    <w:rsid w:val="16F554F4"/>
    <w:rsid w:val="16F625A2"/>
    <w:rsid w:val="16F869F9"/>
    <w:rsid w:val="17053CBB"/>
    <w:rsid w:val="17081314"/>
    <w:rsid w:val="171310E4"/>
    <w:rsid w:val="171C32BA"/>
    <w:rsid w:val="171C4DC0"/>
    <w:rsid w:val="17260828"/>
    <w:rsid w:val="1731373A"/>
    <w:rsid w:val="17316EF6"/>
    <w:rsid w:val="17394B74"/>
    <w:rsid w:val="173B281B"/>
    <w:rsid w:val="17474610"/>
    <w:rsid w:val="174A0F0A"/>
    <w:rsid w:val="174D5A93"/>
    <w:rsid w:val="17525B6D"/>
    <w:rsid w:val="17580B07"/>
    <w:rsid w:val="175B7696"/>
    <w:rsid w:val="176B60B4"/>
    <w:rsid w:val="17701D14"/>
    <w:rsid w:val="17735226"/>
    <w:rsid w:val="17852965"/>
    <w:rsid w:val="178609D3"/>
    <w:rsid w:val="17954610"/>
    <w:rsid w:val="17A06EE3"/>
    <w:rsid w:val="17A14DE7"/>
    <w:rsid w:val="17B17E8E"/>
    <w:rsid w:val="17B35C58"/>
    <w:rsid w:val="17B861F9"/>
    <w:rsid w:val="17BA733C"/>
    <w:rsid w:val="17C6259A"/>
    <w:rsid w:val="17CC36AA"/>
    <w:rsid w:val="17CD4ACF"/>
    <w:rsid w:val="17D254A3"/>
    <w:rsid w:val="17D97FBC"/>
    <w:rsid w:val="17F33BCF"/>
    <w:rsid w:val="17F357CA"/>
    <w:rsid w:val="17F62AE1"/>
    <w:rsid w:val="17F94A54"/>
    <w:rsid w:val="17FA2549"/>
    <w:rsid w:val="18025FB9"/>
    <w:rsid w:val="180A1EE9"/>
    <w:rsid w:val="180C0990"/>
    <w:rsid w:val="18131D1F"/>
    <w:rsid w:val="1815726F"/>
    <w:rsid w:val="182C5B90"/>
    <w:rsid w:val="182D138A"/>
    <w:rsid w:val="18303C2A"/>
    <w:rsid w:val="183D3DB6"/>
    <w:rsid w:val="1840451E"/>
    <w:rsid w:val="1843389B"/>
    <w:rsid w:val="185031EA"/>
    <w:rsid w:val="185F183A"/>
    <w:rsid w:val="186055AA"/>
    <w:rsid w:val="1869567F"/>
    <w:rsid w:val="187650CA"/>
    <w:rsid w:val="187C1837"/>
    <w:rsid w:val="187E4C12"/>
    <w:rsid w:val="189F624C"/>
    <w:rsid w:val="18AA0643"/>
    <w:rsid w:val="18AE7C81"/>
    <w:rsid w:val="18B67929"/>
    <w:rsid w:val="18B851E2"/>
    <w:rsid w:val="18C1380B"/>
    <w:rsid w:val="18CA7323"/>
    <w:rsid w:val="18CB1570"/>
    <w:rsid w:val="18CC2CAB"/>
    <w:rsid w:val="18DA7A5B"/>
    <w:rsid w:val="18DF029F"/>
    <w:rsid w:val="18E876DF"/>
    <w:rsid w:val="18EB46DF"/>
    <w:rsid w:val="18FE652B"/>
    <w:rsid w:val="190673B7"/>
    <w:rsid w:val="19075B97"/>
    <w:rsid w:val="190D67B4"/>
    <w:rsid w:val="190F470D"/>
    <w:rsid w:val="19193365"/>
    <w:rsid w:val="192B12EA"/>
    <w:rsid w:val="192F2B88"/>
    <w:rsid w:val="192F63D7"/>
    <w:rsid w:val="19361673"/>
    <w:rsid w:val="19410B0E"/>
    <w:rsid w:val="19415B33"/>
    <w:rsid w:val="194303E2"/>
    <w:rsid w:val="194960BC"/>
    <w:rsid w:val="194F4FD8"/>
    <w:rsid w:val="195146C7"/>
    <w:rsid w:val="19803E20"/>
    <w:rsid w:val="19896268"/>
    <w:rsid w:val="199A196B"/>
    <w:rsid w:val="199A3E11"/>
    <w:rsid w:val="199F7F50"/>
    <w:rsid w:val="19A5603C"/>
    <w:rsid w:val="19AF33FF"/>
    <w:rsid w:val="19B81AED"/>
    <w:rsid w:val="19BD517D"/>
    <w:rsid w:val="19BF7380"/>
    <w:rsid w:val="19C95E82"/>
    <w:rsid w:val="19D761CE"/>
    <w:rsid w:val="19DB27B4"/>
    <w:rsid w:val="19DD0E67"/>
    <w:rsid w:val="19E06CA3"/>
    <w:rsid w:val="19E17B8B"/>
    <w:rsid w:val="19E656D4"/>
    <w:rsid w:val="19E80F89"/>
    <w:rsid w:val="19EF2779"/>
    <w:rsid w:val="19F4792E"/>
    <w:rsid w:val="1A032201"/>
    <w:rsid w:val="1A032819"/>
    <w:rsid w:val="1A0348EE"/>
    <w:rsid w:val="1A080FC8"/>
    <w:rsid w:val="1A0933D9"/>
    <w:rsid w:val="1A0A53A3"/>
    <w:rsid w:val="1A1C66C0"/>
    <w:rsid w:val="1A2226ED"/>
    <w:rsid w:val="1A226249"/>
    <w:rsid w:val="1A2937C2"/>
    <w:rsid w:val="1A385CFC"/>
    <w:rsid w:val="1A3D12D5"/>
    <w:rsid w:val="1A3F3860"/>
    <w:rsid w:val="1A42393B"/>
    <w:rsid w:val="1A4332F5"/>
    <w:rsid w:val="1A433B22"/>
    <w:rsid w:val="1A4563DB"/>
    <w:rsid w:val="1A4828D3"/>
    <w:rsid w:val="1A4E1986"/>
    <w:rsid w:val="1A506A37"/>
    <w:rsid w:val="1A5C641B"/>
    <w:rsid w:val="1A6052D4"/>
    <w:rsid w:val="1A6374B3"/>
    <w:rsid w:val="1A6A2D33"/>
    <w:rsid w:val="1A732425"/>
    <w:rsid w:val="1A750A6F"/>
    <w:rsid w:val="1A85626F"/>
    <w:rsid w:val="1A862C7C"/>
    <w:rsid w:val="1A8B5B34"/>
    <w:rsid w:val="1A8E25C1"/>
    <w:rsid w:val="1A8E4080"/>
    <w:rsid w:val="1A946AA4"/>
    <w:rsid w:val="1A952EBF"/>
    <w:rsid w:val="1A976319"/>
    <w:rsid w:val="1A976C37"/>
    <w:rsid w:val="1AA60B5F"/>
    <w:rsid w:val="1AAA0BD5"/>
    <w:rsid w:val="1AAC1FB7"/>
    <w:rsid w:val="1AAD45DE"/>
    <w:rsid w:val="1ABC6A2C"/>
    <w:rsid w:val="1AC23F5F"/>
    <w:rsid w:val="1AC94C1C"/>
    <w:rsid w:val="1ACC3A43"/>
    <w:rsid w:val="1AD25CB1"/>
    <w:rsid w:val="1AD44D0C"/>
    <w:rsid w:val="1AD80BD1"/>
    <w:rsid w:val="1ADA36DD"/>
    <w:rsid w:val="1ADF26DD"/>
    <w:rsid w:val="1AE479A2"/>
    <w:rsid w:val="1AEE6DB4"/>
    <w:rsid w:val="1AF0655F"/>
    <w:rsid w:val="1AF31738"/>
    <w:rsid w:val="1AFF070B"/>
    <w:rsid w:val="1B046F80"/>
    <w:rsid w:val="1B0D4C89"/>
    <w:rsid w:val="1B0D514B"/>
    <w:rsid w:val="1B13549F"/>
    <w:rsid w:val="1B1E7EF6"/>
    <w:rsid w:val="1B297ED6"/>
    <w:rsid w:val="1B2E0674"/>
    <w:rsid w:val="1B2F50C2"/>
    <w:rsid w:val="1B3267B5"/>
    <w:rsid w:val="1B3426D8"/>
    <w:rsid w:val="1B40161D"/>
    <w:rsid w:val="1B441859"/>
    <w:rsid w:val="1B4945FE"/>
    <w:rsid w:val="1B5530D1"/>
    <w:rsid w:val="1B5A5075"/>
    <w:rsid w:val="1B625D7A"/>
    <w:rsid w:val="1B6606B1"/>
    <w:rsid w:val="1B6F54BE"/>
    <w:rsid w:val="1B7B405A"/>
    <w:rsid w:val="1B8A633D"/>
    <w:rsid w:val="1B927F76"/>
    <w:rsid w:val="1B970EB9"/>
    <w:rsid w:val="1B993A77"/>
    <w:rsid w:val="1BAB41C7"/>
    <w:rsid w:val="1BB45CA0"/>
    <w:rsid w:val="1BCA112B"/>
    <w:rsid w:val="1BD17F27"/>
    <w:rsid w:val="1BD313CC"/>
    <w:rsid w:val="1BD346F5"/>
    <w:rsid w:val="1BE757F0"/>
    <w:rsid w:val="1BEA6689"/>
    <w:rsid w:val="1BEA73EC"/>
    <w:rsid w:val="1BF400E3"/>
    <w:rsid w:val="1BF60FDE"/>
    <w:rsid w:val="1BF81A4A"/>
    <w:rsid w:val="1BFE4A94"/>
    <w:rsid w:val="1C023E87"/>
    <w:rsid w:val="1C0504F5"/>
    <w:rsid w:val="1C071B9A"/>
    <w:rsid w:val="1C0B7651"/>
    <w:rsid w:val="1C127D7C"/>
    <w:rsid w:val="1C1D316C"/>
    <w:rsid w:val="1C2208E7"/>
    <w:rsid w:val="1C253579"/>
    <w:rsid w:val="1C3944B6"/>
    <w:rsid w:val="1C42341D"/>
    <w:rsid w:val="1C427EC4"/>
    <w:rsid w:val="1C4C2565"/>
    <w:rsid w:val="1C4C35D7"/>
    <w:rsid w:val="1C51122C"/>
    <w:rsid w:val="1C550B58"/>
    <w:rsid w:val="1C5A55B5"/>
    <w:rsid w:val="1C5E7925"/>
    <w:rsid w:val="1C6005E9"/>
    <w:rsid w:val="1C6A3D23"/>
    <w:rsid w:val="1C6C1A3A"/>
    <w:rsid w:val="1C6E3949"/>
    <w:rsid w:val="1C6E5776"/>
    <w:rsid w:val="1C7405D6"/>
    <w:rsid w:val="1C794C2E"/>
    <w:rsid w:val="1C8F4147"/>
    <w:rsid w:val="1C902603"/>
    <w:rsid w:val="1C913B5A"/>
    <w:rsid w:val="1CB07F9C"/>
    <w:rsid w:val="1CBA37A2"/>
    <w:rsid w:val="1CBB6D9C"/>
    <w:rsid w:val="1CD35F20"/>
    <w:rsid w:val="1CDF21C3"/>
    <w:rsid w:val="1CE367E1"/>
    <w:rsid w:val="1CE503DC"/>
    <w:rsid w:val="1CE82E6A"/>
    <w:rsid w:val="1CE974F2"/>
    <w:rsid w:val="1CEB6DC6"/>
    <w:rsid w:val="1CEE0061"/>
    <w:rsid w:val="1CEE6A7A"/>
    <w:rsid w:val="1CF45FD7"/>
    <w:rsid w:val="1CFD070F"/>
    <w:rsid w:val="1CFF3ED8"/>
    <w:rsid w:val="1D081FED"/>
    <w:rsid w:val="1D08565B"/>
    <w:rsid w:val="1D0C45AE"/>
    <w:rsid w:val="1D0F2DB6"/>
    <w:rsid w:val="1D11438A"/>
    <w:rsid w:val="1D364BAA"/>
    <w:rsid w:val="1D383206"/>
    <w:rsid w:val="1D48081E"/>
    <w:rsid w:val="1D493E36"/>
    <w:rsid w:val="1D552380"/>
    <w:rsid w:val="1D592E3F"/>
    <w:rsid w:val="1D5B1D3C"/>
    <w:rsid w:val="1D5D61B1"/>
    <w:rsid w:val="1D5F1896"/>
    <w:rsid w:val="1D5F6196"/>
    <w:rsid w:val="1D6132A5"/>
    <w:rsid w:val="1D647006"/>
    <w:rsid w:val="1D790876"/>
    <w:rsid w:val="1D7962C2"/>
    <w:rsid w:val="1D7A45EE"/>
    <w:rsid w:val="1D7C668E"/>
    <w:rsid w:val="1D8D2D6C"/>
    <w:rsid w:val="1D8D68CA"/>
    <w:rsid w:val="1D8E56D5"/>
    <w:rsid w:val="1D8F3281"/>
    <w:rsid w:val="1D8F77B3"/>
    <w:rsid w:val="1D900790"/>
    <w:rsid w:val="1D910FFE"/>
    <w:rsid w:val="1D9530D6"/>
    <w:rsid w:val="1D992CC6"/>
    <w:rsid w:val="1D9F619B"/>
    <w:rsid w:val="1DC53ABB"/>
    <w:rsid w:val="1DCB145F"/>
    <w:rsid w:val="1DCD1B4E"/>
    <w:rsid w:val="1DCD6634"/>
    <w:rsid w:val="1DD061D6"/>
    <w:rsid w:val="1DE26170"/>
    <w:rsid w:val="1DE54D71"/>
    <w:rsid w:val="1DE778F5"/>
    <w:rsid w:val="1DF02AEB"/>
    <w:rsid w:val="1DF04200"/>
    <w:rsid w:val="1DF223D6"/>
    <w:rsid w:val="1DF44852"/>
    <w:rsid w:val="1DFE1E6D"/>
    <w:rsid w:val="1E005185"/>
    <w:rsid w:val="1E01086B"/>
    <w:rsid w:val="1E0E1C5D"/>
    <w:rsid w:val="1E0E486F"/>
    <w:rsid w:val="1E101FEC"/>
    <w:rsid w:val="1E1318AE"/>
    <w:rsid w:val="1E1437EB"/>
    <w:rsid w:val="1E1C7EAE"/>
    <w:rsid w:val="1E1F6512"/>
    <w:rsid w:val="1E206EF9"/>
    <w:rsid w:val="1E2345F3"/>
    <w:rsid w:val="1E250A6E"/>
    <w:rsid w:val="1E29570F"/>
    <w:rsid w:val="1E2C3B3A"/>
    <w:rsid w:val="1E2E5CA5"/>
    <w:rsid w:val="1E377E25"/>
    <w:rsid w:val="1E41647B"/>
    <w:rsid w:val="1E426EB7"/>
    <w:rsid w:val="1E490D43"/>
    <w:rsid w:val="1E5303BF"/>
    <w:rsid w:val="1E5605CF"/>
    <w:rsid w:val="1E593B9C"/>
    <w:rsid w:val="1E6053FA"/>
    <w:rsid w:val="1E620680"/>
    <w:rsid w:val="1E6206BE"/>
    <w:rsid w:val="1E6A56EC"/>
    <w:rsid w:val="1E724AE5"/>
    <w:rsid w:val="1E746F69"/>
    <w:rsid w:val="1E7A43DA"/>
    <w:rsid w:val="1E7A5AD4"/>
    <w:rsid w:val="1E7E0ACE"/>
    <w:rsid w:val="1E844EFC"/>
    <w:rsid w:val="1E85043A"/>
    <w:rsid w:val="1E94348E"/>
    <w:rsid w:val="1E9F22A4"/>
    <w:rsid w:val="1EA6790D"/>
    <w:rsid w:val="1EAF2B4E"/>
    <w:rsid w:val="1EB01213"/>
    <w:rsid w:val="1EBD54DD"/>
    <w:rsid w:val="1EBF0ED6"/>
    <w:rsid w:val="1EC424AF"/>
    <w:rsid w:val="1EC43D73"/>
    <w:rsid w:val="1EC53E97"/>
    <w:rsid w:val="1EC84666"/>
    <w:rsid w:val="1ECA57D5"/>
    <w:rsid w:val="1ED44BCD"/>
    <w:rsid w:val="1ED72552"/>
    <w:rsid w:val="1EDD16DA"/>
    <w:rsid w:val="1EDF295B"/>
    <w:rsid w:val="1EE00B6F"/>
    <w:rsid w:val="1EF46704"/>
    <w:rsid w:val="1EF65EF6"/>
    <w:rsid w:val="1EF949F7"/>
    <w:rsid w:val="1EFB63B2"/>
    <w:rsid w:val="1EFF569A"/>
    <w:rsid w:val="1F091FF2"/>
    <w:rsid w:val="1F0D2D9E"/>
    <w:rsid w:val="1F114ADE"/>
    <w:rsid w:val="1F1C0DD2"/>
    <w:rsid w:val="1F1D3492"/>
    <w:rsid w:val="1F2B58DD"/>
    <w:rsid w:val="1F334C04"/>
    <w:rsid w:val="1F340F2B"/>
    <w:rsid w:val="1F356A1F"/>
    <w:rsid w:val="1F3B30B8"/>
    <w:rsid w:val="1F44115B"/>
    <w:rsid w:val="1F4548B6"/>
    <w:rsid w:val="1F4B71D4"/>
    <w:rsid w:val="1F552C1D"/>
    <w:rsid w:val="1F574BE7"/>
    <w:rsid w:val="1F5F2824"/>
    <w:rsid w:val="1F6736F1"/>
    <w:rsid w:val="1F7532BF"/>
    <w:rsid w:val="1F772C82"/>
    <w:rsid w:val="1F782980"/>
    <w:rsid w:val="1F843502"/>
    <w:rsid w:val="1F880B3B"/>
    <w:rsid w:val="1F8D2697"/>
    <w:rsid w:val="1F91168C"/>
    <w:rsid w:val="1F937263"/>
    <w:rsid w:val="1F95558F"/>
    <w:rsid w:val="1F9674D7"/>
    <w:rsid w:val="1FA0658E"/>
    <w:rsid w:val="1FA8776E"/>
    <w:rsid w:val="1FB673BE"/>
    <w:rsid w:val="1FC15DB7"/>
    <w:rsid w:val="1FD13A66"/>
    <w:rsid w:val="1FD320A5"/>
    <w:rsid w:val="1FD44489"/>
    <w:rsid w:val="1FD47A20"/>
    <w:rsid w:val="1FD47FE6"/>
    <w:rsid w:val="1FD729E9"/>
    <w:rsid w:val="1FDC4EA8"/>
    <w:rsid w:val="1FDD1E3B"/>
    <w:rsid w:val="1FDE6948"/>
    <w:rsid w:val="1FE07669"/>
    <w:rsid w:val="1FE241B7"/>
    <w:rsid w:val="1FE7539E"/>
    <w:rsid w:val="1FED11A4"/>
    <w:rsid w:val="1FF77D16"/>
    <w:rsid w:val="1FFA41DF"/>
    <w:rsid w:val="1FFC11CE"/>
    <w:rsid w:val="20014B53"/>
    <w:rsid w:val="200272C3"/>
    <w:rsid w:val="200A2D54"/>
    <w:rsid w:val="20165393"/>
    <w:rsid w:val="201A2A5D"/>
    <w:rsid w:val="201C1DC5"/>
    <w:rsid w:val="20235FB9"/>
    <w:rsid w:val="2026336E"/>
    <w:rsid w:val="20281F4F"/>
    <w:rsid w:val="202F3AAC"/>
    <w:rsid w:val="20320A13"/>
    <w:rsid w:val="20370041"/>
    <w:rsid w:val="203767C6"/>
    <w:rsid w:val="203A7969"/>
    <w:rsid w:val="2043685C"/>
    <w:rsid w:val="20466E8C"/>
    <w:rsid w:val="204750FD"/>
    <w:rsid w:val="204C38FB"/>
    <w:rsid w:val="2051415E"/>
    <w:rsid w:val="20525F1D"/>
    <w:rsid w:val="20577B78"/>
    <w:rsid w:val="205A38A2"/>
    <w:rsid w:val="20607ACB"/>
    <w:rsid w:val="20671BE0"/>
    <w:rsid w:val="206D76E2"/>
    <w:rsid w:val="20743577"/>
    <w:rsid w:val="20757F3E"/>
    <w:rsid w:val="207A5ACF"/>
    <w:rsid w:val="207F7433"/>
    <w:rsid w:val="20834438"/>
    <w:rsid w:val="208C266E"/>
    <w:rsid w:val="208E4B8B"/>
    <w:rsid w:val="2091593A"/>
    <w:rsid w:val="20963CB8"/>
    <w:rsid w:val="209F1381"/>
    <w:rsid w:val="20A30FC9"/>
    <w:rsid w:val="20A81A1B"/>
    <w:rsid w:val="20AC3D14"/>
    <w:rsid w:val="20B07FB6"/>
    <w:rsid w:val="20B125D3"/>
    <w:rsid w:val="20B240CD"/>
    <w:rsid w:val="20B646FB"/>
    <w:rsid w:val="20BD6740"/>
    <w:rsid w:val="20C51894"/>
    <w:rsid w:val="20C8759C"/>
    <w:rsid w:val="20CC33B3"/>
    <w:rsid w:val="20D109C9"/>
    <w:rsid w:val="20D12CE9"/>
    <w:rsid w:val="20D21372"/>
    <w:rsid w:val="20D34D09"/>
    <w:rsid w:val="20E406FC"/>
    <w:rsid w:val="20E55B35"/>
    <w:rsid w:val="20F51C50"/>
    <w:rsid w:val="20F7728E"/>
    <w:rsid w:val="210042AC"/>
    <w:rsid w:val="210070F3"/>
    <w:rsid w:val="21076846"/>
    <w:rsid w:val="2114211B"/>
    <w:rsid w:val="21163520"/>
    <w:rsid w:val="211A7A85"/>
    <w:rsid w:val="211E6AE7"/>
    <w:rsid w:val="21215159"/>
    <w:rsid w:val="21225EEB"/>
    <w:rsid w:val="21363641"/>
    <w:rsid w:val="213956CB"/>
    <w:rsid w:val="213B74B1"/>
    <w:rsid w:val="213C3352"/>
    <w:rsid w:val="21426901"/>
    <w:rsid w:val="214D44F3"/>
    <w:rsid w:val="215369E6"/>
    <w:rsid w:val="215A2310"/>
    <w:rsid w:val="215C584D"/>
    <w:rsid w:val="215F081C"/>
    <w:rsid w:val="216A399F"/>
    <w:rsid w:val="21743B95"/>
    <w:rsid w:val="218042B4"/>
    <w:rsid w:val="21823082"/>
    <w:rsid w:val="2183613D"/>
    <w:rsid w:val="2187090C"/>
    <w:rsid w:val="21881B1F"/>
    <w:rsid w:val="218B7CDA"/>
    <w:rsid w:val="219205F6"/>
    <w:rsid w:val="2197751D"/>
    <w:rsid w:val="219B279C"/>
    <w:rsid w:val="21A04B56"/>
    <w:rsid w:val="21AF381E"/>
    <w:rsid w:val="21B2322D"/>
    <w:rsid w:val="21C84ADA"/>
    <w:rsid w:val="21C94D89"/>
    <w:rsid w:val="21C94E00"/>
    <w:rsid w:val="21DE318A"/>
    <w:rsid w:val="21E0445C"/>
    <w:rsid w:val="21E40271"/>
    <w:rsid w:val="21E641F7"/>
    <w:rsid w:val="21E85946"/>
    <w:rsid w:val="21EF3D24"/>
    <w:rsid w:val="21EF5B80"/>
    <w:rsid w:val="21EF64E6"/>
    <w:rsid w:val="21FA508B"/>
    <w:rsid w:val="220B2BF8"/>
    <w:rsid w:val="220B3A67"/>
    <w:rsid w:val="220C1AE4"/>
    <w:rsid w:val="2210107D"/>
    <w:rsid w:val="2217599A"/>
    <w:rsid w:val="22196EC7"/>
    <w:rsid w:val="221A7917"/>
    <w:rsid w:val="22235254"/>
    <w:rsid w:val="222F6F53"/>
    <w:rsid w:val="2234120F"/>
    <w:rsid w:val="22370D00"/>
    <w:rsid w:val="22456F79"/>
    <w:rsid w:val="22494BBC"/>
    <w:rsid w:val="22540BE6"/>
    <w:rsid w:val="22576990"/>
    <w:rsid w:val="226270E4"/>
    <w:rsid w:val="2268710B"/>
    <w:rsid w:val="226971BB"/>
    <w:rsid w:val="226B678C"/>
    <w:rsid w:val="22703D3B"/>
    <w:rsid w:val="227611E3"/>
    <w:rsid w:val="22785E4A"/>
    <w:rsid w:val="2286028D"/>
    <w:rsid w:val="2296172B"/>
    <w:rsid w:val="22AA38AE"/>
    <w:rsid w:val="22AB02F3"/>
    <w:rsid w:val="22B7085D"/>
    <w:rsid w:val="22BE5497"/>
    <w:rsid w:val="22D219B2"/>
    <w:rsid w:val="22D5228D"/>
    <w:rsid w:val="22D569A0"/>
    <w:rsid w:val="22DF2757"/>
    <w:rsid w:val="22E1677C"/>
    <w:rsid w:val="22E40D45"/>
    <w:rsid w:val="22E94692"/>
    <w:rsid w:val="22EF2060"/>
    <w:rsid w:val="22F47480"/>
    <w:rsid w:val="22F75DFB"/>
    <w:rsid w:val="22FE6025"/>
    <w:rsid w:val="230C5CE8"/>
    <w:rsid w:val="2316176A"/>
    <w:rsid w:val="23202D02"/>
    <w:rsid w:val="232620E9"/>
    <w:rsid w:val="23483843"/>
    <w:rsid w:val="234C277D"/>
    <w:rsid w:val="23504A88"/>
    <w:rsid w:val="23575EA4"/>
    <w:rsid w:val="23600522"/>
    <w:rsid w:val="23720241"/>
    <w:rsid w:val="23743318"/>
    <w:rsid w:val="23743548"/>
    <w:rsid w:val="237A2DCF"/>
    <w:rsid w:val="2387601B"/>
    <w:rsid w:val="23956F10"/>
    <w:rsid w:val="23965BD9"/>
    <w:rsid w:val="23A826F0"/>
    <w:rsid w:val="23A91789"/>
    <w:rsid w:val="23A94BDE"/>
    <w:rsid w:val="23AD717B"/>
    <w:rsid w:val="23B26890"/>
    <w:rsid w:val="23C8746E"/>
    <w:rsid w:val="23C950EF"/>
    <w:rsid w:val="23CA720D"/>
    <w:rsid w:val="23DC2733"/>
    <w:rsid w:val="23DE1C48"/>
    <w:rsid w:val="23F21B76"/>
    <w:rsid w:val="23F6340C"/>
    <w:rsid w:val="240210CD"/>
    <w:rsid w:val="24066175"/>
    <w:rsid w:val="240834CF"/>
    <w:rsid w:val="24130A2F"/>
    <w:rsid w:val="24186818"/>
    <w:rsid w:val="24197C2E"/>
    <w:rsid w:val="241C77B7"/>
    <w:rsid w:val="242654AA"/>
    <w:rsid w:val="242962B8"/>
    <w:rsid w:val="24297D82"/>
    <w:rsid w:val="243674C1"/>
    <w:rsid w:val="243B6031"/>
    <w:rsid w:val="243E0123"/>
    <w:rsid w:val="244109FA"/>
    <w:rsid w:val="24431F3A"/>
    <w:rsid w:val="2446347C"/>
    <w:rsid w:val="244A4A8C"/>
    <w:rsid w:val="244B4F2D"/>
    <w:rsid w:val="244D030F"/>
    <w:rsid w:val="244F7BF3"/>
    <w:rsid w:val="245026C5"/>
    <w:rsid w:val="24531CA9"/>
    <w:rsid w:val="245B6889"/>
    <w:rsid w:val="246102DC"/>
    <w:rsid w:val="246302DA"/>
    <w:rsid w:val="246411D6"/>
    <w:rsid w:val="24756566"/>
    <w:rsid w:val="247B3DD7"/>
    <w:rsid w:val="24965F69"/>
    <w:rsid w:val="24991522"/>
    <w:rsid w:val="24A11200"/>
    <w:rsid w:val="24A3364F"/>
    <w:rsid w:val="24AF7E0E"/>
    <w:rsid w:val="24B30033"/>
    <w:rsid w:val="24B36776"/>
    <w:rsid w:val="24B4757A"/>
    <w:rsid w:val="24B714CA"/>
    <w:rsid w:val="24B814B6"/>
    <w:rsid w:val="24BA0DD3"/>
    <w:rsid w:val="24BF09F7"/>
    <w:rsid w:val="24C26709"/>
    <w:rsid w:val="24C4145F"/>
    <w:rsid w:val="24C525F3"/>
    <w:rsid w:val="24CD6D38"/>
    <w:rsid w:val="24D056F8"/>
    <w:rsid w:val="24D06819"/>
    <w:rsid w:val="24D25252"/>
    <w:rsid w:val="24DF4D79"/>
    <w:rsid w:val="24E355B9"/>
    <w:rsid w:val="24E85608"/>
    <w:rsid w:val="24E96896"/>
    <w:rsid w:val="24EB7601"/>
    <w:rsid w:val="24F07227"/>
    <w:rsid w:val="24F706C0"/>
    <w:rsid w:val="2500380E"/>
    <w:rsid w:val="250977CE"/>
    <w:rsid w:val="250C6AA3"/>
    <w:rsid w:val="250E0000"/>
    <w:rsid w:val="250E0AED"/>
    <w:rsid w:val="251C78A5"/>
    <w:rsid w:val="251D1602"/>
    <w:rsid w:val="25201A7A"/>
    <w:rsid w:val="252257E6"/>
    <w:rsid w:val="25257535"/>
    <w:rsid w:val="252D53FE"/>
    <w:rsid w:val="253474DD"/>
    <w:rsid w:val="253E04A4"/>
    <w:rsid w:val="254628E1"/>
    <w:rsid w:val="25475A11"/>
    <w:rsid w:val="25521F11"/>
    <w:rsid w:val="25561463"/>
    <w:rsid w:val="255A6191"/>
    <w:rsid w:val="25630EE5"/>
    <w:rsid w:val="256A0653"/>
    <w:rsid w:val="25706245"/>
    <w:rsid w:val="257131BB"/>
    <w:rsid w:val="2580152D"/>
    <w:rsid w:val="258108C5"/>
    <w:rsid w:val="258453FD"/>
    <w:rsid w:val="258822E8"/>
    <w:rsid w:val="25964180"/>
    <w:rsid w:val="25A04488"/>
    <w:rsid w:val="25A60556"/>
    <w:rsid w:val="25AF3943"/>
    <w:rsid w:val="25B212FD"/>
    <w:rsid w:val="25C1725E"/>
    <w:rsid w:val="25C24D84"/>
    <w:rsid w:val="25C95979"/>
    <w:rsid w:val="25CC57C3"/>
    <w:rsid w:val="25D0124F"/>
    <w:rsid w:val="25D521C4"/>
    <w:rsid w:val="25DF0E57"/>
    <w:rsid w:val="25DF2A30"/>
    <w:rsid w:val="25EC2D81"/>
    <w:rsid w:val="25F62701"/>
    <w:rsid w:val="26001160"/>
    <w:rsid w:val="26016183"/>
    <w:rsid w:val="26063237"/>
    <w:rsid w:val="260B5773"/>
    <w:rsid w:val="260D435E"/>
    <w:rsid w:val="261015E3"/>
    <w:rsid w:val="26137CCB"/>
    <w:rsid w:val="261633B2"/>
    <w:rsid w:val="261948BD"/>
    <w:rsid w:val="261B7B16"/>
    <w:rsid w:val="262E5F76"/>
    <w:rsid w:val="2631412E"/>
    <w:rsid w:val="26525570"/>
    <w:rsid w:val="265309FE"/>
    <w:rsid w:val="26552118"/>
    <w:rsid w:val="265624D3"/>
    <w:rsid w:val="26593F75"/>
    <w:rsid w:val="265B6B99"/>
    <w:rsid w:val="265C6F87"/>
    <w:rsid w:val="26647BE9"/>
    <w:rsid w:val="267A11BB"/>
    <w:rsid w:val="268106DE"/>
    <w:rsid w:val="26853E51"/>
    <w:rsid w:val="26862D1F"/>
    <w:rsid w:val="2695276F"/>
    <w:rsid w:val="26A01DFA"/>
    <w:rsid w:val="26B47D7B"/>
    <w:rsid w:val="26C04235"/>
    <w:rsid w:val="26C11CE8"/>
    <w:rsid w:val="26C27AA9"/>
    <w:rsid w:val="26C37F04"/>
    <w:rsid w:val="26C47BC2"/>
    <w:rsid w:val="26CE6E4A"/>
    <w:rsid w:val="26D150CB"/>
    <w:rsid w:val="26D2300B"/>
    <w:rsid w:val="26D703A7"/>
    <w:rsid w:val="26D71A52"/>
    <w:rsid w:val="26D82824"/>
    <w:rsid w:val="26F85201"/>
    <w:rsid w:val="26F96A1A"/>
    <w:rsid w:val="270119C3"/>
    <w:rsid w:val="27032D56"/>
    <w:rsid w:val="270B5BBD"/>
    <w:rsid w:val="271365A1"/>
    <w:rsid w:val="271415F0"/>
    <w:rsid w:val="271866BD"/>
    <w:rsid w:val="271909D4"/>
    <w:rsid w:val="271B5433"/>
    <w:rsid w:val="272962FF"/>
    <w:rsid w:val="272A64AB"/>
    <w:rsid w:val="27356BD6"/>
    <w:rsid w:val="273712C3"/>
    <w:rsid w:val="273B7762"/>
    <w:rsid w:val="27545EB0"/>
    <w:rsid w:val="27577C10"/>
    <w:rsid w:val="275A7954"/>
    <w:rsid w:val="275D4D64"/>
    <w:rsid w:val="275E5F11"/>
    <w:rsid w:val="27611F57"/>
    <w:rsid w:val="27704162"/>
    <w:rsid w:val="277057A2"/>
    <w:rsid w:val="2771651B"/>
    <w:rsid w:val="27734356"/>
    <w:rsid w:val="27794A42"/>
    <w:rsid w:val="277B059A"/>
    <w:rsid w:val="277D5D0F"/>
    <w:rsid w:val="278D4871"/>
    <w:rsid w:val="27913507"/>
    <w:rsid w:val="27931BAD"/>
    <w:rsid w:val="27935DB2"/>
    <w:rsid w:val="27936EE1"/>
    <w:rsid w:val="27A05008"/>
    <w:rsid w:val="27A26C1B"/>
    <w:rsid w:val="27A40BE5"/>
    <w:rsid w:val="27B37EDC"/>
    <w:rsid w:val="27B7325B"/>
    <w:rsid w:val="27BC5653"/>
    <w:rsid w:val="27BE199C"/>
    <w:rsid w:val="27BE7572"/>
    <w:rsid w:val="27C47394"/>
    <w:rsid w:val="27DF1B1F"/>
    <w:rsid w:val="27E51B4E"/>
    <w:rsid w:val="27EB4201"/>
    <w:rsid w:val="27F27F4F"/>
    <w:rsid w:val="27F54F9D"/>
    <w:rsid w:val="27F82CDF"/>
    <w:rsid w:val="27F93513"/>
    <w:rsid w:val="27FC452E"/>
    <w:rsid w:val="27FE2C63"/>
    <w:rsid w:val="28033B5E"/>
    <w:rsid w:val="28083C7A"/>
    <w:rsid w:val="28085B5F"/>
    <w:rsid w:val="280B7587"/>
    <w:rsid w:val="2810737D"/>
    <w:rsid w:val="2814356F"/>
    <w:rsid w:val="28175240"/>
    <w:rsid w:val="281C077C"/>
    <w:rsid w:val="281E3043"/>
    <w:rsid w:val="281F72EE"/>
    <w:rsid w:val="28216165"/>
    <w:rsid w:val="28261AB8"/>
    <w:rsid w:val="282D0BDB"/>
    <w:rsid w:val="283221E5"/>
    <w:rsid w:val="28391DBD"/>
    <w:rsid w:val="283C7070"/>
    <w:rsid w:val="284568CF"/>
    <w:rsid w:val="286006D1"/>
    <w:rsid w:val="28605258"/>
    <w:rsid w:val="28671046"/>
    <w:rsid w:val="28733BCE"/>
    <w:rsid w:val="28743209"/>
    <w:rsid w:val="287B7B98"/>
    <w:rsid w:val="287C2C88"/>
    <w:rsid w:val="287E361C"/>
    <w:rsid w:val="28844CD7"/>
    <w:rsid w:val="28A349F9"/>
    <w:rsid w:val="28AD2BD7"/>
    <w:rsid w:val="28B86934"/>
    <w:rsid w:val="28B93E75"/>
    <w:rsid w:val="28BF566D"/>
    <w:rsid w:val="28C171E4"/>
    <w:rsid w:val="28CA2242"/>
    <w:rsid w:val="28D70376"/>
    <w:rsid w:val="28DB2135"/>
    <w:rsid w:val="28DB3321"/>
    <w:rsid w:val="28EB75A6"/>
    <w:rsid w:val="28F04F0E"/>
    <w:rsid w:val="28F61E82"/>
    <w:rsid w:val="290D2324"/>
    <w:rsid w:val="290F204E"/>
    <w:rsid w:val="2910099B"/>
    <w:rsid w:val="2910468A"/>
    <w:rsid w:val="29175073"/>
    <w:rsid w:val="29176F93"/>
    <w:rsid w:val="2919034C"/>
    <w:rsid w:val="29195480"/>
    <w:rsid w:val="291C47AB"/>
    <w:rsid w:val="291E55A5"/>
    <w:rsid w:val="29206EB8"/>
    <w:rsid w:val="29225036"/>
    <w:rsid w:val="29282D6F"/>
    <w:rsid w:val="29294A4A"/>
    <w:rsid w:val="2939006F"/>
    <w:rsid w:val="293C0AB2"/>
    <w:rsid w:val="293D1AEA"/>
    <w:rsid w:val="29464A50"/>
    <w:rsid w:val="294B23CF"/>
    <w:rsid w:val="294E5373"/>
    <w:rsid w:val="295760B8"/>
    <w:rsid w:val="29595666"/>
    <w:rsid w:val="295C42FC"/>
    <w:rsid w:val="29604CB4"/>
    <w:rsid w:val="29606C84"/>
    <w:rsid w:val="296074BF"/>
    <w:rsid w:val="2964590A"/>
    <w:rsid w:val="296C26A5"/>
    <w:rsid w:val="297547AB"/>
    <w:rsid w:val="29775566"/>
    <w:rsid w:val="29806721"/>
    <w:rsid w:val="298625FD"/>
    <w:rsid w:val="29874881"/>
    <w:rsid w:val="298A4833"/>
    <w:rsid w:val="29987347"/>
    <w:rsid w:val="299F74F8"/>
    <w:rsid w:val="29A24870"/>
    <w:rsid w:val="29A56F92"/>
    <w:rsid w:val="29B5668F"/>
    <w:rsid w:val="29C64ABB"/>
    <w:rsid w:val="29CB205F"/>
    <w:rsid w:val="29DB2586"/>
    <w:rsid w:val="29DF7363"/>
    <w:rsid w:val="29E26DED"/>
    <w:rsid w:val="29E325E0"/>
    <w:rsid w:val="29EB4768"/>
    <w:rsid w:val="29EB48A9"/>
    <w:rsid w:val="29EE7EF6"/>
    <w:rsid w:val="29F342D4"/>
    <w:rsid w:val="29F5156E"/>
    <w:rsid w:val="29F6087B"/>
    <w:rsid w:val="2A015A68"/>
    <w:rsid w:val="2A04596B"/>
    <w:rsid w:val="2A053617"/>
    <w:rsid w:val="2A06107F"/>
    <w:rsid w:val="2A063491"/>
    <w:rsid w:val="2A085E69"/>
    <w:rsid w:val="2A086E42"/>
    <w:rsid w:val="2A0A5DCA"/>
    <w:rsid w:val="2A0B320F"/>
    <w:rsid w:val="2A0F59BF"/>
    <w:rsid w:val="2A165ECD"/>
    <w:rsid w:val="2A191B2F"/>
    <w:rsid w:val="2A1E23E0"/>
    <w:rsid w:val="2A27165A"/>
    <w:rsid w:val="2A2D61F0"/>
    <w:rsid w:val="2A364A1E"/>
    <w:rsid w:val="2A396B2A"/>
    <w:rsid w:val="2A421B62"/>
    <w:rsid w:val="2A452503"/>
    <w:rsid w:val="2A495A95"/>
    <w:rsid w:val="2A515901"/>
    <w:rsid w:val="2A524F6D"/>
    <w:rsid w:val="2A587257"/>
    <w:rsid w:val="2A59092D"/>
    <w:rsid w:val="2A625883"/>
    <w:rsid w:val="2A6615E2"/>
    <w:rsid w:val="2A666F1B"/>
    <w:rsid w:val="2A6C6A47"/>
    <w:rsid w:val="2A6E1D4B"/>
    <w:rsid w:val="2A7A1EB4"/>
    <w:rsid w:val="2A8354A3"/>
    <w:rsid w:val="2A88034A"/>
    <w:rsid w:val="2A941811"/>
    <w:rsid w:val="2A9A4BC2"/>
    <w:rsid w:val="2A9C3DF6"/>
    <w:rsid w:val="2AAE4219"/>
    <w:rsid w:val="2ABD70F5"/>
    <w:rsid w:val="2AC021AA"/>
    <w:rsid w:val="2AC179B2"/>
    <w:rsid w:val="2AC4736E"/>
    <w:rsid w:val="2AC7418F"/>
    <w:rsid w:val="2ACB6DF0"/>
    <w:rsid w:val="2ADA143E"/>
    <w:rsid w:val="2AE64EB1"/>
    <w:rsid w:val="2AE97C07"/>
    <w:rsid w:val="2B0A3400"/>
    <w:rsid w:val="2B1C7F59"/>
    <w:rsid w:val="2B1E6EF9"/>
    <w:rsid w:val="2B1F1B42"/>
    <w:rsid w:val="2B3202B6"/>
    <w:rsid w:val="2B334C8C"/>
    <w:rsid w:val="2B3623B5"/>
    <w:rsid w:val="2B435567"/>
    <w:rsid w:val="2B4C5E7E"/>
    <w:rsid w:val="2B514DDE"/>
    <w:rsid w:val="2B5E0297"/>
    <w:rsid w:val="2B632B65"/>
    <w:rsid w:val="2B6C2396"/>
    <w:rsid w:val="2B783109"/>
    <w:rsid w:val="2B783B58"/>
    <w:rsid w:val="2B824FF2"/>
    <w:rsid w:val="2B82602D"/>
    <w:rsid w:val="2B8A26C3"/>
    <w:rsid w:val="2B91412F"/>
    <w:rsid w:val="2B970537"/>
    <w:rsid w:val="2B976987"/>
    <w:rsid w:val="2B9E6D96"/>
    <w:rsid w:val="2BA0331C"/>
    <w:rsid w:val="2BA40DB4"/>
    <w:rsid w:val="2BA411B4"/>
    <w:rsid w:val="2BA936A8"/>
    <w:rsid w:val="2BAA6BFC"/>
    <w:rsid w:val="2BB1068A"/>
    <w:rsid w:val="2BB22049"/>
    <w:rsid w:val="2BB3187F"/>
    <w:rsid w:val="2BB85E48"/>
    <w:rsid w:val="2BC30558"/>
    <w:rsid w:val="2BC551E4"/>
    <w:rsid w:val="2BC56EAF"/>
    <w:rsid w:val="2BCB368C"/>
    <w:rsid w:val="2BD10B3A"/>
    <w:rsid w:val="2BDC1C79"/>
    <w:rsid w:val="2BE1224E"/>
    <w:rsid w:val="2BE42114"/>
    <w:rsid w:val="2BEB60AC"/>
    <w:rsid w:val="2BF87A83"/>
    <w:rsid w:val="2C097FFF"/>
    <w:rsid w:val="2C15691D"/>
    <w:rsid w:val="2C192B1C"/>
    <w:rsid w:val="2C27372F"/>
    <w:rsid w:val="2C283529"/>
    <w:rsid w:val="2C293467"/>
    <w:rsid w:val="2C315A5A"/>
    <w:rsid w:val="2C3A38C6"/>
    <w:rsid w:val="2C3A5BE1"/>
    <w:rsid w:val="2C471F66"/>
    <w:rsid w:val="2C4958B7"/>
    <w:rsid w:val="2C4B1C25"/>
    <w:rsid w:val="2C520C10"/>
    <w:rsid w:val="2C5D416C"/>
    <w:rsid w:val="2C5F02EE"/>
    <w:rsid w:val="2C60239D"/>
    <w:rsid w:val="2C637C75"/>
    <w:rsid w:val="2C637D41"/>
    <w:rsid w:val="2C6E5ECB"/>
    <w:rsid w:val="2C7013B3"/>
    <w:rsid w:val="2C757818"/>
    <w:rsid w:val="2C765AEF"/>
    <w:rsid w:val="2C77558C"/>
    <w:rsid w:val="2C884F98"/>
    <w:rsid w:val="2C8B5ED0"/>
    <w:rsid w:val="2C8D0211"/>
    <w:rsid w:val="2C901738"/>
    <w:rsid w:val="2C980805"/>
    <w:rsid w:val="2C9C3E22"/>
    <w:rsid w:val="2C9C402D"/>
    <w:rsid w:val="2C9F6F43"/>
    <w:rsid w:val="2CA32C37"/>
    <w:rsid w:val="2CA35075"/>
    <w:rsid w:val="2CA70830"/>
    <w:rsid w:val="2CB90C8F"/>
    <w:rsid w:val="2CBF471A"/>
    <w:rsid w:val="2CC15D95"/>
    <w:rsid w:val="2CC4650E"/>
    <w:rsid w:val="2CC62A90"/>
    <w:rsid w:val="2CC87181"/>
    <w:rsid w:val="2CCE1007"/>
    <w:rsid w:val="2CCF1E0B"/>
    <w:rsid w:val="2CD379ED"/>
    <w:rsid w:val="2CD604A5"/>
    <w:rsid w:val="2CEA1242"/>
    <w:rsid w:val="2CF33A75"/>
    <w:rsid w:val="2CF45347"/>
    <w:rsid w:val="2CF57A70"/>
    <w:rsid w:val="2CF66EF2"/>
    <w:rsid w:val="2CFE2B46"/>
    <w:rsid w:val="2D0048AC"/>
    <w:rsid w:val="2D005C52"/>
    <w:rsid w:val="2D01287E"/>
    <w:rsid w:val="2D0C28EF"/>
    <w:rsid w:val="2D0D1DA6"/>
    <w:rsid w:val="2D0F4D53"/>
    <w:rsid w:val="2D151C95"/>
    <w:rsid w:val="2D1E099B"/>
    <w:rsid w:val="2D2367A9"/>
    <w:rsid w:val="2D2E0C0C"/>
    <w:rsid w:val="2D2F71A3"/>
    <w:rsid w:val="2D362920"/>
    <w:rsid w:val="2D3B47D4"/>
    <w:rsid w:val="2D3B6010"/>
    <w:rsid w:val="2D3F4C1F"/>
    <w:rsid w:val="2D457FD1"/>
    <w:rsid w:val="2D4A00B5"/>
    <w:rsid w:val="2D567313"/>
    <w:rsid w:val="2D595102"/>
    <w:rsid w:val="2D5F09FD"/>
    <w:rsid w:val="2D66017A"/>
    <w:rsid w:val="2D74227E"/>
    <w:rsid w:val="2D7514A2"/>
    <w:rsid w:val="2D81538E"/>
    <w:rsid w:val="2D83304B"/>
    <w:rsid w:val="2D881804"/>
    <w:rsid w:val="2D9669D2"/>
    <w:rsid w:val="2D9D0BC0"/>
    <w:rsid w:val="2D9E56F5"/>
    <w:rsid w:val="2DA261F4"/>
    <w:rsid w:val="2DA44080"/>
    <w:rsid w:val="2DAF306D"/>
    <w:rsid w:val="2DB47354"/>
    <w:rsid w:val="2DB811C4"/>
    <w:rsid w:val="2DBE4083"/>
    <w:rsid w:val="2DC16BE6"/>
    <w:rsid w:val="2DC70394"/>
    <w:rsid w:val="2DCA0C7A"/>
    <w:rsid w:val="2DCA2B84"/>
    <w:rsid w:val="2DCA68B6"/>
    <w:rsid w:val="2DD02B38"/>
    <w:rsid w:val="2DD37AEB"/>
    <w:rsid w:val="2DE11D38"/>
    <w:rsid w:val="2DE169BE"/>
    <w:rsid w:val="2DED6716"/>
    <w:rsid w:val="2DF138C7"/>
    <w:rsid w:val="2DF20294"/>
    <w:rsid w:val="2DF34BF7"/>
    <w:rsid w:val="2DF34E18"/>
    <w:rsid w:val="2DFC1C52"/>
    <w:rsid w:val="2E023DDA"/>
    <w:rsid w:val="2E03099A"/>
    <w:rsid w:val="2E033D3C"/>
    <w:rsid w:val="2E092640"/>
    <w:rsid w:val="2E0A7559"/>
    <w:rsid w:val="2E0C4DEE"/>
    <w:rsid w:val="2E1209D3"/>
    <w:rsid w:val="2E19133F"/>
    <w:rsid w:val="2E192A71"/>
    <w:rsid w:val="2E1F37A1"/>
    <w:rsid w:val="2E312AA7"/>
    <w:rsid w:val="2E3529D4"/>
    <w:rsid w:val="2E372E38"/>
    <w:rsid w:val="2E4E4F15"/>
    <w:rsid w:val="2E4F38B8"/>
    <w:rsid w:val="2E527120"/>
    <w:rsid w:val="2E540893"/>
    <w:rsid w:val="2E54678D"/>
    <w:rsid w:val="2E552C39"/>
    <w:rsid w:val="2E63301E"/>
    <w:rsid w:val="2E667F96"/>
    <w:rsid w:val="2E6913D1"/>
    <w:rsid w:val="2E6A3E61"/>
    <w:rsid w:val="2E7741A2"/>
    <w:rsid w:val="2E8226AB"/>
    <w:rsid w:val="2E841F7E"/>
    <w:rsid w:val="2E8525AF"/>
    <w:rsid w:val="2E895051"/>
    <w:rsid w:val="2E8B71C0"/>
    <w:rsid w:val="2E963988"/>
    <w:rsid w:val="2E994134"/>
    <w:rsid w:val="2E9F178F"/>
    <w:rsid w:val="2EA130D2"/>
    <w:rsid w:val="2EB0182B"/>
    <w:rsid w:val="2EB23BE8"/>
    <w:rsid w:val="2EB45CC8"/>
    <w:rsid w:val="2EBE73A7"/>
    <w:rsid w:val="2ECB2EFB"/>
    <w:rsid w:val="2ECE6C13"/>
    <w:rsid w:val="2ED052E5"/>
    <w:rsid w:val="2EE33108"/>
    <w:rsid w:val="2EE87609"/>
    <w:rsid w:val="2EED10C4"/>
    <w:rsid w:val="2EEE50CE"/>
    <w:rsid w:val="2EF44C66"/>
    <w:rsid w:val="2EF83012"/>
    <w:rsid w:val="2EFF6701"/>
    <w:rsid w:val="2F087CAC"/>
    <w:rsid w:val="2F0C35AE"/>
    <w:rsid w:val="2F0E5351"/>
    <w:rsid w:val="2F103754"/>
    <w:rsid w:val="2F1369A1"/>
    <w:rsid w:val="2F1F0594"/>
    <w:rsid w:val="2F2355BB"/>
    <w:rsid w:val="2F2B230B"/>
    <w:rsid w:val="2F2E3037"/>
    <w:rsid w:val="2F3D4701"/>
    <w:rsid w:val="2F406E06"/>
    <w:rsid w:val="2F411448"/>
    <w:rsid w:val="2F4E0B6B"/>
    <w:rsid w:val="2F4F0793"/>
    <w:rsid w:val="2F56001B"/>
    <w:rsid w:val="2F581368"/>
    <w:rsid w:val="2F6F2F65"/>
    <w:rsid w:val="2F7A2D07"/>
    <w:rsid w:val="2F827C01"/>
    <w:rsid w:val="2F8B4B46"/>
    <w:rsid w:val="2F906F68"/>
    <w:rsid w:val="2F9C4A97"/>
    <w:rsid w:val="2FA367DD"/>
    <w:rsid w:val="2FA60E0F"/>
    <w:rsid w:val="2FAD357F"/>
    <w:rsid w:val="2FAF5D60"/>
    <w:rsid w:val="2FB722BE"/>
    <w:rsid w:val="2FB853B8"/>
    <w:rsid w:val="2FB90FA6"/>
    <w:rsid w:val="2FBD27C6"/>
    <w:rsid w:val="2FBE4A05"/>
    <w:rsid w:val="2FC00586"/>
    <w:rsid w:val="2FC8743B"/>
    <w:rsid w:val="2FCC7B9E"/>
    <w:rsid w:val="2FCE5DA8"/>
    <w:rsid w:val="2FD065E6"/>
    <w:rsid w:val="2FD149A7"/>
    <w:rsid w:val="2FD32C54"/>
    <w:rsid w:val="2FD858D0"/>
    <w:rsid w:val="2FD96870"/>
    <w:rsid w:val="2FD9697A"/>
    <w:rsid w:val="2FF74C88"/>
    <w:rsid w:val="2FF817EF"/>
    <w:rsid w:val="2FF82D96"/>
    <w:rsid w:val="300A1B8B"/>
    <w:rsid w:val="301332B2"/>
    <w:rsid w:val="30182C41"/>
    <w:rsid w:val="301F7989"/>
    <w:rsid w:val="30252D5C"/>
    <w:rsid w:val="303008BA"/>
    <w:rsid w:val="303F7D4D"/>
    <w:rsid w:val="3046400C"/>
    <w:rsid w:val="304B7ABE"/>
    <w:rsid w:val="30533F6E"/>
    <w:rsid w:val="3054563D"/>
    <w:rsid w:val="30580BC9"/>
    <w:rsid w:val="30662444"/>
    <w:rsid w:val="30741976"/>
    <w:rsid w:val="30797A5F"/>
    <w:rsid w:val="307A2A15"/>
    <w:rsid w:val="30854422"/>
    <w:rsid w:val="30877F23"/>
    <w:rsid w:val="30881BCD"/>
    <w:rsid w:val="308A6F6A"/>
    <w:rsid w:val="308C231D"/>
    <w:rsid w:val="30921059"/>
    <w:rsid w:val="30964863"/>
    <w:rsid w:val="30987E8E"/>
    <w:rsid w:val="309B4734"/>
    <w:rsid w:val="30A1026E"/>
    <w:rsid w:val="30B24AB4"/>
    <w:rsid w:val="30BE370A"/>
    <w:rsid w:val="30C42745"/>
    <w:rsid w:val="30C90244"/>
    <w:rsid w:val="30CB741B"/>
    <w:rsid w:val="30D36097"/>
    <w:rsid w:val="30D427EB"/>
    <w:rsid w:val="30DE251B"/>
    <w:rsid w:val="30EA6399"/>
    <w:rsid w:val="30F27273"/>
    <w:rsid w:val="30F62237"/>
    <w:rsid w:val="31091AB9"/>
    <w:rsid w:val="310B0A43"/>
    <w:rsid w:val="311B6FA8"/>
    <w:rsid w:val="311E2ED7"/>
    <w:rsid w:val="31280191"/>
    <w:rsid w:val="312F7772"/>
    <w:rsid w:val="31301A43"/>
    <w:rsid w:val="313308E4"/>
    <w:rsid w:val="313401FD"/>
    <w:rsid w:val="31340CBC"/>
    <w:rsid w:val="3145623F"/>
    <w:rsid w:val="31457DBA"/>
    <w:rsid w:val="31492918"/>
    <w:rsid w:val="314D202B"/>
    <w:rsid w:val="314F7DAF"/>
    <w:rsid w:val="31541EC1"/>
    <w:rsid w:val="315619EE"/>
    <w:rsid w:val="315C449C"/>
    <w:rsid w:val="315F1A1E"/>
    <w:rsid w:val="316C5FB0"/>
    <w:rsid w:val="31703404"/>
    <w:rsid w:val="317D78BE"/>
    <w:rsid w:val="31807FCD"/>
    <w:rsid w:val="31845BBD"/>
    <w:rsid w:val="318542CB"/>
    <w:rsid w:val="31884247"/>
    <w:rsid w:val="318D4F78"/>
    <w:rsid w:val="31953464"/>
    <w:rsid w:val="319B0E8E"/>
    <w:rsid w:val="319C62FD"/>
    <w:rsid w:val="31A96A6E"/>
    <w:rsid w:val="31B01569"/>
    <w:rsid w:val="31B26644"/>
    <w:rsid w:val="31B438C3"/>
    <w:rsid w:val="31B82709"/>
    <w:rsid w:val="31C05417"/>
    <w:rsid w:val="31C764A9"/>
    <w:rsid w:val="31CC1204"/>
    <w:rsid w:val="31D040EF"/>
    <w:rsid w:val="31D05482"/>
    <w:rsid w:val="31D0549A"/>
    <w:rsid w:val="31D06852"/>
    <w:rsid w:val="31D12197"/>
    <w:rsid w:val="31D238EB"/>
    <w:rsid w:val="31D6051C"/>
    <w:rsid w:val="31D76D98"/>
    <w:rsid w:val="31DC0FE0"/>
    <w:rsid w:val="31E0052D"/>
    <w:rsid w:val="320D1338"/>
    <w:rsid w:val="320E67F7"/>
    <w:rsid w:val="32146967"/>
    <w:rsid w:val="32162C10"/>
    <w:rsid w:val="32202067"/>
    <w:rsid w:val="322F37A1"/>
    <w:rsid w:val="32392183"/>
    <w:rsid w:val="323938DE"/>
    <w:rsid w:val="32394865"/>
    <w:rsid w:val="32400B34"/>
    <w:rsid w:val="32466766"/>
    <w:rsid w:val="325A442F"/>
    <w:rsid w:val="3275797D"/>
    <w:rsid w:val="327E2A57"/>
    <w:rsid w:val="3286117B"/>
    <w:rsid w:val="328D7E23"/>
    <w:rsid w:val="329047D2"/>
    <w:rsid w:val="32971258"/>
    <w:rsid w:val="329E6876"/>
    <w:rsid w:val="32A203C1"/>
    <w:rsid w:val="32A33698"/>
    <w:rsid w:val="32A45E26"/>
    <w:rsid w:val="32AB107A"/>
    <w:rsid w:val="32BB3184"/>
    <w:rsid w:val="32C40523"/>
    <w:rsid w:val="32D74F8B"/>
    <w:rsid w:val="32E86094"/>
    <w:rsid w:val="32F22122"/>
    <w:rsid w:val="32F2547E"/>
    <w:rsid w:val="32F9421D"/>
    <w:rsid w:val="32FC553A"/>
    <w:rsid w:val="33003996"/>
    <w:rsid w:val="3301513E"/>
    <w:rsid w:val="330864CC"/>
    <w:rsid w:val="3316471C"/>
    <w:rsid w:val="33172F0B"/>
    <w:rsid w:val="33184235"/>
    <w:rsid w:val="33284568"/>
    <w:rsid w:val="333015F2"/>
    <w:rsid w:val="33307677"/>
    <w:rsid w:val="33321FED"/>
    <w:rsid w:val="3333739F"/>
    <w:rsid w:val="33355846"/>
    <w:rsid w:val="33385B1F"/>
    <w:rsid w:val="33385B94"/>
    <w:rsid w:val="333A6BDB"/>
    <w:rsid w:val="334B6229"/>
    <w:rsid w:val="334B6320"/>
    <w:rsid w:val="334C2231"/>
    <w:rsid w:val="334F3C22"/>
    <w:rsid w:val="33504359"/>
    <w:rsid w:val="33541F89"/>
    <w:rsid w:val="33545B13"/>
    <w:rsid w:val="3356167F"/>
    <w:rsid w:val="335A484E"/>
    <w:rsid w:val="335A6D75"/>
    <w:rsid w:val="335B7248"/>
    <w:rsid w:val="335C6192"/>
    <w:rsid w:val="336B00D6"/>
    <w:rsid w:val="336B67F8"/>
    <w:rsid w:val="336E3E55"/>
    <w:rsid w:val="33745697"/>
    <w:rsid w:val="33754E00"/>
    <w:rsid w:val="337C3E6B"/>
    <w:rsid w:val="338A4BEF"/>
    <w:rsid w:val="338D32F1"/>
    <w:rsid w:val="338D69D1"/>
    <w:rsid w:val="33912F13"/>
    <w:rsid w:val="339733AC"/>
    <w:rsid w:val="339910B4"/>
    <w:rsid w:val="33A37FA3"/>
    <w:rsid w:val="33AA42BE"/>
    <w:rsid w:val="33AA671E"/>
    <w:rsid w:val="33AB41B1"/>
    <w:rsid w:val="33B64122"/>
    <w:rsid w:val="33C11382"/>
    <w:rsid w:val="33C61EE3"/>
    <w:rsid w:val="33CD1BA3"/>
    <w:rsid w:val="33D21C44"/>
    <w:rsid w:val="33D934D4"/>
    <w:rsid w:val="33E913C6"/>
    <w:rsid w:val="33F013E9"/>
    <w:rsid w:val="33F24FC3"/>
    <w:rsid w:val="33FE2F6A"/>
    <w:rsid w:val="340372EE"/>
    <w:rsid w:val="340721E5"/>
    <w:rsid w:val="340E07E5"/>
    <w:rsid w:val="34130693"/>
    <w:rsid w:val="341C2C0D"/>
    <w:rsid w:val="341C7E07"/>
    <w:rsid w:val="341D4E0B"/>
    <w:rsid w:val="34235BF7"/>
    <w:rsid w:val="34256ACA"/>
    <w:rsid w:val="342D4C47"/>
    <w:rsid w:val="34311F23"/>
    <w:rsid w:val="343A6785"/>
    <w:rsid w:val="34574764"/>
    <w:rsid w:val="345B1D4A"/>
    <w:rsid w:val="346028F8"/>
    <w:rsid w:val="34621E3D"/>
    <w:rsid w:val="346570A2"/>
    <w:rsid w:val="346D352F"/>
    <w:rsid w:val="34752511"/>
    <w:rsid w:val="34777DA9"/>
    <w:rsid w:val="347915E6"/>
    <w:rsid w:val="347B0287"/>
    <w:rsid w:val="347C419D"/>
    <w:rsid w:val="347D07F4"/>
    <w:rsid w:val="347D4810"/>
    <w:rsid w:val="347E631A"/>
    <w:rsid w:val="348F3D0E"/>
    <w:rsid w:val="34934AF3"/>
    <w:rsid w:val="34965966"/>
    <w:rsid w:val="34A26B0B"/>
    <w:rsid w:val="34A8735C"/>
    <w:rsid w:val="34AE03F5"/>
    <w:rsid w:val="34AE6527"/>
    <w:rsid w:val="34BE7691"/>
    <w:rsid w:val="34BF0D6C"/>
    <w:rsid w:val="34C04C66"/>
    <w:rsid w:val="34D06958"/>
    <w:rsid w:val="34DD5737"/>
    <w:rsid w:val="34DF0ED4"/>
    <w:rsid w:val="34E105BC"/>
    <w:rsid w:val="34E15E52"/>
    <w:rsid w:val="34EB1C02"/>
    <w:rsid w:val="34ED7013"/>
    <w:rsid w:val="34EE7018"/>
    <w:rsid w:val="34F211E2"/>
    <w:rsid w:val="34F4181B"/>
    <w:rsid w:val="350474CA"/>
    <w:rsid w:val="35075D56"/>
    <w:rsid w:val="350C0F12"/>
    <w:rsid w:val="350C3926"/>
    <w:rsid w:val="35147D99"/>
    <w:rsid w:val="351919A5"/>
    <w:rsid w:val="35193263"/>
    <w:rsid w:val="351D4B78"/>
    <w:rsid w:val="35213E7A"/>
    <w:rsid w:val="35253F36"/>
    <w:rsid w:val="35260FC4"/>
    <w:rsid w:val="35372272"/>
    <w:rsid w:val="353974FE"/>
    <w:rsid w:val="35525164"/>
    <w:rsid w:val="3555351F"/>
    <w:rsid w:val="35623905"/>
    <w:rsid w:val="35633E8E"/>
    <w:rsid w:val="35637EBC"/>
    <w:rsid w:val="35657B2A"/>
    <w:rsid w:val="35684D55"/>
    <w:rsid w:val="356D4A76"/>
    <w:rsid w:val="35701784"/>
    <w:rsid w:val="357F0326"/>
    <w:rsid w:val="35883C42"/>
    <w:rsid w:val="358C5FA8"/>
    <w:rsid w:val="359D06F7"/>
    <w:rsid w:val="35A90EA2"/>
    <w:rsid w:val="35B16F66"/>
    <w:rsid w:val="35B75F88"/>
    <w:rsid w:val="35B90109"/>
    <w:rsid w:val="35C15DF1"/>
    <w:rsid w:val="35D15E83"/>
    <w:rsid w:val="35D73F34"/>
    <w:rsid w:val="35D92172"/>
    <w:rsid w:val="35D94150"/>
    <w:rsid w:val="35DB0ABC"/>
    <w:rsid w:val="35DC779C"/>
    <w:rsid w:val="35E0549C"/>
    <w:rsid w:val="35E87EEF"/>
    <w:rsid w:val="35EF74CF"/>
    <w:rsid w:val="35F14A76"/>
    <w:rsid w:val="35F60C1B"/>
    <w:rsid w:val="35F76AB1"/>
    <w:rsid w:val="35F92AF9"/>
    <w:rsid w:val="35FC1307"/>
    <w:rsid w:val="36015438"/>
    <w:rsid w:val="36024896"/>
    <w:rsid w:val="36074A7F"/>
    <w:rsid w:val="36076929"/>
    <w:rsid w:val="36103614"/>
    <w:rsid w:val="361909F0"/>
    <w:rsid w:val="3619454C"/>
    <w:rsid w:val="361C44BC"/>
    <w:rsid w:val="361E2DF6"/>
    <w:rsid w:val="3626440E"/>
    <w:rsid w:val="362658B3"/>
    <w:rsid w:val="362A6B65"/>
    <w:rsid w:val="362D25F0"/>
    <w:rsid w:val="362E3CA1"/>
    <w:rsid w:val="36334772"/>
    <w:rsid w:val="363650FE"/>
    <w:rsid w:val="36370F4E"/>
    <w:rsid w:val="363D6501"/>
    <w:rsid w:val="363F1A1A"/>
    <w:rsid w:val="36421CF5"/>
    <w:rsid w:val="3643781B"/>
    <w:rsid w:val="36453F1A"/>
    <w:rsid w:val="364610BA"/>
    <w:rsid w:val="36462E68"/>
    <w:rsid w:val="36486BE0"/>
    <w:rsid w:val="364966BB"/>
    <w:rsid w:val="364D069A"/>
    <w:rsid w:val="36516D34"/>
    <w:rsid w:val="365F321D"/>
    <w:rsid w:val="365F3EE0"/>
    <w:rsid w:val="36632F99"/>
    <w:rsid w:val="36671B01"/>
    <w:rsid w:val="366C3DC1"/>
    <w:rsid w:val="367457C8"/>
    <w:rsid w:val="367470A6"/>
    <w:rsid w:val="367478DC"/>
    <w:rsid w:val="3676327B"/>
    <w:rsid w:val="367644F6"/>
    <w:rsid w:val="367E499B"/>
    <w:rsid w:val="367F6C7D"/>
    <w:rsid w:val="36800E9F"/>
    <w:rsid w:val="368813D1"/>
    <w:rsid w:val="36923549"/>
    <w:rsid w:val="369313C7"/>
    <w:rsid w:val="36933FF0"/>
    <w:rsid w:val="3694559F"/>
    <w:rsid w:val="36990346"/>
    <w:rsid w:val="3699482A"/>
    <w:rsid w:val="369B5EAA"/>
    <w:rsid w:val="36A04C6E"/>
    <w:rsid w:val="36AB6791"/>
    <w:rsid w:val="36AC7825"/>
    <w:rsid w:val="36AD1659"/>
    <w:rsid w:val="36B15804"/>
    <w:rsid w:val="36B655FD"/>
    <w:rsid w:val="36B75FBF"/>
    <w:rsid w:val="36BD0C45"/>
    <w:rsid w:val="36CD1821"/>
    <w:rsid w:val="36CF1910"/>
    <w:rsid w:val="36D040F0"/>
    <w:rsid w:val="36D057C6"/>
    <w:rsid w:val="36D13650"/>
    <w:rsid w:val="36D36A26"/>
    <w:rsid w:val="36D44917"/>
    <w:rsid w:val="36E30B3B"/>
    <w:rsid w:val="36E56B24"/>
    <w:rsid w:val="36EB5452"/>
    <w:rsid w:val="36F52B2D"/>
    <w:rsid w:val="37023232"/>
    <w:rsid w:val="37026702"/>
    <w:rsid w:val="37046B4D"/>
    <w:rsid w:val="37052F55"/>
    <w:rsid w:val="3705791D"/>
    <w:rsid w:val="37070849"/>
    <w:rsid w:val="370C31A6"/>
    <w:rsid w:val="370C723C"/>
    <w:rsid w:val="37203CDB"/>
    <w:rsid w:val="37291EC8"/>
    <w:rsid w:val="372F597E"/>
    <w:rsid w:val="372F7379"/>
    <w:rsid w:val="37344749"/>
    <w:rsid w:val="37396354"/>
    <w:rsid w:val="373E4BC6"/>
    <w:rsid w:val="37410D88"/>
    <w:rsid w:val="374750E9"/>
    <w:rsid w:val="374C257A"/>
    <w:rsid w:val="374D1D52"/>
    <w:rsid w:val="37522429"/>
    <w:rsid w:val="375241BA"/>
    <w:rsid w:val="3754016A"/>
    <w:rsid w:val="375C14BA"/>
    <w:rsid w:val="37605DE5"/>
    <w:rsid w:val="37621238"/>
    <w:rsid w:val="376A7418"/>
    <w:rsid w:val="376C4CEC"/>
    <w:rsid w:val="376E6B1A"/>
    <w:rsid w:val="376F347D"/>
    <w:rsid w:val="3778260F"/>
    <w:rsid w:val="377965D9"/>
    <w:rsid w:val="377A4F3D"/>
    <w:rsid w:val="377A7029"/>
    <w:rsid w:val="378F7662"/>
    <w:rsid w:val="37924793"/>
    <w:rsid w:val="379914A5"/>
    <w:rsid w:val="379C5F15"/>
    <w:rsid w:val="37A513FD"/>
    <w:rsid w:val="37A72497"/>
    <w:rsid w:val="37BF7375"/>
    <w:rsid w:val="37CF6973"/>
    <w:rsid w:val="37D82779"/>
    <w:rsid w:val="37DB4BC8"/>
    <w:rsid w:val="37DF2223"/>
    <w:rsid w:val="37E00298"/>
    <w:rsid w:val="37E14C4F"/>
    <w:rsid w:val="37E96276"/>
    <w:rsid w:val="37EE2C48"/>
    <w:rsid w:val="37F00D62"/>
    <w:rsid w:val="37F62612"/>
    <w:rsid w:val="37F75599"/>
    <w:rsid w:val="37FC73E0"/>
    <w:rsid w:val="38021287"/>
    <w:rsid w:val="380A71EC"/>
    <w:rsid w:val="38143F41"/>
    <w:rsid w:val="381A15AE"/>
    <w:rsid w:val="3828112E"/>
    <w:rsid w:val="382858DB"/>
    <w:rsid w:val="382A2A41"/>
    <w:rsid w:val="382B0567"/>
    <w:rsid w:val="382B35F4"/>
    <w:rsid w:val="383225E3"/>
    <w:rsid w:val="38431D54"/>
    <w:rsid w:val="38474908"/>
    <w:rsid w:val="384F6A52"/>
    <w:rsid w:val="3851582A"/>
    <w:rsid w:val="385F5121"/>
    <w:rsid w:val="3865028A"/>
    <w:rsid w:val="3865417B"/>
    <w:rsid w:val="38727005"/>
    <w:rsid w:val="38794F9A"/>
    <w:rsid w:val="3879556D"/>
    <w:rsid w:val="38991974"/>
    <w:rsid w:val="389E669A"/>
    <w:rsid w:val="38A91676"/>
    <w:rsid w:val="38B14D7A"/>
    <w:rsid w:val="38B302F9"/>
    <w:rsid w:val="38B70DAE"/>
    <w:rsid w:val="38BF587F"/>
    <w:rsid w:val="38C10E6A"/>
    <w:rsid w:val="38C55F89"/>
    <w:rsid w:val="38CD2DDD"/>
    <w:rsid w:val="38D4238A"/>
    <w:rsid w:val="38E36693"/>
    <w:rsid w:val="38E91BBF"/>
    <w:rsid w:val="38EC5BDF"/>
    <w:rsid w:val="38F12CD3"/>
    <w:rsid w:val="38F222DF"/>
    <w:rsid w:val="38F47139"/>
    <w:rsid w:val="38F94775"/>
    <w:rsid w:val="39043E56"/>
    <w:rsid w:val="391541C9"/>
    <w:rsid w:val="39202096"/>
    <w:rsid w:val="39237531"/>
    <w:rsid w:val="392971ED"/>
    <w:rsid w:val="392C71CB"/>
    <w:rsid w:val="39325651"/>
    <w:rsid w:val="39331DC9"/>
    <w:rsid w:val="393A22E1"/>
    <w:rsid w:val="39406A80"/>
    <w:rsid w:val="39432432"/>
    <w:rsid w:val="39554B5F"/>
    <w:rsid w:val="395A6614"/>
    <w:rsid w:val="39616E06"/>
    <w:rsid w:val="39622946"/>
    <w:rsid w:val="396446BF"/>
    <w:rsid w:val="39644F4B"/>
    <w:rsid w:val="3965419E"/>
    <w:rsid w:val="396C7089"/>
    <w:rsid w:val="397F500E"/>
    <w:rsid w:val="39822C77"/>
    <w:rsid w:val="3987255E"/>
    <w:rsid w:val="398768E8"/>
    <w:rsid w:val="398919E9"/>
    <w:rsid w:val="398D02FA"/>
    <w:rsid w:val="39915F47"/>
    <w:rsid w:val="399C46DE"/>
    <w:rsid w:val="399E158A"/>
    <w:rsid w:val="39A2171A"/>
    <w:rsid w:val="39A452E0"/>
    <w:rsid w:val="39A57F52"/>
    <w:rsid w:val="39AD1B7B"/>
    <w:rsid w:val="39AF176A"/>
    <w:rsid w:val="39B20F40"/>
    <w:rsid w:val="39BE4E3E"/>
    <w:rsid w:val="39C121FD"/>
    <w:rsid w:val="39C34F80"/>
    <w:rsid w:val="39C357A3"/>
    <w:rsid w:val="39CE2BC1"/>
    <w:rsid w:val="39D103B5"/>
    <w:rsid w:val="39D316E0"/>
    <w:rsid w:val="39D728AF"/>
    <w:rsid w:val="39D864CC"/>
    <w:rsid w:val="39D96925"/>
    <w:rsid w:val="39DC3D28"/>
    <w:rsid w:val="39E61A20"/>
    <w:rsid w:val="39E6440A"/>
    <w:rsid w:val="39E7613B"/>
    <w:rsid w:val="39EB26A4"/>
    <w:rsid w:val="39F06AAA"/>
    <w:rsid w:val="39F40EEF"/>
    <w:rsid w:val="3A0A523E"/>
    <w:rsid w:val="3A1514CF"/>
    <w:rsid w:val="3A1525B2"/>
    <w:rsid w:val="3A1D7F28"/>
    <w:rsid w:val="3A29410A"/>
    <w:rsid w:val="3A2F10AE"/>
    <w:rsid w:val="3A2F51C2"/>
    <w:rsid w:val="3A365DF4"/>
    <w:rsid w:val="3A3751D7"/>
    <w:rsid w:val="3A38137E"/>
    <w:rsid w:val="3A485D32"/>
    <w:rsid w:val="3A4F1CCF"/>
    <w:rsid w:val="3A4F678F"/>
    <w:rsid w:val="3A503CA8"/>
    <w:rsid w:val="3A5A7554"/>
    <w:rsid w:val="3A5D0BC2"/>
    <w:rsid w:val="3A613204"/>
    <w:rsid w:val="3A671735"/>
    <w:rsid w:val="3A7B0791"/>
    <w:rsid w:val="3A7E3DF4"/>
    <w:rsid w:val="3A7E72AC"/>
    <w:rsid w:val="3A872856"/>
    <w:rsid w:val="3A883A38"/>
    <w:rsid w:val="3A8D0EEB"/>
    <w:rsid w:val="3A8D5509"/>
    <w:rsid w:val="3A9370FB"/>
    <w:rsid w:val="3A9E7264"/>
    <w:rsid w:val="3A9F162C"/>
    <w:rsid w:val="3AA0523C"/>
    <w:rsid w:val="3AA86CE8"/>
    <w:rsid w:val="3AB90C85"/>
    <w:rsid w:val="3ABB72C0"/>
    <w:rsid w:val="3AC31E22"/>
    <w:rsid w:val="3AD1189A"/>
    <w:rsid w:val="3ADD745E"/>
    <w:rsid w:val="3AEA4709"/>
    <w:rsid w:val="3AFA1623"/>
    <w:rsid w:val="3AFA69ED"/>
    <w:rsid w:val="3AFB0D44"/>
    <w:rsid w:val="3AFC22E5"/>
    <w:rsid w:val="3AFD21EB"/>
    <w:rsid w:val="3B0A37FD"/>
    <w:rsid w:val="3B0C0B24"/>
    <w:rsid w:val="3B117EE8"/>
    <w:rsid w:val="3B205FEA"/>
    <w:rsid w:val="3B245435"/>
    <w:rsid w:val="3B295BF7"/>
    <w:rsid w:val="3B2E0CDB"/>
    <w:rsid w:val="3B311F1D"/>
    <w:rsid w:val="3B3763D1"/>
    <w:rsid w:val="3B4A001E"/>
    <w:rsid w:val="3B4B390B"/>
    <w:rsid w:val="3B4F3E4E"/>
    <w:rsid w:val="3B541CB4"/>
    <w:rsid w:val="3B5762FA"/>
    <w:rsid w:val="3B580D16"/>
    <w:rsid w:val="3B586199"/>
    <w:rsid w:val="3B595665"/>
    <w:rsid w:val="3B5B09CB"/>
    <w:rsid w:val="3B5B3F16"/>
    <w:rsid w:val="3B5E38A4"/>
    <w:rsid w:val="3B651FE2"/>
    <w:rsid w:val="3B667592"/>
    <w:rsid w:val="3B691AD2"/>
    <w:rsid w:val="3B6A2462"/>
    <w:rsid w:val="3B6D59DF"/>
    <w:rsid w:val="3B7C7A57"/>
    <w:rsid w:val="3B8733E4"/>
    <w:rsid w:val="3B9C4260"/>
    <w:rsid w:val="3BA74916"/>
    <w:rsid w:val="3BB908DD"/>
    <w:rsid w:val="3BBC4D98"/>
    <w:rsid w:val="3BC35439"/>
    <w:rsid w:val="3BC82C9D"/>
    <w:rsid w:val="3BD04FDE"/>
    <w:rsid w:val="3BD3659C"/>
    <w:rsid w:val="3BDA29D0"/>
    <w:rsid w:val="3BE2486E"/>
    <w:rsid w:val="3BF43C66"/>
    <w:rsid w:val="3BF52D34"/>
    <w:rsid w:val="3BF53366"/>
    <w:rsid w:val="3BF55114"/>
    <w:rsid w:val="3BFA6BCE"/>
    <w:rsid w:val="3C02596E"/>
    <w:rsid w:val="3C0F2569"/>
    <w:rsid w:val="3C147D63"/>
    <w:rsid w:val="3C1F43B8"/>
    <w:rsid w:val="3C27715F"/>
    <w:rsid w:val="3C2A4231"/>
    <w:rsid w:val="3C2E09DB"/>
    <w:rsid w:val="3C2F3163"/>
    <w:rsid w:val="3C2F6E1E"/>
    <w:rsid w:val="3C3438C2"/>
    <w:rsid w:val="3C345FD6"/>
    <w:rsid w:val="3C37288F"/>
    <w:rsid w:val="3C485A3A"/>
    <w:rsid w:val="3C4E493B"/>
    <w:rsid w:val="3C4F64BA"/>
    <w:rsid w:val="3C505FF8"/>
    <w:rsid w:val="3C554CC3"/>
    <w:rsid w:val="3C5B598A"/>
    <w:rsid w:val="3C5C07E0"/>
    <w:rsid w:val="3C5F2ED5"/>
    <w:rsid w:val="3C625F9F"/>
    <w:rsid w:val="3C664263"/>
    <w:rsid w:val="3C780A0A"/>
    <w:rsid w:val="3C817F46"/>
    <w:rsid w:val="3C8663A1"/>
    <w:rsid w:val="3C88152E"/>
    <w:rsid w:val="3C8D3F4E"/>
    <w:rsid w:val="3C8E45A9"/>
    <w:rsid w:val="3C964B49"/>
    <w:rsid w:val="3C9A2571"/>
    <w:rsid w:val="3CA005B5"/>
    <w:rsid w:val="3CA030BA"/>
    <w:rsid w:val="3CA55C21"/>
    <w:rsid w:val="3CA74F18"/>
    <w:rsid w:val="3CAB099C"/>
    <w:rsid w:val="3CC23DE1"/>
    <w:rsid w:val="3CC245B9"/>
    <w:rsid w:val="3CD92CCA"/>
    <w:rsid w:val="3CDA245A"/>
    <w:rsid w:val="3CDA6BD0"/>
    <w:rsid w:val="3CDD5C6A"/>
    <w:rsid w:val="3CE22D0B"/>
    <w:rsid w:val="3CF221C2"/>
    <w:rsid w:val="3CF3617C"/>
    <w:rsid w:val="3CF47AC1"/>
    <w:rsid w:val="3D0114B0"/>
    <w:rsid w:val="3D021C82"/>
    <w:rsid w:val="3D083FB2"/>
    <w:rsid w:val="3D090C78"/>
    <w:rsid w:val="3D0E228D"/>
    <w:rsid w:val="3D0F48FB"/>
    <w:rsid w:val="3D155895"/>
    <w:rsid w:val="3D15795C"/>
    <w:rsid w:val="3D1E06B7"/>
    <w:rsid w:val="3D1E1139"/>
    <w:rsid w:val="3D2757A1"/>
    <w:rsid w:val="3D2836D9"/>
    <w:rsid w:val="3D357079"/>
    <w:rsid w:val="3D3619FA"/>
    <w:rsid w:val="3D37175C"/>
    <w:rsid w:val="3D3F29EB"/>
    <w:rsid w:val="3D427DDA"/>
    <w:rsid w:val="3D455E36"/>
    <w:rsid w:val="3D577B32"/>
    <w:rsid w:val="3D58104A"/>
    <w:rsid w:val="3D6B3050"/>
    <w:rsid w:val="3D700127"/>
    <w:rsid w:val="3D74475E"/>
    <w:rsid w:val="3D7D2C62"/>
    <w:rsid w:val="3D7D308A"/>
    <w:rsid w:val="3D7D3613"/>
    <w:rsid w:val="3D84234E"/>
    <w:rsid w:val="3D897631"/>
    <w:rsid w:val="3D913562"/>
    <w:rsid w:val="3D98044D"/>
    <w:rsid w:val="3D9B6799"/>
    <w:rsid w:val="3DA73F3B"/>
    <w:rsid w:val="3DAB4152"/>
    <w:rsid w:val="3DAC4B36"/>
    <w:rsid w:val="3DB72FC9"/>
    <w:rsid w:val="3DB84470"/>
    <w:rsid w:val="3DB96A9B"/>
    <w:rsid w:val="3DBD2B15"/>
    <w:rsid w:val="3DC26121"/>
    <w:rsid w:val="3DC47627"/>
    <w:rsid w:val="3DC54FBA"/>
    <w:rsid w:val="3DC76CF2"/>
    <w:rsid w:val="3DDA6AD1"/>
    <w:rsid w:val="3DDB59B2"/>
    <w:rsid w:val="3DDD4DDB"/>
    <w:rsid w:val="3DDF7B5D"/>
    <w:rsid w:val="3DE452ED"/>
    <w:rsid w:val="3DEB0EC4"/>
    <w:rsid w:val="3DEE0FF3"/>
    <w:rsid w:val="3DF22025"/>
    <w:rsid w:val="3DF24AD0"/>
    <w:rsid w:val="3DF55A4D"/>
    <w:rsid w:val="3DF66511"/>
    <w:rsid w:val="3E043D34"/>
    <w:rsid w:val="3E09759C"/>
    <w:rsid w:val="3E1917FC"/>
    <w:rsid w:val="3E1A21E2"/>
    <w:rsid w:val="3E1B4945"/>
    <w:rsid w:val="3E1C6B1A"/>
    <w:rsid w:val="3E2569F1"/>
    <w:rsid w:val="3E287604"/>
    <w:rsid w:val="3E30185E"/>
    <w:rsid w:val="3E362C50"/>
    <w:rsid w:val="3E363CAA"/>
    <w:rsid w:val="3E3A1883"/>
    <w:rsid w:val="3E446F3D"/>
    <w:rsid w:val="3E4C4223"/>
    <w:rsid w:val="3E53582A"/>
    <w:rsid w:val="3E551CA6"/>
    <w:rsid w:val="3E55249B"/>
    <w:rsid w:val="3E5A3FFA"/>
    <w:rsid w:val="3E5A7DAF"/>
    <w:rsid w:val="3E655F27"/>
    <w:rsid w:val="3E75111C"/>
    <w:rsid w:val="3E787BE7"/>
    <w:rsid w:val="3E794047"/>
    <w:rsid w:val="3E817133"/>
    <w:rsid w:val="3E997513"/>
    <w:rsid w:val="3E9A44C1"/>
    <w:rsid w:val="3E9D2FC7"/>
    <w:rsid w:val="3EA2565B"/>
    <w:rsid w:val="3EAE6F77"/>
    <w:rsid w:val="3EBA455E"/>
    <w:rsid w:val="3EBD0BB6"/>
    <w:rsid w:val="3EC90AB8"/>
    <w:rsid w:val="3ED03B1B"/>
    <w:rsid w:val="3EDA0523"/>
    <w:rsid w:val="3EE651E8"/>
    <w:rsid w:val="3EEF2F6D"/>
    <w:rsid w:val="3EF50189"/>
    <w:rsid w:val="3EF7687F"/>
    <w:rsid w:val="3EFC04B0"/>
    <w:rsid w:val="3F01463B"/>
    <w:rsid w:val="3F0345F2"/>
    <w:rsid w:val="3F0720AC"/>
    <w:rsid w:val="3F0761B3"/>
    <w:rsid w:val="3F0A35CC"/>
    <w:rsid w:val="3F1B1AE7"/>
    <w:rsid w:val="3F226537"/>
    <w:rsid w:val="3F306DCE"/>
    <w:rsid w:val="3F3843FB"/>
    <w:rsid w:val="3F4B77FB"/>
    <w:rsid w:val="3F520217"/>
    <w:rsid w:val="3F53702A"/>
    <w:rsid w:val="3F582518"/>
    <w:rsid w:val="3F591E5E"/>
    <w:rsid w:val="3F5F49B6"/>
    <w:rsid w:val="3F624F39"/>
    <w:rsid w:val="3F626752"/>
    <w:rsid w:val="3F630434"/>
    <w:rsid w:val="3F634A8A"/>
    <w:rsid w:val="3F682C7B"/>
    <w:rsid w:val="3F6B0C4D"/>
    <w:rsid w:val="3F6F7FAE"/>
    <w:rsid w:val="3F75276A"/>
    <w:rsid w:val="3F7E053B"/>
    <w:rsid w:val="3F7E18C4"/>
    <w:rsid w:val="3F7F1CC2"/>
    <w:rsid w:val="3F804C2D"/>
    <w:rsid w:val="3F850EA5"/>
    <w:rsid w:val="3F851CD6"/>
    <w:rsid w:val="3F871989"/>
    <w:rsid w:val="3F8A2017"/>
    <w:rsid w:val="3F8C7D14"/>
    <w:rsid w:val="3F8F215A"/>
    <w:rsid w:val="3F9065BB"/>
    <w:rsid w:val="3F93321E"/>
    <w:rsid w:val="3F934C4B"/>
    <w:rsid w:val="3F9523FD"/>
    <w:rsid w:val="3FA52EEE"/>
    <w:rsid w:val="3FA5340F"/>
    <w:rsid w:val="3FB90E32"/>
    <w:rsid w:val="3FBD4C71"/>
    <w:rsid w:val="3FBE6A3F"/>
    <w:rsid w:val="3FC10A9F"/>
    <w:rsid w:val="3FCC27C7"/>
    <w:rsid w:val="3FCF3ECE"/>
    <w:rsid w:val="3FD00D84"/>
    <w:rsid w:val="3FF027C2"/>
    <w:rsid w:val="3FF118DF"/>
    <w:rsid w:val="3FF76E4E"/>
    <w:rsid w:val="3FF77687"/>
    <w:rsid w:val="3FF94B75"/>
    <w:rsid w:val="3FFA34B9"/>
    <w:rsid w:val="3FFB1660"/>
    <w:rsid w:val="400351C4"/>
    <w:rsid w:val="40077D96"/>
    <w:rsid w:val="40184E6E"/>
    <w:rsid w:val="401B1A98"/>
    <w:rsid w:val="401F4C43"/>
    <w:rsid w:val="4020683B"/>
    <w:rsid w:val="403511AE"/>
    <w:rsid w:val="403A3A3D"/>
    <w:rsid w:val="403E3F00"/>
    <w:rsid w:val="40425E85"/>
    <w:rsid w:val="404540FE"/>
    <w:rsid w:val="40471A21"/>
    <w:rsid w:val="40637002"/>
    <w:rsid w:val="406B5FFD"/>
    <w:rsid w:val="406D24A6"/>
    <w:rsid w:val="406E1B89"/>
    <w:rsid w:val="40773A9F"/>
    <w:rsid w:val="407A6407"/>
    <w:rsid w:val="408B024B"/>
    <w:rsid w:val="408F6F36"/>
    <w:rsid w:val="409037D3"/>
    <w:rsid w:val="40905D53"/>
    <w:rsid w:val="409117E4"/>
    <w:rsid w:val="409A272E"/>
    <w:rsid w:val="409F442F"/>
    <w:rsid w:val="40A30A6D"/>
    <w:rsid w:val="40A43D9A"/>
    <w:rsid w:val="40A8309D"/>
    <w:rsid w:val="40AD6E86"/>
    <w:rsid w:val="40BF0A05"/>
    <w:rsid w:val="40CB6DA7"/>
    <w:rsid w:val="40CF189E"/>
    <w:rsid w:val="40D06799"/>
    <w:rsid w:val="40DD4492"/>
    <w:rsid w:val="40E2152C"/>
    <w:rsid w:val="40E9499C"/>
    <w:rsid w:val="40EA7211"/>
    <w:rsid w:val="40F63E08"/>
    <w:rsid w:val="40FA2BFE"/>
    <w:rsid w:val="41047192"/>
    <w:rsid w:val="410C5A2A"/>
    <w:rsid w:val="41111D82"/>
    <w:rsid w:val="41123E0D"/>
    <w:rsid w:val="41126D92"/>
    <w:rsid w:val="41135D4F"/>
    <w:rsid w:val="41171989"/>
    <w:rsid w:val="41195D48"/>
    <w:rsid w:val="411B2922"/>
    <w:rsid w:val="411C1395"/>
    <w:rsid w:val="411C63AB"/>
    <w:rsid w:val="412669CE"/>
    <w:rsid w:val="41300695"/>
    <w:rsid w:val="413078F4"/>
    <w:rsid w:val="4131270D"/>
    <w:rsid w:val="4132486F"/>
    <w:rsid w:val="41333B4D"/>
    <w:rsid w:val="4135191A"/>
    <w:rsid w:val="41393AA8"/>
    <w:rsid w:val="41433BE6"/>
    <w:rsid w:val="41475C02"/>
    <w:rsid w:val="41482441"/>
    <w:rsid w:val="414F0FF9"/>
    <w:rsid w:val="4154262F"/>
    <w:rsid w:val="415C79E3"/>
    <w:rsid w:val="416C67DA"/>
    <w:rsid w:val="41790595"/>
    <w:rsid w:val="417D1B23"/>
    <w:rsid w:val="417E1B83"/>
    <w:rsid w:val="41825DB0"/>
    <w:rsid w:val="41874AD3"/>
    <w:rsid w:val="41927A3F"/>
    <w:rsid w:val="41955CC3"/>
    <w:rsid w:val="41BF1594"/>
    <w:rsid w:val="41C450B1"/>
    <w:rsid w:val="41E32CDB"/>
    <w:rsid w:val="41E72B57"/>
    <w:rsid w:val="41F30C91"/>
    <w:rsid w:val="41F33C83"/>
    <w:rsid w:val="41F8770C"/>
    <w:rsid w:val="41FB5937"/>
    <w:rsid w:val="4200449D"/>
    <w:rsid w:val="4202005B"/>
    <w:rsid w:val="420D0C5A"/>
    <w:rsid w:val="420E1035"/>
    <w:rsid w:val="42113415"/>
    <w:rsid w:val="42156510"/>
    <w:rsid w:val="422543A5"/>
    <w:rsid w:val="423A3BCC"/>
    <w:rsid w:val="42470693"/>
    <w:rsid w:val="424E57D2"/>
    <w:rsid w:val="424F6A20"/>
    <w:rsid w:val="42562684"/>
    <w:rsid w:val="425E3A0A"/>
    <w:rsid w:val="426821D9"/>
    <w:rsid w:val="42797D6B"/>
    <w:rsid w:val="427A1E23"/>
    <w:rsid w:val="427F6A0F"/>
    <w:rsid w:val="4283630E"/>
    <w:rsid w:val="428757A9"/>
    <w:rsid w:val="42941769"/>
    <w:rsid w:val="429B6F87"/>
    <w:rsid w:val="42A121B5"/>
    <w:rsid w:val="42A55D5D"/>
    <w:rsid w:val="42A704E4"/>
    <w:rsid w:val="42B26C49"/>
    <w:rsid w:val="42BA6A4C"/>
    <w:rsid w:val="42BF115A"/>
    <w:rsid w:val="42C60E2F"/>
    <w:rsid w:val="42C716E4"/>
    <w:rsid w:val="42D13265"/>
    <w:rsid w:val="42D40176"/>
    <w:rsid w:val="42D5073B"/>
    <w:rsid w:val="42D80760"/>
    <w:rsid w:val="42D9753D"/>
    <w:rsid w:val="42E47351"/>
    <w:rsid w:val="42E6302A"/>
    <w:rsid w:val="42EC3436"/>
    <w:rsid w:val="42F75C45"/>
    <w:rsid w:val="42F76572"/>
    <w:rsid w:val="431E0128"/>
    <w:rsid w:val="43205B8C"/>
    <w:rsid w:val="43210CF0"/>
    <w:rsid w:val="43220D86"/>
    <w:rsid w:val="432A5FEB"/>
    <w:rsid w:val="432E057C"/>
    <w:rsid w:val="43364688"/>
    <w:rsid w:val="4339093E"/>
    <w:rsid w:val="433A6FE6"/>
    <w:rsid w:val="433D4E1D"/>
    <w:rsid w:val="43480868"/>
    <w:rsid w:val="434A320E"/>
    <w:rsid w:val="4350713C"/>
    <w:rsid w:val="43572FEA"/>
    <w:rsid w:val="435B65F1"/>
    <w:rsid w:val="436052E8"/>
    <w:rsid w:val="436314FD"/>
    <w:rsid w:val="436456F5"/>
    <w:rsid w:val="436653E0"/>
    <w:rsid w:val="4367618F"/>
    <w:rsid w:val="436E350A"/>
    <w:rsid w:val="4371523D"/>
    <w:rsid w:val="437859F5"/>
    <w:rsid w:val="438308EE"/>
    <w:rsid w:val="438F3B68"/>
    <w:rsid w:val="43907020"/>
    <w:rsid w:val="43A50859"/>
    <w:rsid w:val="43A91A60"/>
    <w:rsid w:val="43B249D1"/>
    <w:rsid w:val="43BA5753"/>
    <w:rsid w:val="43BB707E"/>
    <w:rsid w:val="43C16E80"/>
    <w:rsid w:val="43C4431A"/>
    <w:rsid w:val="43DC73A0"/>
    <w:rsid w:val="43E81747"/>
    <w:rsid w:val="43FE5AA1"/>
    <w:rsid w:val="43FE5B74"/>
    <w:rsid w:val="44025412"/>
    <w:rsid w:val="440771BC"/>
    <w:rsid w:val="440B1C16"/>
    <w:rsid w:val="440C3942"/>
    <w:rsid w:val="441032D4"/>
    <w:rsid w:val="44107610"/>
    <w:rsid w:val="441427F7"/>
    <w:rsid w:val="441D5105"/>
    <w:rsid w:val="44216D87"/>
    <w:rsid w:val="44250906"/>
    <w:rsid w:val="442839D7"/>
    <w:rsid w:val="44366A9F"/>
    <w:rsid w:val="4439400C"/>
    <w:rsid w:val="44456CEF"/>
    <w:rsid w:val="44470472"/>
    <w:rsid w:val="444C2D3E"/>
    <w:rsid w:val="44542F9E"/>
    <w:rsid w:val="447613B4"/>
    <w:rsid w:val="447A25D3"/>
    <w:rsid w:val="448E2827"/>
    <w:rsid w:val="448F7DDB"/>
    <w:rsid w:val="449C6A74"/>
    <w:rsid w:val="44B951CC"/>
    <w:rsid w:val="44BE3157"/>
    <w:rsid w:val="44C13363"/>
    <w:rsid w:val="44C157DB"/>
    <w:rsid w:val="44C512A4"/>
    <w:rsid w:val="44C60872"/>
    <w:rsid w:val="44CD14E0"/>
    <w:rsid w:val="44D0671E"/>
    <w:rsid w:val="44DA2479"/>
    <w:rsid w:val="44E43F2A"/>
    <w:rsid w:val="44E46C23"/>
    <w:rsid w:val="44ED6693"/>
    <w:rsid w:val="44EE0466"/>
    <w:rsid w:val="44F02397"/>
    <w:rsid w:val="44F20B0B"/>
    <w:rsid w:val="44F677D9"/>
    <w:rsid w:val="44FB6E36"/>
    <w:rsid w:val="44FF5216"/>
    <w:rsid w:val="44FF522F"/>
    <w:rsid w:val="44FF7003"/>
    <w:rsid w:val="45011C15"/>
    <w:rsid w:val="45067A1F"/>
    <w:rsid w:val="45076672"/>
    <w:rsid w:val="450D5141"/>
    <w:rsid w:val="450E7246"/>
    <w:rsid w:val="45181304"/>
    <w:rsid w:val="45234260"/>
    <w:rsid w:val="45260A34"/>
    <w:rsid w:val="452934B1"/>
    <w:rsid w:val="452E5F4C"/>
    <w:rsid w:val="453046AC"/>
    <w:rsid w:val="45314252"/>
    <w:rsid w:val="45421857"/>
    <w:rsid w:val="45431027"/>
    <w:rsid w:val="45463A33"/>
    <w:rsid w:val="454668C9"/>
    <w:rsid w:val="454809AA"/>
    <w:rsid w:val="45485EB6"/>
    <w:rsid w:val="454910CB"/>
    <w:rsid w:val="45492F04"/>
    <w:rsid w:val="454A6A65"/>
    <w:rsid w:val="455235D7"/>
    <w:rsid w:val="455C4782"/>
    <w:rsid w:val="45610513"/>
    <w:rsid w:val="45612018"/>
    <w:rsid w:val="456349FB"/>
    <w:rsid w:val="45684BA8"/>
    <w:rsid w:val="456C2136"/>
    <w:rsid w:val="456D0411"/>
    <w:rsid w:val="45715B7C"/>
    <w:rsid w:val="45744C02"/>
    <w:rsid w:val="457572C5"/>
    <w:rsid w:val="457E387A"/>
    <w:rsid w:val="45813EBC"/>
    <w:rsid w:val="458946E9"/>
    <w:rsid w:val="45895FEC"/>
    <w:rsid w:val="458A1B54"/>
    <w:rsid w:val="458B6731"/>
    <w:rsid w:val="45943BEF"/>
    <w:rsid w:val="459B224C"/>
    <w:rsid w:val="459E5A0D"/>
    <w:rsid w:val="45A14A3F"/>
    <w:rsid w:val="45A47C0E"/>
    <w:rsid w:val="45A57BAB"/>
    <w:rsid w:val="45A96530"/>
    <w:rsid w:val="45AA14E1"/>
    <w:rsid w:val="45B74470"/>
    <w:rsid w:val="45B93C1F"/>
    <w:rsid w:val="45D072DC"/>
    <w:rsid w:val="45D17DEA"/>
    <w:rsid w:val="45D52E99"/>
    <w:rsid w:val="45D862E7"/>
    <w:rsid w:val="45DD5596"/>
    <w:rsid w:val="45E06E35"/>
    <w:rsid w:val="45EC288D"/>
    <w:rsid w:val="45F54EF3"/>
    <w:rsid w:val="45F631AF"/>
    <w:rsid w:val="46095B0F"/>
    <w:rsid w:val="460D7447"/>
    <w:rsid w:val="4617676F"/>
    <w:rsid w:val="46181CD3"/>
    <w:rsid w:val="461C648C"/>
    <w:rsid w:val="46252F12"/>
    <w:rsid w:val="46277248"/>
    <w:rsid w:val="46296B01"/>
    <w:rsid w:val="463B0106"/>
    <w:rsid w:val="463B2DA1"/>
    <w:rsid w:val="463F30E9"/>
    <w:rsid w:val="464D6FC5"/>
    <w:rsid w:val="464E745B"/>
    <w:rsid w:val="46577FD6"/>
    <w:rsid w:val="465A0FBC"/>
    <w:rsid w:val="4660273E"/>
    <w:rsid w:val="46650844"/>
    <w:rsid w:val="46761E79"/>
    <w:rsid w:val="467E0606"/>
    <w:rsid w:val="468F50F1"/>
    <w:rsid w:val="46905C18"/>
    <w:rsid w:val="469B2D5C"/>
    <w:rsid w:val="46A102E4"/>
    <w:rsid w:val="46A22B1A"/>
    <w:rsid w:val="46B17815"/>
    <w:rsid w:val="46B45022"/>
    <w:rsid w:val="46B513A6"/>
    <w:rsid w:val="46B82087"/>
    <w:rsid w:val="46B870EE"/>
    <w:rsid w:val="46C2478C"/>
    <w:rsid w:val="46C2653A"/>
    <w:rsid w:val="46C46665"/>
    <w:rsid w:val="46C55DB4"/>
    <w:rsid w:val="46CA3300"/>
    <w:rsid w:val="46D14F2A"/>
    <w:rsid w:val="46D718D1"/>
    <w:rsid w:val="46D955A7"/>
    <w:rsid w:val="46E570AD"/>
    <w:rsid w:val="46E60671"/>
    <w:rsid w:val="46E64526"/>
    <w:rsid w:val="46E8416E"/>
    <w:rsid w:val="46F06F50"/>
    <w:rsid w:val="46F10BCE"/>
    <w:rsid w:val="46F5246C"/>
    <w:rsid w:val="47110A51"/>
    <w:rsid w:val="4711312A"/>
    <w:rsid w:val="47133957"/>
    <w:rsid w:val="472D0BC8"/>
    <w:rsid w:val="472E243C"/>
    <w:rsid w:val="473567F9"/>
    <w:rsid w:val="47364996"/>
    <w:rsid w:val="47372A84"/>
    <w:rsid w:val="47384C86"/>
    <w:rsid w:val="475A2F35"/>
    <w:rsid w:val="47604938"/>
    <w:rsid w:val="4760629C"/>
    <w:rsid w:val="47655C0A"/>
    <w:rsid w:val="476E302C"/>
    <w:rsid w:val="47743CD8"/>
    <w:rsid w:val="477C171B"/>
    <w:rsid w:val="4796695E"/>
    <w:rsid w:val="47A07E0C"/>
    <w:rsid w:val="47B40579"/>
    <w:rsid w:val="47B76381"/>
    <w:rsid w:val="47BC0863"/>
    <w:rsid w:val="47BD306A"/>
    <w:rsid w:val="47BE4F54"/>
    <w:rsid w:val="47D05003"/>
    <w:rsid w:val="47D37608"/>
    <w:rsid w:val="47D81500"/>
    <w:rsid w:val="47E41574"/>
    <w:rsid w:val="47E46AFC"/>
    <w:rsid w:val="47EA3F9B"/>
    <w:rsid w:val="480B3185"/>
    <w:rsid w:val="480F755D"/>
    <w:rsid w:val="4812529F"/>
    <w:rsid w:val="481B6C59"/>
    <w:rsid w:val="48291EFB"/>
    <w:rsid w:val="482B5853"/>
    <w:rsid w:val="482B779F"/>
    <w:rsid w:val="482F46DF"/>
    <w:rsid w:val="48335654"/>
    <w:rsid w:val="483829FC"/>
    <w:rsid w:val="48392CE6"/>
    <w:rsid w:val="483A5EA2"/>
    <w:rsid w:val="483E2E99"/>
    <w:rsid w:val="48441E9E"/>
    <w:rsid w:val="48474A35"/>
    <w:rsid w:val="48500230"/>
    <w:rsid w:val="485674C2"/>
    <w:rsid w:val="48633239"/>
    <w:rsid w:val="48635FF1"/>
    <w:rsid w:val="486405E3"/>
    <w:rsid w:val="48684EBF"/>
    <w:rsid w:val="4870272E"/>
    <w:rsid w:val="487335D5"/>
    <w:rsid w:val="487B6D8F"/>
    <w:rsid w:val="487F0B87"/>
    <w:rsid w:val="487F5C18"/>
    <w:rsid w:val="487F6479"/>
    <w:rsid w:val="48801162"/>
    <w:rsid w:val="4883304F"/>
    <w:rsid w:val="48847F4B"/>
    <w:rsid w:val="488F6356"/>
    <w:rsid w:val="489002B1"/>
    <w:rsid w:val="489C79F9"/>
    <w:rsid w:val="489F098F"/>
    <w:rsid w:val="489F2742"/>
    <w:rsid w:val="489F52C5"/>
    <w:rsid w:val="48A035FF"/>
    <w:rsid w:val="48A04659"/>
    <w:rsid w:val="48A65C1B"/>
    <w:rsid w:val="48AA6D84"/>
    <w:rsid w:val="48B25F6A"/>
    <w:rsid w:val="48B52C20"/>
    <w:rsid w:val="48BB1493"/>
    <w:rsid w:val="48BE59E3"/>
    <w:rsid w:val="48C9372B"/>
    <w:rsid w:val="48CD473F"/>
    <w:rsid w:val="48DC15DD"/>
    <w:rsid w:val="48FD0FF5"/>
    <w:rsid w:val="49032719"/>
    <w:rsid w:val="490B49A0"/>
    <w:rsid w:val="490F4245"/>
    <w:rsid w:val="491C3609"/>
    <w:rsid w:val="491E26E1"/>
    <w:rsid w:val="492A7810"/>
    <w:rsid w:val="493168D5"/>
    <w:rsid w:val="49351359"/>
    <w:rsid w:val="49366C08"/>
    <w:rsid w:val="493C4083"/>
    <w:rsid w:val="494C5593"/>
    <w:rsid w:val="494D2A33"/>
    <w:rsid w:val="4951284B"/>
    <w:rsid w:val="49545818"/>
    <w:rsid w:val="49567814"/>
    <w:rsid w:val="495971A2"/>
    <w:rsid w:val="495F2241"/>
    <w:rsid w:val="497B6ACD"/>
    <w:rsid w:val="497C34CE"/>
    <w:rsid w:val="497F3234"/>
    <w:rsid w:val="49841D37"/>
    <w:rsid w:val="4995161B"/>
    <w:rsid w:val="49960272"/>
    <w:rsid w:val="49A21D17"/>
    <w:rsid w:val="49A2403D"/>
    <w:rsid w:val="49B031FC"/>
    <w:rsid w:val="49B23BD8"/>
    <w:rsid w:val="49BA6E16"/>
    <w:rsid w:val="49D9369B"/>
    <w:rsid w:val="49DC7715"/>
    <w:rsid w:val="49DD404B"/>
    <w:rsid w:val="49E73A51"/>
    <w:rsid w:val="49ED0155"/>
    <w:rsid w:val="49ED443D"/>
    <w:rsid w:val="49F26D29"/>
    <w:rsid w:val="49F76148"/>
    <w:rsid w:val="49F96717"/>
    <w:rsid w:val="49FD16AD"/>
    <w:rsid w:val="49FF0F04"/>
    <w:rsid w:val="49FF6FF1"/>
    <w:rsid w:val="4A023139"/>
    <w:rsid w:val="4A05330E"/>
    <w:rsid w:val="4A1D68D3"/>
    <w:rsid w:val="4A201EF6"/>
    <w:rsid w:val="4A303AA8"/>
    <w:rsid w:val="4A396C8A"/>
    <w:rsid w:val="4A3B6D2F"/>
    <w:rsid w:val="4A3D51F6"/>
    <w:rsid w:val="4A3E14BB"/>
    <w:rsid w:val="4A3F08F2"/>
    <w:rsid w:val="4A411E05"/>
    <w:rsid w:val="4A433504"/>
    <w:rsid w:val="4A4A2244"/>
    <w:rsid w:val="4A680C8F"/>
    <w:rsid w:val="4A6A7279"/>
    <w:rsid w:val="4A6F58B8"/>
    <w:rsid w:val="4A73188D"/>
    <w:rsid w:val="4A757BB4"/>
    <w:rsid w:val="4A7B576F"/>
    <w:rsid w:val="4A857A2D"/>
    <w:rsid w:val="4A865A8E"/>
    <w:rsid w:val="4A881517"/>
    <w:rsid w:val="4A886E1C"/>
    <w:rsid w:val="4A987169"/>
    <w:rsid w:val="4A993E10"/>
    <w:rsid w:val="4A9E1141"/>
    <w:rsid w:val="4AA158F4"/>
    <w:rsid w:val="4AA64456"/>
    <w:rsid w:val="4AAB50DC"/>
    <w:rsid w:val="4ABD7744"/>
    <w:rsid w:val="4AC85FE3"/>
    <w:rsid w:val="4AE47BBD"/>
    <w:rsid w:val="4AE65A17"/>
    <w:rsid w:val="4AF561A9"/>
    <w:rsid w:val="4AFD4603"/>
    <w:rsid w:val="4B0473DA"/>
    <w:rsid w:val="4B085C73"/>
    <w:rsid w:val="4B114FEB"/>
    <w:rsid w:val="4B143C71"/>
    <w:rsid w:val="4B176063"/>
    <w:rsid w:val="4B210706"/>
    <w:rsid w:val="4B215612"/>
    <w:rsid w:val="4B223E38"/>
    <w:rsid w:val="4B2268CA"/>
    <w:rsid w:val="4B235A0C"/>
    <w:rsid w:val="4B27036E"/>
    <w:rsid w:val="4B343D27"/>
    <w:rsid w:val="4B36089F"/>
    <w:rsid w:val="4B39291E"/>
    <w:rsid w:val="4B4E4700"/>
    <w:rsid w:val="4B5765EE"/>
    <w:rsid w:val="4B5D559C"/>
    <w:rsid w:val="4B620E73"/>
    <w:rsid w:val="4B6409C2"/>
    <w:rsid w:val="4B673A65"/>
    <w:rsid w:val="4B6949F7"/>
    <w:rsid w:val="4B6A5B97"/>
    <w:rsid w:val="4B73506D"/>
    <w:rsid w:val="4B735F69"/>
    <w:rsid w:val="4B750121"/>
    <w:rsid w:val="4B793136"/>
    <w:rsid w:val="4B7E5A8A"/>
    <w:rsid w:val="4B7F1C31"/>
    <w:rsid w:val="4B8F3227"/>
    <w:rsid w:val="4B923955"/>
    <w:rsid w:val="4B931AB6"/>
    <w:rsid w:val="4B96724E"/>
    <w:rsid w:val="4B9B6E1A"/>
    <w:rsid w:val="4B9F32EE"/>
    <w:rsid w:val="4BA34B8C"/>
    <w:rsid w:val="4BA84362"/>
    <w:rsid w:val="4BA9711F"/>
    <w:rsid w:val="4BAE158A"/>
    <w:rsid w:val="4BB020CF"/>
    <w:rsid w:val="4BB14EEC"/>
    <w:rsid w:val="4BB76E74"/>
    <w:rsid w:val="4BB94972"/>
    <w:rsid w:val="4BC03B3C"/>
    <w:rsid w:val="4BCD1F3D"/>
    <w:rsid w:val="4BD4756A"/>
    <w:rsid w:val="4BE355D2"/>
    <w:rsid w:val="4BF57DCB"/>
    <w:rsid w:val="4BFE576F"/>
    <w:rsid w:val="4C0B4F20"/>
    <w:rsid w:val="4C0E696C"/>
    <w:rsid w:val="4C103A78"/>
    <w:rsid w:val="4C1E2465"/>
    <w:rsid w:val="4C2509A1"/>
    <w:rsid w:val="4C28559C"/>
    <w:rsid w:val="4C2F7987"/>
    <w:rsid w:val="4C322E1D"/>
    <w:rsid w:val="4C3C28C6"/>
    <w:rsid w:val="4C4A0649"/>
    <w:rsid w:val="4C4A6292"/>
    <w:rsid w:val="4C506C95"/>
    <w:rsid w:val="4C6065D9"/>
    <w:rsid w:val="4C616E9C"/>
    <w:rsid w:val="4C6624B7"/>
    <w:rsid w:val="4C6876EA"/>
    <w:rsid w:val="4C76404F"/>
    <w:rsid w:val="4C7E5ECA"/>
    <w:rsid w:val="4C871DB8"/>
    <w:rsid w:val="4C876AA5"/>
    <w:rsid w:val="4C8A0545"/>
    <w:rsid w:val="4C8A0950"/>
    <w:rsid w:val="4C8A0DCD"/>
    <w:rsid w:val="4C8D6865"/>
    <w:rsid w:val="4C8F6EBF"/>
    <w:rsid w:val="4C962AA9"/>
    <w:rsid w:val="4C9D4E05"/>
    <w:rsid w:val="4CA77350"/>
    <w:rsid w:val="4CAF130F"/>
    <w:rsid w:val="4CB50D4E"/>
    <w:rsid w:val="4CBE574F"/>
    <w:rsid w:val="4CC51AC6"/>
    <w:rsid w:val="4CC63C42"/>
    <w:rsid w:val="4CCF22AA"/>
    <w:rsid w:val="4CD006E2"/>
    <w:rsid w:val="4CDC4020"/>
    <w:rsid w:val="4CDF6854"/>
    <w:rsid w:val="4CE26304"/>
    <w:rsid w:val="4CE52F83"/>
    <w:rsid w:val="4CF44EC9"/>
    <w:rsid w:val="4CFB2DB1"/>
    <w:rsid w:val="4D041D9D"/>
    <w:rsid w:val="4D0E00FB"/>
    <w:rsid w:val="4D155616"/>
    <w:rsid w:val="4D164BCA"/>
    <w:rsid w:val="4D176606"/>
    <w:rsid w:val="4D2015B6"/>
    <w:rsid w:val="4D2141B0"/>
    <w:rsid w:val="4D260197"/>
    <w:rsid w:val="4D357A66"/>
    <w:rsid w:val="4D396C29"/>
    <w:rsid w:val="4D3E114C"/>
    <w:rsid w:val="4D436F0D"/>
    <w:rsid w:val="4D467EC5"/>
    <w:rsid w:val="4D4E5CB0"/>
    <w:rsid w:val="4D602609"/>
    <w:rsid w:val="4D61085B"/>
    <w:rsid w:val="4D643AD4"/>
    <w:rsid w:val="4D6A495D"/>
    <w:rsid w:val="4D6B792C"/>
    <w:rsid w:val="4D706A97"/>
    <w:rsid w:val="4D8323B5"/>
    <w:rsid w:val="4D892BAC"/>
    <w:rsid w:val="4D897C35"/>
    <w:rsid w:val="4D8A6134"/>
    <w:rsid w:val="4D8B70FF"/>
    <w:rsid w:val="4D8C0196"/>
    <w:rsid w:val="4D9C5F9D"/>
    <w:rsid w:val="4D9E1AAF"/>
    <w:rsid w:val="4DAC5097"/>
    <w:rsid w:val="4DAC584E"/>
    <w:rsid w:val="4DB21A00"/>
    <w:rsid w:val="4DB76326"/>
    <w:rsid w:val="4DB766CD"/>
    <w:rsid w:val="4DBB013E"/>
    <w:rsid w:val="4DC52AA0"/>
    <w:rsid w:val="4DC83445"/>
    <w:rsid w:val="4DCA0B8E"/>
    <w:rsid w:val="4DCD1947"/>
    <w:rsid w:val="4DD054AB"/>
    <w:rsid w:val="4DEC4FB0"/>
    <w:rsid w:val="4DFA2A5E"/>
    <w:rsid w:val="4DFF0486"/>
    <w:rsid w:val="4E061402"/>
    <w:rsid w:val="4E075D8A"/>
    <w:rsid w:val="4E1862AB"/>
    <w:rsid w:val="4E1F24C4"/>
    <w:rsid w:val="4E2273D8"/>
    <w:rsid w:val="4E2B207B"/>
    <w:rsid w:val="4E3968F1"/>
    <w:rsid w:val="4E3E1263"/>
    <w:rsid w:val="4E612ADD"/>
    <w:rsid w:val="4E7A7301"/>
    <w:rsid w:val="4E7F4571"/>
    <w:rsid w:val="4E8B4A8A"/>
    <w:rsid w:val="4E900976"/>
    <w:rsid w:val="4E944C60"/>
    <w:rsid w:val="4E9702AC"/>
    <w:rsid w:val="4EA373D3"/>
    <w:rsid w:val="4EA4662C"/>
    <w:rsid w:val="4EAB20BE"/>
    <w:rsid w:val="4EAB7FFC"/>
    <w:rsid w:val="4EAF1A9A"/>
    <w:rsid w:val="4EB75949"/>
    <w:rsid w:val="4EBB205B"/>
    <w:rsid w:val="4EBC2273"/>
    <w:rsid w:val="4EC00FAD"/>
    <w:rsid w:val="4ECA76A8"/>
    <w:rsid w:val="4ECC79AF"/>
    <w:rsid w:val="4ECF1DA5"/>
    <w:rsid w:val="4ED0369B"/>
    <w:rsid w:val="4ED13F84"/>
    <w:rsid w:val="4ED86D28"/>
    <w:rsid w:val="4EDF237F"/>
    <w:rsid w:val="4EFC389E"/>
    <w:rsid w:val="4EFC6876"/>
    <w:rsid w:val="4F0633C3"/>
    <w:rsid w:val="4F0B065C"/>
    <w:rsid w:val="4F151A11"/>
    <w:rsid w:val="4F1A2AA6"/>
    <w:rsid w:val="4F1D05A2"/>
    <w:rsid w:val="4F277561"/>
    <w:rsid w:val="4F287A2F"/>
    <w:rsid w:val="4F2A17CB"/>
    <w:rsid w:val="4F316C39"/>
    <w:rsid w:val="4F4F1B73"/>
    <w:rsid w:val="4F512B51"/>
    <w:rsid w:val="4F664694"/>
    <w:rsid w:val="4F7036EC"/>
    <w:rsid w:val="4F742E4C"/>
    <w:rsid w:val="4F770F9D"/>
    <w:rsid w:val="4F7811EC"/>
    <w:rsid w:val="4F7B197C"/>
    <w:rsid w:val="4F82761E"/>
    <w:rsid w:val="4F894FED"/>
    <w:rsid w:val="4F935A96"/>
    <w:rsid w:val="4F974A08"/>
    <w:rsid w:val="4F9843DC"/>
    <w:rsid w:val="4F9F38BD"/>
    <w:rsid w:val="4FA03191"/>
    <w:rsid w:val="4FA606C6"/>
    <w:rsid w:val="4FAC73F1"/>
    <w:rsid w:val="4FBA24A4"/>
    <w:rsid w:val="4FC25A72"/>
    <w:rsid w:val="4FC62A8C"/>
    <w:rsid w:val="4FCB5220"/>
    <w:rsid w:val="4FD92614"/>
    <w:rsid w:val="4FDD7643"/>
    <w:rsid w:val="4FE20F0D"/>
    <w:rsid w:val="4FE51552"/>
    <w:rsid w:val="4FE6207D"/>
    <w:rsid w:val="4FEA389E"/>
    <w:rsid w:val="4FEA67F6"/>
    <w:rsid w:val="4FF07FD8"/>
    <w:rsid w:val="4FF544EF"/>
    <w:rsid w:val="4FFD4FD5"/>
    <w:rsid w:val="4FFE0285"/>
    <w:rsid w:val="501568A2"/>
    <w:rsid w:val="501632DA"/>
    <w:rsid w:val="501A1195"/>
    <w:rsid w:val="501D0372"/>
    <w:rsid w:val="50250266"/>
    <w:rsid w:val="502E780B"/>
    <w:rsid w:val="50324318"/>
    <w:rsid w:val="50336385"/>
    <w:rsid w:val="5036550D"/>
    <w:rsid w:val="503E624C"/>
    <w:rsid w:val="503F6C8B"/>
    <w:rsid w:val="50406E4E"/>
    <w:rsid w:val="504771A6"/>
    <w:rsid w:val="504952E2"/>
    <w:rsid w:val="50504C4B"/>
    <w:rsid w:val="505E5306"/>
    <w:rsid w:val="506066BE"/>
    <w:rsid w:val="50650FFC"/>
    <w:rsid w:val="506B1BA5"/>
    <w:rsid w:val="506D186A"/>
    <w:rsid w:val="506E0813"/>
    <w:rsid w:val="50735731"/>
    <w:rsid w:val="50760218"/>
    <w:rsid w:val="507C7EF6"/>
    <w:rsid w:val="50903205"/>
    <w:rsid w:val="50957E83"/>
    <w:rsid w:val="509C6E7C"/>
    <w:rsid w:val="509D0A06"/>
    <w:rsid w:val="50A83A09"/>
    <w:rsid w:val="50AA784B"/>
    <w:rsid w:val="50B06A05"/>
    <w:rsid w:val="50C01FE7"/>
    <w:rsid w:val="50C84498"/>
    <w:rsid w:val="50CB6213"/>
    <w:rsid w:val="50CC6933"/>
    <w:rsid w:val="50CE6726"/>
    <w:rsid w:val="50CF7142"/>
    <w:rsid w:val="50D35F5F"/>
    <w:rsid w:val="50DC164F"/>
    <w:rsid w:val="50DE2E0E"/>
    <w:rsid w:val="50E235DE"/>
    <w:rsid w:val="50EC43D0"/>
    <w:rsid w:val="50EC5522"/>
    <w:rsid w:val="50F04171"/>
    <w:rsid w:val="50F04551"/>
    <w:rsid w:val="50FF2FEE"/>
    <w:rsid w:val="51037FD4"/>
    <w:rsid w:val="511353A1"/>
    <w:rsid w:val="511F39A3"/>
    <w:rsid w:val="512E7949"/>
    <w:rsid w:val="513132CF"/>
    <w:rsid w:val="513B38C9"/>
    <w:rsid w:val="513B605B"/>
    <w:rsid w:val="51430B2C"/>
    <w:rsid w:val="514639B3"/>
    <w:rsid w:val="514966D1"/>
    <w:rsid w:val="514A640F"/>
    <w:rsid w:val="514B67DD"/>
    <w:rsid w:val="514E34B2"/>
    <w:rsid w:val="51596CE7"/>
    <w:rsid w:val="51621046"/>
    <w:rsid w:val="5162104E"/>
    <w:rsid w:val="51623C00"/>
    <w:rsid w:val="516721B8"/>
    <w:rsid w:val="516C4567"/>
    <w:rsid w:val="516D016D"/>
    <w:rsid w:val="516D59B9"/>
    <w:rsid w:val="516D72A6"/>
    <w:rsid w:val="517E35DD"/>
    <w:rsid w:val="518F536F"/>
    <w:rsid w:val="51990EDC"/>
    <w:rsid w:val="519A258E"/>
    <w:rsid w:val="519B015C"/>
    <w:rsid w:val="519D7494"/>
    <w:rsid w:val="519E48F7"/>
    <w:rsid w:val="51AA02F7"/>
    <w:rsid w:val="51AC22C1"/>
    <w:rsid w:val="51BB2BA7"/>
    <w:rsid w:val="51BC137C"/>
    <w:rsid w:val="51BD44CE"/>
    <w:rsid w:val="51BF3DA2"/>
    <w:rsid w:val="51C8643E"/>
    <w:rsid w:val="51D01631"/>
    <w:rsid w:val="51D31E2F"/>
    <w:rsid w:val="51D326C1"/>
    <w:rsid w:val="51DD2A1F"/>
    <w:rsid w:val="51EA6E29"/>
    <w:rsid w:val="52170F4D"/>
    <w:rsid w:val="52185DC1"/>
    <w:rsid w:val="52227B55"/>
    <w:rsid w:val="52487BC6"/>
    <w:rsid w:val="525614D3"/>
    <w:rsid w:val="5257641F"/>
    <w:rsid w:val="525A6304"/>
    <w:rsid w:val="526645B9"/>
    <w:rsid w:val="52691F60"/>
    <w:rsid w:val="528230F2"/>
    <w:rsid w:val="528406C8"/>
    <w:rsid w:val="528E37E2"/>
    <w:rsid w:val="529362CC"/>
    <w:rsid w:val="529C7DE1"/>
    <w:rsid w:val="529D598D"/>
    <w:rsid w:val="52A579F1"/>
    <w:rsid w:val="52A86B4C"/>
    <w:rsid w:val="52AD4542"/>
    <w:rsid w:val="52B7608C"/>
    <w:rsid w:val="52BC78D9"/>
    <w:rsid w:val="52C11D2D"/>
    <w:rsid w:val="52C13A04"/>
    <w:rsid w:val="52D337BC"/>
    <w:rsid w:val="52D52C62"/>
    <w:rsid w:val="52D63A99"/>
    <w:rsid w:val="52DB707F"/>
    <w:rsid w:val="52DE5917"/>
    <w:rsid w:val="52E57D19"/>
    <w:rsid w:val="52E71CE3"/>
    <w:rsid w:val="52E81145"/>
    <w:rsid w:val="52EB5087"/>
    <w:rsid w:val="52ED5F81"/>
    <w:rsid w:val="52F26474"/>
    <w:rsid w:val="52F62215"/>
    <w:rsid w:val="530618DA"/>
    <w:rsid w:val="53074F0A"/>
    <w:rsid w:val="53083527"/>
    <w:rsid w:val="530A1BE1"/>
    <w:rsid w:val="531838E0"/>
    <w:rsid w:val="53240A87"/>
    <w:rsid w:val="5328631A"/>
    <w:rsid w:val="532E2965"/>
    <w:rsid w:val="5331579F"/>
    <w:rsid w:val="533B3D52"/>
    <w:rsid w:val="533B57EA"/>
    <w:rsid w:val="53403A04"/>
    <w:rsid w:val="534302E7"/>
    <w:rsid w:val="53467ABA"/>
    <w:rsid w:val="536B2FCE"/>
    <w:rsid w:val="536C1ECE"/>
    <w:rsid w:val="536F6615"/>
    <w:rsid w:val="53795A57"/>
    <w:rsid w:val="537D3F15"/>
    <w:rsid w:val="538F1360"/>
    <w:rsid w:val="53905ABB"/>
    <w:rsid w:val="53A039CC"/>
    <w:rsid w:val="53A1505A"/>
    <w:rsid w:val="53AA5789"/>
    <w:rsid w:val="53AA7A81"/>
    <w:rsid w:val="53B60FFA"/>
    <w:rsid w:val="53C12EA4"/>
    <w:rsid w:val="53C848F0"/>
    <w:rsid w:val="53C872B9"/>
    <w:rsid w:val="53CD1631"/>
    <w:rsid w:val="53CD7612"/>
    <w:rsid w:val="53D068B5"/>
    <w:rsid w:val="53D306C3"/>
    <w:rsid w:val="53DA3B21"/>
    <w:rsid w:val="53F561A1"/>
    <w:rsid w:val="53F80844"/>
    <w:rsid w:val="53F8359B"/>
    <w:rsid w:val="53FC2A05"/>
    <w:rsid w:val="53FE2C5D"/>
    <w:rsid w:val="53FE67F9"/>
    <w:rsid w:val="53FF0702"/>
    <w:rsid w:val="54014B46"/>
    <w:rsid w:val="540463E4"/>
    <w:rsid w:val="54063E08"/>
    <w:rsid w:val="54087393"/>
    <w:rsid w:val="540C2B5C"/>
    <w:rsid w:val="540C2F31"/>
    <w:rsid w:val="540C5299"/>
    <w:rsid w:val="540C5E0D"/>
    <w:rsid w:val="541F72D6"/>
    <w:rsid w:val="54273E81"/>
    <w:rsid w:val="542D7D2F"/>
    <w:rsid w:val="543437E8"/>
    <w:rsid w:val="54375B73"/>
    <w:rsid w:val="543E18F6"/>
    <w:rsid w:val="5440709F"/>
    <w:rsid w:val="54467DC9"/>
    <w:rsid w:val="544738C4"/>
    <w:rsid w:val="54481302"/>
    <w:rsid w:val="544B3614"/>
    <w:rsid w:val="544D4516"/>
    <w:rsid w:val="54574766"/>
    <w:rsid w:val="54625080"/>
    <w:rsid w:val="546359FE"/>
    <w:rsid w:val="547567CF"/>
    <w:rsid w:val="548459B6"/>
    <w:rsid w:val="548B0DE6"/>
    <w:rsid w:val="548B2661"/>
    <w:rsid w:val="548C619D"/>
    <w:rsid w:val="548E3F00"/>
    <w:rsid w:val="549C486F"/>
    <w:rsid w:val="54A55E90"/>
    <w:rsid w:val="54A856EF"/>
    <w:rsid w:val="54A909BF"/>
    <w:rsid w:val="54A9774A"/>
    <w:rsid w:val="54BA1FFE"/>
    <w:rsid w:val="54BA7674"/>
    <w:rsid w:val="54C0102B"/>
    <w:rsid w:val="54C12C30"/>
    <w:rsid w:val="54CC1087"/>
    <w:rsid w:val="54D163AE"/>
    <w:rsid w:val="54D360F0"/>
    <w:rsid w:val="54D82755"/>
    <w:rsid w:val="54E0043C"/>
    <w:rsid w:val="54E35FFA"/>
    <w:rsid w:val="54E82BC3"/>
    <w:rsid w:val="54ED6668"/>
    <w:rsid w:val="54EE31CD"/>
    <w:rsid w:val="54EF5D71"/>
    <w:rsid w:val="54F473E1"/>
    <w:rsid w:val="54F73313"/>
    <w:rsid w:val="54F80955"/>
    <w:rsid w:val="54F92E6F"/>
    <w:rsid w:val="54FA5B8C"/>
    <w:rsid w:val="55027A43"/>
    <w:rsid w:val="55067F3A"/>
    <w:rsid w:val="550732B2"/>
    <w:rsid w:val="550A4E46"/>
    <w:rsid w:val="550C07D1"/>
    <w:rsid w:val="550F1D82"/>
    <w:rsid w:val="55124B31"/>
    <w:rsid w:val="55147D12"/>
    <w:rsid w:val="55157130"/>
    <w:rsid w:val="55164621"/>
    <w:rsid w:val="551A05BB"/>
    <w:rsid w:val="551E6001"/>
    <w:rsid w:val="5521161C"/>
    <w:rsid w:val="55214D74"/>
    <w:rsid w:val="55265234"/>
    <w:rsid w:val="552D2FCB"/>
    <w:rsid w:val="553B4087"/>
    <w:rsid w:val="55445770"/>
    <w:rsid w:val="55480C59"/>
    <w:rsid w:val="5551156A"/>
    <w:rsid w:val="555170A7"/>
    <w:rsid w:val="55597ADB"/>
    <w:rsid w:val="555A5A9C"/>
    <w:rsid w:val="555B6E99"/>
    <w:rsid w:val="555F4016"/>
    <w:rsid w:val="55620488"/>
    <w:rsid w:val="556C4241"/>
    <w:rsid w:val="557256C6"/>
    <w:rsid w:val="55747599"/>
    <w:rsid w:val="557D5C62"/>
    <w:rsid w:val="5587536D"/>
    <w:rsid w:val="558A64D4"/>
    <w:rsid w:val="5590589F"/>
    <w:rsid w:val="559248AA"/>
    <w:rsid w:val="55965F92"/>
    <w:rsid w:val="559934DF"/>
    <w:rsid w:val="559B174B"/>
    <w:rsid w:val="55A57813"/>
    <w:rsid w:val="55A65C2A"/>
    <w:rsid w:val="55AC0244"/>
    <w:rsid w:val="55B1434A"/>
    <w:rsid w:val="55B47996"/>
    <w:rsid w:val="55BB412E"/>
    <w:rsid w:val="55BF6A67"/>
    <w:rsid w:val="55C93441"/>
    <w:rsid w:val="55CE0CF4"/>
    <w:rsid w:val="55D0290F"/>
    <w:rsid w:val="55D402A3"/>
    <w:rsid w:val="55DA2CB7"/>
    <w:rsid w:val="55E262B1"/>
    <w:rsid w:val="55E31258"/>
    <w:rsid w:val="55ED715E"/>
    <w:rsid w:val="55F65CBA"/>
    <w:rsid w:val="56003633"/>
    <w:rsid w:val="56050F9A"/>
    <w:rsid w:val="56064695"/>
    <w:rsid w:val="560C44DC"/>
    <w:rsid w:val="560C4F0A"/>
    <w:rsid w:val="561020E2"/>
    <w:rsid w:val="5615776C"/>
    <w:rsid w:val="561578B0"/>
    <w:rsid w:val="56167D3E"/>
    <w:rsid w:val="561F5757"/>
    <w:rsid w:val="56222EC6"/>
    <w:rsid w:val="56231526"/>
    <w:rsid w:val="562316F8"/>
    <w:rsid w:val="56276E91"/>
    <w:rsid w:val="56290384"/>
    <w:rsid w:val="56390023"/>
    <w:rsid w:val="563E5DBB"/>
    <w:rsid w:val="563F60B4"/>
    <w:rsid w:val="564554D2"/>
    <w:rsid w:val="564B4278"/>
    <w:rsid w:val="56506FE7"/>
    <w:rsid w:val="565359B8"/>
    <w:rsid w:val="565B6061"/>
    <w:rsid w:val="565C6063"/>
    <w:rsid w:val="56822B19"/>
    <w:rsid w:val="568314C5"/>
    <w:rsid w:val="568B6949"/>
    <w:rsid w:val="56917715"/>
    <w:rsid w:val="56933116"/>
    <w:rsid w:val="56957EE6"/>
    <w:rsid w:val="56965C3A"/>
    <w:rsid w:val="569752EE"/>
    <w:rsid w:val="56990039"/>
    <w:rsid w:val="569F53F4"/>
    <w:rsid w:val="56A355D3"/>
    <w:rsid w:val="56B22A9C"/>
    <w:rsid w:val="56BD29B0"/>
    <w:rsid w:val="56CB06C9"/>
    <w:rsid w:val="56D339E5"/>
    <w:rsid w:val="57024B59"/>
    <w:rsid w:val="57024D24"/>
    <w:rsid w:val="570A3D11"/>
    <w:rsid w:val="570D5F0F"/>
    <w:rsid w:val="57162FC4"/>
    <w:rsid w:val="571B7CCD"/>
    <w:rsid w:val="571E5A0F"/>
    <w:rsid w:val="572C012C"/>
    <w:rsid w:val="572E1576"/>
    <w:rsid w:val="572F114D"/>
    <w:rsid w:val="57336347"/>
    <w:rsid w:val="573D7D4A"/>
    <w:rsid w:val="573E7E5F"/>
    <w:rsid w:val="573F652A"/>
    <w:rsid w:val="57426FDA"/>
    <w:rsid w:val="57453DCD"/>
    <w:rsid w:val="575010F7"/>
    <w:rsid w:val="575048AD"/>
    <w:rsid w:val="575907F5"/>
    <w:rsid w:val="57597814"/>
    <w:rsid w:val="575A3A43"/>
    <w:rsid w:val="576136D4"/>
    <w:rsid w:val="57655C08"/>
    <w:rsid w:val="57655DBD"/>
    <w:rsid w:val="57666886"/>
    <w:rsid w:val="576842A9"/>
    <w:rsid w:val="57700FEE"/>
    <w:rsid w:val="577E46FF"/>
    <w:rsid w:val="5785783C"/>
    <w:rsid w:val="57911D3D"/>
    <w:rsid w:val="579730CB"/>
    <w:rsid w:val="579C0BA3"/>
    <w:rsid w:val="57A001D2"/>
    <w:rsid w:val="57B535A5"/>
    <w:rsid w:val="57B72A76"/>
    <w:rsid w:val="57B968E3"/>
    <w:rsid w:val="57BF40B1"/>
    <w:rsid w:val="57C17BF5"/>
    <w:rsid w:val="57C3426C"/>
    <w:rsid w:val="57CC79AB"/>
    <w:rsid w:val="57CE1F93"/>
    <w:rsid w:val="57D42837"/>
    <w:rsid w:val="57D56241"/>
    <w:rsid w:val="57D72F5C"/>
    <w:rsid w:val="57DA601C"/>
    <w:rsid w:val="57DF5F8B"/>
    <w:rsid w:val="57E427B4"/>
    <w:rsid w:val="57F17998"/>
    <w:rsid w:val="57F3456B"/>
    <w:rsid w:val="58127C4B"/>
    <w:rsid w:val="581B0D4D"/>
    <w:rsid w:val="582E3A30"/>
    <w:rsid w:val="58313520"/>
    <w:rsid w:val="5838665C"/>
    <w:rsid w:val="583C4E3D"/>
    <w:rsid w:val="5846521D"/>
    <w:rsid w:val="584A6390"/>
    <w:rsid w:val="58540551"/>
    <w:rsid w:val="585979A0"/>
    <w:rsid w:val="585F008D"/>
    <w:rsid w:val="58637791"/>
    <w:rsid w:val="586417CA"/>
    <w:rsid w:val="586C12F4"/>
    <w:rsid w:val="586C6306"/>
    <w:rsid w:val="587A37B8"/>
    <w:rsid w:val="587F3C9E"/>
    <w:rsid w:val="58865CD2"/>
    <w:rsid w:val="588671CA"/>
    <w:rsid w:val="588743D1"/>
    <w:rsid w:val="5887701A"/>
    <w:rsid w:val="588B1F7D"/>
    <w:rsid w:val="588E4655"/>
    <w:rsid w:val="58970D67"/>
    <w:rsid w:val="58A91308"/>
    <w:rsid w:val="58AC0E84"/>
    <w:rsid w:val="58B2300B"/>
    <w:rsid w:val="58C06C50"/>
    <w:rsid w:val="58C312ED"/>
    <w:rsid w:val="58D5034F"/>
    <w:rsid w:val="58DD073C"/>
    <w:rsid w:val="58E0114E"/>
    <w:rsid w:val="58E2451F"/>
    <w:rsid w:val="58EA204C"/>
    <w:rsid w:val="58EE2CC5"/>
    <w:rsid w:val="58EF2AA2"/>
    <w:rsid w:val="58F85DEC"/>
    <w:rsid w:val="58FA6008"/>
    <w:rsid w:val="58FF3AB6"/>
    <w:rsid w:val="590B2A11"/>
    <w:rsid w:val="59101387"/>
    <w:rsid w:val="59163D96"/>
    <w:rsid w:val="59174368"/>
    <w:rsid w:val="591D7EBC"/>
    <w:rsid w:val="592650D5"/>
    <w:rsid w:val="59271C2C"/>
    <w:rsid w:val="593165E2"/>
    <w:rsid w:val="59341E66"/>
    <w:rsid w:val="593F68A2"/>
    <w:rsid w:val="594321B5"/>
    <w:rsid w:val="594C2116"/>
    <w:rsid w:val="594F05FA"/>
    <w:rsid w:val="59596AA1"/>
    <w:rsid w:val="595B2B12"/>
    <w:rsid w:val="596146A3"/>
    <w:rsid w:val="5968459F"/>
    <w:rsid w:val="597038EA"/>
    <w:rsid w:val="59965CDC"/>
    <w:rsid w:val="59975605"/>
    <w:rsid w:val="599F66A2"/>
    <w:rsid w:val="59A140B4"/>
    <w:rsid w:val="59A26483"/>
    <w:rsid w:val="59AE3665"/>
    <w:rsid w:val="59B2504D"/>
    <w:rsid w:val="59B60181"/>
    <w:rsid w:val="59B84DC3"/>
    <w:rsid w:val="59BE6A49"/>
    <w:rsid w:val="59C0439F"/>
    <w:rsid w:val="59C71612"/>
    <w:rsid w:val="59C87E1E"/>
    <w:rsid w:val="59CC2070"/>
    <w:rsid w:val="59D56D20"/>
    <w:rsid w:val="59DB1F4D"/>
    <w:rsid w:val="59E033AD"/>
    <w:rsid w:val="59ED7B42"/>
    <w:rsid w:val="59F05922"/>
    <w:rsid w:val="5A090808"/>
    <w:rsid w:val="5A131694"/>
    <w:rsid w:val="5A160A0D"/>
    <w:rsid w:val="5A1B06E3"/>
    <w:rsid w:val="5A1E0059"/>
    <w:rsid w:val="5A201D16"/>
    <w:rsid w:val="5A2A25DA"/>
    <w:rsid w:val="5A3A2B60"/>
    <w:rsid w:val="5A3A32AF"/>
    <w:rsid w:val="5A470E8F"/>
    <w:rsid w:val="5A4E119A"/>
    <w:rsid w:val="5A55440E"/>
    <w:rsid w:val="5A6657B2"/>
    <w:rsid w:val="5A67140D"/>
    <w:rsid w:val="5A676A99"/>
    <w:rsid w:val="5A685914"/>
    <w:rsid w:val="5A782E5C"/>
    <w:rsid w:val="5A7B2EC0"/>
    <w:rsid w:val="5A8A6572"/>
    <w:rsid w:val="5A8C19D5"/>
    <w:rsid w:val="5A913F85"/>
    <w:rsid w:val="5A94016F"/>
    <w:rsid w:val="5A951B44"/>
    <w:rsid w:val="5A9D6E79"/>
    <w:rsid w:val="5AAA2F8A"/>
    <w:rsid w:val="5AAC584A"/>
    <w:rsid w:val="5AAD7CB9"/>
    <w:rsid w:val="5AB0321C"/>
    <w:rsid w:val="5ABE2233"/>
    <w:rsid w:val="5AC40075"/>
    <w:rsid w:val="5ACB699A"/>
    <w:rsid w:val="5ADA027C"/>
    <w:rsid w:val="5ADA0D78"/>
    <w:rsid w:val="5ADB7A72"/>
    <w:rsid w:val="5ADE04FC"/>
    <w:rsid w:val="5AE255B3"/>
    <w:rsid w:val="5AEB0C6F"/>
    <w:rsid w:val="5AF009E7"/>
    <w:rsid w:val="5AF80325"/>
    <w:rsid w:val="5AF8079B"/>
    <w:rsid w:val="5AFB63E5"/>
    <w:rsid w:val="5B004A3D"/>
    <w:rsid w:val="5B040A0C"/>
    <w:rsid w:val="5B044931"/>
    <w:rsid w:val="5B084A0C"/>
    <w:rsid w:val="5B13515F"/>
    <w:rsid w:val="5B1700E1"/>
    <w:rsid w:val="5B207EB6"/>
    <w:rsid w:val="5B2560BF"/>
    <w:rsid w:val="5B2956F7"/>
    <w:rsid w:val="5B316E66"/>
    <w:rsid w:val="5B351CE2"/>
    <w:rsid w:val="5B3723AD"/>
    <w:rsid w:val="5B414B3D"/>
    <w:rsid w:val="5B420E19"/>
    <w:rsid w:val="5B5826CE"/>
    <w:rsid w:val="5B721E85"/>
    <w:rsid w:val="5B780934"/>
    <w:rsid w:val="5B790DB7"/>
    <w:rsid w:val="5B795C4F"/>
    <w:rsid w:val="5B7E5101"/>
    <w:rsid w:val="5B921C92"/>
    <w:rsid w:val="5B922BC6"/>
    <w:rsid w:val="5B97322C"/>
    <w:rsid w:val="5B98363C"/>
    <w:rsid w:val="5BA12A04"/>
    <w:rsid w:val="5BA750D2"/>
    <w:rsid w:val="5BA75A72"/>
    <w:rsid w:val="5BA85EEE"/>
    <w:rsid w:val="5BAE2A57"/>
    <w:rsid w:val="5BB57175"/>
    <w:rsid w:val="5BBC052E"/>
    <w:rsid w:val="5BBC108A"/>
    <w:rsid w:val="5BC46AF6"/>
    <w:rsid w:val="5BD643CF"/>
    <w:rsid w:val="5BDF5D95"/>
    <w:rsid w:val="5BE67103"/>
    <w:rsid w:val="5BE74621"/>
    <w:rsid w:val="5BED3716"/>
    <w:rsid w:val="5BF6163A"/>
    <w:rsid w:val="5BF84A80"/>
    <w:rsid w:val="5BF86111"/>
    <w:rsid w:val="5BFB38A8"/>
    <w:rsid w:val="5BFE7528"/>
    <w:rsid w:val="5BFE7BBD"/>
    <w:rsid w:val="5C013209"/>
    <w:rsid w:val="5C043451"/>
    <w:rsid w:val="5C0474F1"/>
    <w:rsid w:val="5C055E2E"/>
    <w:rsid w:val="5C093F68"/>
    <w:rsid w:val="5C0D72DB"/>
    <w:rsid w:val="5C11169E"/>
    <w:rsid w:val="5C171031"/>
    <w:rsid w:val="5C191AE4"/>
    <w:rsid w:val="5C1923C1"/>
    <w:rsid w:val="5C194FBD"/>
    <w:rsid w:val="5C1F10A6"/>
    <w:rsid w:val="5C235D9D"/>
    <w:rsid w:val="5C2D30B3"/>
    <w:rsid w:val="5C313919"/>
    <w:rsid w:val="5C391594"/>
    <w:rsid w:val="5C41449D"/>
    <w:rsid w:val="5C477D7A"/>
    <w:rsid w:val="5C494351"/>
    <w:rsid w:val="5C502193"/>
    <w:rsid w:val="5C562EC5"/>
    <w:rsid w:val="5C5B6F76"/>
    <w:rsid w:val="5C657FAA"/>
    <w:rsid w:val="5C6A7000"/>
    <w:rsid w:val="5C761E49"/>
    <w:rsid w:val="5C8C6F77"/>
    <w:rsid w:val="5C97637F"/>
    <w:rsid w:val="5C9B4B2D"/>
    <w:rsid w:val="5CA551B0"/>
    <w:rsid w:val="5CB321D1"/>
    <w:rsid w:val="5CC26E3C"/>
    <w:rsid w:val="5CC93515"/>
    <w:rsid w:val="5CDB5B9F"/>
    <w:rsid w:val="5CE12FCC"/>
    <w:rsid w:val="5CED4CED"/>
    <w:rsid w:val="5CF1327E"/>
    <w:rsid w:val="5CF57AF1"/>
    <w:rsid w:val="5CF80AB0"/>
    <w:rsid w:val="5CFB6437"/>
    <w:rsid w:val="5CFD440F"/>
    <w:rsid w:val="5CFD53E3"/>
    <w:rsid w:val="5CFF3BED"/>
    <w:rsid w:val="5D1347F7"/>
    <w:rsid w:val="5D182EB3"/>
    <w:rsid w:val="5D186A5C"/>
    <w:rsid w:val="5D2418A5"/>
    <w:rsid w:val="5D253A3E"/>
    <w:rsid w:val="5D410CC5"/>
    <w:rsid w:val="5D440D44"/>
    <w:rsid w:val="5D467A6D"/>
    <w:rsid w:val="5D485BE4"/>
    <w:rsid w:val="5D562C4F"/>
    <w:rsid w:val="5D5B1536"/>
    <w:rsid w:val="5D5B15A2"/>
    <w:rsid w:val="5D5F28DD"/>
    <w:rsid w:val="5D607C42"/>
    <w:rsid w:val="5D651421"/>
    <w:rsid w:val="5D695134"/>
    <w:rsid w:val="5D6C4CC7"/>
    <w:rsid w:val="5D78723B"/>
    <w:rsid w:val="5D7F0FB0"/>
    <w:rsid w:val="5D827F3C"/>
    <w:rsid w:val="5D874428"/>
    <w:rsid w:val="5D8773F6"/>
    <w:rsid w:val="5D964060"/>
    <w:rsid w:val="5D997B9D"/>
    <w:rsid w:val="5DAA7D80"/>
    <w:rsid w:val="5DB36BAF"/>
    <w:rsid w:val="5DBB0499"/>
    <w:rsid w:val="5DBD432F"/>
    <w:rsid w:val="5DBF0204"/>
    <w:rsid w:val="5DBF70F0"/>
    <w:rsid w:val="5DC34C1A"/>
    <w:rsid w:val="5DC55EB0"/>
    <w:rsid w:val="5DD36EA9"/>
    <w:rsid w:val="5DD706C5"/>
    <w:rsid w:val="5DDA5559"/>
    <w:rsid w:val="5DDC7A8A"/>
    <w:rsid w:val="5DE132F2"/>
    <w:rsid w:val="5DE14AE1"/>
    <w:rsid w:val="5DF945EF"/>
    <w:rsid w:val="5E054FAB"/>
    <w:rsid w:val="5E066646"/>
    <w:rsid w:val="5E0868B9"/>
    <w:rsid w:val="5E0C1986"/>
    <w:rsid w:val="5E0F4505"/>
    <w:rsid w:val="5E140758"/>
    <w:rsid w:val="5E1B0BB1"/>
    <w:rsid w:val="5E1B1BA1"/>
    <w:rsid w:val="5E1C257C"/>
    <w:rsid w:val="5E1F057A"/>
    <w:rsid w:val="5E1F5139"/>
    <w:rsid w:val="5E226FBC"/>
    <w:rsid w:val="5E2275CC"/>
    <w:rsid w:val="5E2467F1"/>
    <w:rsid w:val="5E26353E"/>
    <w:rsid w:val="5E263C15"/>
    <w:rsid w:val="5E2A5120"/>
    <w:rsid w:val="5E2B3F2A"/>
    <w:rsid w:val="5E311D48"/>
    <w:rsid w:val="5E31372E"/>
    <w:rsid w:val="5E35114E"/>
    <w:rsid w:val="5E3929A4"/>
    <w:rsid w:val="5E3F6450"/>
    <w:rsid w:val="5E43221A"/>
    <w:rsid w:val="5E4705A5"/>
    <w:rsid w:val="5E50155E"/>
    <w:rsid w:val="5E58007D"/>
    <w:rsid w:val="5E5D1B2A"/>
    <w:rsid w:val="5E5F0DE7"/>
    <w:rsid w:val="5E6222F7"/>
    <w:rsid w:val="5E631F59"/>
    <w:rsid w:val="5E677F8E"/>
    <w:rsid w:val="5E710B1A"/>
    <w:rsid w:val="5E734B1D"/>
    <w:rsid w:val="5E767BC3"/>
    <w:rsid w:val="5E7A3855"/>
    <w:rsid w:val="5E8048B9"/>
    <w:rsid w:val="5E856373"/>
    <w:rsid w:val="5E9543D9"/>
    <w:rsid w:val="5E9E374E"/>
    <w:rsid w:val="5EA45E00"/>
    <w:rsid w:val="5EAA74B3"/>
    <w:rsid w:val="5EB36A3D"/>
    <w:rsid w:val="5EBD3CCB"/>
    <w:rsid w:val="5EBD78BB"/>
    <w:rsid w:val="5EC16F6C"/>
    <w:rsid w:val="5EC575AF"/>
    <w:rsid w:val="5ECA73AA"/>
    <w:rsid w:val="5ED47AA8"/>
    <w:rsid w:val="5ED55701"/>
    <w:rsid w:val="5ED650AF"/>
    <w:rsid w:val="5EE01074"/>
    <w:rsid w:val="5EE90E0D"/>
    <w:rsid w:val="5EEA1225"/>
    <w:rsid w:val="5EEE6124"/>
    <w:rsid w:val="5EF41082"/>
    <w:rsid w:val="5EF64B7B"/>
    <w:rsid w:val="5EFC4995"/>
    <w:rsid w:val="5F015B56"/>
    <w:rsid w:val="5F033E46"/>
    <w:rsid w:val="5F0916C8"/>
    <w:rsid w:val="5F0E592D"/>
    <w:rsid w:val="5F121559"/>
    <w:rsid w:val="5F1A2B43"/>
    <w:rsid w:val="5F2E5E88"/>
    <w:rsid w:val="5F337B7D"/>
    <w:rsid w:val="5F3A53B0"/>
    <w:rsid w:val="5F3C2ED6"/>
    <w:rsid w:val="5F434DB1"/>
    <w:rsid w:val="5F4A074D"/>
    <w:rsid w:val="5F4D50E3"/>
    <w:rsid w:val="5F521464"/>
    <w:rsid w:val="5F591B7C"/>
    <w:rsid w:val="5F59751E"/>
    <w:rsid w:val="5F602CCD"/>
    <w:rsid w:val="5F717663"/>
    <w:rsid w:val="5F7A57AC"/>
    <w:rsid w:val="5F8634A3"/>
    <w:rsid w:val="5F996C65"/>
    <w:rsid w:val="5F9A3865"/>
    <w:rsid w:val="5F9F1931"/>
    <w:rsid w:val="5FA975EC"/>
    <w:rsid w:val="5FB837BB"/>
    <w:rsid w:val="5FC24199"/>
    <w:rsid w:val="5FD445AA"/>
    <w:rsid w:val="5FDC1FC3"/>
    <w:rsid w:val="5FDE21DF"/>
    <w:rsid w:val="5FE5356E"/>
    <w:rsid w:val="5FEF7F48"/>
    <w:rsid w:val="5FF3182C"/>
    <w:rsid w:val="60082D35"/>
    <w:rsid w:val="600C310B"/>
    <w:rsid w:val="601614EA"/>
    <w:rsid w:val="601E2F7E"/>
    <w:rsid w:val="60226EE4"/>
    <w:rsid w:val="60237BF2"/>
    <w:rsid w:val="602C4561"/>
    <w:rsid w:val="603367C4"/>
    <w:rsid w:val="6034494B"/>
    <w:rsid w:val="60355659"/>
    <w:rsid w:val="60390674"/>
    <w:rsid w:val="603C5116"/>
    <w:rsid w:val="603F2151"/>
    <w:rsid w:val="604C539B"/>
    <w:rsid w:val="605656AD"/>
    <w:rsid w:val="60587223"/>
    <w:rsid w:val="605B298C"/>
    <w:rsid w:val="606334F5"/>
    <w:rsid w:val="60635ED2"/>
    <w:rsid w:val="60641F51"/>
    <w:rsid w:val="606C63F8"/>
    <w:rsid w:val="607370C2"/>
    <w:rsid w:val="60817955"/>
    <w:rsid w:val="60887432"/>
    <w:rsid w:val="608C110E"/>
    <w:rsid w:val="609913A5"/>
    <w:rsid w:val="609A5FD0"/>
    <w:rsid w:val="60A5159D"/>
    <w:rsid w:val="60AA6218"/>
    <w:rsid w:val="60B00C6D"/>
    <w:rsid w:val="60B070F9"/>
    <w:rsid w:val="60B25613"/>
    <w:rsid w:val="60B5463B"/>
    <w:rsid w:val="60B84925"/>
    <w:rsid w:val="60BB1D7C"/>
    <w:rsid w:val="60BC6FBA"/>
    <w:rsid w:val="60BE2A86"/>
    <w:rsid w:val="60CC405A"/>
    <w:rsid w:val="60CF40BA"/>
    <w:rsid w:val="60D353B7"/>
    <w:rsid w:val="60E30578"/>
    <w:rsid w:val="60EC092C"/>
    <w:rsid w:val="60ED275A"/>
    <w:rsid w:val="60EF52F0"/>
    <w:rsid w:val="60F045A3"/>
    <w:rsid w:val="60FA31C4"/>
    <w:rsid w:val="61007F5C"/>
    <w:rsid w:val="610B32A0"/>
    <w:rsid w:val="61133537"/>
    <w:rsid w:val="61171F62"/>
    <w:rsid w:val="611A00DB"/>
    <w:rsid w:val="612461EF"/>
    <w:rsid w:val="613025C6"/>
    <w:rsid w:val="61374220"/>
    <w:rsid w:val="613A041A"/>
    <w:rsid w:val="613F3702"/>
    <w:rsid w:val="61422E18"/>
    <w:rsid w:val="614A581A"/>
    <w:rsid w:val="614B04FD"/>
    <w:rsid w:val="614F5C68"/>
    <w:rsid w:val="615E2D9C"/>
    <w:rsid w:val="615E35D8"/>
    <w:rsid w:val="616146B5"/>
    <w:rsid w:val="61615E69"/>
    <w:rsid w:val="61656567"/>
    <w:rsid w:val="616C4617"/>
    <w:rsid w:val="616F6F19"/>
    <w:rsid w:val="6170692D"/>
    <w:rsid w:val="61711AA4"/>
    <w:rsid w:val="6175447D"/>
    <w:rsid w:val="61792D8F"/>
    <w:rsid w:val="61822775"/>
    <w:rsid w:val="618C45AE"/>
    <w:rsid w:val="6197388E"/>
    <w:rsid w:val="61A60ADB"/>
    <w:rsid w:val="61B4568D"/>
    <w:rsid w:val="61B50D1E"/>
    <w:rsid w:val="61BF1344"/>
    <w:rsid w:val="61C87004"/>
    <w:rsid w:val="61CC5568"/>
    <w:rsid w:val="61D94C85"/>
    <w:rsid w:val="61DA622D"/>
    <w:rsid w:val="61DC6C34"/>
    <w:rsid w:val="61DF4BC8"/>
    <w:rsid w:val="61E215D8"/>
    <w:rsid w:val="61E67129"/>
    <w:rsid w:val="61EA1D62"/>
    <w:rsid w:val="61EB29D5"/>
    <w:rsid w:val="61EF2918"/>
    <w:rsid w:val="61EF432B"/>
    <w:rsid w:val="61F0076C"/>
    <w:rsid w:val="61F41846"/>
    <w:rsid w:val="61FF6B08"/>
    <w:rsid w:val="6200643D"/>
    <w:rsid w:val="62015085"/>
    <w:rsid w:val="62097E11"/>
    <w:rsid w:val="620D7E65"/>
    <w:rsid w:val="620E750D"/>
    <w:rsid w:val="620F54F9"/>
    <w:rsid w:val="621B3775"/>
    <w:rsid w:val="621E11CB"/>
    <w:rsid w:val="62271A11"/>
    <w:rsid w:val="622916B3"/>
    <w:rsid w:val="622D7BDE"/>
    <w:rsid w:val="62340CEC"/>
    <w:rsid w:val="62351001"/>
    <w:rsid w:val="62364782"/>
    <w:rsid w:val="623A1CCB"/>
    <w:rsid w:val="624A7B41"/>
    <w:rsid w:val="624B3430"/>
    <w:rsid w:val="624C788F"/>
    <w:rsid w:val="625642AF"/>
    <w:rsid w:val="62587DB9"/>
    <w:rsid w:val="625A3709"/>
    <w:rsid w:val="625C4DA5"/>
    <w:rsid w:val="625D4F42"/>
    <w:rsid w:val="62634C1E"/>
    <w:rsid w:val="62675B5F"/>
    <w:rsid w:val="626A7554"/>
    <w:rsid w:val="626B0816"/>
    <w:rsid w:val="62713647"/>
    <w:rsid w:val="627E067D"/>
    <w:rsid w:val="628825FF"/>
    <w:rsid w:val="62884071"/>
    <w:rsid w:val="628978C1"/>
    <w:rsid w:val="628D7BAE"/>
    <w:rsid w:val="62970456"/>
    <w:rsid w:val="629D6FF8"/>
    <w:rsid w:val="629F14D4"/>
    <w:rsid w:val="62A261E3"/>
    <w:rsid w:val="62A71A07"/>
    <w:rsid w:val="62A82630"/>
    <w:rsid w:val="62AD27FD"/>
    <w:rsid w:val="62B234A0"/>
    <w:rsid w:val="62B4363E"/>
    <w:rsid w:val="62B540FC"/>
    <w:rsid w:val="62B656DC"/>
    <w:rsid w:val="62B84DB0"/>
    <w:rsid w:val="62C63AB0"/>
    <w:rsid w:val="62C850AC"/>
    <w:rsid w:val="62CA07F9"/>
    <w:rsid w:val="62CB609F"/>
    <w:rsid w:val="62CF0444"/>
    <w:rsid w:val="62D858A3"/>
    <w:rsid w:val="62DB47B4"/>
    <w:rsid w:val="62EE0ADD"/>
    <w:rsid w:val="62EF025F"/>
    <w:rsid w:val="62F4045A"/>
    <w:rsid w:val="62F51D1A"/>
    <w:rsid w:val="62F93D89"/>
    <w:rsid w:val="63071A4D"/>
    <w:rsid w:val="630F1C12"/>
    <w:rsid w:val="63135815"/>
    <w:rsid w:val="63136B1F"/>
    <w:rsid w:val="6324615B"/>
    <w:rsid w:val="632773E8"/>
    <w:rsid w:val="632B2EB6"/>
    <w:rsid w:val="632E3C35"/>
    <w:rsid w:val="63435D1F"/>
    <w:rsid w:val="63446E9E"/>
    <w:rsid w:val="6356447C"/>
    <w:rsid w:val="63665B9F"/>
    <w:rsid w:val="63676FE6"/>
    <w:rsid w:val="636805AA"/>
    <w:rsid w:val="637F15E3"/>
    <w:rsid w:val="63831D54"/>
    <w:rsid w:val="63865236"/>
    <w:rsid w:val="639332E1"/>
    <w:rsid w:val="6394196F"/>
    <w:rsid w:val="6394356A"/>
    <w:rsid w:val="639C3AC3"/>
    <w:rsid w:val="639C5B41"/>
    <w:rsid w:val="639D0223"/>
    <w:rsid w:val="639E4977"/>
    <w:rsid w:val="63A44A13"/>
    <w:rsid w:val="63A463F3"/>
    <w:rsid w:val="63B86816"/>
    <w:rsid w:val="63B9251B"/>
    <w:rsid w:val="63BD4A40"/>
    <w:rsid w:val="63C25103"/>
    <w:rsid w:val="63C61B2C"/>
    <w:rsid w:val="63D0720B"/>
    <w:rsid w:val="63D40BE9"/>
    <w:rsid w:val="63DC4182"/>
    <w:rsid w:val="63DD7B1C"/>
    <w:rsid w:val="63E27DB3"/>
    <w:rsid w:val="63E853DA"/>
    <w:rsid w:val="63EA4A39"/>
    <w:rsid w:val="63EA56B2"/>
    <w:rsid w:val="63F45CCF"/>
    <w:rsid w:val="63FD5E45"/>
    <w:rsid w:val="63FE7C54"/>
    <w:rsid w:val="640445EB"/>
    <w:rsid w:val="640B4148"/>
    <w:rsid w:val="640C3B31"/>
    <w:rsid w:val="64102431"/>
    <w:rsid w:val="6412354C"/>
    <w:rsid w:val="64257A8F"/>
    <w:rsid w:val="642B3519"/>
    <w:rsid w:val="64327EA5"/>
    <w:rsid w:val="6437345D"/>
    <w:rsid w:val="64385D3E"/>
    <w:rsid w:val="643C5CEE"/>
    <w:rsid w:val="643D3646"/>
    <w:rsid w:val="643F00A9"/>
    <w:rsid w:val="643F1C35"/>
    <w:rsid w:val="64410F8F"/>
    <w:rsid w:val="64441C5C"/>
    <w:rsid w:val="64487C27"/>
    <w:rsid w:val="644E49FD"/>
    <w:rsid w:val="64577755"/>
    <w:rsid w:val="645A1BF1"/>
    <w:rsid w:val="645B2050"/>
    <w:rsid w:val="64673B6D"/>
    <w:rsid w:val="646D3E9C"/>
    <w:rsid w:val="646F3406"/>
    <w:rsid w:val="647629E6"/>
    <w:rsid w:val="64772936"/>
    <w:rsid w:val="647B64F1"/>
    <w:rsid w:val="6482343E"/>
    <w:rsid w:val="648B53D8"/>
    <w:rsid w:val="648D325E"/>
    <w:rsid w:val="6497215E"/>
    <w:rsid w:val="64A5243A"/>
    <w:rsid w:val="64AA04BA"/>
    <w:rsid w:val="64B85AD9"/>
    <w:rsid w:val="64BC6D04"/>
    <w:rsid w:val="64C97428"/>
    <w:rsid w:val="64D25417"/>
    <w:rsid w:val="64D9486F"/>
    <w:rsid w:val="64DA773F"/>
    <w:rsid w:val="64DB512C"/>
    <w:rsid w:val="64E831B8"/>
    <w:rsid w:val="64EC07C4"/>
    <w:rsid w:val="64ED1ECD"/>
    <w:rsid w:val="64F102BF"/>
    <w:rsid w:val="64F339BF"/>
    <w:rsid w:val="64F531DE"/>
    <w:rsid w:val="64FC530A"/>
    <w:rsid w:val="650217F0"/>
    <w:rsid w:val="65120EEB"/>
    <w:rsid w:val="65140852"/>
    <w:rsid w:val="651C582D"/>
    <w:rsid w:val="651E6FE2"/>
    <w:rsid w:val="652A0504"/>
    <w:rsid w:val="65326415"/>
    <w:rsid w:val="65332685"/>
    <w:rsid w:val="65373578"/>
    <w:rsid w:val="653A5DAB"/>
    <w:rsid w:val="653C154E"/>
    <w:rsid w:val="65402FF4"/>
    <w:rsid w:val="65457CE8"/>
    <w:rsid w:val="65474383"/>
    <w:rsid w:val="655A5155"/>
    <w:rsid w:val="655A5313"/>
    <w:rsid w:val="655E46E0"/>
    <w:rsid w:val="655F4C96"/>
    <w:rsid w:val="657B5C23"/>
    <w:rsid w:val="6587477F"/>
    <w:rsid w:val="658B79A7"/>
    <w:rsid w:val="65992A74"/>
    <w:rsid w:val="659A0BDD"/>
    <w:rsid w:val="659C1F4E"/>
    <w:rsid w:val="659E5602"/>
    <w:rsid w:val="659F3BF9"/>
    <w:rsid w:val="65A47839"/>
    <w:rsid w:val="65A672FB"/>
    <w:rsid w:val="65A763FB"/>
    <w:rsid w:val="65AA2EF4"/>
    <w:rsid w:val="65AA6AE3"/>
    <w:rsid w:val="65AB451A"/>
    <w:rsid w:val="65B10CEB"/>
    <w:rsid w:val="65B44C1A"/>
    <w:rsid w:val="65BC0CC0"/>
    <w:rsid w:val="65C3130A"/>
    <w:rsid w:val="65C73B89"/>
    <w:rsid w:val="65DA51F7"/>
    <w:rsid w:val="65DF45BB"/>
    <w:rsid w:val="65EA5120"/>
    <w:rsid w:val="65EC29D4"/>
    <w:rsid w:val="65F14E65"/>
    <w:rsid w:val="65F47159"/>
    <w:rsid w:val="661223E8"/>
    <w:rsid w:val="661C136B"/>
    <w:rsid w:val="66211F65"/>
    <w:rsid w:val="66212784"/>
    <w:rsid w:val="662516AC"/>
    <w:rsid w:val="66284890"/>
    <w:rsid w:val="662929A8"/>
    <w:rsid w:val="66344850"/>
    <w:rsid w:val="663D370A"/>
    <w:rsid w:val="663D6B1E"/>
    <w:rsid w:val="6640216C"/>
    <w:rsid w:val="664149DD"/>
    <w:rsid w:val="66417E83"/>
    <w:rsid w:val="66497FA3"/>
    <w:rsid w:val="6650370B"/>
    <w:rsid w:val="665A0553"/>
    <w:rsid w:val="66676F39"/>
    <w:rsid w:val="66723681"/>
    <w:rsid w:val="66767691"/>
    <w:rsid w:val="667747F4"/>
    <w:rsid w:val="667B55CF"/>
    <w:rsid w:val="668C2043"/>
    <w:rsid w:val="668D07C7"/>
    <w:rsid w:val="668E1FBE"/>
    <w:rsid w:val="669B17FE"/>
    <w:rsid w:val="669C5E64"/>
    <w:rsid w:val="669F50E5"/>
    <w:rsid w:val="66A27075"/>
    <w:rsid w:val="66A51361"/>
    <w:rsid w:val="66AA6977"/>
    <w:rsid w:val="66B321BB"/>
    <w:rsid w:val="66B52E9B"/>
    <w:rsid w:val="66BA21D2"/>
    <w:rsid w:val="66C176A7"/>
    <w:rsid w:val="66C71179"/>
    <w:rsid w:val="66CC6887"/>
    <w:rsid w:val="66DB6B7C"/>
    <w:rsid w:val="66E427D6"/>
    <w:rsid w:val="66E76101"/>
    <w:rsid w:val="66EC475A"/>
    <w:rsid w:val="66EF2F83"/>
    <w:rsid w:val="66EF6A80"/>
    <w:rsid w:val="66F271B1"/>
    <w:rsid w:val="66FC4601"/>
    <w:rsid w:val="66FE2DEF"/>
    <w:rsid w:val="66FF1A52"/>
    <w:rsid w:val="67013260"/>
    <w:rsid w:val="6703580B"/>
    <w:rsid w:val="6708103C"/>
    <w:rsid w:val="670A5668"/>
    <w:rsid w:val="670C5884"/>
    <w:rsid w:val="671470A3"/>
    <w:rsid w:val="67147FAC"/>
    <w:rsid w:val="67166B78"/>
    <w:rsid w:val="671866E1"/>
    <w:rsid w:val="671D3967"/>
    <w:rsid w:val="671E229B"/>
    <w:rsid w:val="671F124A"/>
    <w:rsid w:val="67236729"/>
    <w:rsid w:val="673226C3"/>
    <w:rsid w:val="673E0E8E"/>
    <w:rsid w:val="674120CC"/>
    <w:rsid w:val="6754719E"/>
    <w:rsid w:val="675C5930"/>
    <w:rsid w:val="675C61A3"/>
    <w:rsid w:val="676905E0"/>
    <w:rsid w:val="676B5339"/>
    <w:rsid w:val="677A33C6"/>
    <w:rsid w:val="67866B76"/>
    <w:rsid w:val="679D3177"/>
    <w:rsid w:val="67A56E19"/>
    <w:rsid w:val="67B67081"/>
    <w:rsid w:val="67BB2ADA"/>
    <w:rsid w:val="67BC1D30"/>
    <w:rsid w:val="67BC6CAB"/>
    <w:rsid w:val="67BD4A56"/>
    <w:rsid w:val="67BF7470"/>
    <w:rsid w:val="67C77C67"/>
    <w:rsid w:val="67CD6111"/>
    <w:rsid w:val="67CE2B39"/>
    <w:rsid w:val="67D76FBF"/>
    <w:rsid w:val="67D9433C"/>
    <w:rsid w:val="67DB5C91"/>
    <w:rsid w:val="67E02182"/>
    <w:rsid w:val="67E82A15"/>
    <w:rsid w:val="67F64CF9"/>
    <w:rsid w:val="67FC1F7D"/>
    <w:rsid w:val="67FC20B9"/>
    <w:rsid w:val="680257FA"/>
    <w:rsid w:val="68036975"/>
    <w:rsid w:val="680B5EB3"/>
    <w:rsid w:val="68160142"/>
    <w:rsid w:val="681A5224"/>
    <w:rsid w:val="681F6961"/>
    <w:rsid w:val="68242B68"/>
    <w:rsid w:val="6827345C"/>
    <w:rsid w:val="682E182A"/>
    <w:rsid w:val="6834599D"/>
    <w:rsid w:val="68381491"/>
    <w:rsid w:val="683B7413"/>
    <w:rsid w:val="683E1A6D"/>
    <w:rsid w:val="683E44BC"/>
    <w:rsid w:val="68401F12"/>
    <w:rsid w:val="684670FA"/>
    <w:rsid w:val="6847118A"/>
    <w:rsid w:val="684B27EB"/>
    <w:rsid w:val="684E756D"/>
    <w:rsid w:val="68517493"/>
    <w:rsid w:val="685C0145"/>
    <w:rsid w:val="685E2607"/>
    <w:rsid w:val="68610A2F"/>
    <w:rsid w:val="6861249F"/>
    <w:rsid w:val="686B25F1"/>
    <w:rsid w:val="686C7BF3"/>
    <w:rsid w:val="687F2888"/>
    <w:rsid w:val="68805514"/>
    <w:rsid w:val="68882CE8"/>
    <w:rsid w:val="6898646E"/>
    <w:rsid w:val="689D63E4"/>
    <w:rsid w:val="68A01EBD"/>
    <w:rsid w:val="68A13DAC"/>
    <w:rsid w:val="68A32BE1"/>
    <w:rsid w:val="68A655B4"/>
    <w:rsid w:val="68AC59DE"/>
    <w:rsid w:val="68B4644B"/>
    <w:rsid w:val="68BD4776"/>
    <w:rsid w:val="68C04951"/>
    <w:rsid w:val="68C214B7"/>
    <w:rsid w:val="68C21C7D"/>
    <w:rsid w:val="68CD2DF1"/>
    <w:rsid w:val="68D10185"/>
    <w:rsid w:val="68D372AF"/>
    <w:rsid w:val="68D577E6"/>
    <w:rsid w:val="68DB5359"/>
    <w:rsid w:val="68DC77DA"/>
    <w:rsid w:val="68EB1F35"/>
    <w:rsid w:val="68EC1AA7"/>
    <w:rsid w:val="68ED1C33"/>
    <w:rsid w:val="68EF220E"/>
    <w:rsid w:val="68F039A2"/>
    <w:rsid w:val="68F632B3"/>
    <w:rsid w:val="69015836"/>
    <w:rsid w:val="690540BF"/>
    <w:rsid w:val="69091C39"/>
    <w:rsid w:val="690B3121"/>
    <w:rsid w:val="69130C8A"/>
    <w:rsid w:val="691813E2"/>
    <w:rsid w:val="691D5B26"/>
    <w:rsid w:val="69201173"/>
    <w:rsid w:val="692743BB"/>
    <w:rsid w:val="69274D28"/>
    <w:rsid w:val="692F027D"/>
    <w:rsid w:val="69316E2F"/>
    <w:rsid w:val="693D1D24"/>
    <w:rsid w:val="693D54B4"/>
    <w:rsid w:val="69425763"/>
    <w:rsid w:val="694951D9"/>
    <w:rsid w:val="694E2071"/>
    <w:rsid w:val="69645513"/>
    <w:rsid w:val="69645C3D"/>
    <w:rsid w:val="696A0640"/>
    <w:rsid w:val="69766163"/>
    <w:rsid w:val="697A3B33"/>
    <w:rsid w:val="69802D51"/>
    <w:rsid w:val="69856F41"/>
    <w:rsid w:val="6986631E"/>
    <w:rsid w:val="698A72DA"/>
    <w:rsid w:val="698E1FFC"/>
    <w:rsid w:val="69944886"/>
    <w:rsid w:val="699658D9"/>
    <w:rsid w:val="699D3163"/>
    <w:rsid w:val="699D7D21"/>
    <w:rsid w:val="69A65E33"/>
    <w:rsid w:val="69A823E3"/>
    <w:rsid w:val="69B01B97"/>
    <w:rsid w:val="69B7100F"/>
    <w:rsid w:val="69B7170E"/>
    <w:rsid w:val="69CA3C4D"/>
    <w:rsid w:val="69D000A9"/>
    <w:rsid w:val="69D44760"/>
    <w:rsid w:val="69D72BC9"/>
    <w:rsid w:val="69DA57C5"/>
    <w:rsid w:val="69DB5B45"/>
    <w:rsid w:val="69DC34E0"/>
    <w:rsid w:val="69E75C44"/>
    <w:rsid w:val="69EA4DEB"/>
    <w:rsid w:val="69EC6364"/>
    <w:rsid w:val="69EE1271"/>
    <w:rsid w:val="69F61ED3"/>
    <w:rsid w:val="6A003B60"/>
    <w:rsid w:val="6A00551F"/>
    <w:rsid w:val="6A0500BE"/>
    <w:rsid w:val="6A052B74"/>
    <w:rsid w:val="6A087BCD"/>
    <w:rsid w:val="6A1509EA"/>
    <w:rsid w:val="6A18291B"/>
    <w:rsid w:val="6A1875BD"/>
    <w:rsid w:val="6A1E4BA5"/>
    <w:rsid w:val="6A2B7DCF"/>
    <w:rsid w:val="6A2C534B"/>
    <w:rsid w:val="6A3A10FA"/>
    <w:rsid w:val="6A3A789C"/>
    <w:rsid w:val="6A431B91"/>
    <w:rsid w:val="6A4D3261"/>
    <w:rsid w:val="6A513BED"/>
    <w:rsid w:val="6A520EC7"/>
    <w:rsid w:val="6A593A86"/>
    <w:rsid w:val="6A6000D1"/>
    <w:rsid w:val="6A72181F"/>
    <w:rsid w:val="6A725ADB"/>
    <w:rsid w:val="6A741B08"/>
    <w:rsid w:val="6A751FB7"/>
    <w:rsid w:val="6A793230"/>
    <w:rsid w:val="6A7A16B8"/>
    <w:rsid w:val="6A943DEA"/>
    <w:rsid w:val="6A96655E"/>
    <w:rsid w:val="6AA87855"/>
    <w:rsid w:val="6AAE14C6"/>
    <w:rsid w:val="6AB027C3"/>
    <w:rsid w:val="6ABA6B4B"/>
    <w:rsid w:val="6AC1067F"/>
    <w:rsid w:val="6AC4570C"/>
    <w:rsid w:val="6AC779EC"/>
    <w:rsid w:val="6ACB7804"/>
    <w:rsid w:val="6ACD70D8"/>
    <w:rsid w:val="6ACE2EE2"/>
    <w:rsid w:val="6AD37EE9"/>
    <w:rsid w:val="6ADA567B"/>
    <w:rsid w:val="6AEA7C8A"/>
    <w:rsid w:val="6AF05909"/>
    <w:rsid w:val="6AF13D8B"/>
    <w:rsid w:val="6AF77969"/>
    <w:rsid w:val="6AF87E20"/>
    <w:rsid w:val="6AF95FD9"/>
    <w:rsid w:val="6B0220BF"/>
    <w:rsid w:val="6B09401D"/>
    <w:rsid w:val="6B1747F7"/>
    <w:rsid w:val="6B2705C0"/>
    <w:rsid w:val="6B2A6098"/>
    <w:rsid w:val="6B2A62D8"/>
    <w:rsid w:val="6B2B2412"/>
    <w:rsid w:val="6B2E7735"/>
    <w:rsid w:val="6B322639"/>
    <w:rsid w:val="6B385A64"/>
    <w:rsid w:val="6B3B7836"/>
    <w:rsid w:val="6B4E646B"/>
    <w:rsid w:val="6B52629B"/>
    <w:rsid w:val="6B5369AB"/>
    <w:rsid w:val="6B5B3296"/>
    <w:rsid w:val="6B6C069F"/>
    <w:rsid w:val="6B6D649E"/>
    <w:rsid w:val="6B766413"/>
    <w:rsid w:val="6B7E66C6"/>
    <w:rsid w:val="6B7F390D"/>
    <w:rsid w:val="6B8120C6"/>
    <w:rsid w:val="6B841E8D"/>
    <w:rsid w:val="6B8856C9"/>
    <w:rsid w:val="6B8A4FC9"/>
    <w:rsid w:val="6B8E0254"/>
    <w:rsid w:val="6B9240E9"/>
    <w:rsid w:val="6B9971B2"/>
    <w:rsid w:val="6BA30E22"/>
    <w:rsid w:val="6BA4187D"/>
    <w:rsid w:val="6BA64027"/>
    <w:rsid w:val="6BA6667D"/>
    <w:rsid w:val="6BAA1565"/>
    <w:rsid w:val="6BAC3B39"/>
    <w:rsid w:val="6BB16B0F"/>
    <w:rsid w:val="6BD53AF3"/>
    <w:rsid w:val="6BD74667"/>
    <w:rsid w:val="6BD95370"/>
    <w:rsid w:val="6BDE46A5"/>
    <w:rsid w:val="6BE91C61"/>
    <w:rsid w:val="6BEC0682"/>
    <w:rsid w:val="6BFF24F7"/>
    <w:rsid w:val="6C00528B"/>
    <w:rsid w:val="6C021003"/>
    <w:rsid w:val="6C05546B"/>
    <w:rsid w:val="6C057790"/>
    <w:rsid w:val="6C067D00"/>
    <w:rsid w:val="6C135D7E"/>
    <w:rsid w:val="6C1B3E73"/>
    <w:rsid w:val="6C26627A"/>
    <w:rsid w:val="6C2734AB"/>
    <w:rsid w:val="6C2E3861"/>
    <w:rsid w:val="6C2E62F3"/>
    <w:rsid w:val="6C2E66C5"/>
    <w:rsid w:val="6C3071FD"/>
    <w:rsid w:val="6C3B36BC"/>
    <w:rsid w:val="6C492330"/>
    <w:rsid w:val="6C4F4CCC"/>
    <w:rsid w:val="6C504CAC"/>
    <w:rsid w:val="6C510E43"/>
    <w:rsid w:val="6C5C48FC"/>
    <w:rsid w:val="6C636C38"/>
    <w:rsid w:val="6C6A5B60"/>
    <w:rsid w:val="6C6C4091"/>
    <w:rsid w:val="6C6D7750"/>
    <w:rsid w:val="6C723639"/>
    <w:rsid w:val="6C742840"/>
    <w:rsid w:val="6C7742CC"/>
    <w:rsid w:val="6C7F39CC"/>
    <w:rsid w:val="6C8368E0"/>
    <w:rsid w:val="6C8B5149"/>
    <w:rsid w:val="6C915A97"/>
    <w:rsid w:val="6C931878"/>
    <w:rsid w:val="6C9C4FB4"/>
    <w:rsid w:val="6C9D0D2C"/>
    <w:rsid w:val="6CA951DA"/>
    <w:rsid w:val="6CBE13CE"/>
    <w:rsid w:val="6CC26A8C"/>
    <w:rsid w:val="6CD5760F"/>
    <w:rsid w:val="6CD95C87"/>
    <w:rsid w:val="6CDA279D"/>
    <w:rsid w:val="6CDF30F3"/>
    <w:rsid w:val="6CE84139"/>
    <w:rsid w:val="6CF27306"/>
    <w:rsid w:val="6CF419B3"/>
    <w:rsid w:val="6CF54B74"/>
    <w:rsid w:val="6CF94337"/>
    <w:rsid w:val="6D10181E"/>
    <w:rsid w:val="6D1B4002"/>
    <w:rsid w:val="6D29520A"/>
    <w:rsid w:val="6D36256C"/>
    <w:rsid w:val="6D425AF0"/>
    <w:rsid w:val="6D5260EA"/>
    <w:rsid w:val="6D530365"/>
    <w:rsid w:val="6D631F76"/>
    <w:rsid w:val="6D6830B0"/>
    <w:rsid w:val="6D686A3C"/>
    <w:rsid w:val="6D726928"/>
    <w:rsid w:val="6D745254"/>
    <w:rsid w:val="6D785A21"/>
    <w:rsid w:val="6D7B72BF"/>
    <w:rsid w:val="6D7E771B"/>
    <w:rsid w:val="6D865300"/>
    <w:rsid w:val="6D865673"/>
    <w:rsid w:val="6D8D0DA1"/>
    <w:rsid w:val="6D916AE4"/>
    <w:rsid w:val="6D9B4328"/>
    <w:rsid w:val="6DA3238A"/>
    <w:rsid w:val="6DAE1443"/>
    <w:rsid w:val="6DB34098"/>
    <w:rsid w:val="6DB545B6"/>
    <w:rsid w:val="6DB66549"/>
    <w:rsid w:val="6DB93944"/>
    <w:rsid w:val="6DC024DB"/>
    <w:rsid w:val="6DC02F24"/>
    <w:rsid w:val="6DC40E15"/>
    <w:rsid w:val="6DC42296"/>
    <w:rsid w:val="6DCE2698"/>
    <w:rsid w:val="6DD21CE9"/>
    <w:rsid w:val="6DD8442F"/>
    <w:rsid w:val="6DDB7D5E"/>
    <w:rsid w:val="6DDC2A10"/>
    <w:rsid w:val="6DE02FB4"/>
    <w:rsid w:val="6DE4177C"/>
    <w:rsid w:val="6DFD2236"/>
    <w:rsid w:val="6DFF3A4C"/>
    <w:rsid w:val="6E006686"/>
    <w:rsid w:val="6E0153FA"/>
    <w:rsid w:val="6E015C61"/>
    <w:rsid w:val="6E0E002B"/>
    <w:rsid w:val="6E0E6EBC"/>
    <w:rsid w:val="6E176C2C"/>
    <w:rsid w:val="6E1E6161"/>
    <w:rsid w:val="6E201C15"/>
    <w:rsid w:val="6E2039C3"/>
    <w:rsid w:val="6E376F24"/>
    <w:rsid w:val="6E3B07FD"/>
    <w:rsid w:val="6E3C24F4"/>
    <w:rsid w:val="6E3D27C7"/>
    <w:rsid w:val="6E3F1B7D"/>
    <w:rsid w:val="6E412457"/>
    <w:rsid w:val="6E491415"/>
    <w:rsid w:val="6E4A5A7E"/>
    <w:rsid w:val="6E514CED"/>
    <w:rsid w:val="6E5D69C5"/>
    <w:rsid w:val="6E5E5E8B"/>
    <w:rsid w:val="6E6C0590"/>
    <w:rsid w:val="6E6E0A4C"/>
    <w:rsid w:val="6E7004A6"/>
    <w:rsid w:val="6E7206C2"/>
    <w:rsid w:val="6E7A1325"/>
    <w:rsid w:val="6E7A58C9"/>
    <w:rsid w:val="6E7F06E9"/>
    <w:rsid w:val="6E811168"/>
    <w:rsid w:val="6E8563B9"/>
    <w:rsid w:val="6E8C13F6"/>
    <w:rsid w:val="6E916F03"/>
    <w:rsid w:val="6EA13894"/>
    <w:rsid w:val="6EA62432"/>
    <w:rsid w:val="6EAC0B4D"/>
    <w:rsid w:val="6EB33BE6"/>
    <w:rsid w:val="6EB563D5"/>
    <w:rsid w:val="6EB80153"/>
    <w:rsid w:val="6EBE5AE7"/>
    <w:rsid w:val="6EBF7216"/>
    <w:rsid w:val="6EC00957"/>
    <w:rsid w:val="6ED651FE"/>
    <w:rsid w:val="6ED92677"/>
    <w:rsid w:val="6EDB0378"/>
    <w:rsid w:val="6EE11ECB"/>
    <w:rsid w:val="6EE67DB6"/>
    <w:rsid w:val="6F0137F4"/>
    <w:rsid w:val="6F051659"/>
    <w:rsid w:val="6F0A40EE"/>
    <w:rsid w:val="6F0D2E3F"/>
    <w:rsid w:val="6F117706"/>
    <w:rsid w:val="6F1277AF"/>
    <w:rsid w:val="6F180D0E"/>
    <w:rsid w:val="6F1A0AF8"/>
    <w:rsid w:val="6F1D38A1"/>
    <w:rsid w:val="6F1F6294"/>
    <w:rsid w:val="6F225983"/>
    <w:rsid w:val="6F324642"/>
    <w:rsid w:val="6F330183"/>
    <w:rsid w:val="6F352D82"/>
    <w:rsid w:val="6F392F8E"/>
    <w:rsid w:val="6F4072C1"/>
    <w:rsid w:val="6F51652A"/>
    <w:rsid w:val="6F59718C"/>
    <w:rsid w:val="6F5C479A"/>
    <w:rsid w:val="6F5C7E7F"/>
    <w:rsid w:val="6F62323E"/>
    <w:rsid w:val="6F6348BB"/>
    <w:rsid w:val="6F7264A0"/>
    <w:rsid w:val="6F735497"/>
    <w:rsid w:val="6F7B35A7"/>
    <w:rsid w:val="6F8076D9"/>
    <w:rsid w:val="6F8624AA"/>
    <w:rsid w:val="6F917A54"/>
    <w:rsid w:val="6FA81A3C"/>
    <w:rsid w:val="6FB8056D"/>
    <w:rsid w:val="6FB91A91"/>
    <w:rsid w:val="6FBF33C8"/>
    <w:rsid w:val="6FBF5CA9"/>
    <w:rsid w:val="6FCB73F6"/>
    <w:rsid w:val="6FD11F7C"/>
    <w:rsid w:val="6FD16EF0"/>
    <w:rsid w:val="6FE476A3"/>
    <w:rsid w:val="6FE54855"/>
    <w:rsid w:val="6FE83A00"/>
    <w:rsid w:val="6FF25290"/>
    <w:rsid w:val="6FF8013D"/>
    <w:rsid w:val="6FFA2C86"/>
    <w:rsid w:val="6FFC5590"/>
    <w:rsid w:val="700B6F04"/>
    <w:rsid w:val="700E7A70"/>
    <w:rsid w:val="70125292"/>
    <w:rsid w:val="70131865"/>
    <w:rsid w:val="701601B9"/>
    <w:rsid w:val="701C2440"/>
    <w:rsid w:val="701C781D"/>
    <w:rsid w:val="701D640C"/>
    <w:rsid w:val="701F4285"/>
    <w:rsid w:val="7020414E"/>
    <w:rsid w:val="703036E8"/>
    <w:rsid w:val="703457D6"/>
    <w:rsid w:val="70354D77"/>
    <w:rsid w:val="7036677C"/>
    <w:rsid w:val="703C4AD7"/>
    <w:rsid w:val="7045553E"/>
    <w:rsid w:val="70470786"/>
    <w:rsid w:val="704B1455"/>
    <w:rsid w:val="704F1042"/>
    <w:rsid w:val="7055204A"/>
    <w:rsid w:val="706D1DD0"/>
    <w:rsid w:val="70714DB4"/>
    <w:rsid w:val="70744007"/>
    <w:rsid w:val="707B1EF8"/>
    <w:rsid w:val="707C55FA"/>
    <w:rsid w:val="70841959"/>
    <w:rsid w:val="708518C5"/>
    <w:rsid w:val="70856B87"/>
    <w:rsid w:val="7088633E"/>
    <w:rsid w:val="70934920"/>
    <w:rsid w:val="709D4933"/>
    <w:rsid w:val="70A06C89"/>
    <w:rsid w:val="70A07585"/>
    <w:rsid w:val="70A40688"/>
    <w:rsid w:val="70A51DD2"/>
    <w:rsid w:val="70AC5DF4"/>
    <w:rsid w:val="70AD67FB"/>
    <w:rsid w:val="70B279D1"/>
    <w:rsid w:val="70B40943"/>
    <w:rsid w:val="70B87AC5"/>
    <w:rsid w:val="70B90CC2"/>
    <w:rsid w:val="70BD6E94"/>
    <w:rsid w:val="70CC441C"/>
    <w:rsid w:val="70CD6084"/>
    <w:rsid w:val="70D527EE"/>
    <w:rsid w:val="70D559FC"/>
    <w:rsid w:val="70D64348"/>
    <w:rsid w:val="70E94540"/>
    <w:rsid w:val="70F901A1"/>
    <w:rsid w:val="70FB1F18"/>
    <w:rsid w:val="70FD459B"/>
    <w:rsid w:val="70FD56AA"/>
    <w:rsid w:val="70FE77DB"/>
    <w:rsid w:val="71114B57"/>
    <w:rsid w:val="71136971"/>
    <w:rsid w:val="711A319A"/>
    <w:rsid w:val="711A7673"/>
    <w:rsid w:val="712348A1"/>
    <w:rsid w:val="712776CC"/>
    <w:rsid w:val="713B6336"/>
    <w:rsid w:val="713C1280"/>
    <w:rsid w:val="713F0604"/>
    <w:rsid w:val="71445397"/>
    <w:rsid w:val="71477F06"/>
    <w:rsid w:val="714C64D8"/>
    <w:rsid w:val="71524AD9"/>
    <w:rsid w:val="715B5300"/>
    <w:rsid w:val="715F2D52"/>
    <w:rsid w:val="716342F2"/>
    <w:rsid w:val="717331E8"/>
    <w:rsid w:val="71781D99"/>
    <w:rsid w:val="717A51EA"/>
    <w:rsid w:val="717E4766"/>
    <w:rsid w:val="71807F66"/>
    <w:rsid w:val="718A3BCA"/>
    <w:rsid w:val="718D136F"/>
    <w:rsid w:val="7193101E"/>
    <w:rsid w:val="71943448"/>
    <w:rsid w:val="719C0B6D"/>
    <w:rsid w:val="71A374FC"/>
    <w:rsid w:val="71A86077"/>
    <w:rsid w:val="71B40FF2"/>
    <w:rsid w:val="71BD3584"/>
    <w:rsid w:val="71D247CC"/>
    <w:rsid w:val="71D27F8A"/>
    <w:rsid w:val="71DA1237"/>
    <w:rsid w:val="71DE56C6"/>
    <w:rsid w:val="71E46C53"/>
    <w:rsid w:val="71E70508"/>
    <w:rsid w:val="71EA00B9"/>
    <w:rsid w:val="71EA7BB6"/>
    <w:rsid w:val="71ED1E48"/>
    <w:rsid w:val="71F95A16"/>
    <w:rsid w:val="72037883"/>
    <w:rsid w:val="720703BE"/>
    <w:rsid w:val="720F5CED"/>
    <w:rsid w:val="7213093C"/>
    <w:rsid w:val="721A37C3"/>
    <w:rsid w:val="72245FC2"/>
    <w:rsid w:val="72297139"/>
    <w:rsid w:val="72344A5B"/>
    <w:rsid w:val="72370BB0"/>
    <w:rsid w:val="723B1348"/>
    <w:rsid w:val="723C01A7"/>
    <w:rsid w:val="724B39D4"/>
    <w:rsid w:val="725101D8"/>
    <w:rsid w:val="7254294C"/>
    <w:rsid w:val="72553024"/>
    <w:rsid w:val="7257410C"/>
    <w:rsid w:val="72590278"/>
    <w:rsid w:val="726102FF"/>
    <w:rsid w:val="726C367A"/>
    <w:rsid w:val="726E11A1"/>
    <w:rsid w:val="726F3E79"/>
    <w:rsid w:val="727A6F20"/>
    <w:rsid w:val="727A7B78"/>
    <w:rsid w:val="727E2ED6"/>
    <w:rsid w:val="727F5C20"/>
    <w:rsid w:val="72807126"/>
    <w:rsid w:val="72851A38"/>
    <w:rsid w:val="728B4186"/>
    <w:rsid w:val="728C71E0"/>
    <w:rsid w:val="728F2EEA"/>
    <w:rsid w:val="72912ED8"/>
    <w:rsid w:val="72961ED8"/>
    <w:rsid w:val="729642C5"/>
    <w:rsid w:val="72993513"/>
    <w:rsid w:val="729C6AC4"/>
    <w:rsid w:val="729D1BA8"/>
    <w:rsid w:val="72A52880"/>
    <w:rsid w:val="72A53414"/>
    <w:rsid w:val="72B82377"/>
    <w:rsid w:val="72C71AA8"/>
    <w:rsid w:val="72CC4424"/>
    <w:rsid w:val="72CD4B67"/>
    <w:rsid w:val="72D339E1"/>
    <w:rsid w:val="72D77BAE"/>
    <w:rsid w:val="72DC4E02"/>
    <w:rsid w:val="72E31BB7"/>
    <w:rsid w:val="72EA15DE"/>
    <w:rsid w:val="72F12EAF"/>
    <w:rsid w:val="72F71401"/>
    <w:rsid w:val="72F72668"/>
    <w:rsid w:val="72F7428F"/>
    <w:rsid w:val="72FE0D65"/>
    <w:rsid w:val="730B33DA"/>
    <w:rsid w:val="73122968"/>
    <w:rsid w:val="73165394"/>
    <w:rsid w:val="731A006A"/>
    <w:rsid w:val="731F0DE0"/>
    <w:rsid w:val="731F5D5E"/>
    <w:rsid w:val="731F7745"/>
    <w:rsid w:val="73234DDA"/>
    <w:rsid w:val="73257844"/>
    <w:rsid w:val="733F3BA1"/>
    <w:rsid w:val="73426189"/>
    <w:rsid w:val="73465C7A"/>
    <w:rsid w:val="734B7C98"/>
    <w:rsid w:val="735132C1"/>
    <w:rsid w:val="735935F3"/>
    <w:rsid w:val="736E4F36"/>
    <w:rsid w:val="736F0814"/>
    <w:rsid w:val="73781BAB"/>
    <w:rsid w:val="7379462C"/>
    <w:rsid w:val="737C4621"/>
    <w:rsid w:val="73866A84"/>
    <w:rsid w:val="7388278E"/>
    <w:rsid w:val="73885001"/>
    <w:rsid w:val="738869B2"/>
    <w:rsid w:val="73892CCE"/>
    <w:rsid w:val="7398631A"/>
    <w:rsid w:val="739A1669"/>
    <w:rsid w:val="73A84954"/>
    <w:rsid w:val="73AB43EF"/>
    <w:rsid w:val="73AE06EE"/>
    <w:rsid w:val="73B05507"/>
    <w:rsid w:val="73BB0416"/>
    <w:rsid w:val="73C51AD5"/>
    <w:rsid w:val="73C92407"/>
    <w:rsid w:val="73D64B86"/>
    <w:rsid w:val="73D90747"/>
    <w:rsid w:val="73DB0AB8"/>
    <w:rsid w:val="73E165EA"/>
    <w:rsid w:val="73F15E96"/>
    <w:rsid w:val="73F41F8C"/>
    <w:rsid w:val="73F44B5D"/>
    <w:rsid w:val="73FB336F"/>
    <w:rsid w:val="73FB6A64"/>
    <w:rsid w:val="73FC65B7"/>
    <w:rsid w:val="73FF21BF"/>
    <w:rsid w:val="740162E0"/>
    <w:rsid w:val="74057445"/>
    <w:rsid w:val="740722AB"/>
    <w:rsid w:val="740A6CA7"/>
    <w:rsid w:val="740D1179"/>
    <w:rsid w:val="740D46DA"/>
    <w:rsid w:val="741705D6"/>
    <w:rsid w:val="741E793C"/>
    <w:rsid w:val="7423746D"/>
    <w:rsid w:val="74271DAF"/>
    <w:rsid w:val="74272537"/>
    <w:rsid w:val="742B0E18"/>
    <w:rsid w:val="742B5985"/>
    <w:rsid w:val="742F670E"/>
    <w:rsid w:val="74325266"/>
    <w:rsid w:val="74381A66"/>
    <w:rsid w:val="74412B54"/>
    <w:rsid w:val="744230C6"/>
    <w:rsid w:val="74432E70"/>
    <w:rsid w:val="74450BAF"/>
    <w:rsid w:val="744C5CAB"/>
    <w:rsid w:val="745D13E1"/>
    <w:rsid w:val="745E3944"/>
    <w:rsid w:val="746E36E3"/>
    <w:rsid w:val="74726B6E"/>
    <w:rsid w:val="747759B8"/>
    <w:rsid w:val="748E1560"/>
    <w:rsid w:val="74962172"/>
    <w:rsid w:val="74965795"/>
    <w:rsid w:val="749F3217"/>
    <w:rsid w:val="74A53593"/>
    <w:rsid w:val="74A715D2"/>
    <w:rsid w:val="74A94712"/>
    <w:rsid w:val="74BA403C"/>
    <w:rsid w:val="74BC4676"/>
    <w:rsid w:val="74C07270"/>
    <w:rsid w:val="74CA2794"/>
    <w:rsid w:val="74CC40DC"/>
    <w:rsid w:val="74CD2E77"/>
    <w:rsid w:val="74D7069F"/>
    <w:rsid w:val="74D90A79"/>
    <w:rsid w:val="74DE6345"/>
    <w:rsid w:val="74E26C69"/>
    <w:rsid w:val="74E876D5"/>
    <w:rsid w:val="74EB6AD9"/>
    <w:rsid w:val="74EF68A0"/>
    <w:rsid w:val="74F07E76"/>
    <w:rsid w:val="74F64EA9"/>
    <w:rsid w:val="74FB166B"/>
    <w:rsid w:val="75057749"/>
    <w:rsid w:val="750B7B3F"/>
    <w:rsid w:val="750C4BB9"/>
    <w:rsid w:val="75140E42"/>
    <w:rsid w:val="75221C99"/>
    <w:rsid w:val="752B4BBE"/>
    <w:rsid w:val="752C6675"/>
    <w:rsid w:val="752F6DDA"/>
    <w:rsid w:val="753120BD"/>
    <w:rsid w:val="75381A33"/>
    <w:rsid w:val="753E6C0A"/>
    <w:rsid w:val="75402C0D"/>
    <w:rsid w:val="754B0EB2"/>
    <w:rsid w:val="75524DAA"/>
    <w:rsid w:val="75567BA4"/>
    <w:rsid w:val="755F6035"/>
    <w:rsid w:val="756E5A5A"/>
    <w:rsid w:val="757402F7"/>
    <w:rsid w:val="75791C96"/>
    <w:rsid w:val="75792F9F"/>
    <w:rsid w:val="758328FC"/>
    <w:rsid w:val="758B3B8C"/>
    <w:rsid w:val="75916426"/>
    <w:rsid w:val="75925593"/>
    <w:rsid w:val="75954F0D"/>
    <w:rsid w:val="759D02C4"/>
    <w:rsid w:val="75A1363B"/>
    <w:rsid w:val="75AF5B42"/>
    <w:rsid w:val="75B12A3A"/>
    <w:rsid w:val="75BB005B"/>
    <w:rsid w:val="75BB72F8"/>
    <w:rsid w:val="75BE5679"/>
    <w:rsid w:val="75C47E18"/>
    <w:rsid w:val="75C707EB"/>
    <w:rsid w:val="75CC307A"/>
    <w:rsid w:val="75CD2B28"/>
    <w:rsid w:val="75D776FC"/>
    <w:rsid w:val="75DC499F"/>
    <w:rsid w:val="75F776FF"/>
    <w:rsid w:val="75FA4A0D"/>
    <w:rsid w:val="76066B65"/>
    <w:rsid w:val="760E646D"/>
    <w:rsid w:val="76110905"/>
    <w:rsid w:val="761452DB"/>
    <w:rsid w:val="7618146B"/>
    <w:rsid w:val="76210757"/>
    <w:rsid w:val="76230CDC"/>
    <w:rsid w:val="76290025"/>
    <w:rsid w:val="762F3BA0"/>
    <w:rsid w:val="7635099D"/>
    <w:rsid w:val="764E232E"/>
    <w:rsid w:val="764F2F30"/>
    <w:rsid w:val="76515061"/>
    <w:rsid w:val="7656193B"/>
    <w:rsid w:val="76636B42"/>
    <w:rsid w:val="766508EE"/>
    <w:rsid w:val="7665694D"/>
    <w:rsid w:val="766920EE"/>
    <w:rsid w:val="766A64FF"/>
    <w:rsid w:val="76780840"/>
    <w:rsid w:val="767E0A98"/>
    <w:rsid w:val="768467F4"/>
    <w:rsid w:val="76893931"/>
    <w:rsid w:val="768A40CF"/>
    <w:rsid w:val="768D3D86"/>
    <w:rsid w:val="7690778C"/>
    <w:rsid w:val="76916404"/>
    <w:rsid w:val="7692457D"/>
    <w:rsid w:val="769735FA"/>
    <w:rsid w:val="76A46CB1"/>
    <w:rsid w:val="76A75CC9"/>
    <w:rsid w:val="76B311B6"/>
    <w:rsid w:val="76B836DA"/>
    <w:rsid w:val="76BA1D3C"/>
    <w:rsid w:val="76BC35B7"/>
    <w:rsid w:val="76CA155F"/>
    <w:rsid w:val="76CE1795"/>
    <w:rsid w:val="76D94D41"/>
    <w:rsid w:val="76DB3220"/>
    <w:rsid w:val="76DD526C"/>
    <w:rsid w:val="76E01DD3"/>
    <w:rsid w:val="76E21F95"/>
    <w:rsid w:val="76E6692F"/>
    <w:rsid w:val="76F41C58"/>
    <w:rsid w:val="76FE3C04"/>
    <w:rsid w:val="7701101A"/>
    <w:rsid w:val="771547AA"/>
    <w:rsid w:val="771B33AE"/>
    <w:rsid w:val="772269FE"/>
    <w:rsid w:val="772C223B"/>
    <w:rsid w:val="772E7BF1"/>
    <w:rsid w:val="77311518"/>
    <w:rsid w:val="77356731"/>
    <w:rsid w:val="773879D3"/>
    <w:rsid w:val="7748643A"/>
    <w:rsid w:val="774E07CD"/>
    <w:rsid w:val="77503B5B"/>
    <w:rsid w:val="77624306"/>
    <w:rsid w:val="77654A63"/>
    <w:rsid w:val="776E0C60"/>
    <w:rsid w:val="77762421"/>
    <w:rsid w:val="777F0BBD"/>
    <w:rsid w:val="77814567"/>
    <w:rsid w:val="778A0DCF"/>
    <w:rsid w:val="778D031B"/>
    <w:rsid w:val="778F1AA1"/>
    <w:rsid w:val="779D1738"/>
    <w:rsid w:val="77A57E99"/>
    <w:rsid w:val="77A94A29"/>
    <w:rsid w:val="77AB3B0A"/>
    <w:rsid w:val="77B56B1F"/>
    <w:rsid w:val="77B910C6"/>
    <w:rsid w:val="77CA3D56"/>
    <w:rsid w:val="77DE0B76"/>
    <w:rsid w:val="77F0176A"/>
    <w:rsid w:val="78034403"/>
    <w:rsid w:val="780A371A"/>
    <w:rsid w:val="780D25D8"/>
    <w:rsid w:val="780F09F4"/>
    <w:rsid w:val="781A05B1"/>
    <w:rsid w:val="781E7688"/>
    <w:rsid w:val="781F223A"/>
    <w:rsid w:val="7823276E"/>
    <w:rsid w:val="782515A2"/>
    <w:rsid w:val="782B1460"/>
    <w:rsid w:val="782C201B"/>
    <w:rsid w:val="782F3920"/>
    <w:rsid w:val="78400F8B"/>
    <w:rsid w:val="78405FDD"/>
    <w:rsid w:val="784D5178"/>
    <w:rsid w:val="78660A8B"/>
    <w:rsid w:val="78702E66"/>
    <w:rsid w:val="78706794"/>
    <w:rsid w:val="78717294"/>
    <w:rsid w:val="78753E9A"/>
    <w:rsid w:val="787736A0"/>
    <w:rsid w:val="78796E72"/>
    <w:rsid w:val="788F24A3"/>
    <w:rsid w:val="78941160"/>
    <w:rsid w:val="78946F4E"/>
    <w:rsid w:val="789470BD"/>
    <w:rsid w:val="789631FF"/>
    <w:rsid w:val="789648AD"/>
    <w:rsid w:val="789B61E6"/>
    <w:rsid w:val="789C0C47"/>
    <w:rsid w:val="78A07BDA"/>
    <w:rsid w:val="78A30875"/>
    <w:rsid w:val="78A30967"/>
    <w:rsid w:val="78A37FD4"/>
    <w:rsid w:val="78A90480"/>
    <w:rsid w:val="78AD0549"/>
    <w:rsid w:val="78AD47B8"/>
    <w:rsid w:val="78AE7934"/>
    <w:rsid w:val="78B16137"/>
    <w:rsid w:val="78B56A54"/>
    <w:rsid w:val="78C37D8F"/>
    <w:rsid w:val="78CD162F"/>
    <w:rsid w:val="78D448D7"/>
    <w:rsid w:val="78DA7590"/>
    <w:rsid w:val="78DC367E"/>
    <w:rsid w:val="78E311FE"/>
    <w:rsid w:val="78E421BD"/>
    <w:rsid w:val="78E60CD1"/>
    <w:rsid w:val="78E94955"/>
    <w:rsid w:val="78EC0DD5"/>
    <w:rsid w:val="78F12113"/>
    <w:rsid w:val="78F13000"/>
    <w:rsid w:val="78FE54EF"/>
    <w:rsid w:val="78FF4B03"/>
    <w:rsid w:val="79006540"/>
    <w:rsid w:val="79041FA8"/>
    <w:rsid w:val="7904460D"/>
    <w:rsid w:val="79095AD6"/>
    <w:rsid w:val="790C526F"/>
    <w:rsid w:val="790E2D96"/>
    <w:rsid w:val="79102392"/>
    <w:rsid w:val="7911149A"/>
    <w:rsid w:val="79125A30"/>
    <w:rsid w:val="791400DD"/>
    <w:rsid w:val="79142376"/>
    <w:rsid w:val="79171AF9"/>
    <w:rsid w:val="791C1E80"/>
    <w:rsid w:val="791E126E"/>
    <w:rsid w:val="79252032"/>
    <w:rsid w:val="792654FA"/>
    <w:rsid w:val="792846FC"/>
    <w:rsid w:val="792C01EA"/>
    <w:rsid w:val="792F33DE"/>
    <w:rsid w:val="79367DD8"/>
    <w:rsid w:val="79385CF4"/>
    <w:rsid w:val="793B3DA7"/>
    <w:rsid w:val="7940497F"/>
    <w:rsid w:val="79523846"/>
    <w:rsid w:val="79586376"/>
    <w:rsid w:val="795A1893"/>
    <w:rsid w:val="7975478C"/>
    <w:rsid w:val="798C4879"/>
    <w:rsid w:val="798D175A"/>
    <w:rsid w:val="7995421D"/>
    <w:rsid w:val="799B2481"/>
    <w:rsid w:val="79A67E4F"/>
    <w:rsid w:val="79AB6C4A"/>
    <w:rsid w:val="79AE5663"/>
    <w:rsid w:val="79B37DE1"/>
    <w:rsid w:val="79B8725C"/>
    <w:rsid w:val="79D00993"/>
    <w:rsid w:val="79D25E11"/>
    <w:rsid w:val="79DA536E"/>
    <w:rsid w:val="79DF70EE"/>
    <w:rsid w:val="79E366D8"/>
    <w:rsid w:val="79F06E8E"/>
    <w:rsid w:val="79F90AE9"/>
    <w:rsid w:val="79FC7E8B"/>
    <w:rsid w:val="79FF3026"/>
    <w:rsid w:val="7A001B51"/>
    <w:rsid w:val="7A02190D"/>
    <w:rsid w:val="7A0678A4"/>
    <w:rsid w:val="7A0D622B"/>
    <w:rsid w:val="7A1215C9"/>
    <w:rsid w:val="7A126621"/>
    <w:rsid w:val="7A177DD8"/>
    <w:rsid w:val="7A1940E8"/>
    <w:rsid w:val="7A1A74A0"/>
    <w:rsid w:val="7A21349A"/>
    <w:rsid w:val="7A252D92"/>
    <w:rsid w:val="7A292C14"/>
    <w:rsid w:val="7A2E6233"/>
    <w:rsid w:val="7A346D32"/>
    <w:rsid w:val="7A364017"/>
    <w:rsid w:val="7A3765BA"/>
    <w:rsid w:val="7A3859C3"/>
    <w:rsid w:val="7A430DB1"/>
    <w:rsid w:val="7A454EDD"/>
    <w:rsid w:val="7A475D0E"/>
    <w:rsid w:val="7A483408"/>
    <w:rsid w:val="7A4A5B90"/>
    <w:rsid w:val="7A4F782E"/>
    <w:rsid w:val="7A50630F"/>
    <w:rsid w:val="7A543372"/>
    <w:rsid w:val="7A594A27"/>
    <w:rsid w:val="7A633442"/>
    <w:rsid w:val="7A6436D1"/>
    <w:rsid w:val="7A64377C"/>
    <w:rsid w:val="7A6C3CFC"/>
    <w:rsid w:val="7A8265E1"/>
    <w:rsid w:val="7A8A6D94"/>
    <w:rsid w:val="7A912FEC"/>
    <w:rsid w:val="7A917CB0"/>
    <w:rsid w:val="7A967146"/>
    <w:rsid w:val="7A98070E"/>
    <w:rsid w:val="7A990D85"/>
    <w:rsid w:val="7A9E7F5E"/>
    <w:rsid w:val="7AAD4398"/>
    <w:rsid w:val="7AB4229F"/>
    <w:rsid w:val="7AB67B89"/>
    <w:rsid w:val="7AC45C0F"/>
    <w:rsid w:val="7ACA5A59"/>
    <w:rsid w:val="7ACE27AE"/>
    <w:rsid w:val="7AD0650C"/>
    <w:rsid w:val="7ADC2056"/>
    <w:rsid w:val="7AE2272C"/>
    <w:rsid w:val="7AE42AF1"/>
    <w:rsid w:val="7AE53941"/>
    <w:rsid w:val="7AE63EBE"/>
    <w:rsid w:val="7AEA51B8"/>
    <w:rsid w:val="7AF1704E"/>
    <w:rsid w:val="7AF406B1"/>
    <w:rsid w:val="7AF661D7"/>
    <w:rsid w:val="7AF77190"/>
    <w:rsid w:val="7AFE32DE"/>
    <w:rsid w:val="7B05795F"/>
    <w:rsid w:val="7B060931"/>
    <w:rsid w:val="7B072192"/>
    <w:rsid w:val="7B0B1277"/>
    <w:rsid w:val="7B1706C7"/>
    <w:rsid w:val="7B1D547E"/>
    <w:rsid w:val="7B2B073C"/>
    <w:rsid w:val="7B2C74D4"/>
    <w:rsid w:val="7B2E509D"/>
    <w:rsid w:val="7B2E5971"/>
    <w:rsid w:val="7B334FEE"/>
    <w:rsid w:val="7B394CF5"/>
    <w:rsid w:val="7B397DF6"/>
    <w:rsid w:val="7B421312"/>
    <w:rsid w:val="7B4222BC"/>
    <w:rsid w:val="7B4E0CC5"/>
    <w:rsid w:val="7B4E6013"/>
    <w:rsid w:val="7B542790"/>
    <w:rsid w:val="7B5B603A"/>
    <w:rsid w:val="7B5F59F1"/>
    <w:rsid w:val="7B6140D9"/>
    <w:rsid w:val="7B652C17"/>
    <w:rsid w:val="7B677A47"/>
    <w:rsid w:val="7B686D42"/>
    <w:rsid w:val="7B6F7C63"/>
    <w:rsid w:val="7B746E0D"/>
    <w:rsid w:val="7B7536CF"/>
    <w:rsid w:val="7B841746"/>
    <w:rsid w:val="7B895529"/>
    <w:rsid w:val="7B8A4AB6"/>
    <w:rsid w:val="7B8E4560"/>
    <w:rsid w:val="7B902188"/>
    <w:rsid w:val="7B965159"/>
    <w:rsid w:val="7B9C7714"/>
    <w:rsid w:val="7BA82030"/>
    <w:rsid w:val="7BAB5214"/>
    <w:rsid w:val="7BAC4AE8"/>
    <w:rsid w:val="7BC25980"/>
    <w:rsid w:val="7BC45576"/>
    <w:rsid w:val="7BC94709"/>
    <w:rsid w:val="7BCB31C0"/>
    <w:rsid w:val="7BD36518"/>
    <w:rsid w:val="7BD54A1B"/>
    <w:rsid w:val="7BD77DB7"/>
    <w:rsid w:val="7BE405C1"/>
    <w:rsid w:val="7BE424D4"/>
    <w:rsid w:val="7BFC5A6F"/>
    <w:rsid w:val="7BFC781D"/>
    <w:rsid w:val="7C00400F"/>
    <w:rsid w:val="7C036DFE"/>
    <w:rsid w:val="7C110527"/>
    <w:rsid w:val="7C1B32FE"/>
    <w:rsid w:val="7C202466"/>
    <w:rsid w:val="7C2333D4"/>
    <w:rsid w:val="7C236C55"/>
    <w:rsid w:val="7C257735"/>
    <w:rsid w:val="7C2800E6"/>
    <w:rsid w:val="7C280612"/>
    <w:rsid w:val="7C2A7D38"/>
    <w:rsid w:val="7C3475CF"/>
    <w:rsid w:val="7C38319F"/>
    <w:rsid w:val="7C431DAC"/>
    <w:rsid w:val="7C4363ED"/>
    <w:rsid w:val="7C4A0DEC"/>
    <w:rsid w:val="7C4B0347"/>
    <w:rsid w:val="7C4D3872"/>
    <w:rsid w:val="7C4E4E05"/>
    <w:rsid w:val="7C5050C2"/>
    <w:rsid w:val="7C596A1E"/>
    <w:rsid w:val="7C600A6E"/>
    <w:rsid w:val="7C656A0B"/>
    <w:rsid w:val="7C6C5AC7"/>
    <w:rsid w:val="7C6D3506"/>
    <w:rsid w:val="7C70579E"/>
    <w:rsid w:val="7C734288"/>
    <w:rsid w:val="7C74744D"/>
    <w:rsid w:val="7C774E0B"/>
    <w:rsid w:val="7C887BC2"/>
    <w:rsid w:val="7C900A50"/>
    <w:rsid w:val="7C951866"/>
    <w:rsid w:val="7C99705A"/>
    <w:rsid w:val="7CA77ABC"/>
    <w:rsid w:val="7CB053C4"/>
    <w:rsid w:val="7CB2612E"/>
    <w:rsid w:val="7CBF0117"/>
    <w:rsid w:val="7CC41F7F"/>
    <w:rsid w:val="7CC558AB"/>
    <w:rsid w:val="7CC6544B"/>
    <w:rsid w:val="7CCF4F32"/>
    <w:rsid w:val="7CD10CAA"/>
    <w:rsid w:val="7CD40FB9"/>
    <w:rsid w:val="7CD705DD"/>
    <w:rsid w:val="7CE518E4"/>
    <w:rsid w:val="7CF3683B"/>
    <w:rsid w:val="7CF93F0B"/>
    <w:rsid w:val="7D0239FF"/>
    <w:rsid w:val="7D096AFF"/>
    <w:rsid w:val="7D162D2E"/>
    <w:rsid w:val="7D1B1703"/>
    <w:rsid w:val="7D264472"/>
    <w:rsid w:val="7D2C6BA1"/>
    <w:rsid w:val="7D3566AB"/>
    <w:rsid w:val="7D382AD7"/>
    <w:rsid w:val="7D3C41E6"/>
    <w:rsid w:val="7D3E7004"/>
    <w:rsid w:val="7D407706"/>
    <w:rsid w:val="7D414152"/>
    <w:rsid w:val="7D453FD4"/>
    <w:rsid w:val="7D49475B"/>
    <w:rsid w:val="7D4C0330"/>
    <w:rsid w:val="7D5B0573"/>
    <w:rsid w:val="7D5D42EC"/>
    <w:rsid w:val="7D5E40CD"/>
    <w:rsid w:val="7D7426FB"/>
    <w:rsid w:val="7D7553BA"/>
    <w:rsid w:val="7D7B019C"/>
    <w:rsid w:val="7D7B5746"/>
    <w:rsid w:val="7D7C7BF0"/>
    <w:rsid w:val="7D7F3EDC"/>
    <w:rsid w:val="7D805C4B"/>
    <w:rsid w:val="7D834F1A"/>
    <w:rsid w:val="7D850AE8"/>
    <w:rsid w:val="7D857F8F"/>
    <w:rsid w:val="7D864B31"/>
    <w:rsid w:val="7D8D1E57"/>
    <w:rsid w:val="7D8F1518"/>
    <w:rsid w:val="7D8F2439"/>
    <w:rsid w:val="7D910387"/>
    <w:rsid w:val="7D9300CF"/>
    <w:rsid w:val="7D9320A0"/>
    <w:rsid w:val="7D943A85"/>
    <w:rsid w:val="7D981060"/>
    <w:rsid w:val="7D99109C"/>
    <w:rsid w:val="7D9B14E6"/>
    <w:rsid w:val="7DA24F88"/>
    <w:rsid w:val="7DA50800"/>
    <w:rsid w:val="7DA60CEF"/>
    <w:rsid w:val="7DAC7395"/>
    <w:rsid w:val="7DAD06E2"/>
    <w:rsid w:val="7DAF49AA"/>
    <w:rsid w:val="7DB02960"/>
    <w:rsid w:val="7DB30A82"/>
    <w:rsid w:val="7DB36601"/>
    <w:rsid w:val="7DB639FC"/>
    <w:rsid w:val="7DB6731E"/>
    <w:rsid w:val="7DBB694F"/>
    <w:rsid w:val="7DBD565C"/>
    <w:rsid w:val="7DC07405"/>
    <w:rsid w:val="7DC9346F"/>
    <w:rsid w:val="7DCD56F2"/>
    <w:rsid w:val="7DCF19C0"/>
    <w:rsid w:val="7DDB10A1"/>
    <w:rsid w:val="7DDC1D83"/>
    <w:rsid w:val="7DDE51D1"/>
    <w:rsid w:val="7DE65946"/>
    <w:rsid w:val="7DE903F7"/>
    <w:rsid w:val="7DF12263"/>
    <w:rsid w:val="7E0B3D48"/>
    <w:rsid w:val="7E1075B0"/>
    <w:rsid w:val="7E1110D6"/>
    <w:rsid w:val="7E1D6F02"/>
    <w:rsid w:val="7E301587"/>
    <w:rsid w:val="7E336B9E"/>
    <w:rsid w:val="7E3A287F"/>
    <w:rsid w:val="7E3D5ECB"/>
    <w:rsid w:val="7E3F60E7"/>
    <w:rsid w:val="7E434EF3"/>
    <w:rsid w:val="7E447259"/>
    <w:rsid w:val="7E467EAD"/>
    <w:rsid w:val="7E4E5490"/>
    <w:rsid w:val="7E5876C4"/>
    <w:rsid w:val="7E63226E"/>
    <w:rsid w:val="7E644414"/>
    <w:rsid w:val="7E665209"/>
    <w:rsid w:val="7E773FBD"/>
    <w:rsid w:val="7E7827B2"/>
    <w:rsid w:val="7E795155"/>
    <w:rsid w:val="7E7A2DBF"/>
    <w:rsid w:val="7E7C6F92"/>
    <w:rsid w:val="7E8F5594"/>
    <w:rsid w:val="7E9C52E7"/>
    <w:rsid w:val="7E9D72A5"/>
    <w:rsid w:val="7EA36676"/>
    <w:rsid w:val="7EA45EA7"/>
    <w:rsid w:val="7EAF501B"/>
    <w:rsid w:val="7EAF6B7F"/>
    <w:rsid w:val="7EB4618D"/>
    <w:rsid w:val="7EB52241"/>
    <w:rsid w:val="7EBF3C96"/>
    <w:rsid w:val="7EC7161E"/>
    <w:rsid w:val="7ECF59B9"/>
    <w:rsid w:val="7ED63C50"/>
    <w:rsid w:val="7ED9079C"/>
    <w:rsid w:val="7ED90DA4"/>
    <w:rsid w:val="7EDB4CEC"/>
    <w:rsid w:val="7EDD59A7"/>
    <w:rsid w:val="7EE04619"/>
    <w:rsid w:val="7EED19DC"/>
    <w:rsid w:val="7F001CE7"/>
    <w:rsid w:val="7F0F65FB"/>
    <w:rsid w:val="7F1B26B0"/>
    <w:rsid w:val="7F1C162E"/>
    <w:rsid w:val="7F210016"/>
    <w:rsid w:val="7F2326CD"/>
    <w:rsid w:val="7F2C53B3"/>
    <w:rsid w:val="7F324A76"/>
    <w:rsid w:val="7F3F4B19"/>
    <w:rsid w:val="7F452452"/>
    <w:rsid w:val="7F5F3392"/>
    <w:rsid w:val="7F69341C"/>
    <w:rsid w:val="7F737DF6"/>
    <w:rsid w:val="7F772D1B"/>
    <w:rsid w:val="7F791980"/>
    <w:rsid w:val="7F7B6CAB"/>
    <w:rsid w:val="7F817695"/>
    <w:rsid w:val="7F852FB5"/>
    <w:rsid w:val="7F8E4BD6"/>
    <w:rsid w:val="7F905A66"/>
    <w:rsid w:val="7F92418F"/>
    <w:rsid w:val="7F960197"/>
    <w:rsid w:val="7FA02BB5"/>
    <w:rsid w:val="7FA366A6"/>
    <w:rsid w:val="7FAD2113"/>
    <w:rsid w:val="7FAE6069"/>
    <w:rsid w:val="7FB34697"/>
    <w:rsid w:val="7FB44990"/>
    <w:rsid w:val="7FB456BF"/>
    <w:rsid w:val="7FB77B97"/>
    <w:rsid w:val="7FC52436"/>
    <w:rsid w:val="7FC9278B"/>
    <w:rsid w:val="7FCC1B10"/>
    <w:rsid w:val="7FD058CF"/>
    <w:rsid w:val="7FD23A12"/>
    <w:rsid w:val="7FE37C0B"/>
    <w:rsid w:val="7FE47E50"/>
    <w:rsid w:val="7FE5504C"/>
    <w:rsid w:val="7FE72592"/>
    <w:rsid w:val="7FF16F6D"/>
    <w:rsid w:val="7FF2140F"/>
    <w:rsid w:val="7FF627D5"/>
    <w:rsid w:val="7FF90700"/>
    <w:rsid w:val="7FFD1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sdException w:qFormat="1" w:unhideWhenUsed="0" w:uiPriority="0"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semiHidden="0" w:name="caption"/>
    <w:lsdException w:qFormat="1" w:unhideWhenUsed="0" w:uiPriority="0" w:semiHidden="0" w:name="table of figures"/>
    <w:lsdException w:unhideWhenUsed="0" w:uiPriority="0" w:semiHidden="0" w:name="envelope address" w:locked="1"/>
    <w:lsdException w:qFormat="1" w:unhideWhenUsed="0" w:uiPriority="0" w:name="envelope return" w:locked="1"/>
    <w:lsdException w:unhideWhenUsed="0" w:uiPriority="0" w:semiHidden="0" w:name="footnote reference" w:locked="1"/>
    <w:lsdException w:unhideWhenUsed="0" w:uiPriority="0" w:semiHidden="0" w:name="annotation reference"/>
    <w:lsdException w:unhideWhenUsed="0" w:uiPriority="0" w:semiHidden="0" w:name="line number" w:locked="1"/>
    <w:lsdException w:unhideWhenUsed="0" w:uiPriority="0" w:semiHidden="0" w:name="page number"/>
    <w:lsdException w:unhideWhenUsed="0" w:uiPriority="0" w:semiHidden="0" w:name="endnote reference" w:locked="1"/>
    <w:lsdException w:unhideWhenUsed="0" w:uiPriority="0" w:semiHidden="0" w:name="endnote text" w:locked="1"/>
    <w:lsdException w:qFormat="1"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sdException w:unhideWhenUsed="0" w:uiPriority="0" w:semiHidden="0" w:name="List 4" w:locked="1"/>
    <w:lsdException w:unhideWhenUsed="0" w:uiPriority="0" w:semiHidden="0" w:name="List 5" w:locked="1"/>
    <w:lsdException w:qFormat="1"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sdException w:unhideWhenUsed="0" w:uiPriority="0" w:semiHidden="0" w:name="Body Text Indent 3" w:locked="1"/>
    <w:lsdException w:qFormat="1" w:unhideWhenUsed="0" w:uiPriority="0" w:semiHidden="0" w:name="Block Text" w:locked="1"/>
    <w:lsdException w:unhideWhenUsed="0" w:uiPriority="0" w:semiHidden="0" w:name="Hyperlink"/>
    <w:lsdException w:unhideWhenUsed="0" w:uiPriority="0" w:semiHidden="0" w:name="FollowedHyperlink" w:locked="1"/>
    <w:lsdException w:qFormat="1" w:unhideWhenUsed="0" w:uiPriority="0" w:semiHidden="0" w:name="Strong"/>
    <w:lsdException w:qFormat="1" w:unhideWhenUsed="0" w:uiPriority="0" w:semiHidden="0" w:name="Emphasis" w:locked="1"/>
    <w:lsdException w:unhideWhenUsed="0" w:uiPriority="0" w:semiHidden="0" w:name="Document Map"/>
    <w:lsdException w:qFormat="1" w:unhideWhenUsed="0" w:uiPriority="0" w:semiHidden="0" w:name="Plain Text"/>
    <w:lsdException w:qFormat="1" w:uiPriority="99"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nhideWhenUsed="0" w:uiPriority="0" w:semiHidden="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3">
    <w:name w:val="heading 1"/>
    <w:basedOn w:val="1"/>
    <w:next w:val="1"/>
    <w:link w:val="38"/>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qFormat/>
    <w:locked/>
    <w:uiPriority w:val="0"/>
    <w:pPr>
      <w:keepNext/>
      <w:keepLines/>
      <w:spacing w:line="360" w:lineRule="auto"/>
      <w:outlineLvl w:val="1"/>
    </w:pPr>
    <w:rPr>
      <w:rFonts w:ascii="Arial" w:hAnsi="Arial"/>
      <w:b/>
      <w:bCs/>
      <w:szCs w:val="32"/>
    </w:rPr>
  </w:style>
  <w:style w:type="paragraph" w:styleId="5">
    <w:name w:val="heading 3"/>
    <w:basedOn w:val="1"/>
    <w:next w:val="1"/>
    <w:qFormat/>
    <w:locked/>
    <w:uiPriority w:val="0"/>
    <w:pPr>
      <w:keepNext/>
      <w:keepLines/>
      <w:spacing w:before="20" w:after="20"/>
      <w:jc w:val="left"/>
      <w:outlineLvl w:val="2"/>
    </w:pPr>
    <w:rPr>
      <w:rFonts w:ascii="Calibri" w:hAnsi="Calibri"/>
      <w:b/>
    </w:rPr>
  </w:style>
  <w:style w:type="paragraph" w:styleId="6">
    <w:name w:val="heading 4"/>
    <w:basedOn w:val="1"/>
    <w:next w:val="1"/>
    <w:qFormat/>
    <w:locked/>
    <w:uiPriority w:val="0"/>
    <w:pPr>
      <w:keepNext/>
      <w:keepLines/>
      <w:spacing w:line="360" w:lineRule="auto"/>
      <w:outlineLvl w:val="3"/>
    </w:pPr>
    <w:rPr>
      <w:b/>
      <w:bCs/>
    </w:rPr>
  </w:style>
  <w:style w:type="character" w:default="1" w:styleId="35">
    <w:name w:val="Default Paragraph Font"/>
    <w:semiHidden/>
    <w:unhideWhenUsed/>
    <w:qFormat/>
    <w:uiPriority w:val="1"/>
    <w:rPr>
      <w:rFonts w:ascii="Times New Roman" w:hAnsi="Times New Roman" w:eastAsia="宋体"/>
    </w:rPr>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snapToGrid w:val="0"/>
      <w:spacing w:before="60" w:after="160" w:line="259" w:lineRule="auto"/>
      <w:ind w:right="113"/>
    </w:pPr>
    <w:rPr>
      <w:kern w:val="0"/>
      <w:sz w:val="18"/>
      <w:szCs w:val="20"/>
    </w:rPr>
  </w:style>
  <w:style w:type="paragraph" w:styleId="7">
    <w:name w:val="table of authorities"/>
    <w:basedOn w:val="1"/>
    <w:next w:val="1"/>
    <w:qFormat/>
    <w:locked/>
    <w:uiPriority w:val="0"/>
    <w:pPr>
      <w:ind w:left="420" w:leftChars="200"/>
    </w:pPr>
  </w:style>
  <w:style w:type="paragraph" w:styleId="8">
    <w:name w:val="E-mail Signature"/>
    <w:basedOn w:val="1"/>
    <w:next w:val="9"/>
    <w:unhideWhenUsed/>
    <w:qFormat/>
    <w:locked/>
    <w:uiPriority w:val="99"/>
    <w:pPr>
      <w:spacing w:line="460" w:lineRule="exact"/>
      <w:ind w:firstLine="200"/>
    </w:pPr>
  </w:style>
  <w:style w:type="paragraph" w:customStyle="1" w:styleId="9">
    <w:name w:val="文章"/>
    <w:basedOn w:val="10"/>
    <w:next w:val="12"/>
    <w:qFormat/>
    <w:uiPriority w:val="0"/>
    <w:pPr>
      <w:ind w:firstLine="480"/>
      <w:jc w:val="center"/>
    </w:pPr>
    <w:rPr>
      <w:kern w:val="2"/>
      <w:sz w:val="26"/>
      <w:szCs w:val="22"/>
    </w:rPr>
  </w:style>
  <w:style w:type="paragraph" w:styleId="10">
    <w:name w:val="Body Text Indent"/>
    <w:basedOn w:val="1"/>
    <w:next w:val="11"/>
    <w:qFormat/>
    <w:uiPriority w:val="0"/>
    <w:pPr>
      <w:spacing w:after="120" w:line="360" w:lineRule="auto"/>
      <w:ind w:left="420" w:leftChars="200" w:firstLine="200" w:firstLineChars="200"/>
    </w:pPr>
    <w:rPr>
      <w:szCs w:val="24"/>
    </w:rPr>
  </w:style>
  <w:style w:type="paragraph" w:styleId="11">
    <w:name w:val="envelope return"/>
    <w:basedOn w:val="1"/>
    <w:semiHidden/>
    <w:qFormat/>
    <w:locked/>
    <w:uiPriority w:val="0"/>
    <w:pPr>
      <w:snapToGrid w:val="0"/>
    </w:pPr>
    <w:rPr>
      <w:rFonts w:ascii="Arial" w:hAnsi="Arial" w:cs="Arial"/>
    </w:rPr>
  </w:style>
  <w:style w:type="paragraph" w:styleId="12">
    <w:name w:val="List"/>
    <w:basedOn w:val="1"/>
    <w:next w:val="13"/>
    <w:qFormat/>
    <w:uiPriority w:val="0"/>
    <w:pPr>
      <w:ind w:left="200" w:hanging="200" w:hangingChars="200"/>
      <w:contextualSpacing/>
    </w:pPr>
  </w:style>
  <w:style w:type="paragraph" w:styleId="13">
    <w:name w:val="List Bullet 2"/>
    <w:basedOn w:val="1"/>
    <w:next w:val="14"/>
    <w:qFormat/>
    <w:locked/>
    <w:uiPriority w:val="0"/>
    <w:pPr>
      <w:numPr>
        <w:ilvl w:val="0"/>
        <w:numId w:val="1"/>
      </w:numPr>
    </w:pPr>
  </w:style>
  <w:style w:type="paragraph" w:customStyle="1" w:styleId="14">
    <w:name w:val="xl70"/>
    <w:basedOn w:val="1"/>
    <w:next w:val="15"/>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0"/>
      <w:szCs w:val="20"/>
    </w:rPr>
  </w:style>
  <w:style w:type="paragraph" w:customStyle="1" w:styleId="15">
    <w:name w:val="正文缩进1"/>
    <w:basedOn w:val="16"/>
    <w:next w:val="17"/>
    <w:qFormat/>
    <w:uiPriority w:val="0"/>
    <w:pPr>
      <w:spacing w:before="156" w:beforeLines="50" w:after="156" w:afterLines="50"/>
      <w:ind w:firstLine="1048" w:firstLineChars="435"/>
      <w:jc w:val="center"/>
    </w:pPr>
    <w:rPr>
      <w:rFonts w:ascii="宋体" w:hAnsi="宋体"/>
      <w:b/>
      <w:bCs/>
      <w:color w:val="000000"/>
      <w:kern w:val="24"/>
      <w:sz w:val="24"/>
    </w:rPr>
  </w:style>
  <w:style w:type="paragraph" w:styleId="16">
    <w:name w:val="Normal Indent"/>
    <w:basedOn w:val="1"/>
    <w:next w:val="1"/>
    <w:qFormat/>
    <w:uiPriority w:val="0"/>
    <w:pPr>
      <w:ind w:firstLine="420"/>
    </w:pPr>
  </w:style>
  <w:style w:type="paragraph" w:customStyle="1" w:styleId="17">
    <w:name w:val="td1"/>
    <w:basedOn w:val="1"/>
    <w:next w:val="1"/>
    <w:qFormat/>
    <w:uiPriority w:val="0"/>
    <w:pPr>
      <w:widowControl/>
      <w:spacing w:before="280" w:after="280" w:line="300" w:lineRule="atLeast"/>
      <w:ind w:firstLine="200"/>
    </w:pPr>
    <w:rPr>
      <w:color w:val="000000"/>
      <w:sz w:val="18"/>
    </w:rPr>
  </w:style>
  <w:style w:type="paragraph" w:styleId="18">
    <w:name w:val="caption"/>
    <w:basedOn w:val="1"/>
    <w:next w:val="1"/>
    <w:unhideWhenUsed/>
    <w:qFormat/>
    <w:uiPriority w:val="0"/>
    <w:rPr>
      <w:rFonts w:ascii="Arial" w:hAnsi="Arial" w:eastAsia="黑体" w:cs="Times New Roman"/>
      <w:sz w:val="20"/>
      <w:szCs w:val="20"/>
    </w:rPr>
  </w:style>
  <w:style w:type="paragraph" w:styleId="19">
    <w:name w:val="annotation text"/>
    <w:basedOn w:val="1"/>
    <w:qFormat/>
    <w:uiPriority w:val="0"/>
    <w:pPr>
      <w:jc w:val="left"/>
    </w:pPr>
  </w:style>
  <w:style w:type="paragraph" w:styleId="20">
    <w:name w:val="Block Text"/>
    <w:basedOn w:val="1"/>
    <w:qFormat/>
    <w:locked/>
    <w:uiPriority w:val="0"/>
    <w:pPr>
      <w:adjustRightInd w:val="0"/>
      <w:snapToGrid w:val="0"/>
      <w:spacing w:line="490" w:lineRule="atLeast"/>
      <w:ind w:left="10" w:leftChars="5" w:right="-449" w:rightChars="-214" w:firstLine="560" w:firstLineChars="200"/>
    </w:pPr>
    <w:rPr>
      <w:color w:val="000000"/>
      <w:sz w:val="28"/>
    </w:rPr>
  </w:style>
  <w:style w:type="paragraph" w:styleId="21">
    <w:name w:val="Plain Text"/>
    <w:basedOn w:val="1"/>
    <w:qFormat/>
    <w:uiPriority w:val="0"/>
    <w:rPr>
      <w:rFonts w:ascii="宋体"/>
    </w:rPr>
  </w:style>
  <w:style w:type="paragraph" w:styleId="22">
    <w:name w:val="List Bullet 5"/>
    <w:basedOn w:val="1"/>
    <w:qFormat/>
    <w:locked/>
    <w:uiPriority w:val="0"/>
    <w:pPr>
      <w:numPr>
        <w:ilvl w:val="0"/>
        <w:numId w:val="2"/>
      </w:numPr>
    </w:pPr>
  </w:style>
  <w:style w:type="paragraph" w:styleId="23">
    <w:name w:val="Body Text Indent 2"/>
    <w:basedOn w:val="1"/>
    <w:qFormat/>
    <w:uiPriority w:val="0"/>
    <w:pPr>
      <w:spacing w:after="120" w:line="480" w:lineRule="auto"/>
      <w:ind w:left="420" w:leftChars="200"/>
    </w:pPr>
  </w:style>
  <w:style w:type="paragraph" w:styleId="24">
    <w:name w:val="footer"/>
    <w:basedOn w:val="1"/>
    <w:qFormat/>
    <w:uiPriority w:val="99"/>
    <w:pPr>
      <w:tabs>
        <w:tab w:val="center" w:pos="4153"/>
        <w:tab w:val="right" w:pos="8306"/>
      </w:tabs>
      <w:snapToGrid w:val="0"/>
      <w:jc w:val="left"/>
    </w:pPr>
    <w:rPr>
      <w:kern w:val="0"/>
      <w:sz w:val="18"/>
      <w:szCs w:val="20"/>
    </w:rPr>
  </w:style>
  <w:style w:type="paragraph" w:styleId="2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6">
    <w:name w:val="toc 1"/>
    <w:basedOn w:val="1"/>
    <w:next w:val="1"/>
    <w:qFormat/>
    <w:uiPriority w:val="0"/>
    <w:pPr>
      <w:spacing w:line="360" w:lineRule="auto"/>
    </w:pPr>
    <w:rPr>
      <w:rFonts w:ascii="Times New Roman" w:hAnsi="Times New Roman" w:eastAsia="黑体"/>
      <w:sz w:val="28"/>
    </w:rPr>
  </w:style>
  <w:style w:type="paragraph" w:styleId="27">
    <w:name w:val="table of figures"/>
    <w:basedOn w:val="1"/>
    <w:next w:val="1"/>
    <w:qFormat/>
    <w:uiPriority w:val="0"/>
    <w:pPr>
      <w:ind w:left="1920" w:leftChars="200"/>
      <w:jc w:val="center"/>
    </w:pPr>
    <w:rPr>
      <w:rFonts w:ascii="Times New Roman" w:hAnsi="Times New Roman"/>
      <w:b/>
    </w:rPr>
  </w:style>
  <w:style w:type="paragraph" w:styleId="28">
    <w:name w:val="toc 2"/>
    <w:basedOn w:val="1"/>
    <w:next w:val="8"/>
    <w:qFormat/>
    <w:uiPriority w:val="0"/>
    <w:pPr>
      <w:ind w:left="420" w:leftChars="200"/>
    </w:pPr>
  </w:style>
  <w:style w:type="paragraph" w:styleId="29">
    <w:name w:val="Normal (Web)"/>
    <w:basedOn w:val="1"/>
    <w:qFormat/>
    <w:uiPriority w:val="0"/>
    <w:pPr>
      <w:widowControl/>
      <w:spacing w:before="100" w:beforeAutospacing="1" w:after="100" w:afterAutospacing="1"/>
      <w:jc w:val="left"/>
    </w:pPr>
    <w:rPr>
      <w:rFonts w:ascii="宋体" w:hAnsi="宋体"/>
      <w:kern w:val="0"/>
      <w:szCs w:val="20"/>
    </w:rPr>
  </w:style>
  <w:style w:type="paragraph" w:styleId="30">
    <w:name w:val="annotation subject"/>
    <w:basedOn w:val="19"/>
    <w:next w:val="1"/>
    <w:semiHidden/>
    <w:qFormat/>
    <w:uiPriority w:val="0"/>
    <w:rPr>
      <w:b/>
      <w:sz w:val="24"/>
      <w:szCs w:val="20"/>
    </w:rPr>
  </w:style>
  <w:style w:type="paragraph" w:styleId="31">
    <w:name w:val="Body Text First Indent"/>
    <w:basedOn w:val="2"/>
    <w:next w:val="32"/>
    <w:qFormat/>
    <w:uiPriority w:val="0"/>
    <w:pPr>
      <w:widowControl w:val="0"/>
      <w:snapToGrid/>
      <w:spacing w:before="0" w:line="360" w:lineRule="auto"/>
      <w:ind w:right="0" w:firstLine="200" w:firstLineChars="200"/>
    </w:pPr>
    <w:rPr>
      <w:kern w:val="2"/>
      <w:sz w:val="24"/>
      <w:szCs w:val="24"/>
    </w:rPr>
  </w:style>
  <w:style w:type="paragraph" w:styleId="32">
    <w:name w:val="Body Text First Indent 2"/>
    <w:basedOn w:val="10"/>
    <w:next w:val="31"/>
    <w:qFormat/>
    <w:uiPriority w:val="0"/>
    <w:pPr>
      <w:ind w:firstLine="200" w:firstLineChars="200"/>
    </w:p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Emphasis"/>
    <w:basedOn w:val="35"/>
    <w:qFormat/>
    <w:locked/>
    <w:uiPriority w:val="0"/>
    <w:rPr>
      <w:i/>
    </w:rPr>
  </w:style>
  <w:style w:type="paragraph" w:customStyle="1" w:styleId="37">
    <w:name w:val="xl27"/>
    <w:basedOn w:val="7"/>
    <w:next w:val="1"/>
    <w:autoRedefine/>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新宋体-18030" w:hAnsi="新宋体-18030" w:eastAsia="新宋体-18030" w:cs="新宋体-18030"/>
      <w:kern w:val="0"/>
    </w:rPr>
  </w:style>
  <w:style w:type="character" w:customStyle="1" w:styleId="38">
    <w:name w:val="标题 1 Char"/>
    <w:link w:val="3"/>
    <w:qFormat/>
    <w:uiPriority w:val="99"/>
    <w:rPr>
      <w:rFonts w:eastAsia="黑体"/>
      <w:b/>
      <w:bCs/>
      <w:color w:val="000000"/>
      <w:kern w:val="44"/>
      <w:sz w:val="30"/>
      <w:szCs w:val="30"/>
    </w:rPr>
  </w:style>
  <w:style w:type="paragraph" w:customStyle="1" w:styleId="39">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惠达康正文"/>
    <w:basedOn w:val="1"/>
    <w:link w:val="47"/>
    <w:qFormat/>
    <w:uiPriority w:val="0"/>
    <w:pPr>
      <w:adjustRightInd w:val="0"/>
      <w:snapToGrid w:val="0"/>
      <w:spacing w:line="360" w:lineRule="auto"/>
      <w:ind w:firstLine="480" w:firstLineChars="200"/>
    </w:pPr>
    <w:rPr>
      <w:rFonts w:hint="eastAsia" w:ascii="Times New Roman" w:hAnsi="Times New Roman" w:eastAsia="宋体"/>
      <w:color w:val="000000" w:themeColor="text1"/>
      <w:u w:val="none" w:color="auto"/>
      <w14:textFill>
        <w14:solidFill>
          <w14:schemeClr w14:val="tx1"/>
        </w14:solidFill>
      </w14:textFill>
    </w:rPr>
  </w:style>
  <w:style w:type="paragraph" w:customStyle="1" w:styleId="41">
    <w:name w:val="惠达康表格"/>
    <w:basedOn w:val="1"/>
    <w:link w:val="45"/>
    <w:qFormat/>
    <w:uiPriority w:val="0"/>
    <w:pPr>
      <w:adjustRightInd w:val="0"/>
      <w:snapToGrid w:val="0"/>
      <w:spacing w:line="240" w:lineRule="auto"/>
      <w:jc w:val="center"/>
    </w:pPr>
    <w:rPr>
      <w:rFonts w:hint="eastAsia" w:ascii="Times New Roman" w:hAnsi="Times New Roman" w:eastAsia="宋体"/>
      <w:color w:val="000000" w:themeColor="text1"/>
      <w:kern w:val="0"/>
      <w:sz w:val="21"/>
      <w:szCs w:val="18"/>
      <w:u w:val="none" w:color="auto"/>
      <w14:textFill>
        <w14:solidFill>
          <w14:schemeClr w14:val="tx1"/>
        </w14:solidFill>
      </w14:textFill>
    </w:rPr>
  </w:style>
  <w:style w:type="paragraph" w:customStyle="1" w:styleId="42">
    <w:name w:val="惠达康表头"/>
    <w:basedOn w:val="1"/>
    <w:link w:val="46"/>
    <w:qFormat/>
    <w:uiPriority w:val="0"/>
    <w:pPr>
      <w:adjustRightInd w:val="0"/>
      <w:snapToGrid w:val="0"/>
      <w:jc w:val="center"/>
    </w:pPr>
    <w:rPr>
      <w:rFonts w:hint="eastAsia" w:ascii="Times New Roman" w:hAnsi="Times New Roman" w:eastAsia="宋体"/>
      <w:b/>
      <w:bCs/>
      <w:color w:val="000000" w:themeColor="text1"/>
      <w:kern w:val="0"/>
      <w:sz w:val="21"/>
      <w:szCs w:val="21"/>
      <w:u w:val="none" w:color="auto"/>
      <w14:textFill>
        <w14:solidFill>
          <w14:schemeClr w14:val="tx1"/>
        </w14:solidFill>
      </w14:textFill>
    </w:rPr>
  </w:style>
  <w:style w:type="paragraph" w:customStyle="1" w:styleId="43">
    <w:name w:val="附件附图"/>
    <w:basedOn w:val="1"/>
    <w:link w:val="44"/>
    <w:qFormat/>
    <w:uiPriority w:val="0"/>
    <w:pPr>
      <w:outlineLvl w:val="0"/>
    </w:pPr>
    <w:rPr>
      <w:rFonts w:hint="eastAsia" w:ascii="Times New Roman" w:hAnsi="Times New Roman" w:eastAsia="宋体"/>
      <w:b/>
      <w:bCs/>
      <w:color w:val="000000" w:themeColor="text1"/>
      <w14:textFill>
        <w14:solidFill>
          <w14:schemeClr w14:val="tx1"/>
        </w14:solidFill>
      </w14:textFill>
    </w:rPr>
  </w:style>
  <w:style w:type="character" w:customStyle="1" w:styleId="44">
    <w:name w:val="附件附图 Char"/>
    <w:link w:val="43"/>
    <w:qFormat/>
    <w:uiPriority w:val="0"/>
    <w:rPr>
      <w:rFonts w:hint="eastAsia" w:ascii="Times New Roman" w:hAnsi="Times New Roman" w:eastAsia="宋体"/>
      <w:b/>
      <w:bCs/>
      <w:color w:val="000000" w:themeColor="text1"/>
      <w14:textFill>
        <w14:solidFill>
          <w14:schemeClr w14:val="tx1"/>
        </w14:solidFill>
      </w14:textFill>
    </w:rPr>
  </w:style>
  <w:style w:type="character" w:customStyle="1" w:styleId="45">
    <w:name w:val="富滋堂表格 Char"/>
    <w:link w:val="41"/>
    <w:qFormat/>
    <w:uiPriority w:val="0"/>
    <w:rPr>
      <w:rFonts w:hint="eastAsia" w:ascii="Times New Roman" w:hAnsi="Times New Roman" w:eastAsia="宋体"/>
      <w:color w:val="000000" w:themeColor="text1"/>
      <w:kern w:val="0"/>
      <w:sz w:val="21"/>
      <w:szCs w:val="18"/>
      <w:u w:val="none" w:color="auto"/>
      <w14:textFill>
        <w14:solidFill>
          <w14:schemeClr w14:val="tx1"/>
        </w14:solidFill>
      </w14:textFill>
    </w:rPr>
  </w:style>
  <w:style w:type="character" w:customStyle="1" w:styleId="46">
    <w:name w:val="富滋堂表头 Char"/>
    <w:link w:val="42"/>
    <w:qFormat/>
    <w:uiPriority w:val="0"/>
    <w:rPr>
      <w:rFonts w:hint="eastAsia" w:ascii="Times New Roman" w:hAnsi="Times New Roman" w:eastAsia="宋体"/>
      <w:b/>
      <w:bCs/>
      <w:color w:val="000000" w:themeColor="text1"/>
      <w:kern w:val="0"/>
      <w:sz w:val="21"/>
      <w:szCs w:val="21"/>
      <w:u w:val="none" w:color="auto"/>
      <w14:textFill>
        <w14:solidFill>
          <w14:schemeClr w14:val="tx1"/>
        </w14:solidFill>
      </w14:textFill>
    </w:rPr>
  </w:style>
  <w:style w:type="character" w:customStyle="1" w:styleId="47">
    <w:name w:val="富滋堂正文 Char"/>
    <w:link w:val="40"/>
    <w:qFormat/>
    <w:uiPriority w:val="0"/>
    <w:rPr>
      <w:rFonts w:hint="eastAsia" w:ascii="Times New Roman" w:hAnsi="Times New Roman" w:eastAsia="宋体"/>
      <w:color w:val="000000" w:themeColor="text1"/>
      <w:u w:val="none" w:color="auto"/>
      <w14:textFill>
        <w14:solidFill>
          <w14:schemeClr w14:val="tx1"/>
        </w14:solidFill>
      </w14:textFill>
    </w:rPr>
  </w:style>
  <w:style w:type="paragraph" w:customStyle="1" w:styleId="48">
    <w:name w:val="环评正文"/>
    <w:basedOn w:val="1"/>
    <w:autoRedefine/>
    <w:qFormat/>
    <w:uiPriority w:val="0"/>
    <w:pPr>
      <w:spacing w:line="360" w:lineRule="auto"/>
      <w:ind w:firstLine="560" w:firstLineChars="200"/>
      <w:jc w:val="left"/>
    </w:pPr>
    <w:rPr>
      <w:rFonts w:ascii="Times New Roman" w:hAnsi="Times New Roman" w:eastAsia="宋体" w:cs="Times New Roman"/>
      <w:sz w:val="24"/>
      <w:szCs w:val="28"/>
    </w:rPr>
  </w:style>
  <w:style w:type="paragraph" w:customStyle="1" w:styleId="49">
    <w:name w:val="富强正文"/>
    <w:basedOn w:val="1"/>
    <w:qFormat/>
    <w:uiPriority w:val="0"/>
    <w:pPr>
      <w:adjustRightInd w:val="0"/>
      <w:snapToGrid w:val="0"/>
      <w:spacing w:line="360" w:lineRule="auto"/>
      <w:ind w:firstLine="480" w:firstLineChars="200"/>
    </w:pPr>
    <w:rPr>
      <w:rFonts w:hint="eastAsia" w:ascii="Times New Roman" w:hAnsi="Times New Roman" w:eastAsia="宋体"/>
      <w:color w:val="000000" w:themeColor="text1"/>
      <w:sz w:val="24"/>
      <w:u w:val="none" w:color="auto"/>
      <w14:textFill>
        <w14:solidFill>
          <w14:schemeClr w14:val="tx1"/>
        </w14:solidFill>
      </w14:textFill>
    </w:rPr>
  </w:style>
  <w:style w:type="paragraph" w:customStyle="1" w:styleId="50">
    <w:name w:val="海红盛正文"/>
    <w:basedOn w:val="51"/>
    <w:next w:val="1"/>
    <w:autoRedefine/>
    <w:qFormat/>
    <w:uiPriority w:val="0"/>
    <w:pPr>
      <w:keepNext w:val="0"/>
      <w:keepLines w:val="0"/>
      <w:widowControl w:val="0"/>
      <w:suppressLineNumbers w:val="0"/>
      <w:autoSpaceDE w:val="0"/>
      <w:autoSpaceDN w:val="0"/>
      <w:spacing w:before="0" w:beforeAutospacing="0" w:after="0" w:afterAutospacing="0" w:line="360" w:lineRule="auto"/>
      <w:ind w:left="0" w:right="0" w:firstLine="720" w:firstLineChars="200"/>
      <w:jc w:val="left"/>
    </w:pPr>
    <w:rPr>
      <w:rFonts w:hint="eastAsia" w:ascii="宋体" w:hAnsi="宋体" w:eastAsia="宋体" w:cs="宋体"/>
      <w:color w:val="000000"/>
      <w:kern w:val="0"/>
      <w:sz w:val="24"/>
      <w:lang w:val="en-US" w:bidi="ar"/>
    </w:rPr>
  </w:style>
  <w:style w:type="paragraph" w:customStyle="1" w:styleId="51">
    <w:name w:val="文本"/>
    <w:basedOn w:val="16"/>
    <w:next w:val="1"/>
    <w:autoRedefine/>
    <w:qFormat/>
    <w:uiPriority w:val="0"/>
    <w:pPr>
      <w:autoSpaceDE w:val="0"/>
      <w:autoSpaceDN w:val="0"/>
      <w:ind w:firstLine="480"/>
    </w:pPr>
    <w:rPr>
      <w:rFonts w:cs="Times New Roman"/>
      <w:szCs w:val="24"/>
      <w:lang w:val="zh-CN"/>
    </w:rPr>
  </w:style>
  <w:style w:type="paragraph" w:customStyle="1" w:styleId="52">
    <w:name w:val="德宏正文"/>
    <w:basedOn w:val="1"/>
    <w:qFormat/>
    <w:uiPriority w:val="0"/>
    <w:pPr>
      <w:adjustRightInd/>
      <w:snapToGrid/>
      <w:spacing w:line="360" w:lineRule="auto"/>
      <w:ind w:firstLine="200" w:firstLineChars="200"/>
      <w:jc w:val="left"/>
    </w:pPr>
    <w:rPr>
      <w:rFonts w:ascii="宋体" w:hAnsi="宋体" w:eastAsia="宋体" w:cs="宋体"/>
      <w:bCs/>
      <w:sz w:val="24"/>
      <w:szCs w:val="21"/>
    </w:rPr>
  </w:style>
  <w:style w:type="paragraph" w:customStyle="1" w:styleId="53">
    <w:name w:val="文昌表头"/>
    <w:basedOn w:val="1"/>
    <w:qFormat/>
    <w:uiPriority w:val="0"/>
    <w:pPr>
      <w:adjustRightInd w:val="0"/>
      <w:snapToGrid w:val="0"/>
      <w:jc w:val="center"/>
    </w:pPr>
    <w:rPr>
      <w:rFonts w:hint="eastAsia" w:ascii="Times New Roman" w:hAnsi="Times New Roman" w:eastAsia="宋体"/>
      <w:b/>
      <w:bCs/>
      <w:color w:val="000000" w:themeColor="text1"/>
      <w:kern w:val="0"/>
      <w:sz w:val="21"/>
      <w:szCs w:val="21"/>
      <w:u w:val="none" w:color="auto"/>
      <w14:textFill>
        <w14:solidFill>
          <w14:schemeClr w14:val="tx1"/>
        </w14:solidFill>
      </w14:textFill>
    </w:rPr>
  </w:style>
  <w:style w:type="paragraph" w:customStyle="1" w:styleId="54">
    <w:name w:val="文昌表格"/>
    <w:basedOn w:val="1"/>
    <w:qFormat/>
    <w:uiPriority w:val="0"/>
    <w:pPr>
      <w:adjustRightInd w:val="0"/>
      <w:snapToGrid w:val="0"/>
      <w:spacing w:line="240" w:lineRule="auto"/>
      <w:jc w:val="center"/>
    </w:pPr>
    <w:rPr>
      <w:rFonts w:hint="eastAsia" w:ascii="Times New Roman" w:hAnsi="Times New Roman" w:eastAsia="宋体"/>
      <w:color w:val="000000" w:themeColor="text1"/>
      <w:kern w:val="0"/>
      <w:sz w:val="21"/>
      <w:szCs w:val="18"/>
      <w:u w:val="none" w:color="auto"/>
      <w14:textFill>
        <w14:solidFill>
          <w14:schemeClr w14:val="tx1"/>
        </w14:solidFill>
      </w14:textFill>
    </w:rPr>
  </w:style>
  <w:style w:type="paragraph" w:customStyle="1" w:styleId="55">
    <w:name w:val="表头"/>
    <w:basedOn w:val="56"/>
    <w:autoRedefine/>
    <w:qFormat/>
    <w:uiPriority w:val="0"/>
    <w:pPr>
      <w:spacing w:line="240" w:lineRule="auto"/>
      <w:jc w:val="left"/>
    </w:pPr>
  </w:style>
  <w:style w:type="paragraph" w:customStyle="1" w:styleId="56">
    <w:name w:val="S表名图名"/>
    <w:basedOn w:val="57"/>
    <w:autoRedefine/>
    <w:qFormat/>
    <w:uiPriority w:val="1"/>
    <w:pPr>
      <w:adjustRightInd/>
      <w:snapToGrid/>
      <w:spacing w:line="276" w:lineRule="auto"/>
      <w:ind w:firstLine="0"/>
      <w:jc w:val="center"/>
    </w:pPr>
    <w:rPr>
      <w:rFonts w:ascii="宋体" w:hAnsi="宋体" w:eastAsia="宋体"/>
      <w:b/>
      <w:sz w:val="21"/>
      <w:szCs w:val="21"/>
    </w:rPr>
  </w:style>
  <w:style w:type="paragraph" w:customStyle="1" w:styleId="57">
    <w:name w:val="S报告正文"/>
    <w:basedOn w:val="1"/>
    <w:autoRedefine/>
    <w:qFormat/>
    <w:uiPriority w:val="0"/>
    <w:pPr>
      <w:adjustRightInd w:val="0"/>
      <w:snapToGrid w:val="0"/>
      <w:spacing w:line="480" w:lineRule="exact"/>
      <w:ind w:firstLine="510"/>
      <w:jc w:val="left"/>
    </w:pPr>
    <w:rPr>
      <w:sz w:val="24"/>
    </w:rPr>
  </w:style>
  <w:style w:type="paragraph" w:customStyle="1" w:styleId="58">
    <w:name w:val="Default"/>
    <w:basedOn w:val="51"/>
    <w:next w:val="1"/>
    <w:autoRedefine/>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Times New Roman" w:eastAsia="宋体" w:cs="宋体"/>
      <w:color w:val="000000"/>
      <w:kern w:val="0"/>
      <w:sz w:val="24"/>
      <w:szCs w:val="24"/>
      <w:lang w:val="en-US" w:eastAsia="zh-CN" w:bidi="ar"/>
    </w:rPr>
  </w:style>
  <w:style w:type="paragraph" w:customStyle="1" w:styleId="59">
    <w:name w:val="报告正文"/>
    <w:basedOn w:val="1"/>
    <w:qFormat/>
    <w:uiPriority w:val="0"/>
    <w:pPr>
      <w:adjustRightInd w:val="0"/>
      <w:spacing w:beforeLines="25" w:line="360" w:lineRule="auto"/>
      <w:ind w:firstLine="482"/>
      <w:textAlignment w:val="baseline"/>
    </w:pPr>
    <w:rPr>
      <w:snapToGrid w:val="0"/>
      <w:kern w:val="24"/>
      <w:sz w:val="24"/>
      <w:szCs w:val="21"/>
    </w:rPr>
  </w:style>
  <w:style w:type="paragraph" w:customStyle="1" w:styleId="60">
    <w:name w:val="万马"/>
    <w:basedOn w:val="1"/>
    <w:autoRedefine/>
    <w:qFormat/>
    <w:uiPriority w:val="0"/>
    <w:pPr>
      <w:adjustRightInd/>
      <w:snapToGrid/>
      <w:spacing w:line="360" w:lineRule="auto"/>
      <w:ind w:firstLine="720" w:firstLineChars="200"/>
      <w:jc w:val="left"/>
    </w:pPr>
    <w:rPr>
      <w:rFonts w:ascii="宋体" w:hAnsi="宋体" w:eastAsia="宋体" w:cs="宋体"/>
      <w:bCs/>
      <w:sz w:val="24"/>
      <w:szCs w:val="21"/>
    </w:rPr>
  </w:style>
  <w:style w:type="paragraph" w:customStyle="1" w:styleId="61">
    <w:name w:val="环评表头"/>
    <w:basedOn w:val="1"/>
    <w:autoRedefine/>
    <w:qFormat/>
    <w:uiPriority w:val="0"/>
    <w:pPr>
      <w:jc w:val="center"/>
    </w:pPr>
    <w:rPr>
      <w:rFonts w:ascii="Times New Roman" w:hAnsi="Times New Roman" w:cs="Times New Roman"/>
      <w:b/>
      <w:sz w:val="21"/>
      <w:szCs w:val="28"/>
    </w:rPr>
  </w:style>
  <w:style w:type="paragraph" w:customStyle="1" w:styleId="62">
    <w:name w:val="No Spacing"/>
    <w:autoRedefine/>
    <w:qFormat/>
    <w:uiPriority w:val="1"/>
    <w:pPr>
      <w:adjustRightInd w:val="0"/>
      <w:snapToGrid w:val="0"/>
      <w:jc w:val="center"/>
    </w:pPr>
    <w:rPr>
      <w:rFonts w:ascii="Times New Roman" w:hAnsi="Times New Roman" w:eastAsia="宋体" w:cs="Times New Roman"/>
      <w:b/>
      <w:color w:val="FF0000"/>
      <w:kern w:val="0"/>
      <w:sz w:val="24"/>
      <w:szCs w:val="22"/>
      <w:lang w:val="en-US" w:eastAsia="zh-CN" w:bidi="ar-SA"/>
    </w:rPr>
  </w:style>
  <w:style w:type="paragraph" w:customStyle="1" w:styleId="63">
    <w:name w:val="无间隔1"/>
    <w:autoRedefine/>
    <w:qFormat/>
    <w:uiPriority w:val="1"/>
    <w:pPr>
      <w:adjustRightInd w:val="0"/>
      <w:snapToGrid w:val="0"/>
      <w:jc w:val="center"/>
    </w:pPr>
    <w:rPr>
      <w:rFonts w:ascii="Times New Roman" w:hAnsi="Times New Roman" w:eastAsia="宋体" w:cs="Times New Roman"/>
      <w:b/>
      <w:color w:val="FF0000"/>
      <w:sz w:val="24"/>
      <w:szCs w:val="22"/>
      <w:lang w:val="en-US" w:eastAsia="zh-CN" w:bidi="ar-SA"/>
    </w:rPr>
  </w:style>
  <w:style w:type="table" w:customStyle="1" w:styleId="64">
    <w:name w:val="Table Normal"/>
    <w:semiHidden/>
    <w:unhideWhenUsed/>
    <w:qFormat/>
    <w:uiPriority w:val="0"/>
    <w:tblPr>
      <w:tblCellMar>
        <w:top w:w="0" w:type="dxa"/>
        <w:left w:w="0" w:type="dxa"/>
        <w:bottom w:w="0" w:type="dxa"/>
        <w:right w:w="0" w:type="dxa"/>
      </w:tblCellMar>
    </w:tblPr>
  </w:style>
  <w:style w:type="paragraph" w:customStyle="1" w:styleId="65">
    <w:name w:val="表文字"/>
    <w:basedOn w:val="2"/>
    <w:autoRedefine/>
    <w:qFormat/>
    <w:uiPriority w:val="0"/>
    <w:pPr>
      <w:overflowPunct w:val="0"/>
      <w:autoSpaceDE w:val="0"/>
      <w:autoSpaceDN w:val="0"/>
      <w:adjustRightInd w:val="0"/>
      <w:snapToGrid w:val="0"/>
      <w:jc w:val="center"/>
      <w:textAlignment w:val="baseline"/>
    </w:pPr>
    <w:rPr>
      <w:rFonts w:ascii="Times New Roman" w:hAnsi="Times New Roman" w:eastAsia="宋体"/>
      <w:kern w:val="0"/>
      <w:szCs w:val="21"/>
    </w:rPr>
  </w:style>
  <w:style w:type="paragraph" w:customStyle="1" w:styleId="66">
    <w:name w:val="表格文字"/>
    <w:basedOn w:val="31"/>
    <w:next w:val="1"/>
    <w:qFormat/>
    <w:uiPriority w:val="0"/>
    <w:pPr>
      <w:adjustRightInd w:val="0"/>
      <w:snapToGrid w:val="0"/>
      <w:jc w:val="center"/>
    </w:pPr>
    <w:rPr>
      <w:rFonts w:ascii="宋体" w:hAnsi="宋体"/>
      <w:szCs w:val="18"/>
    </w:rPr>
  </w:style>
  <w:style w:type="paragraph" w:customStyle="1" w:styleId="67">
    <w:name w:val="Table Text"/>
    <w:basedOn w:val="1"/>
    <w:semiHidden/>
    <w:qFormat/>
    <w:uiPriority w:val="0"/>
    <w:rPr>
      <w:rFonts w:ascii="宋体" w:hAnsi="宋体" w:eastAsia="宋体" w:cs="宋体"/>
      <w:sz w:val="24"/>
      <w:szCs w:val="24"/>
      <w:lang w:val="en-US" w:eastAsia="en-US" w:bidi="ar-SA"/>
    </w:rPr>
  </w:style>
  <w:style w:type="paragraph" w:customStyle="1" w:styleId="68">
    <w:name w:val="正文000小四"/>
    <w:basedOn w:val="1"/>
    <w:qFormat/>
    <w:uiPriority w:val="0"/>
    <w:pPr>
      <w:spacing w:line="360" w:lineRule="auto"/>
      <w:ind w:firstLine="720" w:firstLineChars="200"/>
    </w:pPr>
    <w:rPr>
      <w:sz w:val="24"/>
      <w:szCs w:val="22"/>
    </w:rPr>
  </w:style>
  <w:style w:type="paragraph" w:customStyle="1" w:styleId="69">
    <w:name w:val="333表头"/>
    <w:basedOn w:val="1"/>
    <w:next w:val="1"/>
    <w:qFormat/>
    <w:uiPriority w:val="0"/>
    <w:pPr>
      <w:spacing w:line="240" w:lineRule="auto"/>
      <w:ind w:firstLine="0" w:firstLineChars="0"/>
      <w:jc w:val="center"/>
    </w:pPr>
    <w:rPr>
      <w:rFonts w:cs="Times New Roman"/>
      <w:b/>
      <w:sz w:val="21"/>
      <w:szCs w:val="22"/>
    </w:rPr>
  </w:style>
  <w:style w:type="paragraph" w:customStyle="1" w:styleId="70">
    <w:name w:val="333表格"/>
    <w:basedOn w:val="1"/>
    <w:next w:val="1"/>
    <w:qFormat/>
    <w:uiPriority w:val="0"/>
    <w:pPr>
      <w:spacing w:line="240" w:lineRule="auto"/>
      <w:ind w:firstLine="0" w:firstLineChars="0"/>
      <w:jc w:val="center"/>
    </w:pPr>
    <w:rPr>
      <w:kern w:val="0"/>
      <w:sz w:val="21"/>
      <w:szCs w:val="22"/>
    </w:rPr>
  </w:style>
  <w:style w:type="paragraph" w:customStyle="1" w:styleId="71">
    <w:name w:val="鼎炉正文"/>
    <w:basedOn w:val="1"/>
    <w:autoRedefine/>
    <w:qFormat/>
    <w:uiPriority w:val="0"/>
    <w:pPr>
      <w:autoSpaceDE w:val="0"/>
      <w:autoSpaceDN w:val="0"/>
      <w:adjustRightInd/>
      <w:snapToGrid/>
      <w:spacing w:line="360" w:lineRule="auto"/>
      <w:ind w:firstLine="720" w:firstLineChars="200"/>
    </w:pPr>
    <w:rPr>
      <w:rFonts w:ascii="宋体" w:hAnsi="宋体" w:cs="宋体"/>
      <w:kern w:val="0"/>
      <w:sz w:val="24"/>
      <w:szCs w:val="21"/>
    </w:rPr>
  </w:style>
  <w:style w:type="paragraph" w:customStyle="1" w:styleId="72">
    <w:name w:val="威嘉生物 表格"/>
    <w:basedOn w:val="1"/>
    <w:autoRedefine/>
    <w:qFormat/>
    <w:uiPriority w:val="0"/>
    <w:pPr>
      <w:spacing w:line="240" w:lineRule="auto"/>
      <w:jc w:val="center"/>
    </w:pPr>
    <w:rPr>
      <w:rFonts w:hint="eastAsia"/>
      <w:b/>
      <w:sz w:val="21"/>
    </w:rPr>
  </w:style>
  <w:style w:type="paragraph" w:customStyle="1" w:styleId="73">
    <w:name w:val="至科正文"/>
    <w:basedOn w:val="1"/>
    <w:autoRedefine/>
    <w:qFormat/>
    <w:uiPriority w:val="0"/>
    <w:pPr>
      <w:adjustRightInd/>
      <w:snapToGrid/>
      <w:spacing w:line="360" w:lineRule="auto"/>
      <w:ind w:firstLine="720" w:firstLineChars="200"/>
      <w:jc w:val="left"/>
    </w:pPr>
    <w:rPr>
      <w:rFonts w:ascii="宋体" w:hAnsi="宋体" w:eastAsia="宋体" w:cs="宋体"/>
      <w:bCs/>
      <w:sz w:val="24"/>
      <w:szCs w:val="21"/>
    </w:rPr>
  </w:style>
  <w:style w:type="paragraph" w:customStyle="1" w:styleId="74">
    <w:name w:val="纯文本1"/>
    <w:basedOn w:val="1"/>
    <w:autoRedefine/>
    <w:qFormat/>
    <w:uiPriority w:val="0"/>
    <w:pPr>
      <w:adjustRightInd w:val="0"/>
    </w:pPr>
    <w:rPr>
      <w:rFonts w:hAnsi="Courier New"/>
      <w:szCs w:val="20"/>
    </w:rPr>
  </w:style>
  <w:style w:type="paragraph" w:customStyle="1" w:styleId="75">
    <w:name w:val="广用正文"/>
    <w:basedOn w:val="1"/>
    <w:autoRedefine/>
    <w:qFormat/>
    <w:uiPriority w:val="0"/>
    <w:pPr>
      <w:autoSpaceDE w:val="0"/>
      <w:autoSpaceDN w:val="0"/>
      <w:adjustRightInd/>
      <w:snapToGrid/>
      <w:spacing w:line="360" w:lineRule="auto"/>
      <w:ind w:firstLine="200" w:firstLineChars="200"/>
    </w:pPr>
    <w:rPr>
      <w:rFonts w:ascii="宋体" w:cs="宋体"/>
      <w:kern w:val="0"/>
      <w:sz w:val="24"/>
      <w:szCs w:val="21"/>
    </w:rPr>
  </w:style>
  <w:style w:type="paragraph" w:customStyle="1" w:styleId="76">
    <w:name w:val="至科表头"/>
    <w:basedOn w:val="1"/>
    <w:autoRedefine/>
    <w:qFormat/>
    <w:uiPriority w:val="0"/>
    <w:pPr>
      <w:spacing w:line="240" w:lineRule="auto"/>
      <w:ind w:firstLine="0" w:firstLineChars="0"/>
      <w:jc w:val="center"/>
    </w:pPr>
    <w:rPr>
      <w:rFonts w:ascii="宋体" w:hAnsi="宋体" w:eastAsia="宋体" w:cs="宋体"/>
      <w:b/>
      <w:bCs/>
      <w:szCs w:val="21"/>
    </w:rPr>
  </w:style>
  <w:style w:type="paragraph" w:customStyle="1" w:styleId="77">
    <w:name w:val="环评表格"/>
    <w:basedOn w:val="1"/>
    <w:qFormat/>
    <w:uiPriority w:val="0"/>
    <w:pPr>
      <w:adjustRightInd w:val="0"/>
      <w:snapToGrid w:val="0"/>
      <w:spacing w:line="240" w:lineRule="auto"/>
      <w:jc w:val="center"/>
    </w:pPr>
    <w:rPr>
      <w:rFonts w:hint="eastAsia" w:ascii="Times New Roman" w:hAnsi="Times New Roman" w:eastAsia="宋体"/>
      <w:color w:val="000000" w:themeColor="text1"/>
      <w:kern w:val="0"/>
      <w:sz w:val="21"/>
      <w:szCs w:val="18"/>
      <w:u w:val="none" w:color="auto"/>
      <w14:textFill>
        <w14:solidFill>
          <w14:schemeClr w14:val="tx1"/>
        </w14:solidFill>
      </w14:textFill>
    </w:rPr>
  </w:style>
</w:styles>
</file>

<file path=word/_rels/document.xml.rels><?xml version="1.0" encoding="UTF-8" standalone="yes"?>
<Relationships xmlns="http://schemas.openxmlformats.org/package/2006/relationships"><Relationship Id="rId99" Type="http://schemas.openxmlformats.org/officeDocument/2006/relationships/image" Target="media/image85.jpeg"/><Relationship Id="rId98" Type="http://schemas.openxmlformats.org/officeDocument/2006/relationships/image" Target="media/image84.jpeg"/><Relationship Id="rId97" Type="http://schemas.openxmlformats.org/officeDocument/2006/relationships/image" Target="media/image83.png"/><Relationship Id="rId96" Type="http://schemas.openxmlformats.org/officeDocument/2006/relationships/image" Target="media/image82.png"/><Relationship Id="rId95" Type="http://schemas.openxmlformats.org/officeDocument/2006/relationships/image" Target="media/image81.png"/><Relationship Id="rId94" Type="http://schemas.openxmlformats.org/officeDocument/2006/relationships/image" Target="media/image80.png"/><Relationship Id="rId93" Type="http://schemas.openxmlformats.org/officeDocument/2006/relationships/image" Target="media/image79.png"/><Relationship Id="rId92" Type="http://schemas.openxmlformats.org/officeDocument/2006/relationships/image" Target="media/image78.png"/><Relationship Id="rId91" Type="http://schemas.openxmlformats.org/officeDocument/2006/relationships/image" Target="media/image77.png"/><Relationship Id="rId90" Type="http://schemas.openxmlformats.org/officeDocument/2006/relationships/image" Target="media/image76.png"/><Relationship Id="rId9" Type="http://schemas.openxmlformats.org/officeDocument/2006/relationships/footer" Target="footer6.xml"/><Relationship Id="rId89" Type="http://schemas.openxmlformats.org/officeDocument/2006/relationships/image" Target="media/image75.png"/><Relationship Id="rId88" Type="http://schemas.openxmlformats.org/officeDocument/2006/relationships/image" Target="media/image74.png"/><Relationship Id="rId87" Type="http://schemas.openxmlformats.org/officeDocument/2006/relationships/image" Target="media/image73.png"/><Relationship Id="rId86" Type="http://schemas.openxmlformats.org/officeDocument/2006/relationships/image" Target="media/image72.png"/><Relationship Id="rId85" Type="http://schemas.openxmlformats.org/officeDocument/2006/relationships/image" Target="media/image71.png"/><Relationship Id="rId84" Type="http://schemas.openxmlformats.org/officeDocument/2006/relationships/image" Target="media/image70.png"/><Relationship Id="rId83" Type="http://schemas.openxmlformats.org/officeDocument/2006/relationships/image" Target="media/image69.png"/><Relationship Id="rId82" Type="http://schemas.openxmlformats.org/officeDocument/2006/relationships/image" Target="media/image68.png"/><Relationship Id="rId81" Type="http://schemas.openxmlformats.org/officeDocument/2006/relationships/image" Target="media/image67.png"/><Relationship Id="rId80" Type="http://schemas.openxmlformats.org/officeDocument/2006/relationships/image" Target="media/image66.png"/><Relationship Id="rId8" Type="http://schemas.openxmlformats.org/officeDocument/2006/relationships/footer" Target="footer5.xml"/><Relationship Id="rId79" Type="http://schemas.openxmlformats.org/officeDocument/2006/relationships/image" Target="media/image65.png"/><Relationship Id="rId78" Type="http://schemas.openxmlformats.org/officeDocument/2006/relationships/image" Target="media/image64.png"/><Relationship Id="rId77" Type="http://schemas.openxmlformats.org/officeDocument/2006/relationships/image" Target="media/image63.png"/><Relationship Id="rId76" Type="http://schemas.openxmlformats.org/officeDocument/2006/relationships/image" Target="media/image62.png"/><Relationship Id="rId75" Type="http://schemas.openxmlformats.org/officeDocument/2006/relationships/image" Target="media/image61.png"/><Relationship Id="rId74" Type="http://schemas.openxmlformats.org/officeDocument/2006/relationships/image" Target="media/image60.png"/><Relationship Id="rId73" Type="http://schemas.openxmlformats.org/officeDocument/2006/relationships/image" Target="media/image59.png"/><Relationship Id="rId72" Type="http://schemas.openxmlformats.org/officeDocument/2006/relationships/image" Target="media/image58.png"/><Relationship Id="rId71" Type="http://schemas.openxmlformats.org/officeDocument/2006/relationships/image" Target="media/image57.png"/><Relationship Id="rId70" Type="http://schemas.openxmlformats.org/officeDocument/2006/relationships/image" Target="media/image56.png"/><Relationship Id="rId7" Type="http://schemas.openxmlformats.org/officeDocument/2006/relationships/header" Target="header1.xml"/><Relationship Id="rId69" Type="http://schemas.openxmlformats.org/officeDocument/2006/relationships/image" Target="media/image55.png"/><Relationship Id="rId68" Type="http://schemas.openxmlformats.org/officeDocument/2006/relationships/image" Target="media/image54.png"/><Relationship Id="rId67" Type="http://schemas.openxmlformats.org/officeDocument/2006/relationships/image" Target="media/image53.png"/><Relationship Id="rId66" Type="http://schemas.openxmlformats.org/officeDocument/2006/relationships/image" Target="media/image52.png"/><Relationship Id="rId65" Type="http://schemas.openxmlformats.org/officeDocument/2006/relationships/image" Target="media/image51.png"/><Relationship Id="rId64" Type="http://schemas.openxmlformats.org/officeDocument/2006/relationships/image" Target="media/image50.png"/><Relationship Id="rId63" Type="http://schemas.openxmlformats.org/officeDocument/2006/relationships/image" Target="media/image49.png"/><Relationship Id="rId62" Type="http://schemas.openxmlformats.org/officeDocument/2006/relationships/image" Target="media/image48.png"/><Relationship Id="rId61" Type="http://schemas.openxmlformats.org/officeDocument/2006/relationships/image" Target="media/image47.png"/><Relationship Id="rId60" Type="http://schemas.openxmlformats.org/officeDocument/2006/relationships/image" Target="media/image46.png"/><Relationship Id="rId6" Type="http://schemas.openxmlformats.org/officeDocument/2006/relationships/footer" Target="footer4.xml"/><Relationship Id="rId59" Type="http://schemas.openxmlformats.org/officeDocument/2006/relationships/image" Target="media/image45.png"/><Relationship Id="rId58" Type="http://schemas.openxmlformats.org/officeDocument/2006/relationships/image" Target="media/image44.png"/><Relationship Id="rId57" Type="http://schemas.openxmlformats.org/officeDocument/2006/relationships/image" Target="media/image43.png"/><Relationship Id="rId56" Type="http://schemas.openxmlformats.org/officeDocument/2006/relationships/image" Target="media/image42.png"/><Relationship Id="rId55" Type="http://schemas.openxmlformats.org/officeDocument/2006/relationships/image" Target="media/image41.png"/><Relationship Id="rId54" Type="http://schemas.openxmlformats.org/officeDocument/2006/relationships/image" Target="media/image40.png"/><Relationship Id="rId53" Type="http://schemas.openxmlformats.org/officeDocument/2006/relationships/image" Target="media/image39.png"/><Relationship Id="rId52" Type="http://schemas.openxmlformats.org/officeDocument/2006/relationships/image" Target="media/image38.png"/><Relationship Id="rId51" Type="http://schemas.openxmlformats.org/officeDocument/2006/relationships/image" Target="media/image37.png"/><Relationship Id="rId50" Type="http://schemas.openxmlformats.org/officeDocument/2006/relationships/image" Target="media/image36.png"/><Relationship Id="rId5" Type="http://schemas.openxmlformats.org/officeDocument/2006/relationships/footer" Target="footer3.xml"/><Relationship Id="rId49" Type="http://schemas.openxmlformats.org/officeDocument/2006/relationships/image" Target="media/image35.png"/><Relationship Id="rId48" Type="http://schemas.openxmlformats.org/officeDocument/2006/relationships/image" Target="media/image34.png"/><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jpeg"/><Relationship Id="rId40" Type="http://schemas.openxmlformats.org/officeDocument/2006/relationships/image" Target="media/image26.jpeg"/><Relationship Id="rId4" Type="http://schemas.openxmlformats.org/officeDocument/2006/relationships/footer" Target="footer2.xml"/><Relationship Id="rId39" Type="http://schemas.openxmlformats.org/officeDocument/2006/relationships/image" Target="media/image25.jpeg"/><Relationship Id="rId38" Type="http://schemas.openxmlformats.org/officeDocument/2006/relationships/image" Target="media/image24.jpeg"/><Relationship Id="rId37" Type="http://schemas.openxmlformats.org/officeDocument/2006/relationships/image" Target="media/image23.jpeg"/><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er" Target="foot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jpe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jpeg"/><Relationship Id="rId17" Type="http://schemas.openxmlformats.org/officeDocument/2006/relationships/image" Target="media/image3.jpe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footer" Target="footer9.xml"/><Relationship Id="rId117" Type="http://schemas.openxmlformats.org/officeDocument/2006/relationships/fontTable" Target="fontTable.xml"/><Relationship Id="rId116" Type="http://schemas.openxmlformats.org/officeDocument/2006/relationships/numbering" Target="numbering.xml"/><Relationship Id="rId115" Type="http://schemas.openxmlformats.org/officeDocument/2006/relationships/customXml" Target="../customXml/item1.xml"/><Relationship Id="rId114" Type="http://schemas.openxmlformats.org/officeDocument/2006/relationships/image" Target="media/image100.jpeg"/><Relationship Id="rId113" Type="http://schemas.openxmlformats.org/officeDocument/2006/relationships/image" Target="media/image99.jpeg"/><Relationship Id="rId112" Type="http://schemas.openxmlformats.org/officeDocument/2006/relationships/image" Target="media/image98.jpeg"/><Relationship Id="rId111" Type="http://schemas.openxmlformats.org/officeDocument/2006/relationships/image" Target="media/image97.png"/><Relationship Id="rId110" Type="http://schemas.openxmlformats.org/officeDocument/2006/relationships/image" Target="media/image96.jpeg"/><Relationship Id="rId11" Type="http://schemas.openxmlformats.org/officeDocument/2006/relationships/footer" Target="footer8.xml"/><Relationship Id="rId109" Type="http://schemas.openxmlformats.org/officeDocument/2006/relationships/image" Target="media/image95.png"/><Relationship Id="rId108" Type="http://schemas.openxmlformats.org/officeDocument/2006/relationships/image" Target="media/image94.png"/><Relationship Id="rId107" Type="http://schemas.openxmlformats.org/officeDocument/2006/relationships/image" Target="media/image93.png"/><Relationship Id="rId106" Type="http://schemas.openxmlformats.org/officeDocument/2006/relationships/image" Target="media/image92.png"/><Relationship Id="rId105" Type="http://schemas.openxmlformats.org/officeDocument/2006/relationships/image" Target="media/image91.png"/><Relationship Id="rId104" Type="http://schemas.openxmlformats.org/officeDocument/2006/relationships/image" Target="media/image90.png"/><Relationship Id="rId103" Type="http://schemas.openxmlformats.org/officeDocument/2006/relationships/image" Target="media/image89.png"/><Relationship Id="rId102" Type="http://schemas.openxmlformats.org/officeDocument/2006/relationships/image" Target="media/image88.png"/><Relationship Id="rId101" Type="http://schemas.openxmlformats.org/officeDocument/2006/relationships/image" Target="media/image87.png"/><Relationship Id="rId100" Type="http://schemas.openxmlformats.org/officeDocument/2006/relationships/image" Target="media/image86.png"/><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shade val="50000"/>
          </a:schemeClr>
        </a:lnRef>
        <a:fillRef idx="1">
          <a:schemeClr val="accent1"/>
        </a:fillRef>
        <a:effectRef idx="0">
          <a:schemeClr val="accent1"/>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177</Pages>
  <Words>22842</Words>
  <Characters>24372</Characters>
  <Lines>1</Lines>
  <Paragraphs>1</Paragraphs>
  <TotalTime>1</TotalTime>
  <ScaleCrop>false</ScaleCrop>
  <LinksUpToDate>false</LinksUpToDate>
  <CharactersWithSpaces>24405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2021-05-27T13:29:00Z</dcterms:created>
  <cp:lastPrinted>2025-01-06T01:46:00Z</cp:lastPrinted>
  <dcterms:modified xsi:type="dcterms:W3CDTF">2026-08-21T02:39:41Z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6A5C866E6EC14A998C98CD455E0137CB_13</vt:lpwstr>
  </property>
  <property fmtid="{D5CDD505-2E9C-101B-9397-08002B2CF9AE}" pid="4" name="KSOTemplateDocerSaveRecord">
    <vt:lpwstr>eyJoZGlkIjoiYTU3ZjY2YWVkYzk4OTIwMGYwYTQzMTdkZTYwYjEzZGIiLCJ1c2VySWQiOiI3ODcwODkxNzYifQ==</vt:lpwstr>
  </property>
</Properties>
</file>