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pStyle w:val="9"/>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中方县滨江路污水提升泵站改造工程专项</w:t>
      </w:r>
    </w:p>
    <w:p>
      <w:pPr>
        <w:pStyle w:val="9"/>
        <w:spacing w:line="510" w:lineRule="exact"/>
        <w:jc w:val="center"/>
        <w:rPr>
          <w:rFonts w:ascii="Times New Roman" w:hAnsi="Times New Roman" w:eastAsia="黑体"/>
          <w:sz w:val="44"/>
          <w:szCs w:val="44"/>
        </w:rPr>
      </w:pPr>
      <w:r>
        <w:rPr>
          <w:rFonts w:ascii="Times New Roman" w:hAnsi="Times New Roman" w:eastAsia="黑体"/>
          <w:sz w:val="44"/>
          <w:szCs w:val="44"/>
        </w:rPr>
        <w:t>项目支出绩效</w:t>
      </w:r>
      <w:r>
        <w:rPr>
          <w:rFonts w:hint="eastAsia" w:ascii="Times New Roman" w:hAnsi="Times New Roman" w:eastAsia="黑体"/>
          <w:sz w:val="44"/>
          <w:szCs w:val="44"/>
          <w:lang w:eastAsia="zh-CN"/>
        </w:rPr>
        <w:t>自评</w:t>
      </w:r>
      <w:r>
        <w:rPr>
          <w:rFonts w:ascii="Times New Roman" w:hAnsi="Times New Roman" w:eastAsia="黑体"/>
          <w:sz w:val="44"/>
          <w:szCs w:val="44"/>
        </w:rPr>
        <w:t>报告</w:t>
      </w:r>
    </w:p>
    <w:p>
      <w:pPr>
        <w:pStyle w:val="9"/>
        <w:spacing w:line="510" w:lineRule="exact"/>
        <w:ind w:firstLine="643" w:firstLineChars="200"/>
        <w:rPr>
          <w:rFonts w:ascii="Times New Roman" w:hAnsi="Times New Roman" w:eastAsia="楷体"/>
          <w:b/>
          <w:sz w:val="32"/>
          <w:szCs w:val="32"/>
        </w:rPr>
      </w:pP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一、基本情况</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（一）项目概况。</w:t>
      </w:r>
    </w:p>
    <w:p>
      <w:pPr>
        <w:pStyle w:val="9"/>
        <w:spacing w:line="51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项目概况：滨江路污水提升泵站于2010年投入运行，目前泵站线路老化，潜污泵锈蚀严重，液位计不能正常工作排水完</w:t>
      </w:r>
      <w:bookmarkStart w:id="0" w:name="_GoBack"/>
      <w:bookmarkEnd w:id="0"/>
      <w:r>
        <w:rPr>
          <w:rFonts w:hint="eastAsia" w:ascii="Times New Roman" w:hAnsi="Times New Roman" w:eastAsia="仿宋"/>
          <w:sz w:val="32"/>
          <w:szCs w:val="32"/>
          <w:lang w:val="en-US" w:eastAsia="zh-CN"/>
        </w:rPr>
        <w:t>全靠人力手动，故障频发，报县领导同意对泵站进行提质改造。项目总金额29.38万元，2020年支付尾款9.11万元。</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项目绩效目标。</w:t>
      </w:r>
    </w:p>
    <w:p>
      <w:pPr>
        <w:pStyle w:val="9"/>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完善县城污水管网运输系统，确保县城污水及时有效得到处理。</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二、绩效评价工作开展情况</w:t>
      </w:r>
    </w:p>
    <w:p>
      <w:pPr>
        <w:widowControl/>
        <w:spacing w:line="60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（一）绩效评价目的、对象和范围。</w:t>
      </w:r>
    </w:p>
    <w:p>
      <w:pPr>
        <w:pStyle w:val="9"/>
        <w:numPr>
          <w:ilvl w:val="0"/>
          <w:numId w:val="0"/>
        </w:numPr>
        <w:spacing w:line="510" w:lineRule="exact"/>
        <w:ind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 全面评价2020年中方县滨江路污水提升泵站改造项目资金使用与支出效果，保证资金使用到位，提高资金使用效率。</w:t>
      </w:r>
    </w:p>
    <w:p>
      <w:pPr>
        <w:pStyle w:val="9"/>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（二）绩效评价原则、评价指标体系（附表说明）、评价方法、评价标准等。</w:t>
      </w:r>
    </w:p>
    <w:p>
      <w:pPr>
        <w:pStyle w:val="9"/>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1、客观公正，公平公开。考核过程全面公开，每项考核记录、数据均可面向考核单位公开查询比对。</w:t>
      </w:r>
    </w:p>
    <w:p>
      <w:pPr>
        <w:pStyle w:val="9"/>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2、分类施策，科学考评。针对各考核单位不同情况实行分类考核，并采取数字城管、现场检查、专项督办、正负面清单等多种手段相结合的考核方式。</w:t>
      </w:r>
    </w:p>
    <w:p>
      <w:pPr>
        <w:pStyle w:val="9"/>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3、突出重点，循序渐进。先重点解决明显突出的问题，再兼顾全面，逐步提高和细化考核标准。</w:t>
      </w:r>
    </w:p>
    <w:p>
      <w:pPr>
        <w:pStyle w:val="9"/>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（三）绩效评价工作过程。</w:t>
      </w:r>
    </w:p>
    <w:p>
      <w:pPr>
        <w:pStyle w:val="9"/>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县财政局绩效评价股对中方县城市管理行政执法大队下达了绩效评价通知。评价过程中听取了中方县城市管理行政执法大队的情况介绍，翻阅了相关资料，了解了2020年中方县滨江路污水提升泵站改造项目资金的拨付和发放流程，侧重调查资金发放的真实性、公平性。</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三、综合评价情况及评价结论（附相关评分表）</w:t>
      </w:r>
    </w:p>
    <w:p>
      <w:pPr>
        <w:pStyle w:val="9"/>
        <w:numPr>
          <w:ilvl w:val="0"/>
          <w:numId w:val="0"/>
        </w:numPr>
        <w:spacing w:line="510" w:lineRule="exact"/>
        <w:ind w:firstLine="640" w:firstLineChars="200"/>
        <w:rPr>
          <w:rFonts w:ascii="Times New Roman" w:hAnsi="Times New Roman" w:eastAsia="楷体"/>
          <w:b/>
          <w:sz w:val="32"/>
          <w:szCs w:val="32"/>
        </w:rPr>
      </w:pPr>
      <w:r>
        <w:rPr>
          <w:rFonts w:hint="eastAsia" w:ascii="Times New Roman" w:hAnsi="Times New Roman" w:eastAsia="仿宋"/>
          <w:sz w:val="32"/>
          <w:szCs w:val="32"/>
          <w:lang w:val="en-US" w:eastAsia="zh-CN"/>
        </w:rPr>
        <w:t>针对通过自我评价，认为2020年中方县滨江路污水提升泵站改造项目申报材料规范齐全、评审程序公平公正，宣传政策到位，资金的发放与管理符合规范。本项目经费支出绩效评价综合得分98分，结果为优。</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四、绩效评价指标分析</w:t>
      </w:r>
    </w:p>
    <w:p>
      <w:pPr>
        <w:pStyle w:val="9"/>
        <w:numPr>
          <w:ilvl w:val="0"/>
          <w:numId w:val="0"/>
        </w:numPr>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（一）项目决策情况。</w:t>
      </w:r>
    </w:p>
    <w:p>
      <w:pPr>
        <w:pStyle w:val="9"/>
        <w:numPr>
          <w:ilvl w:val="0"/>
          <w:numId w:val="0"/>
        </w:numPr>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为更加完善县城污水输送系统，县委县政府同意对滨江路污水提升泵站进行改造，完成后县城污水运输系统功能更加健全，效率更高，为建设宜居中方创造更好条件。</w:t>
      </w:r>
    </w:p>
    <w:p>
      <w:pPr>
        <w:pStyle w:val="9"/>
        <w:numPr>
          <w:ilvl w:val="0"/>
          <w:numId w:val="0"/>
        </w:numPr>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（二）项目过程情况</w:t>
      </w:r>
    </w:p>
    <w:p>
      <w:pPr>
        <w:pStyle w:val="9"/>
        <w:numPr>
          <w:ilvl w:val="0"/>
          <w:numId w:val="0"/>
        </w:numPr>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结合实际情况，科学设置支出科目，规范财务核算，完整披露相关信息。项目按规定的程序及标准进行。</w:t>
      </w:r>
    </w:p>
    <w:p>
      <w:pPr>
        <w:pStyle w:val="9"/>
        <w:numPr>
          <w:ilvl w:val="0"/>
          <w:numId w:val="0"/>
        </w:numPr>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（三）项目产出情况。</w:t>
      </w:r>
    </w:p>
    <w:p>
      <w:pPr>
        <w:pStyle w:val="9"/>
        <w:numPr>
          <w:ilvl w:val="0"/>
          <w:numId w:val="0"/>
        </w:numPr>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泵站运行安全得到很好保障，全年运行无任何安全问题，设备稳定运行。</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（四）项目效益情况。</w:t>
      </w:r>
    </w:p>
    <w:p>
      <w:pPr>
        <w:pStyle w:val="9"/>
        <w:numPr>
          <w:ilvl w:val="0"/>
          <w:numId w:val="0"/>
        </w:numPr>
        <w:spacing w:line="51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sz w:val="32"/>
          <w:szCs w:val="32"/>
          <w:lang w:val="en-US" w:eastAsia="zh-CN"/>
        </w:rPr>
        <w:t>县城污水输送能力极大提升，为县城广大居民提供了更好的工作居住环境，为建设宜居中方创造更好条件。</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五、主要经验及做法、存在的问题及原因分析</w:t>
      </w:r>
    </w:p>
    <w:p>
      <w:pPr>
        <w:pStyle w:val="9"/>
        <w:numPr>
          <w:ilvl w:val="0"/>
          <w:numId w:val="0"/>
        </w:numPr>
        <w:spacing w:line="510" w:lineRule="exact"/>
        <w:ind w:firstLine="640" w:firstLineChars="200"/>
        <w:rPr>
          <w:rFonts w:hint="eastAsia" w:ascii="Times New Roman" w:hAnsi="Times New Roman" w:eastAsia="仿宋"/>
          <w:b/>
          <w:sz w:val="32"/>
          <w:szCs w:val="32"/>
          <w:lang w:eastAsia="zh-CN"/>
        </w:rPr>
      </w:pPr>
      <w:r>
        <w:rPr>
          <w:rFonts w:hint="eastAsia" w:ascii="Times New Roman" w:hAnsi="Times New Roman" w:eastAsia="仿宋"/>
          <w:sz w:val="32"/>
          <w:szCs w:val="32"/>
        </w:rPr>
        <w:t>滨江路污水提升泵站改造中方县城市管理行政执法大队对2020年县财政下拨的该专项资金管理规范，合理开支，保证了资金使用到位，提高资金使用效率，达到了美化县城环境，改善县城生态环境的预期目标及有关要求，社会、经济效益显著，群众满意率达到95%以上</w:t>
      </w:r>
      <w:r>
        <w:rPr>
          <w:rFonts w:hint="eastAsia" w:ascii="Times New Roman" w:hAnsi="Times New Roman" w:eastAsia="仿宋"/>
          <w:sz w:val="32"/>
          <w:szCs w:val="32"/>
          <w:lang w:eastAsia="zh-CN"/>
        </w:rPr>
        <w:t>。</w:t>
      </w:r>
    </w:p>
    <w:p>
      <w:pPr>
        <w:pStyle w:val="9"/>
        <w:numPr>
          <w:ilvl w:val="0"/>
          <w:numId w:val="1"/>
        </w:numPr>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有关建议</w:t>
      </w:r>
    </w:p>
    <w:p>
      <w:pPr>
        <w:pStyle w:val="9"/>
        <w:numPr>
          <w:ilvl w:val="0"/>
          <w:numId w:val="0"/>
        </w:numPr>
        <w:spacing w:line="510" w:lineRule="exact"/>
        <w:ind w:firstLine="640" w:firstLineChars="200"/>
        <w:rPr>
          <w:rFonts w:hint="eastAsia" w:ascii="Times New Roman" w:hAnsi="Times New Roman" w:eastAsia="仿宋"/>
          <w:b/>
          <w:sz w:val="32"/>
          <w:szCs w:val="32"/>
          <w:lang w:val="en-US" w:eastAsia="zh-CN"/>
        </w:rPr>
      </w:pPr>
      <w:r>
        <w:rPr>
          <w:rFonts w:hint="eastAsia" w:ascii="Times New Roman" w:hAnsi="Times New Roman" w:eastAsia="仿宋"/>
          <w:sz w:val="32"/>
          <w:szCs w:val="32"/>
        </w:rPr>
        <w:t>随着物价指数和人工工资的增长，</w:t>
      </w:r>
      <w:r>
        <w:rPr>
          <w:rFonts w:hint="eastAsia" w:ascii="Times New Roman" w:hAnsi="Times New Roman" w:eastAsia="仿宋"/>
          <w:sz w:val="32"/>
          <w:szCs w:val="32"/>
          <w:lang w:eastAsia="zh-CN"/>
        </w:rPr>
        <w:t>建议提高后期维护管理的相关费用。</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七、其他需要说明的问题</w:t>
      </w:r>
    </w:p>
    <w:p>
      <w:pPr>
        <w:widowControl/>
        <w:spacing w:line="510" w:lineRule="exact"/>
        <w:ind w:firstLine="645"/>
        <w:jc w:val="left"/>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widowControl/>
        <w:spacing w:line="510" w:lineRule="exact"/>
        <w:ind w:firstLine="1600" w:firstLineChars="500"/>
        <w:jc w:val="left"/>
        <w:rPr>
          <w:rFonts w:ascii="Times New Roman" w:hAnsi="Times New Roman" w:eastAsia="仿宋_GB2312"/>
          <w:sz w:val="32"/>
          <w:szCs w:val="32"/>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9"/>
        <w:spacing w:line="510" w:lineRule="exact"/>
        <w:jc w:val="left"/>
        <w:rPr>
          <w:rFonts w:hint="eastAsia"/>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154"/>
        <w:gridCol w:w="980"/>
        <w:gridCol w:w="1030"/>
        <w:gridCol w:w="104"/>
        <w:gridCol w:w="406"/>
        <w:gridCol w:w="303"/>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ind w:firstLine="1620" w:firstLineChars="900"/>
              <w:jc w:val="both"/>
              <w:rPr>
                <w:rFonts w:ascii="Times New Roman" w:hAnsi="Times New Roman"/>
                <w:kern w:val="0"/>
                <w:sz w:val="18"/>
                <w:szCs w:val="18"/>
              </w:rPr>
            </w:pPr>
            <w:r>
              <w:rPr>
                <w:rFonts w:hint="eastAsia" w:ascii="Times New Roman" w:hAnsi="Times New Roman"/>
                <w:kern w:val="0"/>
                <w:sz w:val="18"/>
                <w:szCs w:val="18"/>
              </w:rPr>
              <w:t>中方县滨江路污水提升泵站改造工程</w:t>
            </w:r>
          </w:p>
        </w:tc>
      </w:tr>
      <w:tr>
        <w:tblPrEx>
          <w:tblCellMar>
            <w:top w:w="0" w:type="dxa"/>
            <w:left w:w="108" w:type="dxa"/>
            <w:bottom w:w="0" w:type="dxa"/>
            <w:right w:w="108" w:type="dxa"/>
          </w:tblCellMar>
        </w:tblPrEx>
        <w:trPr>
          <w:trHeight w:val="49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中方县人民政府</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eastAsia="宋体"/>
                <w:kern w:val="0"/>
                <w:sz w:val="18"/>
                <w:szCs w:val="18"/>
                <w:lang w:eastAsia="zh-CN"/>
              </w:rPr>
              <w:t>中方县城市管理行政执法大队</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1.94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1.94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9.11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Theme="minorEastAsia"/>
                <w:kern w:val="0"/>
                <w:sz w:val="18"/>
                <w:szCs w:val="18"/>
                <w:lang w:val="en-US" w:eastAsia="zh-CN"/>
              </w:rPr>
            </w:pPr>
            <w:r>
              <w:rPr>
                <w:rFonts w:hint="eastAsia" w:ascii="Times New Roman" w:hAnsi="Times New Roman"/>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470%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1.94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1.94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9.11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470%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79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怀城执法请示[2017年]26号文件：关于将三区一县智慧城管项目相关配套建设纳入市城区智慧城管统一建设</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关于将三区一县智慧城管项目相关配套建设纳入市城区智慧城管统一建设</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0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103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4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11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数量指标</w:t>
            </w:r>
          </w:p>
        </w:tc>
        <w:tc>
          <w:tcPr>
            <w:tcW w:w="2018" w:type="dxa"/>
            <w:gridSpan w:val="3"/>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val="en-US" w:eastAsia="zh-CN"/>
              </w:rPr>
            </w:pPr>
            <w:r>
              <w:rPr>
                <w:rFonts w:hint="eastAsia" w:ascii="Times New Roman" w:hAnsi="Times New Roman" w:cs="Times New Roman"/>
                <w:kern w:val="0"/>
                <w:sz w:val="18"/>
                <w:szCs w:val="18"/>
                <w:lang w:val="en-US" w:eastAsia="zh-CN"/>
              </w:rPr>
              <w:t>更换设备内容</w:t>
            </w:r>
          </w:p>
        </w:tc>
        <w:tc>
          <w:tcPr>
            <w:tcW w:w="9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imes New Roman" w:hAnsi="Times New Roman" w:eastAsiaTheme="minorEastAsia"/>
                <w:color w:val="000000"/>
                <w:kern w:val="0"/>
                <w:sz w:val="18"/>
                <w:szCs w:val="18"/>
                <w:lang w:val="en-US" w:eastAsia="zh-CN"/>
              </w:rPr>
            </w:pPr>
            <w:r>
              <w:rPr>
                <w:rFonts w:hint="eastAsia" w:ascii="Times New Roman" w:hAnsi="Times New Roman" w:cs="Times New Roman"/>
                <w:kern w:val="0"/>
                <w:sz w:val="18"/>
                <w:szCs w:val="18"/>
                <w:lang w:val="en-US" w:eastAsia="zh-CN"/>
              </w:rPr>
              <w:t>25项</w:t>
            </w:r>
          </w:p>
        </w:tc>
        <w:tc>
          <w:tcPr>
            <w:tcW w:w="103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color w:val="000000"/>
                <w:kern w:val="0"/>
                <w:sz w:val="18"/>
                <w:szCs w:val="18"/>
                <w:lang w:val="en-US" w:eastAsia="zh-CN"/>
              </w:rPr>
              <w:t>100%</w:t>
            </w:r>
          </w:p>
        </w:tc>
        <w:tc>
          <w:tcPr>
            <w:tcW w:w="510"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000000"/>
                <w:kern w:val="0"/>
                <w:sz w:val="18"/>
                <w:szCs w:val="18"/>
                <w:lang w:eastAsia="zh-CN"/>
              </w:rPr>
            </w:pPr>
            <w:r>
              <w:rPr>
                <w:rFonts w:hint="eastAsia" w:ascii="Times New Roman" w:hAnsi="Times New Roman"/>
                <w:color w:val="000000"/>
                <w:kern w:val="0"/>
                <w:sz w:val="18"/>
                <w:szCs w:val="18"/>
                <w:lang w:eastAsia="zh-CN"/>
              </w:rPr>
              <w:t>各种更换设备正常运行，竣工验收合格率</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Theme="minorEastAsia"/>
                <w:kern w:val="0"/>
                <w:sz w:val="18"/>
                <w:szCs w:val="18"/>
                <w:lang w:val="en-US" w:eastAsia="zh-CN"/>
              </w:rPr>
            </w:pPr>
            <w:r>
              <w:rPr>
                <w:rFonts w:hint="eastAsia" w:ascii="Times New Roman" w:hAnsi="Times New Roman"/>
                <w:kern w:val="0"/>
                <w:sz w:val="18"/>
                <w:szCs w:val="18"/>
                <w:lang w:val="en-US" w:eastAsia="zh-CN"/>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Theme="minorEastAsia"/>
                <w:kern w:val="0"/>
                <w:sz w:val="18"/>
                <w:szCs w:val="18"/>
                <w:lang w:val="en-US" w:eastAsia="zh-CN"/>
              </w:rPr>
            </w:pPr>
            <w:r>
              <w:rPr>
                <w:rFonts w:hint="eastAsia" w:ascii="Times New Roman" w:hAnsi="Times New Roman"/>
                <w:kern w:val="0"/>
                <w:sz w:val="18"/>
                <w:szCs w:val="18"/>
                <w:lang w:val="en-US" w:eastAsia="zh-CN"/>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6"/>
                <w:szCs w:val="16"/>
                <w:lang w:eastAsia="zh-CN"/>
              </w:rPr>
              <w:t>按合同内容及时执行完成（2018年11月----12月）</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val="en-US" w:eastAsia="zh-CN"/>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val="en-US" w:eastAsia="zh-CN"/>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送县财政评审中心预算评审价格</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kern w:val="0"/>
                <w:sz w:val="18"/>
                <w:szCs w:val="18"/>
                <w:lang w:val="en-US" w:eastAsia="zh-CN"/>
              </w:rPr>
              <w:t>29.38</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kern w:val="0"/>
                <w:sz w:val="18"/>
                <w:szCs w:val="18"/>
                <w:lang w:val="en-US" w:eastAsia="zh-CN"/>
              </w:rPr>
              <w:t>29.38</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Theme="minorEastAsia"/>
                <w:color w:val="000000"/>
                <w:kern w:val="0"/>
                <w:sz w:val="18"/>
                <w:szCs w:val="18"/>
                <w:lang w:eastAsia="zh-CN"/>
              </w:rPr>
            </w:pPr>
            <w:r>
              <w:rPr>
                <w:rFonts w:hint="eastAsia" w:ascii="Times New Roman" w:hAnsi="Times New Roman"/>
                <w:color w:val="000000"/>
                <w:kern w:val="0"/>
                <w:sz w:val="18"/>
                <w:szCs w:val="18"/>
              </w:rPr>
              <w:t>经济效益指标</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有所提升</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有所提升</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提高污水泵站污水提升能力</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Theme="minorEastAsia"/>
                <w:kern w:val="0"/>
                <w:sz w:val="18"/>
                <w:szCs w:val="18"/>
                <w:lang w:val="en-US" w:eastAsia="zh-CN"/>
              </w:rPr>
            </w:pPr>
            <w:r>
              <w:rPr>
                <w:rFonts w:hint="eastAsia" w:ascii="Times New Roman" w:hAnsi="Times New Roman"/>
                <w:kern w:val="0"/>
                <w:sz w:val="18"/>
                <w:szCs w:val="18"/>
                <w:lang w:eastAsia="zh-CN"/>
              </w:rPr>
              <w:t>≥</w:t>
            </w:r>
            <w:r>
              <w:rPr>
                <w:rFonts w:hint="eastAsia" w:ascii="Times New Roman" w:hAnsi="Times New Roman"/>
                <w:kern w:val="0"/>
                <w:sz w:val="18"/>
                <w:szCs w:val="18"/>
                <w:lang w:val="en-US" w:eastAsia="zh-CN"/>
              </w:rPr>
              <w:t>95%</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8</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Theme="minorEastAsia"/>
                <w:kern w:val="0"/>
                <w:sz w:val="18"/>
                <w:szCs w:val="18"/>
                <w:lang w:eastAsia="zh-CN"/>
              </w:rPr>
            </w:pPr>
            <w:r>
              <w:rPr>
                <w:rFonts w:hint="eastAsia" w:ascii="Times New Roman" w:hAnsi="Times New Roman"/>
                <w:kern w:val="0"/>
                <w:sz w:val="16"/>
                <w:szCs w:val="16"/>
                <w:lang w:eastAsia="zh-CN"/>
              </w:rPr>
              <w:t>因上游排污企业未建设沉淀池，造成泵站管道轻微堵塞</w:t>
            </w: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保证污水通畅导流</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无环境污染</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经费不足</w:t>
            </w:r>
          </w:p>
        </w:tc>
      </w:tr>
      <w:tr>
        <w:tblPrEx>
          <w:tblCellMar>
            <w:top w:w="0" w:type="dxa"/>
            <w:left w:w="108" w:type="dxa"/>
            <w:bottom w:w="0" w:type="dxa"/>
            <w:right w:w="108" w:type="dxa"/>
          </w:tblCellMar>
        </w:tblPrEx>
        <w:trPr>
          <w:trHeight w:val="8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公众满意度</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5</w:t>
            </w:r>
            <w:r>
              <w:rPr>
                <w:rFonts w:hint="eastAsia" w:ascii="Times New Roman" w:hAnsi="Times New Roman"/>
                <w:kern w:val="0"/>
                <w:sz w:val="18"/>
                <w:szCs w:val="18"/>
              </w:rPr>
              <w:t>％</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5</w:t>
            </w:r>
            <w:r>
              <w:rPr>
                <w:rFonts w:hint="eastAsia" w:ascii="Times New Roman" w:hAnsi="Times New Roman"/>
                <w:kern w:val="0"/>
                <w:sz w:val="18"/>
                <w:szCs w:val="18"/>
              </w:rPr>
              <w:t>％</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p>
        </w:tc>
      </w:tr>
      <w:tr>
        <w:tblPrEx>
          <w:tblCellMar>
            <w:top w:w="0" w:type="dxa"/>
            <w:left w:w="108" w:type="dxa"/>
            <w:bottom w:w="0" w:type="dxa"/>
            <w:right w:w="108" w:type="dxa"/>
          </w:tblCellMar>
        </w:tblPrEx>
        <w:trPr>
          <w:trHeight w:val="300" w:hRule="exact"/>
          <w:jc w:val="center"/>
        </w:trPr>
        <w:tc>
          <w:tcPr>
            <w:tcW w:w="670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4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980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rPr>
          <w:rFonts w:hint="eastAsia" w:ascii="仿宋" w:hAnsi="仿宋" w:eastAsia="仿宋"/>
          <w:b/>
          <w:sz w:val="32"/>
          <w:szCs w:val="32"/>
        </w:rPr>
      </w:pPr>
    </w:p>
    <w:tbl>
      <w:tblPr>
        <w:tblStyle w:val="6"/>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9"/>
        <w:spacing w:line="510" w:lineRule="exact"/>
        <w:jc w:val="left"/>
        <w:rPr>
          <w:rFonts w:ascii="Times New Roman" w:hAnsi="Times New Roman" w:eastAsia="宋体"/>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pStyle w:val="3"/>
        <w:spacing w:before="0" w:after="0" w:line="240" w:lineRule="auto"/>
        <w:jc w:val="center"/>
        <w:rPr>
          <w:rFonts w:ascii="Times New Roman" w:hAnsi="Times New Roman" w:eastAsia="宋体"/>
          <w:bCs/>
          <w:color w:val="000000"/>
          <w:sz w:val="36"/>
          <w:szCs w:val="28"/>
        </w:rPr>
      </w:pPr>
      <w:r>
        <w:rPr>
          <w:rFonts w:ascii="Times New Roman" w:hAnsi="Times New Roman" w:eastAsia="宋体"/>
          <w:bCs/>
          <w:color w:val="000000"/>
          <w:sz w:val="36"/>
          <w:szCs w:val="28"/>
        </w:rPr>
        <w:t>项目支出绩效评价共性指标表</w:t>
      </w:r>
    </w:p>
    <w:tbl>
      <w:tblPr>
        <w:tblStyle w:val="6"/>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95</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w:t>
      </w:r>
    </w:p>
    <w:p>
      <w:pPr>
        <w:pStyle w:val="2"/>
        <w:jc w:val="both"/>
        <w:rPr>
          <w:rFonts w:hint="default"/>
          <w:lang w:val="en-US" w:eastAsia="zh-CN"/>
        </w:rPr>
      </w:pPr>
    </w:p>
    <w:sectPr>
      <w:pgSz w:w="16838" w:h="11906" w:orient="landscape"/>
      <w:pgMar w:top="1701" w:right="1531" w:bottom="1701"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FA5A8"/>
    <w:multiLevelType w:val="singleLevel"/>
    <w:tmpl w:val="DC1FA5A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1DF3"/>
    <w:rsid w:val="09334D94"/>
    <w:rsid w:val="0BB42596"/>
    <w:rsid w:val="0CCA0C88"/>
    <w:rsid w:val="171C0226"/>
    <w:rsid w:val="22585FFD"/>
    <w:rsid w:val="249A1502"/>
    <w:rsid w:val="254D45F1"/>
    <w:rsid w:val="292668BB"/>
    <w:rsid w:val="2A7A465C"/>
    <w:rsid w:val="2A8E7003"/>
    <w:rsid w:val="2CF614F9"/>
    <w:rsid w:val="2D2A6456"/>
    <w:rsid w:val="2D3B78E4"/>
    <w:rsid w:val="322F248B"/>
    <w:rsid w:val="38D710E1"/>
    <w:rsid w:val="3EAC1E23"/>
    <w:rsid w:val="44FB527D"/>
    <w:rsid w:val="46AC5393"/>
    <w:rsid w:val="4F9030FA"/>
    <w:rsid w:val="54C40C09"/>
    <w:rsid w:val="562875CF"/>
    <w:rsid w:val="569C5784"/>
    <w:rsid w:val="57ED6EC9"/>
    <w:rsid w:val="5A4247C0"/>
    <w:rsid w:val="5C0C4242"/>
    <w:rsid w:val="5D076619"/>
    <w:rsid w:val="5D3E156F"/>
    <w:rsid w:val="5E992C89"/>
    <w:rsid w:val="5EA66D92"/>
    <w:rsid w:val="61382812"/>
    <w:rsid w:val="616C6EE0"/>
    <w:rsid w:val="642E02E6"/>
    <w:rsid w:val="64696634"/>
    <w:rsid w:val="70BE5EE2"/>
    <w:rsid w:val="727065BE"/>
    <w:rsid w:val="7E881D7A"/>
    <w:rsid w:val="7F192300"/>
    <w:rsid w:val="7F4C5F2A"/>
    <w:rsid w:val="7F5C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错错错愛</cp:lastModifiedBy>
  <cp:lastPrinted>2021-08-02T09:43:11Z</cp:lastPrinted>
  <dcterms:modified xsi:type="dcterms:W3CDTF">2021-08-02T09:46:15Z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84AA4EA439D9433D876A9C904F2B7E51</vt:lpwstr>
  </property>
</Properties>
</file>