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6"/>
        <w:spacing w:line="510" w:lineRule="exact"/>
        <w:jc w:val="center"/>
        <w:rPr>
          <w:rFonts w:hint="eastAsia" w:ascii="黑体" w:hAnsi="黑体" w:eastAsia="黑体" w:cs="黑体"/>
          <w:b w:val="0"/>
          <w:bCs w:val="0"/>
          <w:color w:val="auto"/>
          <w:kern w:val="0"/>
          <w:sz w:val="44"/>
          <w:szCs w:val="44"/>
        </w:rPr>
      </w:pPr>
      <w:r>
        <w:rPr>
          <w:rFonts w:hint="eastAsia" w:ascii="黑体" w:hAnsi="黑体" w:eastAsia="黑体" w:cs="黑体"/>
          <w:b w:val="0"/>
          <w:bCs w:val="0"/>
          <w:color w:val="auto"/>
          <w:kern w:val="0"/>
          <w:sz w:val="44"/>
          <w:szCs w:val="44"/>
        </w:rPr>
        <w:t>2018年中方县城草花种植（尾款）</w:t>
      </w:r>
    </w:p>
    <w:p>
      <w:pPr>
        <w:pStyle w:val="6"/>
        <w:spacing w:line="510" w:lineRule="exact"/>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项目支出绩效</w:t>
      </w:r>
      <w:r>
        <w:rPr>
          <w:rFonts w:hint="eastAsia" w:ascii="黑体" w:hAnsi="黑体" w:eastAsia="黑体" w:cs="黑体"/>
          <w:b w:val="0"/>
          <w:bCs w:val="0"/>
          <w:color w:val="auto"/>
          <w:sz w:val="44"/>
          <w:szCs w:val="44"/>
          <w:lang w:eastAsia="zh-CN"/>
        </w:rPr>
        <w:t>自评</w:t>
      </w:r>
      <w:bookmarkStart w:id="0" w:name="_GoBack"/>
      <w:bookmarkEnd w:id="0"/>
      <w:r>
        <w:rPr>
          <w:rFonts w:hint="eastAsia" w:ascii="黑体" w:hAnsi="黑体" w:eastAsia="黑体" w:cs="黑体"/>
          <w:b w:val="0"/>
          <w:bCs w:val="0"/>
          <w:color w:val="auto"/>
          <w:sz w:val="44"/>
          <w:szCs w:val="44"/>
        </w:rPr>
        <w:t>报告</w:t>
      </w:r>
    </w:p>
    <w:p>
      <w:pPr>
        <w:pStyle w:val="6"/>
        <w:spacing w:line="510" w:lineRule="exact"/>
        <w:ind w:firstLine="1325" w:firstLineChars="300"/>
        <w:jc w:val="center"/>
        <w:rPr>
          <w:rFonts w:hint="eastAsia" w:ascii="黑体" w:hAnsi="黑体" w:eastAsia="黑体" w:cs="黑体"/>
          <w:b/>
          <w:bCs/>
          <w:color w:val="auto"/>
          <w:sz w:val="44"/>
          <w:szCs w:val="44"/>
        </w:rPr>
      </w:pPr>
    </w:p>
    <w:p>
      <w:pPr>
        <w:keepNext w:val="0"/>
        <w:keepLines w:val="0"/>
        <w:pageBreakBefore w:val="0"/>
        <w:kinsoku/>
        <w:wordWrap/>
        <w:overflowPunct/>
        <w:topLinePunct w:val="0"/>
        <w:autoSpaceDE/>
        <w:autoSpaceDN/>
        <w:bidi w:val="0"/>
        <w:adjustRightInd/>
        <w:snapToGrid/>
        <w:spacing w:line="510" w:lineRule="exact"/>
        <w:ind w:firstLine="643" w:firstLineChars="200"/>
        <w:jc w:val="left"/>
        <w:textAlignment w:val="auto"/>
        <w:rPr>
          <w:rFonts w:ascii="Times New Roman" w:hAnsi="Times New Roman" w:eastAsia="楷体"/>
          <w:b/>
          <w:sz w:val="32"/>
          <w:szCs w:val="32"/>
        </w:rPr>
      </w:pPr>
      <w:r>
        <w:rPr>
          <w:rFonts w:ascii="Times New Roman" w:hAnsi="Times New Roman" w:eastAsia="楷体"/>
          <w:b/>
          <w:sz w:val="32"/>
          <w:szCs w:val="32"/>
        </w:rPr>
        <w:t>一、基本情况</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ascii="Times New Roman" w:hAnsi="Times New Roman" w:eastAsia="仿宋"/>
          <w:sz w:val="32"/>
          <w:szCs w:val="32"/>
        </w:rPr>
      </w:pPr>
      <w:r>
        <w:rPr>
          <w:rFonts w:ascii="Times New Roman" w:hAnsi="Times New Roman" w:eastAsia="仿宋"/>
          <w:sz w:val="32"/>
          <w:szCs w:val="32"/>
        </w:rPr>
        <w:t>（一）项目概况。</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eastAsia" w:ascii="Times New Roman" w:hAnsi="Times New Roman" w:eastAsia="仿宋"/>
          <w:sz w:val="32"/>
          <w:szCs w:val="32"/>
        </w:rPr>
      </w:pPr>
      <w:r>
        <w:rPr>
          <w:rFonts w:hint="eastAsia" w:ascii="Times New Roman" w:hAnsi="Times New Roman" w:eastAsia="仿宋"/>
          <w:sz w:val="32"/>
          <w:szCs w:val="32"/>
        </w:rPr>
        <w:t>2018年中方县城草花种植（尾款）专项资金项目，是县委、县政府为了美化县城环境，改善生态环境，为县城广大市民提供一个生态宜居的生活环境，在中方县城区实行的美化惠民工程。由中标公司按《中方县城草花种植工程预算》方案对县城8条花箱路栽植时令花卉。2018年中方县城草花种植（尾款）项目资金年初预算为598949.36元，其资金来源为全额财政拨款。</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firstLine="640" w:firstLineChars="200"/>
        <w:jc w:val="left"/>
        <w:textAlignment w:val="auto"/>
        <w:rPr>
          <w:rFonts w:ascii="Times New Roman" w:hAnsi="Times New Roman" w:eastAsia="仿宋"/>
          <w:sz w:val="32"/>
          <w:szCs w:val="32"/>
        </w:rPr>
      </w:pPr>
      <w:r>
        <w:rPr>
          <w:rFonts w:ascii="Times New Roman" w:hAnsi="Times New Roman" w:eastAsia="仿宋"/>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left"/>
        <w:textAlignment w:val="auto"/>
        <w:rPr>
          <w:rFonts w:hint="eastAsia" w:ascii="Times New Roman" w:hAnsi="Times New Roman" w:eastAsia="仿宋"/>
          <w:sz w:val="32"/>
          <w:szCs w:val="32"/>
        </w:rPr>
      </w:pPr>
      <w:r>
        <w:rPr>
          <w:rFonts w:hint="eastAsia" w:ascii="Times New Roman" w:hAnsi="Times New Roman" w:eastAsia="仿宋"/>
          <w:sz w:val="32"/>
          <w:szCs w:val="32"/>
        </w:rPr>
        <w:t>落实省住建厅关于在城市绿化建设中的“三化”精神，继续把中方打造成花卉县城。美化县城环境，改善生态环境，为县城广大市民提供生态宜居的生活环境。</w:t>
      </w:r>
    </w:p>
    <w:p>
      <w:pPr>
        <w:keepNext w:val="0"/>
        <w:keepLines w:val="0"/>
        <w:pageBreakBefore w:val="0"/>
        <w:kinsoku/>
        <w:wordWrap/>
        <w:overflowPunct/>
        <w:topLinePunct w:val="0"/>
        <w:autoSpaceDE/>
        <w:autoSpaceDN/>
        <w:bidi w:val="0"/>
        <w:adjustRightInd/>
        <w:snapToGrid/>
        <w:spacing w:line="510" w:lineRule="exact"/>
        <w:ind w:firstLine="643" w:firstLineChars="200"/>
        <w:jc w:val="left"/>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二、绩效评价工作开展情况</w:t>
      </w:r>
    </w:p>
    <w:p>
      <w:pPr>
        <w:pStyle w:val="6"/>
        <w:keepNext w:val="0"/>
        <w:keepLines w:val="0"/>
        <w:pageBreakBefore w:val="0"/>
        <w:kinsoku/>
        <w:wordWrap/>
        <w:overflowPunct/>
        <w:topLinePunct w:val="0"/>
        <w:autoSpaceDE/>
        <w:autoSpaceDN/>
        <w:bidi w:val="0"/>
        <w:adjustRightInd/>
        <w:snapToGrid/>
        <w:spacing w:line="51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（一）绩效评价目的、对象和范围</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line="51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全面评价</w:t>
      </w:r>
      <w:r>
        <w:rPr>
          <w:rFonts w:hint="eastAsia" w:ascii="仿宋" w:hAnsi="仿宋" w:eastAsia="仿宋" w:cs="仿宋"/>
          <w:b w:val="0"/>
          <w:bCs w:val="0"/>
          <w:color w:val="auto"/>
          <w:kern w:val="0"/>
          <w:sz w:val="32"/>
          <w:szCs w:val="32"/>
        </w:rPr>
        <w:t>2018年中方县城草花种植（尾款）</w:t>
      </w:r>
      <w:r>
        <w:rPr>
          <w:rFonts w:hint="eastAsia" w:ascii="仿宋" w:hAnsi="仿宋" w:eastAsia="仿宋" w:cs="仿宋"/>
          <w:b w:val="0"/>
          <w:bCs w:val="0"/>
          <w:color w:val="auto"/>
          <w:sz w:val="32"/>
          <w:szCs w:val="32"/>
        </w:rPr>
        <w:t>项目</w:t>
      </w:r>
      <w:r>
        <w:rPr>
          <w:rFonts w:hint="eastAsia" w:ascii="仿宋" w:hAnsi="仿宋" w:eastAsia="仿宋" w:cs="仿宋"/>
          <w:color w:val="auto"/>
          <w:sz w:val="32"/>
          <w:szCs w:val="32"/>
          <w:lang w:val="en-US" w:eastAsia="zh-CN"/>
        </w:rPr>
        <w:t>资金使用</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支</w:t>
      </w:r>
      <w:r>
        <w:rPr>
          <w:rFonts w:hint="eastAsia" w:ascii="仿宋" w:hAnsi="仿宋" w:eastAsia="仿宋" w:cs="仿宋"/>
          <w:color w:val="auto"/>
          <w:sz w:val="32"/>
          <w:szCs w:val="32"/>
          <w:lang w:eastAsia="zh-CN"/>
        </w:rPr>
        <w:t>出效果</w:t>
      </w:r>
      <w:r>
        <w:rPr>
          <w:rFonts w:hint="eastAsia" w:ascii="仿宋" w:hAnsi="仿宋" w:eastAsia="仿宋" w:cs="仿宋"/>
          <w:color w:val="auto"/>
          <w:sz w:val="32"/>
          <w:szCs w:val="32"/>
        </w:rPr>
        <w:t>，保证资金使用到位，提高资金使用效率，</w:t>
      </w:r>
      <w:r>
        <w:rPr>
          <w:rFonts w:hint="eastAsia" w:ascii="仿宋" w:hAnsi="仿宋" w:eastAsia="仿宋" w:cs="仿宋"/>
          <w:color w:val="auto"/>
          <w:kern w:val="0"/>
          <w:sz w:val="32"/>
          <w:szCs w:val="32"/>
          <w:lang w:eastAsia="zh-CN"/>
        </w:rPr>
        <w:t>为县城广大市民提供生态宜居的生活环境</w:t>
      </w:r>
      <w:r>
        <w:rPr>
          <w:rFonts w:hint="eastAsia" w:ascii="仿宋" w:hAnsi="仿宋" w:eastAsia="仿宋" w:cs="仿宋"/>
          <w:color w:val="auto"/>
          <w:sz w:val="32"/>
          <w:szCs w:val="32"/>
          <w:lang w:val="en-US" w:eastAsia="zh-CN"/>
        </w:rPr>
        <w:t>。</w:t>
      </w:r>
    </w:p>
    <w:p>
      <w:pPr>
        <w:pStyle w:val="6"/>
        <w:keepNext w:val="0"/>
        <w:keepLines w:val="0"/>
        <w:pageBreakBefore w:val="0"/>
        <w:kinsoku/>
        <w:wordWrap/>
        <w:overflowPunct/>
        <w:topLinePunct w:val="0"/>
        <w:autoSpaceDE/>
        <w:autoSpaceDN/>
        <w:bidi w:val="0"/>
        <w:adjustRightInd/>
        <w:snapToGrid/>
        <w:spacing w:line="51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（二）绩效评价原则、评价指标体系（附表说明）、评价方法、评价标准等。</w:t>
      </w:r>
    </w:p>
    <w:p>
      <w:pPr>
        <w:pStyle w:val="6"/>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1.注重经费支出的经济性、效率性、和有效性，采用定量和定性相结合的方法。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2.客观、公正、数据资料真实可靠，并接受监督。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3.针对具体投入及其产出绩效进行，评价结果清晰反应投入和绩效之间的对应关系。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（三）绩效评价工作过程。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我们制定了对该项目的绩效评价工作方案，县财政局绩效评价股对中方县城市管理行政执法大队下达了绩效评价通知。评价过程中听取了中方县城市管理行政执法大队的情况介绍，翻阅了相关资料，了解了2018年中方县城草花种植（尾款）项目资金的拨付和发放流程，侧重调查资金发放的真实性、公平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具体工作过程：</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检查资料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rightChars="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通过对各种资料的查阅，了解该项资金是否及时拨付到位；检查实施单位是否将草花种植到位，将有关资料和工作情况分年度建档备查。</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座谈交流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rightChars="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针对2018年中方县城草花种植（尾款）资金的调查主要是通过与实施单位新田县中天农业科技有限公司工作人员面对面的交流，深入了解2018年中方县城草花种植（尾款）资金发放的真实性、及时性、公平性，听取他们对这项资金提出的意见和建议。</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3" w:firstLineChars="200"/>
        <w:jc w:val="left"/>
        <w:textAlignment w:val="auto"/>
        <w:rPr>
          <w:rFonts w:hint="eastAsia" w:ascii="Times New Roman" w:hAnsi="Times New Roman" w:eastAsia="楷体" w:cs="Times New Roman"/>
          <w:b/>
          <w:color w:val="auto"/>
          <w:kern w:val="2"/>
          <w:sz w:val="32"/>
          <w:szCs w:val="32"/>
          <w:lang w:val="en-US" w:eastAsia="zh-CN" w:bidi="ar-SA"/>
        </w:rPr>
      </w:pPr>
      <w:r>
        <w:rPr>
          <w:rStyle w:val="7"/>
          <w:rFonts w:hint="eastAsia" w:ascii="楷体" w:hAnsi="楷体" w:eastAsia="楷体" w:cs="楷体"/>
          <w:bCs w:val="0"/>
          <w:color w:val="auto"/>
          <w:sz w:val="32"/>
          <w:szCs w:val="32"/>
          <w:lang w:eastAsia="zh-CN"/>
        </w:rPr>
        <w:t>三、</w:t>
      </w:r>
      <w:r>
        <w:rPr>
          <w:rStyle w:val="7"/>
          <w:rFonts w:hint="eastAsia" w:ascii="楷体" w:hAnsi="楷体" w:eastAsia="楷体" w:cs="楷体"/>
          <w:bCs w:val="0"/>
          <w:color w:val="auto"/>
          <w:sz w:val="32"/>
          <w:szCs w:val="32"/>
        </w:rPr>
        <w:t>综合评价情况及评估结论</w:t>
      </w:r>
      <w:r>
        <w:rPr>
          <w:rStyle w:val="7"/>
          <w:rFonts w:hint="eastAsia" w:ascii="楷体" w:hAnsi="楷体" w:eastAsia="楷体" w:cs="楷体"/>
          <w:bCs w:val="0"/>
          <w:color w:val="auto"/>
          <w:sz w:val="32"/>
          <w:szCs w:val="32"/>
          <w:lang w:eastAsia="zh-CN"/>
        </w:rPr>
        <w:t>（附相关评分表）</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jc w:val="left"/>
        <w:textAlignment w:val="auto"/>
        <w:rPr>
          <w:rFonts w:hint="eastAsia" w:ascii="Times New Roman" w:hAnsi="Times New Roman" w:eastAsia="楷体" w:cs="Times New Roman"/>
          <w:b/>
          <w:color w:val="auto"/>
          <w:kern w:val="2"/>
          <w:sz w:val="32"/>
          <w:szCs w:val="32"/>
          <w:lang w:val="en-US" w:eastAsia="zh-CN" w:bidi="ar-SA"/>
        </w:rPr>
      </w:pPr>
      <w:r>
        <w:rPr>
          <w:rFonts w:hint="eastAsia" w:ascii="仿宋" w:hAnsi="仿宋" w:eastAsia="仿宋" w:cs="仿宋"/>
          <w:color w:val="auto"/>
          <w:sz w:val="32"/>
          <w:szCs w:val="32"/>
          <w:lang w:val="en-US" w:eastAsia="zh-CN"/>
        </w:rPr>
        <w:t>通过自我评价，认为</w:t>
      </w:r>
      <w:r>
        <w:rPr>
          <w:rFonts w:hint="eastAsia" w:ascii="仿宋" w:hAnsi="仿宋" w:eastAsia="仿宋" w:cs="仿宋"/>
          <w:b w:val="0"/>
          <w:bCs w:val="0"/>
          <w:color w:val="auto"/>
          <w:kern w:val="0"/>
          <w:sz w:val="32"/>
          <w:szCs w:val="32"/>
        </w:rPr>
        <w:t>2018年中方县城草花种植（尾款）</w:t>
      </w:r>
      <w:r>
        <w:rPr>
          <w:rFonts w:hint="eastAsia" w:ascii="仿宋" w:hAnsi="仿宋" w:eastAsia="仿宋" w:cs="仿宋"/>
          <w:color w:val="auto"/>
          <w:sz w:val="32"/>
          <w:szCs w:val="32"/>
          <w:lang w:val="en-US" w:eastAsia="zh-CN"/>
        </w:rPr>
        <w:t>专项资金的申报材料规范齐全、评审程序公平公正，宣传政策到位，</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仿宋" w:hAnsi="仿宋" w:eastAsia="仿宋" w:cs="仿宋"/>
          <w:color w:val="auto"/>
          <w:sz w:val="32"/>
          <w:szCs w:val="32"/>
          <w:lang w:val="en-US" w:eastAsia="zh-CN"/>
        </w:rPr>
        <w:t>。本项目经费支出绩效评价综合得分98分，结果为优。</w:t>
      </w:r>
    </w:p>
    <w:p>
      <w:pPr>
        <w:keepNext w:val="0"/>
        <w:keepLines w:val="0"/>
        <w:pageBreakBefore w:val="0"/>
        <w:numPr>
          <w:ilvl w:val="0"/>
          <w:numId w:val="0"/>
        </w:numPr>
        <w:kinsoku/>
        <w:wordWrap/>
        <w:overflowPunct/>
        <w:topLinePunct w:val="0"/>
        <w:autoSpaceDE/>
        <w:autoSpaceDN/>
        <w:bidi w:val="0"/>
        <w:adjustRightInd/>
        <w:snapToGrid/>
        <w:spacing w:line="510" w:lineRule="exact"/>
        <w:ind w:leftChars="0" w:firstLine="643" w:firstLineChars="200"/>
        <w:jc w:val="left"/>
        <w:textAlignment w:val="auto"/>
        <w:rPr>
          <w:rStyle w:val="7"/>
          <w:rFonts w:hint="eastAsia" w:ascii="楷体" w:hAnsi="楷体" w:eastAsia="楷体" w:cs="楷体"/>
          <w:bCs w:val="0"/>
          <w:color w:val="auto"/>
          <w:sz w:val="32"/>
          <w:szCs w:val="32"/>
        </w:rPr>
      </w:pPr>
      <w:r>
        <w:rPr>
          <w:rStyle w:val="7"/>
          <w:rFonts w:hint="eastAsia" w:ascii="楷体" w:hAnsi="楷体" w:eastAsia="楷体" w:cs="楷体"/>
          <w:bCs w:val="0"/>
          <w:color w:val="auto"/>
          <w:sz w:val="32"/>
          <w:szCs w:val="32"/>
          <w:lang w:eastAsia="zh-CN"/>
        </w:rPr>
        <w:t>四、</w:t>
      </w:r>
      <w:r>
        <w:rPr>
          <w:rStyle w:val="7"/>
          <w:rFonts w:hint="eastAsia" w:ascii="楷体" w:hAnsi="楷体" w:eastAsia="楷体" w:cs="楷体"/>
          <w:bCs w:val="0"/>
          <w:color w:val="auto"/>
          <w:sz w:val="32"/>
          <w:szCs w:val="32"/>
        </w:rPr>
        <w:t>绩效指标评价分析</w:t>
      </w:r>
    </w:p>
    <w:p>
      <w:pPr>
        <w:keepNext w:val="0"/>
        <w:keepLines w:val="0"/>
        <w:pageBreakBefore w:val="0"/>
        <w:numPr>
          <w:ilvl w:val="0"/>
          <w:numId w:val="0"/>
        </w:numPr>
        <w:kinsoku/>
        <w:wordWrap/>
        <w:overflowPunct/>
        <w:topLinePunct w:val="0"/>
        <w:autoSpaceDE/>
        <w:autoSpaceDN/>
        <w:bidi w:val="0"/>
        <w:adjustRightInd/>
        <w:snapToGrid/>
        <w:spacing w:line="510" w:lineRule="exact"/>
        <w:ind w:leftChars="0" w:firstLine="640" w:firstLineChars="200"/>
        <w:jc w:val="left"/>
        <w:textAlignment w:val="auto"/>
        <w:rPr>
          <w:rStyle w:val="7"/>
          <w:rFonts w:hint="eastAsia" w:ascii="仿宋" w:hAnsi="仿宋" w:eastAsia="仿宋" w:cs="仿宋"/>
          <w:b w:val="0"/>
          <w:bCs w:val="0"/>
          <w:color w:val="auto"/>
          <w:sz w:val="32"/>
          <w:szCs w:val="32"/>
        </w:rPr>
      </w:pPr>
      <w:r>
        <w:rPr>
          <w:rStyle w:val="7"/>
          <w:rFonts w:hint="eastAsia" w:ascii="仿宋" w:hAnsi="仿宋" w:eastAsia="仿宋" w:cs="仿宋"/>
          <w:b w:val="0"/>
          <w:bCs w:val="0"/>
          <w:color w:val="auto"/>
          <w:sz w:val="32"/>
          <w:szCs w:val="32"/>
        </w:rPr>
        <w:t>（一）、项目决策情况</w:t>
      </w:r>
    </w:p>
    <w:p>
      <w:pPr>
        <w:keepNext w:val="0"/>
        <w:keepLines w:val="0"/>
        <w:pageBreakBefore w:val="0"/>
        <w:kinsoku/>
        <w:wordWrap/>
        <w:overflowPunct/>
        <w:topLinePunct w:val="0"/>
        <w:autoSpaceDE/>
        <w:autoSpaceDN/>
        <w:bidi w:val="0"/>
        <w:adjustRightInd/>
        <w:snapToGrid/>
        <w:spacing w:line="510" w:lineRule="exact"/>
        <w:ind w:firstLine="640" w:firstLineChars="200"/>
        <w:jc w:val="left"/>
        <w:textAlignment w:val="auto"/>
        <w:rPr>
          <w:rStyle w:val="7"/>
          <w:rFonts w:hint="eastAsia" w:ascii="仿宋" w:hAnsi="仿宋" w:eastAsia="仿宋" w:cs="仿宋"/>
          <w:b w:val="0"/>
          <w:bCs w:val="0"/>
          <w:color w:val="auto"/>
          <w:sz w:val="32"/>
          <w:szCs w:val="32"/>
          <w:lang w:eastAsia="zh-CN"/>
        </w:rPr>
      </w:pPr>
      <w:r>
        <w:rPr>
          <w:rStyle w:val="7"/>
          <w:rFonts w:hint="eastAsia" w:ascii="仿宋" w:hAnsi="仿宋" w:eastAsia="仿宋" w:cs="仿宋"/>
          <w:b w:val="0"/>
          <w:bCs w:val="0"/>
          <w:color w:val="auto"/>
          <w:sz w:val="32"/>
          <w:szCs w:val="32"/>
          <w:lang w:eastAsia="zh-CN"/>
        </w:rPr>
        <w:t>为了优化城市环境，提升城市品位，根据县委、县政府的部署，落实省住建厅关于在城市绿化建设中的“三化”精神，继续把中方打造成花卉县城。</w:t>
      </w:r>
    </w:p>
    <w:p>
      <w:pPr>
        <w:keepNext w:val="0"/>
        <w:keepLines w:val="0"/>
        <w:pageBreakBefore w:val="0"/>
        <w:kinsoku/>
        <w:wordWrap/>
        <w:overflowPunct/>
        <w:topLinePunct w:val="0"/>
        <w:autoSpaceDE/>
        <w:autoSpaceDN/>
        <w:bidi w:val="0"/>
        <w:adjustRightInd/>
        <w:snapToGrid/>
        <w:spacing w:line="510" w:lineRule="exact"/>
        <w:ind w:firstLine="640" w:firstLineChars="200"/>
        <w:jc w:val="left"/>
        <w:textAlignment w:val="auto"/>
        <w:rPr>
          <w:rStyle w:val="7"/>
          <w:rFonts w:hint="eastAsia" w:ascii="仿宋" w:hAnsi="仿宋" w:eastAsia="仿宋" w:cs="仿宋"/>
          <w:b w:val="0"/>
          <w:bCs w:val="0"/>
          <w:color w:val="auto"/>
          <w:sz w:val="32"/>
          <w:szCs w:val="32"/>
        </w:rPr>
      </w:pPr>
      <w:r>
        <w:rPr>
          <w:rStyle w:val="7"/>
          <w:rFonts w:hint="eastAsia" w:ascii="仿宋" w:hAnsi="仿宋" w:eastAsia="仿宋" w:cs="仿宋"/>
          <w:b w:val="0"/>
          <w:bCs w:val="0"/>
          <w:color w:val="auto"/>
          <w:sz w:val="32"/>
          <w:szCs w:val="32"/>
        </w:rPr>
        <w:t>（二）、项目过程情况</w:t>
      </w:r>
    </w:p>
    <w:p>
      <w:pPr>
        <w:pStyle w:val="8"/>
        <w:keepNext w:val="0"/>
        <w:keepLines w:val="0"/>
        <w:pageBreakBefore w:val="0"/>
        <w:kinsoku/>
        <w:wordWrap/>
        <w:overflowPunct/>
        <w:topLinePunct w:val="0"/>
        <w:autoSpaceDE/>
        <w:autoSpaceDN/>
        <w:bidi w:val="0"/>
        <w:adjustRightInd/>
        <w:snapToGrid/>
        <w:spacing w:line="510" w:lineRule="exact"/>
        <w:ind w:firstLine="640" w:firstLineChars="200"/>
        <w:jc w:val="left"/>
        <w:textAlignment w:val="auto"/>
        <w:rPr>
          <w:rFonts w:hint="eastAsia" w:ascii="仿宋" w:hAnsi="仿宋" w:eastAsia="仿宋" w:cs="仿宋"/>
          <w:color w:val="auto"/>
          <w:sz w:val="32"/>
          <w:szCs w:val="32"/>
        </w:rPr>
      </w:pPr>
      <w:r>
        <w:rPr>
          <w:rStyle w:val="7"/>
          <w:rFonts w:hint="eastAsia" w:ascii="仿宋" w:hAnsi="仿宋" w:eastAsia="仿宋" w:cs="仿宋"/>
          <w:b w:val="0"/>
          <w:bCs w:val="0"/>
          <w:color w:val="auto"/>
          <w:sz w:val="32"/>
          <w:szCs w:val="32"/>
        </w:rPr>
        <w:t>结合实际情况，科学设置支出科目，规范财务核算，完整披露相关信息。项目按规定的程序及标准进行。</w:t>
      </w:r>
    </w:p>
    <w:p>
      <w:pPr>
        <w:keepNext w:val="0"/>
        <w:keepLines w:val="0"/>
        <w:pageBreakBefore w:val="0"/>
        <w:kinsoku/>
        <w:wordWrap/>
        <w:overflowPunct/>
        <w:topLinePunct w:val="0"/>
        <w:autoSpaceDE/>
        <w:autoSpaceDN/>
        <w:bidi w:val="0"/>
        <w:adjustRightInd/>
        <w:snapToGrid/>
        <w:spacing w:line="510" w:lineRule="exact"/>
        <w:ind w:firstLine="640" w:firstLineChars="200"/>
        <w:jc w:val="left"/>
        <w:textAlignment w:val="auto"/>
        <w:rPr>
          <w:rStyle w:val="7"/>
          <w:rFonts w:hint="eastAsia" w:ascii="仿宋" w:hAnsi="仿宋" w:eastAsia="仿宋" w:cs="仿宋"/>
          <w:b w:val="0"/>
          <w:bCs w:val="0"/>
          <w:color w:val="auto"/>
          <w:sz w:val="32"/>
          <w:szCs w:val="32"/>
        </w:rPr>
      </w:pPr>
      <w:r>
        <w:rPr>
          <w:rStyle w:val="7"/>
          <w:rFonts w:hint="eastAsia" w:ascii="仿宋" w:hAnsi="仿宋" w:eastAsia="仿宋" w:cs="仿宋"/>
          <w:b w:val="0"/>
          <w:bCs w:val="0"/>
          <w:color w:val="auto"/>
          <w:sz w:val="32"/>
          <w:szCs w:val="32"/>
        </w:rPr>
        <w:t>（三）、项目产出情况</w:t>
      </w:r>
    </w:p>
    <w:p>
      <w:pPr>
        <w:keepNext w:val="0"/>
        <w:keepLines w:val="0"/>
        <w:pageBreakBefore w:val="0"/>
        <w:kinsoku/>
        <w:wordWrap/>
        <w:overflowPunct/>
        <w:topLinePunct w:val="0"/>
        <w:autoSpaceDE/>
        <w:autoSpaceDN/>
        <w:bidi w:val="0"/>
        <w:adjustRightInd/>
        <w:snapToGrid/>
        <w:spacing w:line="51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val="0"/>
          <w:bCs w:val="0"/>
          <w:color w:val="auto"/>
          <w:sz w:val="32"/>
          <w:szCs w:val="32"/>
          <w:lang w:eastAsia="zh-CN"/>
        </w:rPr>
        <w:t>对中方县城</w:t>
      </w:r>
      <w:r>
        <w:rPr>
          <w:rFonts w:hint="eastAsia" w:ascii="仿宋" w:hAnsi="仿宋" w:eastAsia="仿宋" w:cs="仿宋"/>
          <w:b w:val="0"/>
          <w:bCs w:val="0"/>
          <w:color w:val="auto"/>
          <w:sz w:val="32"/>
          <w:szCs w:val="32"/>
          <w:lang w:val="en-US" w:eastAsia="zh-CN"/>
        </w:rPr>
        <w:t>8条花箱路栽植时令花卉，共计</w:t>
      </w:r>
      <w:r>
        <w:rPr>
          <w:rFonts w:hint="eastAsia" w:ascii="仿宋" w:hAnsi="仿宋" w:eastAsia="仿宋" w:cs="仿宋"/>
          <w:color w:val="auto"/>
          <w:kern w:val="0"/>
          <w:sz w:val="32"/>
          <w:szCs w:val="32"/>
          <w:lang w:val="en-US" w:eastAsia="zh-CN"/>
        </w:rPr>
        <w:t>23000株×5次/年=115000株；绿地21428×5次/年=107140株；种植土更换211.6.m3;绿地铺草皮457㎡，</w:t>
      </w:r>
      <w:r>
        <w:rPr>
          <w:rFonts w:hint="eastAsia" w:ascii="仿宋" w:hAnsi="仿宋" w:eastAsia="仿宋" w:cs="仿宋"/>
          <w:color w:val="auto"/>
          <w:kern w:val="0"/>
          <w:sz w:val="32"/>
          <w:szCs w:val="32"/>
        </w:rPr>
        <w:t>严格按照县财政评审中心预算价格为基础的招投标价。</w:t>
      </w:r>
    </w:p>
    <w:p>
      <w:pPr>
        <w:keepNext w:val="0"/>
        <w:keepLines w:val="0"/>
        <w:pageBreakBefore w:val="0"/>
        <w:kinsoku/>
        <w:wordWrap/>
        <w:overflowPunct/>
        <w:topLinePunct w:val="0"/>
        <w:autoSpaceDE/>
        <w:autoSpaceDN/>
        <w:bidi w:val="0"/>
        <w:adjustRightInd/>
        <w:snapToGrid/>
        <w:spacing w:line="51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（四）、项目效益情况</w:t>
      </w:r>
    </w:p>
    <w:p>
      <w:pPr>
        <w:keepNext w:val="0"/>
        <w:keepLines w:val="0"/>
        <w:pageBreakBefore w:val="0"/>
        <w:kinsoku/>
        <w:wordWrap/>
        <w:overflowPunct/>
        <w:topLinePunct w:val="0"/>
        <w:autoSpaceDE/>
        <w:autoSpaceDN/>
        <w:bidi w:val="0"/>
        <w:adjustRightInd/>
        <w:snapToGrid/>
        <w:spacing w:line="51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美化县城环境，吸引投资商投资；改善生态环境，为县城广大市民提供天然氧吧及生态宜居的工作生活环境。</w:t>
      </w:r>
    </w:p>
    <w:p>
      <w:pPr>
        <w:keepNext w:val="0"/>
        <w:keepLines w:val="0"/>
        <w:pageBreakBefore w:val="0"/>
        <w:kinsoku/>
        <w:wordWrap/>
        <w:overflowPunct/>
        <w:topLinePunct w:val="0"/>
        <w:autoSpaceDE/>
        <w:autoSpaceDN/>
        <w:bidi w:val="0"/>
        <w:adjustRightInd/>
        <w:snapToGrid/>
        <w:spacing w:line="510" w:lineRule="exact"/>
        <w:ind w:firstLine="643" w:firstLineChars="200"/>
        <w:jc w:val="left"/>
        <w:textAlignment w:val="auto"/>
        <w:rPr>
          <w:rFonts w:hint="eastAsia" w:ascii="Times New Roman" w:hAnsi="Times New Roman" w:eastAsia="楷体" w:cs="Times New Roman"/>
          <w:b/>
          <w:color w:val="auto"/>
          <w:kern w:val="2"/>
          <w:sz w:val="32"/>
          <w:szCs w:val="32"/>
          <w:lang w:val="en-US" w:eastAsia="zh-CN" w:bidi="ar-SA"/>
        </w:rPr>
      </w:pPr>
      <w:r>
        <w:rPr>
          <w:rFonts w:hint="eastAsia" w:ascii="Times New Roman" w:hAnsi="Times New Roman" w:eastAsia="楷体" w:cs="Times New Roman"/>
          <w:b/>
          <w:color w:val="auto"/>
          <w:kern w:val="2"/>
          <w:sz w:val="32"/>
          <w:szCs w:val="32"/>
          <w:lang w:val="en-US" w:eastAsia="zh-CN" w:bidi="ar-SA"/>
        </w:rPr>
        <w:t>五、主要经验及做法、存在的问题及原因分析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仿宋" w:hAnsi="仿宋" w:eastAsia="仿宋" w:cs="仿宋"/>
          <w:color w:val="auto"/>
          <w:sz w:val="32"/>
          <w:szCs w:val="32"/>
          <w:lang w:val="en-US" w:eastAsia="zh-CN"/>
        </w:rPr>
      </w:pPr>
      <w:r>
        <w:rPr>
          <w:rFonts w:hint="eastAsia" w:ascii="Times New Roman" w:hAnsi="Times New Roman" w:eastAsia="仿宋" w:cs="Times New Roman"/>
          <w:kern w:val="2"/>
          <w:sz w:val="32"/>
          <w:szCs w:val="32"/>
          <w:lang w:val="en-US" w:eastAsia="zh-CN" w:bidi="ar-SA"/>
        </w:rPr>
        <w:t>中方县城市管理行政执法大队</w:t>
      </w:r>
      <w:r>
        <w:rPr>
          <w:rFonts w:hint="eastAsia" w:ascii="仿宋" w:hAnsi="仿宋" w:eastAsia="仿宋" w:cs="仿宋"/>
          <w:color w:val="auto"/>
          <w:sz w:val="32"/>
          <w:szCs w:val="32"/>
          <w:lang w:val="en-US" w:eastAsia="zh-CN"/>
        </w:rPr>
        <w:t>对</w:t>
      </w:r>
      <w:r>
        <w:rPr>
          <w:rFonts w:hint="eastAsia" w:ascii="仿宋" w:hAnsi="仿宋" w:eastAsia="仿宋" w:cs="仿宋"/>
          <w:b w:val="0"/>
          <w:bCs w:val="0"/>
          <w:color w:val="auto"/>
          <w:kern w:val="0"/>
          <w:sz w:val="32"/>
          <w:szCs w:val="32"/>
          <w:lang w:val="en-US" w:eastAsia="zh-CN"/>
        </w:rPr>
        <w:t>2020年</w:t>
      </w:r>
      <w:r>
        <w:rPr>
          <w:rFonts w:hint="eastAsia" w:ascii="仿宋" w:hAnsi="仿宋" w:eastAsia="仿宋" w:cs="仿宋"/>
          <w:color w:val="auto"/>
          <w:sz w:val="32"/>
          <w:szCs w:val="32"/>
          <w:lang w:val="en-US" w:eastAsia="zh-CN"/>
        </w:rPr>
        <w:t>财政下拨的该专项资金管理规范，合理开支，保证了资金使用到位，提高资金使用效率，达到了</w:t>
      </w:r>
      <w:r>
        <w:rPr>
          <w:rStyle w:val="7"/>
          <w:rFonts w:hint="eastAsia" w:ascii="仿宋" w:hAnsi="仿宋" w:eastAsia="仿宋" w:cs="仿宋"/>
          <w:b w:val="0"/>
          <w:bCs w:val="0"/>
          <w:color w:val="auto"/>
          <w:sz w:val="32"/>
          <w:szCs w:val="32"/>
          <w:lang w:eastAsia="zh-CN"/>
        </w:rPr>
        <w:t>美化县城环境，改善县城生态环境的</w:t>
      </w:r>
      <w:r>
        <w:rPr>
          <w:rFonts w:hint="eastAsia" w:ascii="仿宋" w:hAnsi="仿宋" w:eastAsia="仿宋" w:cs="仿宋"/>
          <w:color w:val="auto"/>
          <w:sz w:val="32"/>
          <w:szCs w:val="32"/>
          <w:lang w:val="en-US" w:eastAsia="zh-CN"/>
        </w:rPr>
        <w:t>预期目标及有关要求，社会、经济效益显著，群众满意率达到95%以上。</w:t>
      </w:r>
    </w:p>
    <w:p>
      <w:pPr>
        <w:pStyle w:val="6"/>
        <w:keepNext w:val="0"/>
        <w:keepLines w:val="0"/>
        <w:pageBreakBefore w:val="0"/>
        <w:numPr>
          <w:ilvl w:val="0"/>
          <w:numId w:val="0"/>
        </w:numPr>
        <w:kinsoku/>
        <w:wordWrap/>
        <w:overflowPunct/>
        <w:topLinePunct w:val="0"/>
        <w:autoSpaceDE/>
        <w:autoSpaceDN/>
        <w:bidi w:val="0"/>
        <w:adjustRightInd/>
        <w:snapToGrid/>
        <w:spacing w:line="510" w:lineRule="exact"/>
        <w:ind w:firstLine="643" w:firstLineChars="200"/>
        <w:textAlignment w:val="auto"/>
        <w:rPr>
          <w:rFonts w:ascii="Times New Roman" w:hAnsi="Times New Roman" w:eastAsia="楷体"/>
          <w:b/>
          <w:color w:val="auto"/>
          <w:sz w:val="32"/>
          <w:szCs w:val="32"/>
        </w:rPr>
      </w:pPr>
      <w:r>
        <w:rPr>
          <w:rFonts w:hint="eastAsia" w:ascii="Times New Roman" w:hAnsi="Times New Roman" w:eastAsia="楷体"/>
          <w:b/>
          <w:color w:val="auto"/>
          <w:sz w:val="32"/>
          <w:szCs w:val="32"/>
          <w:lang w:eastAsia="zh-CN"/>
        </w:rPr>
        <w:t>六、</w:t>
      </w:r>
      <w:r>
        <w:rPr>
          <w:rFonts w:ascii="Times New Roman" w:hAnsi="Times New Roman" w:eastAsia="楷体"/>
          <w:b/>
          <w:color w:val="auto"/>
          <w:sz w:val="32"/>
          <w:szCs w:val="32"/>
        </w:rPr>
        <w:t>有关建议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草花的价格，呈上涨的趋势，草花采购成本会越来越高，随着物价指数和人工工资的增长，建议随之合理增加草花种植项目经费。</w:t>
      </w:r>
    </w:p>
    <w:p>
      <w:pPr>
        <w:pStyle w:val="6"/>
        <w:keepNext w:val="0"/>
        <w:keepLines w:val="0"/>
        <w:pageBreakBefore w:val="0"/>
        <w:kinsoku/>
        <w:wordWrap/>
        <w:overflowPunct/>
        <w:topLinePunct w:val="0"/>
        <w:autoSpaceDE/>
        <w:autoSpaceDN/>
        <w:bidi w:val="0"/>
        <w:adjustRightInd/>
        <w:snapToGrid/>
        <w:spacing w:line="51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七、其他需要说明的问题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kern w:val="0"/>
          <w:sz w:val="32"/>
          <w:szCs w:val="32"/>
        </w:rPr>
        <w:t>2018年中方县城草花种植</w:t>
      </w:r>
      <w:r>
        <w:rPr>
          <w:rFonts w:hint="eastAsia" w:ascii="仿宋" w:hAnsi="仿宋" w:eastAsia="仿宋" w:cs="仿宋"/>
          <w:color w:val="auto"/>
          <w:sz w:val="32"/>
          <w:szCs w:val="32"/>
          <w:lang w:val="en-US" w:eastAsia="zh-CN"/>
        </w:rPr>
        <w:t>工作圆满完成，取得了显著的成效，成为县城一道亮丽的风景，广大市民纷纷合影拍照留念，资金利用率高，社会效益显著，绩效较好，充分发挥了资金的作用。</w:t>
      </w:r>
    </w:p>
    <w:p>
      <w:pPr>
        <w:keepNext w:val="0"/>
        <w:keepLines w:val="0"/>
        <w:pageBreakBefore w:val="0"/>
        <w:widowControl/>
        <w:kinsoku/>
        <w:wordWrap/>
        <w:overflowPunct/>
        <w:topLinePunct w:val="0"/>
        <w:autoSpaceDE/>
        <w:autoSpaceDN/>
        <w:bidi w:val="0"/>
        <w:adjustRightInd/>
        <w:snapToGrid/>
        <w:spacing w:line="510" w:lineRule="exact"/>
        <w:ind w:firstLine="645"/>
        <w:jc w:val="left"/>
        <w:textAlignment w:val="auto"/>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keepNext w:val="0"/>
        <w:keepLines w:val="0"/>
        <w:pageBreakBefore w:val="0"/>
        <w:widowControl/>
        <w:kinsoku/>
        <w:wordWrap/>
        <w:overflowPunct/>
        <w:topLinePunct w:val="0"/>
        <w:autoSpaceDE/>
        <w:autoSpaceDN/>
        <w:bidi w:val="0"/>
        <w:adjustRightInd/>
        <w:snapToGrid/>
        <w:spacing w:line="510" w:lineRule="exact"/>
        <w:ind w:firstLine="1600" w:firstLineChars="500"/>
        <w:jc w:val="left"/>
        <w:textAlignment w:val="auto"/>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keepNext w:val="0"/>
        <w:keepLines w:val="0"/>
        <w:pageBreakBefore w:val="0"/>
        <w:widowControl/>
        <w:numPr>
          <w:ilvl w:val="0"/>
          <w:numId w:val="0"/>
        </w:numPr>
        <w:kinsoku/>
        <w:wordWrap/>
        <w:overflowPunct/>
        <w:topLinePunct w:val="0"/>
        <w:autoSpaceDN/>
        <w:bidi w:val="0"/>
        <w:adjustRightInd/>
        <w:spacing w:line="500" w:lineRule="exact"/>
        <w:jc w:val="left"/>
        <w:textAlignment w:val="auto"/>
        <w:rPr>
          <w:rFonts w:hint="eastAsia" w:ascii="仿宋" w:hAnsi="仿宋" w:eastAsia="仿宋" w:cs="仿宋"/>
          <w:bCs/>
          <w:color w:val="auto"/>
          <w:kern w:val="0"/>
          <w:sz w:val="32"/>
          <w:szCs w:val="32"/>
          <w:lang w:eastAsia="zh-CN"/>
        </w:rPr>
      </w:pPr>
    </w:p>
    <w:p>
      <w:pPr>
        <w:pStyle w:val="6"/>
        <w:spacing w:line="510" w:lineRule="exact"/>
        <w:jc w:val="left"/>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eastAsia="zh-CN"/>
        </w:rPr>
        <w:t>附件</w:t>
      </w:r>
      <w:r>
        <w:rPr>
          <w:rFonts w:hint="eastAsia" w:ascii="Times New Roman" w:hAnsi="Times New Roman" w:eastAsia="仿宋"/>
          <w:color w:val="auto"/>
          <w:sz w:val="32"/>
          <w:szCs w:val="32"/>
          <w:lang w:val="en-US" w:eastAsia="zh-CN"/>
        </w:rPr>
        <w:t>1</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319"/>
        <w:gridCol w:w="815"/>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color w:val="auto"/>
                <w:kern w:val="0"/>
                <w:sz w:val="22"/>
                <w:szCs w:val="22"/>
              </w:rPr>
            </w:pPr>
            <w:r>
              <w:rPr>
                <w:rFonts w:ascii="Times New Roman" w:hAnsi="Times New Roman"/>
                <w:color w:val="auto"/>
                <w:kern w:val="0"/>
                <w:sz w:val="22"/>
                <w:szCs w:val="22"/>
              </w:rPr>
              <w:t>（</w:t>
            </w:r>
            <w:r>
              <w:rPr>
                <w:rFonts w:hint="eastAsia" w:ascii="Times New Roman" w:hAnsi="Times New Roman"/>
                <w:color w:val="auto"/>
                <w:kern w:val="0"/>
                <w:sz w:val="22"/>
                <w:szCs w:val="22"/>
              </w:rPr>
              <w:t>2020</w:t>
            </w:r>
            <w:r>
              <w:rPr>
                <w:rFonts w:ascii="Times New Roman" w:hAnsi="Times New Roman"/>
                <w:color w:val="auto"/>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2018年中方县城草花种植（尾款）</w:t>
            </w:r>
          </w:p>
        </w:tc>
      </w:tr>
      <w:tr>
        <w:tblPrEx>
          <w:tblCellMar>
            <w:top w:w="0" w:type="dxa"/>
            <w:left w:w="108" w:type="dxa"/>
            <w:bottom w:w="0" w:type="dxa"/>
            <w:right w:w="108" w:type="dxa"/>
          </w:tblCellMar>
        </w:tblPrEx>
        <w:trPr>
          <w:trHeight w:val="471"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eastAsia="宋体"/>
                <w:color w:val="auto"/>
                <w:kern w:val="0"/>
                <w:sz w:val="18"/>
                <w:szCs w:val="18"/>
                <w:lang w:eastAsia="zh-CN"/>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新田县中天农业科技有限公司</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项目资金</w:t>
            </w:r>
            <w:r>
              <w:rPr>
                <w:rFonts w:ascii="Times New Roman" w:hAnsi="Times New Roman"/>
                <w:color w:val="auto"/>
                <w:kern w:val="0"/>
                <w:sz w:val="18"/>
                <w:szCs w:val="18"/>
              </w:rPr>
              <w:br w:type="textWrapping"/>
            </w:r>
            <w:r>
              <w:rPr>
                <w:rFonts w:ascii="Times New Roman" w:hAnsi="Times New Roman"/>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全年预算数</w:t>
            </w:r>
            <w:r>
              <w:rPr>
                <w:rFonts w:ascii="Times New Roman" w:hAnsi="Times New Roman"/>
                <w:color w:val="auto"/>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全年执行数</w:t>
            </w:r>
            <w:r>
              <w:rPr>
                <w:rFonts w:ascii="Times New Roman" w:hAnsi="Times New Roman"/>
                <w:color w:val="auto"/>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执行率</w:t>
            </w:r>
            <w:r>
              <w:rPr>
                <w:rFonts w:ascii="Times New Roman" w:hAnsi="Times New Roman"/>
                <w:color w:val="auto"/>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color w:val="auto"/>
                <w:kern w:val="0"/>
                <w:sz w:val="18"/>
                <w:szCs w:val="18"/>
              </w:rPr>
            </w:pPr>
            <w:r>
              <w:rPr>
                <w:rFonts w:ascii="Times New Roman" w:hAnsi="Times New Roman"/>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29.98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29.98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rPr>
              <w:t>59.89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val="en-US" w:eastAsia="zh-CN"/>
              </w:rPr>
              <w:t>29.98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val="en-US" w:eastAsia="zh-CN"/>
              </w:rPr>
              <w:t>29.98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rPr>
              <w:t>59.89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绩</w:t>
            </w:r>
            <w:r>
              <w:rPr>
                <w:rFonts w:ascii="Times New Roman" w:hAnsi="Times New Roman"/>
                <w:color w:val="auto"/>
                <w:kern w:val="0"/>
                <w:sz w:val="18"/>
                <w:szCs w:val="18"/>
              </w:rPr>
              <w:br w:type="textWrapping"/>
            </w:r>
            <w:r>
              <w:rPr>
                <w:rFonts w:ascii="Times New Roman" w:hAnsi="Times New Roman"/>
                <w:color w:val="auto"/>
                <w:kern w:val="0"/>
                <w:sz w:val="18"/>
                <w:szCs w:val="18"/>
              </w:rPr>
              <w:t>效</w:t>
            </w:r>
            <w:r>
              <w:rPr>
                <w:rFonts w:ascii="Times New Roman" w:hAnsi="Times New Roman"/>
                <w:color w:val="auto"/>
                <w:kern w:val="0"/>
                <w:sz w:val="18"/>
                <w:szCs w:val="18"/>
              </w:rPr>
              <w:br w:type="textWrapping"/>
            </w:r>
            <w:r>
              <w:rPr>
                <w:rFonts w:ascii="Times New Roman" w:hAnsi="Times New Roman"/>
                <w:color w:val="auto"/>
                <w:kern w:val="0"/>
                <w:sz w:val="18"/>
                <w:szCs w:val="18"/>
              </w:rPr>
              <w:t>指</w:t>
            </w:r>
            <w:r>
              <w:rPr>
                <w:rFonts w:ascii="Times New Roman" w:hAnsi="Times New Roman"/>
                <w:color w:val="auto"/>
                <w:kern w:val="0"/>
                <w:sz w:val="18"/>
                <w:szCs w:val="18"/>
              </w:rPr>
              <w:br w:type="textWrapping"/>
            </w:r>
            <w:r>
              <w:rPr>
                <w:rFonts w:ascii="Times New Roman" w:hAnsi="Times New Roman"/>
                <w:color w:val="auto"/>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二级指标</w:t>
            </w:r>
          </w:p>
        </w:tc>
        <w:tc>
          <w:tcPr>
            <w:tcW w:w="2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三级指标</w:t>
            </w:r>
          </w:p>
        </w:tc>
        <w:tc>
          <w:tcPr>
            <w:tcW w:w="81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年度</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实际</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偏差原因分析及改进措施</w:t>
            </w:r>
          </w:p>
        </w:tc>
      </w:tr>
      <w:tr>
        <w:tblPrEx>
          <w:tblCellMar>
            <w:top w:w="0" w:type="dxa"/>
            <w:left w:w="108" w:type="dxa"/>
            <w:bottom w:w="0" w:type="dxa"/>
            <w:right w:w="108" w:type="dxa"/>
          </w:tblCellMar>
        </w:tblPrEx>
        <w:trPr>
          <w:trHeight w:val="1262"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产出指标</w:t>
            </w:r>
            <w:r>
              <w:rPr>
                <w:rFonts w:ascii="Times New Roman" w:hAnsi="Times New Roman"/>
                <w:color w:val="auto"/>
                <w:kern w:val="0"/>
                <w:sz w:val="20"/>
                <w:szCs w:val="20"/>
              </w:rPr>
              <w:t>(50分)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数量指标</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23000株</w:t>
            </w:r>
            <w:r>
              <w:rPr>
                <w:rFonts w:hint="default" w:ascii="Arial" w:hAnsi="Arial" w:cs="Arial"/>
                <w:color w:val="auto"/>
                <w:kern w:val="0"/>
                <w:sz w:val="18"/>
                <w:szCs w:val="18"/>
                <w:lang w:val="en-US" w:eastAsia="zh-CN"/>
              </w:rPr>
              <w:t>×</w:t>
            </w:r>
            <w:r>
              <w:rPr>
                <w:rFonts w:hint="eastAsia" w:ascii="Times New Roman" w:hAnsi="Times New Roman"/>
                <w:color w:val="auto"/>
                <w:kern w:val="0"/>
                <w:sz w:val="18"/>
                <w:szCs w:val="18"/>
                <w:lang w:val="en-US" w:eastAsia="zh-CN"/>
              </w:rPr>
              <w:t>5次/年=115000株；绿地21428</w:t>
            </w:r>
            <w:r>
              <w:rPr>
                <w:rFonts w:hint="default" w:ascii="Arial" w:hAnsi="Arial" w:cs="Arial"/>
                <w:color w:val="auto"/>
                <w:kern w:val="0"/>
                <w:sz w:val="18"/>
                <w:szCs w:val="18"/>
                <w:lang w:val="en-US" w:eastAsia="zh-CN"/>
              </w:rPr>
              <w:t>×</w:t>
            </w:r>
            <w:r>
              <w:rPr>
                <w:rFonts w:hint="eastAsia" w:ascii="Times New Roman" w:hAnsi="Times New Roman"/>
                <w:color w:val="auto"/>
                <w:kern w:val="0"/>
                <w:sz w:val="18"/>
                <w:szCs w:val="18"/>
                <w:lang w:val="en-US" w:eastAsia="zh-CN"/>
              </w:rPr>
              <w:t>5次/年=107140株；种植土更换211.6.m3;绿地铺草皮457</w:t>
            </w:r>
            <w:r>
              <w:rPr>
                <w:rFonts w:hint="eastAsia" w:ascii="宋体" w:hAnsi="宋体" w:eastAsia="宋体" w:cs="宋体"/>
                <w:color w:val="auto"/>
                <w:kern w:val="0"/>
                <w:sz w:val="18"/>
                <w:szCs w:val="18"/>
                <w:lang w:val="en-US" w:eastAsia="zh-CN"/>
              </w:rPr>
              <w:t>㎡。</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质量指标</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栽植成品、时令花卉</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种植土填换</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铺种草皮</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88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时效指标</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项目按合同规定时间完成种植。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89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成本指标</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按照县财政评审中心预算价格为基础的招投标价。</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Times New Roman" w:hAnsi="Times New Roman"/>
                <w:color w:val="auto"/>
                <w:kern w:val="0"/>
                <w:sz w:val="18"/>
                <w:szCs w:val="18"/>
              </w:rPr>
              <w:t>59.89</w:t>
            </w:r>
            <w:r>
              <w:rPr>
                <w:rFonts w:hint="eastAsia" w:ascii="Times New Roman" w:hAnsi="Times New Roman"/>
                <w:color w:val="auto"/>
                <w:kern w:val="0"/>
                <w:sz w:val="18"/>
                <w:szCs w:val="18"/>
                <w:lang w:eastAsia="zh-CN"/>
              </w:rPr>
              <w:t>万元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Times New Roman" w:hAnsi="Times New Roman"/>
                <w:color w:val="auto"/>
                <w:kern w:val="0"/>
                <w:sz w:val="18"/>
                <w:szCs w:val="18"/>
              </w:rPr>
              <w:t>59.89</w:t>
            </w:r>
            <w:r>
              <w:rPr>
                <w:rFonts w:hint="eastAsia" w:ascii="Times New Roman" w:hAnsi="Times New Roman"/>
                <w:color w:val="auto"/>
                <w:kern w:val="0"/>
                <w:sz w:val="18"/>
                <w:szCs w:val="18"/>
                <w:lang w:eastAsia="zh-CN"/>
              </w:rPr>
              <w:t>万元</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88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效益指标</w:t>
            </w:r>
            <w:r>
              <w:rPr>
                <w:rFonts w:ascii="Times New Roman" w:hAnsi="Times New Roman"/>
                <w:color w:val="auto"/>
                <w:kern w:val="0"/>
                <w:sz w:val="20"/>
                <w:szCs w:val="20"/>
              </w:rPr>
              <w:t>(30分)</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经济效益</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w:t>
            </w:r>
          </w:p>
        </w:tc>
        <w:tc>
          <w:tcPr>
            <w:tcW w:w="2183"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eastAsia="zh-CN"/>
              </w:rPr>
              <w:t>美化县城环境，吸引投资商投资。</w:t>
            </w:r>
          </w:p>
        </w:tc>
        <w:tc>
          <w:tcPr>
            <w:tcW w:w="81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有所提高</w:t>
            </w:r>
          </w:p>
        </w:tc>
        <w:tc>
          <w:tcPr>
            <w:tcW w:w="851"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有所提高</w:t>
            </w:r>
          </w:p>
        </w:tc>
        <w:tc>
          <w:tcPr>
            <w:tcW w:w="567"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5</w:t>
            </w:r>
          </w:p>
        </w:tc>
        <w:tc>
          <w:tcPr>
            <w:tcW w:w="567"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4</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88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社会效益</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美化环境，为县城广大市民提供生态宜居的生活环境。</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Times New Roman" w:hAnsi="Times New Roman" w:eastAsia="宋体"/>
                <w:color w:val="auto"/>
                <w:kern w:val="0"/>
                <w:sz w:val="18"/>
                <w:szCs w:val="18"/>
                <w:lang w:val="en-US" w:eastAsia="zh-CN"/>
              </w:rPr>
              <w:t>98%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宋体" w:hAnsi="宋体" w:eastAsia="宋体" w:cs="宋体"/>
                <w:color w:val="auto"/>
                <w:kern w:val="0"/>
                <w:sz w:val="18"/>
                <w:szCs w:val="18"/>
              </w:rPr>
              <w:t>≧</w:t>
            </w:r>
            <w:r>
              <w:rPr>
                <w:rFonts w:hint="eastAsia" w:ascii="Times New Roman" w:hAnsi="Times New Roman" w:eastAsia="宋体"/>
                <w:color w:val="auto"/>
                <w:kern w:val="0"/>
                <w:sz w:val="18"/>
                <w:szCs w:val="18"/>
                <w:lang w:val="en-US" w:eastAsia="zh-CN"/>
              </w:rPr>
              <w:t>98%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88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生态效益</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改善生态环境</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88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可持续影响指标</w:t>
            </w:r>
          </w:p>
        </w:tc>
        <w:tc>
          <w:tcPr>
            <w:tcW w:w="2183"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美化县城环境，改善生态环境。</w:t>
            </w:r>
          </w:p>
        </w:tc>
        <w:tc>
          <w:tcPr>
            <w:tcW w:w="81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长效</w:t>
            </w:r>
          </w:p>
        </w:tc>
        <w:tc>
          <w:tcPr>
            <w:tcW w:w="851"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长效</w:t>
            </w:r>
          </w:p>
        </w:tc>
        <w:tc>
          <w:tcPr>
            <w:tcW w:w="567"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88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满意度</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w:t>
            </w:r>
            <w:r>
              <w:rPr>
                <w:rFonts w:ascii="Times New Roman" w:hAnsi="Times New Roman"/>
                <w:color w:val="auto"/>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服务对象满意度指标</w:t>
            </w:r>
          </w:p>
        </w:tc>
        <w:tc>
          <w:tcPr>
            <w:tcW w:w="2183"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县城居住社会各界人士满意度</w:t>
            </w:r>
          </w:p>
        </w:tc>
        <w:tc>
          <w:tcPr>
            <w:tcW w:w="81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宋体" w:hAnsi="宋体" w:eastAsia="宋体" w:cs="宋体"/>
                <w:color w:val="auto"/>
                <w:kern w:val="0"/>
                <w:sz w:val="18"/>
                <w:szCs w:val="18"/>
              </w:rPr>
              <w:t>≧</w:t>
            </w:r>
            <w:r>
              <w:rPr>
                <w:rFonts w:hint="eastAsia" w:ascii="Times New Roman" w:hAnsi="Times New Roman" w:eastAsia="宋体"/>
                <w:color w:val="auto"/>
                <w:kern w:val="0"/>
                <w:sz w:val="18"/>
                <w:szCs w:val="18"/>
                <w:lang w:val="en-US" w:eastAsia="zh-CN"/>
              </w:rPr>
              <w:t>98%</w:t>
            </w:r>
          </w:p>
        </w:tc>
        <w:tc>
          <w:tcPr>
            <w:tcW w:w="851"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宋体" w:hAnsi="宋体" w:eastAsia="宋体" w:cs="宋体"/>
                <w:color w:val="auto"/>
                <w:kern w:val="0"/>
                <w:sz w:val="18"/>
                <w:szCs w:val="18"/>
              </w:rPr>
              <w:t>≧</w:t>
            </w:r>
            <w:r>
              <w:rPr>
                <w:rFonts w:hint="eastAsia" w:ascii="Times New Roman" w:hAnsi="Times New Roman" w:eastAsia="宋体"/>
                <w:color w:val="auto"/>
                <w:kern w:val="0"/>
                <w:sz w:val="18"/>
                <w:szCs w:val="18"/>
                <w:lang w:val="en-US" w:eastAsia="zh-CN"/>
              </w:rPr>
              <w:t>98%</w:t>
            </w:r>
          </w:p>
        </w:tc>
        <w:tc>
          <w:tcPr>
            <w:tcW w:w="567"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bl>
    <w:p>
      <w:pPr>
        <w:widowControl/>
        <w:spacing w:line="400" w:lineRule="exact"/>
        <w:jc w:val="left"/>
        <w:rPr>
          <w:rFonts w:ascii="Times New Roman" w:hAnsi="Times New Roman"/>
          <w:color w:val="auto"/>
          <w:kern w:val="0"/>
          <w:sz w:val="18"/>
          <w:szCs w:val="18"/>
        </w:rPr>
      </w:pPr>
      <w:r>
        <w:rPr>
          <w:rFonts w:ascii="Times New Roman" w:hAnsi="Times New Roman"/>
          <w:color w:val="auto"/>
          <w:kern w:val="0"/>
          <w:sz w:val="18"/>
          <w:szCs w:val="18"/>
        </w:rPr>
        <w:br w:type="page"/>
      </w:r>
      <w:r>
        <w:rPr>
          <w:color w:val="auto"/>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auto"/>
                <w:kern w:val="0"/>
                <w:sz w:val="18"/>
                <w:szCs w:val="18"/>
              </w:rPr>
            </w:pPr>
            <w:r>
              <w:rPr>
                <w:rFonts w:ascii="Times New Roman" w:hAnsi="Times New Roman"/>
                <w:color w:val="auto"/>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auto"/>
                <w:kern w:val="0"/>
                <w:sz w:val="18"/>
                <w:szCs w:val="18"/>
              </w:rPr>
            </w:pPr>
            <w:r>
              <w:rPr>
                <w:rFonts w:ascii="Times New Roman" w:hAnsi="Times New Roman"/>
                <w:color w:val="auto"/>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auto"/>
                <w:kern w:val="0"/>
                <w:sz w:val="18"/>
                <w:szCs w:val="18"/>
              </w:rPr>
            </w:pPr>
            <w:r>
              <w:rPr>
                <w:rFonts w:ascii="Times New Roman" w:hAnsi="Times New Roman"/>
                <w:color w:val="auto"/>
                <w:kern w:val="0"/>
                <w:sz w:val="18"/>
                <w:szCs w:val="18"/>
              </w:rPr>
              <w:t xml:space="preserve">    3.定量指标若为正向指标（即指标值为≥*），则得分计算方法应用全年实际值（B）/年度指标值（A）</w:t>
            </w:r>
            <w:r>
              <w:rPr>
                <w:rFonts w:ascii="Times New Roman" w:hAnsi="Times New Roman"/>
                <w:color w:val="auto"/>
                <w:kern w:val="0"/>
                <w:sz w:val="12"/>
                <w:szCs w:val="12"/>
              </w:rPr>
              <w:t>╳</w:t>
            </w:r>
            <w:r>
              <w:rPr>
                <w:rFonts w:ascii="Times New Roman" w:hAnsi="Times New Roman"/>
                <w:color w:val="auto"/>
                <w:kern w:val="0"/>
                <w:sz w:val="18"/>
                <w:szCs w:val="18"/>
              </w:rPr>
              <w:t>该指标分值；若定量指标为反向指标（即指标值为≤*），则得分计算方法应用年度指标值（A）/全年实际值（B）</w:t>
            </w:r>
            <w:r>
              <w:rPr>
                <w:rFonts w:ascii="Times New Roman" w:hAnsi="Times New Roman"/>
                <w:color w:val="auto"/>
                <w:kern w:val="0"/>
                <w:sz w:val="12"/>
                <w:szCs w:val="12"/>
              </w:rPr>
              <w:t>╳</w:t>
            </w:r>
            <w:r>
              <w:rPr>
                <w:rFonts w:ascii="Times New Roman" w:hAnsi="Times New Roman"/>
                <w:color w:val="auto"/>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auto"/>
                <w:kern w:val="0"/>
                <w:sz w:val="18"/>
                <w:szCs w:val="18"/>
              </w:rPr>
            </w:pPr>
            <w:r>
              <w:rPr>
                <w:rFonts w:ascii="Times New Roman" w:hAnsi="Times New Roman"/>
                <w:color w:val="auto"/>
                <w:kern w:val="0"/>
                <w:sz w:val="18"/>
                <w:szCs w:val="18"/>
              </w:rPr>
              <w:t xml:space="preserve">    4.请在“偏差原因分析及改进措施”中说明偏离目标、不能完成目标的原因及拟采取的措施。</w:t>
            </w:r>
          </w:p>
        </w:tc>
      </w:tr>
    </w:tbl>
    <w:p>
      <w:pPr>
        <w:widowControl/>
        <w:spacing w:line="400" w:lineRule="exact"/>
        <w:jc w:val="left"/>
        <w:rPr>
          <w:rFonts w:ascii="Times New Roman" w:hAnsi="Times New Roman"/>
          <w:color w:val="auto"/>
          <w:kern w:val="0"/>
          <w:sz w:val="18"/>
          <w:szCs w:val="18"/>
        </w:rPr>
      </w:pPr>
    </w:p>
    <w:p>
      <w:pPr>
        <w:rPr>
          <w:rFonts w:ascii="Times New Roman" w:hAnsi="Times New Roman"/>
          <w:color w:val="auto"/>
        </w:rPr>
      </w:pPr>
    </w:p>
    <w:p>
      <w:pPr>
        <w:rPr>
          <w:rFonts w:ascii="Times New Roman" w:hAnsi="Times New Roman" w:eastAsia="黑体"/>
          <w:color w:val="auto"/>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6"/>
        <w:spacing w:line="510" w:lineRule="exact"/>
        <w:jc w:val="left"/>
        <w:rPr>
          <w:rFonts w:ascii="Times New Roman" w:hAnsi="Times New Roman" w:eastAsia="宋体"/>
          <w:bCs/>
          <w:color w:val="auto"/>
          <w:sz w:val="36"/>
          <w:szCs w:val="28"/>
        </w:rPr>
      </w:pPr>
      <w:r>
        <w:rPr>
          <w:rFonts w:hint="eastAsia" w:ascii="Times New Roman" w:hAnsi="Times New Roman" w:eastAsia="仿宋"/>
          <w:color w:val="auto"/>
          <w:sz w:val="32"/>
          <w:szCs w:val="32"/>
          <w:lang w:eastAsia="zh-CN"/>
        </w:rPr>
        <w:t>附件</w:t>
      </w:r>
      <w:r>
        <w:rPr>
          <w:rFonts w:hint="eastAsia" w:ascii="Times New Roman" w:hAnsi="Times New Roman" w:eastAsia="仿宋"/>
          <w:color w:val="auto"/>
          <w:sz w:val="32"/>
          <w:szCs w:val="32"/>
          <w:lang w:val="en-US" w:eastAsia="zh-CN"/>
        </w:rPr>
        <w:t>2</w:t>
      </w:r>
    </w:p>
    <w:p>
      <w:pPr>
        <w:pStyle w:val="2"/>
        <w:spacing w:before="0" w:after="0" w:line="240" w:lineRule="auto"/>
        <w:jc w:val="center"/>
        <w:rPr>
          <w:rFonts w:ascii="Times New Roman" w:hAnsi="Times New Roman" w:eastAsia="宋体"/>
          <w:bCs/>
          <w:color w:val="auto"/>
          <w:sz w:val="36"/>
          <w:szCs w:val="28"/>
        </w:rPr>
      </w:pPr>
      <w:r>
        <w:rPr>
          <w:rFonts w:ascii="Times New Roman" w:hAnsi="Times New Roman" w:eastAsia="宋体"/>
          <w:bCs/>
          <w:color w:val="auto"/>
          <w:sz w:val="36"/>
          <w:szCs w:val="28"/>
        </w:rPr>
        <w:t>项目支出绩效评价共性指标表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分</w:t>
            </w:r>
          </w:p>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决策　</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立项依据</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①项目立项是否符合国家法律法规、国民经济发展规划和相关政策；</w:t>
            </w:r>
            <w:r>
              <w:rPr>
                <w:rFonts w:ascii="Times New Roman" w:hAnsi="Times New Roman"/>
                <w:color w:val="auto"/>
                <w:kern w:val="0"/>
                <w:sz w:val="22"/>
                <w:szCs w:val="22"/>
              </w:rPr>
              <w:br w:type="textWrapping"/>
            </w:r>
            <w:r>
              <w:rPr>
                <w:rFonts w:ascii="Times New Roman" w:hAnsi="Times New Roman"/>
                <w:color w:val="auto"/>
                <w:kern w:val="0"/>
                <w:sz w:val="22"/>
                <w:szCs w:val="22"/>
              </w:rPr>
              <w:t>②项目立项是否符合行业发展规划和政策要求；</w:t>
            </w:r>
            <w:r>
              <w:rPr>
                <w:rFonts w:ascii="Times New Roman" w:hAnsi="Times New Roman"/>
                <w:color w:val="auto"/>
                <w:kern w:val="0"/>
                <w:sz w:val="22"/>
                <w:szCs w:val="22"/>
              </w:rPr>
              <w:br w:type="textWrapping"/>
            </w:r>
            <w:r>
              <w:rPr>
                <w:rFonts w:ascii="Times New Roman" w:hAnsi="Times New Roman"/>
                <w:color w:val="auto"/>
                <w:kern w:val="0"/>
                <w:sz w:val="22"/>
                <w:szCs w:val="22"/>
              </w:rPr>
              <w:t>③项目立项是否与部门职责范围相符，属于部门履职所需；</w:t>
            </w:r>
            <w:r>
              <w:rPr>
                <w:rFonts w:ascii="Times New Roman" w:hAnsi="Times New Roman"/>
                <w:color w:val="auto"/>
                <w:kern w:val="0"/>
                <w:sz w:val="22"/>
                <w:szCs w:val="22"/>
              </w:rPr>
              <w:br w:type="textWrapping"/>
            </w:r>
            <w:r>
              <w:rPr>
                <w:rFonts w:ascii="Times New Roman" w:hAnsi="Times New Roman"/>
                <w:color w:val="auto"/>
                <w:kern w:val="0"/>
                <w:sz w:val="22"/>
                <w:szCs w:val="22"/>
              </w:rPr>
              <w:t>④项目是否属于公共财政支持范围，是否符合中央、地方事权支出责任划分原则；</w:t>
            </w:r>
            <w:r>
              <w:rPr>
                <w:rFonts w:ascii="Times New Roman" w:hAnsi="Times New Roman"/>
                <w:color w:val="auto"/>
                <w:kern w:val="0"/>
                <w:sz w:val="22"/>
                <w:szCs w:val="22"/>
              </w:rPr>
              <w:br w:type="textWrapping"/>
            </w:r>
            <w:r>
              <w:rPr>
                <w:rFonts w:ascii="Times New Roman" w:hAnsi="Times New Roman"/>
                <w:color w:val="auto"/>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立项程序</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①项目是否按照规定的程序申请设立；</w:t>
            </w:r>
            <w:r>
              <w:rPr>
                <w:rFonts w:ascii="Times New Roman" w:hAnsi="Times New Roman"/>
                <w:color w:val="auto"/>
                <w:kern w:val="0"/>
                <w:sz w:val="22"/>
                <w:szCs w:val="22"/>
              </w:rPr>
              <w:br w:type="textWrapping"/>
            </w:r>
            <w:r>
              <w:rPr>
                <w:rFonts w:ascii="Times New Roman" w:hAnsi="Times New Roman"/>
                <w:color w:val="auto"/>
                <w:kern w:val="0"/>
                <w:sz w:val="22"/>
                <w:szCs w:val="22"/>
              </w:rPr>
              <w:t>②审批文件、材料是否符合相关要求；</w:t>
            </w:r>
            <w:r>
              <w:rPr>
                <w:rFonts w:ascii="Times New Roman" w:hAnsi="Times New Roman"/>
                <w:color w:val="auto"/>
                <w:kern w:val="0"/>
                <w:sz w:val="22"/>
                <w:szCs w:val="22"/>
              </w:rPr>
              <w:br w:type="textWrapping"/>
            </w:r>
            <w:r>
              <w:rPr>
                <w:rFonts w:ascii="Times New Roman" w:hAnsi="Times New Roman"/>
                <w:color w:val="auto"/>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绩效目标</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（如未设定预算绩效目标，也可考核其他工作任务目标）</w:t>
            </w:r>
            <w:r>
              <w:rPr>
                <w:rFonts w:ascii="Times New Roman" w:hAnsi="Times New Roman"/>
                <w:color w:val="auto"/>
                <w:kern w:val="0"/>
                <w:sz w:val="22"/>
                <w:szCs w:val="22"/>
              </w:rPr>
              <w:br w:type="textWrapping"/>
            </w:r>
            <w:r>
              <w:rPr>
                <w:rFonts w:ascii="Times New Roman" w:hAnsi="Times New Roman"/>
                <w:color w:val="auto"/>
                <w:kern w:val="0"/>
                <w:sz w:val="22"/>
                <w:szCs w:val="22"/>
              </w:rPr>
              <w:t>①项目是否有绩效目标；</w:t>
            </w:r>
            <w:r>
              <w:rPr>
                <w:rFonts w:ascii="Times New Roman" w:hAnsi="Times New Roman"/>
                <w:color w:val="auto"/>
                <w:kern w:val="0"/>
                <w:sz w:val="22"/>
                <w:szCs w:val="22"/>
              </w:rPr>
              <w:br w:type="textWrapping"/>
            </w:r>
            <w:r>
              <w:rPr>
                <w:rFonts w:ascii="Times New Roman" w:hAnsi="Times New Roman"/>
                <w:color w:val="auto"/>
                <w:kern w:val="0"/>
                <w:sz w:val="22"/>
                <w:szCs w:val="22"/>
              </w:rPr>
              <w:t>②项目绩效目标与实际工作内容是否具有相关性；</w:t>
            </w:r>
            <w:r>
              <w:rPr>
                <w:rFonts w:ascii="Times New Roman" w:hAnsi="Times New Roman"/>
                <w:color w:val="auto"/>
                <w:kern w:val="0"/>
                <w:sz w:val="22"/>
                <w:szCs w:val="22"/>
              </w:rPr>
              <w:br w:type="textWrapping"/>
            </w:r>
            <w:r>
              <w:rPr>
                <w:rFonts w:ascii="Times New Roman" w:hAnsi="Times New Roman"/>
                <w:color w:val="auto"/>
                <w:kern w:val="0"/>
                <w:sz w:val="22"/>
                <w:szCs w:val="22"/>
              </w:rPr>
              <w:t>③项目预期产出效益和效果是否符合正常的业绩水平；</w:t>
            </w:r>
          </w:p>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绩效指标</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①是否将项目绩效目标细化分解为具体的绩效指标；</w:t>
            </w:r>
            <w:r>
              <w:rPr>
                <w:rFonts w:ascii="Times New Roman" w:hAnsi="Times New Roman"/>
                <w:color w:val="auto"/>
                <w:kern w:val="0"/>
                <w:sz w:val="22"/>
                <w:szCs w:val="22"/>
              </w:rPr>
              <w:br w:type="textWrapping"/>
            </w:r>
            <w:r>
              <w:rPr>
                <w:rFonts w:ascii="Times New Roman" w:hAnsi="Times New Roman"/>
                <w:color w:val="auto"/>
                <w:kern w:val="0"/>
                <w:sz w:val="22"/>
                <w:szCs w:val="22"/>
              </w:rPr>
              <w:t>②是否通过清晰、可衡量的指标值予以体现；</w:t>
            </w:r>
            <w:r>
              <w:rPr>
                <w:rFonts w:ascii="Times New Roman" w:hAnsi="Times New Roman"/>
                <w:color w:val="auto"/>
                <w:kern w:val="0"/>
                <w:sz w:val="22"/>
                <w:szCs w:val="22"/>
              </w:rPr>
              <w:br w:type="textWrapping"/>
            </w:r>
            <w:r>
              <w:rPr>
                <w:rFonts w:ascii="Times New Roman" w:hAnsi="Times New Roman"/>
                <w:color w:val="auto"/>
                <w:kern w:val="0"/>
                <w:sz w:val="22"/>
                <w:szCs w:val="22"/>
              </w:rPr>
              <w:t>③是否与项目目标任务数或计划数相对应。</w:t>
            </w:r>
            <w:r>
              <w:rPr>
                <w:rFonts w:ascii="Times New Roman" w:hAnsi="Times New Roman"/>
                <w:color w:val="auto"/>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资金投入</w:t>
            </w:r>
          </w:p>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预算编制</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①预算编制是否经过科学论证；</w:t>
            </w:r>
            <w:r>
              <w:rPr>
                <w:rFonts w:ascii="Times New Roman" w:hAnsi="Times New Roman"/>
                <w:color w:val="auto"/>
                <w:kern w:val="0"/>
                <w:sz w:val="22"/>
                <w:szCs w:val="22"/>
              </w:rPr>
              <w:br w:type="textWrapping"/>
            </w:r>
            <w:r>
              <w:rPr>
                <w:rFonts w:ascii="Times New Roman" w:hAnsi="Times New Roman"/>
                <w:color w:val="auto"/>
                <w:kern w:val="0"/>
                <w:sz w:val="22"/>
                <w:szCs w:val="22"/>
              </w:rPr>
              <w:t>②预算内容与项目内容是否匹配；</w:t>
            </w:r>
            <w:r>
              <w:rPr>
                <w:rFonts w:ascii="Times New Roman" w:hAnsi="Times New Roman"/>
                <w:color w:val="auto"/>
                <w:kern w:val="0"/>
                <w:sz w:val="22"/>
                <w:szCs w:val="22"/>
              </w:rPr>
              <w:br w:type="textWrapping"/>
            </w:r>
            <w:r>
              <w:rPr>
                <w:rFonts w:ascii="Times New Roman" w:hAnsi="Times New Roman"/>
                <w:color w:val="auto"/>
                <w:kern w:val="0"/>
                <w:sz w:val="22"/>
                <w:szCs w:val="22"/>
              </w:rPr>
              <w:t>③预算额度测算依据是否充分，是否按照标准编制；</w:t>
            </w:r>
            <w:r>
              <w:rPr>
                <w:rFonts w:ascii="Times New Roman" w:hAnsi="Times New Roman"/>
                <w:color w:val="auto"/>
                <w:kern w:val="0"/>
                <w:sz w:val="22"/>
                <w:szCs w:val="22"/>
              </w:rPr>
              <w:br w:type="textWrapping"/>
            </w:r>
            <w:r>
              <w:rPr>
                <w:rFonts w:ascii="Times New Roman" w:hAnsi="Times New Roman"/>
                <w:color w:val="auto"/>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资金分配</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①预算资金分配依据是否充分；</w:t>
            </w:r>
            <w:r>
              <w:rPr>
                <w:rFonts w:ascii="Times New Roman" w:hAnsi="Times New Roman"/>
                <w:color w:val="auto"/>
                <w:kern w:val="0"/>
                <w:sz w:val="22"/>
                <w:szCs w:val="22"/>
              </w:rPr>
              <w:br w:type="textWrapping"/>
            </w:r>
            <w:r>
              <w:rPr>
                <w:rFonts w:ascii="Times New Roman" w:hAnsi="Times New Roman"/>
                <w:color w:val="auto"/>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资金到位率=（实际到位资金/预算资金）×100%。</w:t>
            </w:r>
          </w:p>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实际到位资金：一定时期（本年度或项目期）内落实到具体项目的资金。</w:t>
            </w:r>
          </w:p>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预算执行率=（实际支出资金/实际到位资金）×100%。</w:t>
            </w:r>
            <w:r>
              <w:rPr>
                <w:rFonts w:ascii="Times New Roman" w:hAnsi="Times New Roman"/>
                <w:color w:val="auto"/>
                <w:kern w:val="0"/>
                <w:sz w:val="22"/>
                <w:szCs w:val="22"/>
              </w:rPr>
              <w:br w:type="textWrapping"/>
            </w:r>
            <w:r>
              <w:rPr>
                <w:rFonts w:ascii="Times New Roman" w:hAnsi="Times New Roman"/>
                <w:color w:val="auto"/>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资金使用</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①是否符合国家财经法规和财务管理制度以及有关专项资金管理办法的规定；</w:t>
            </w:r>
            <w:r>
              <w:rPr>
                <w:rFonts w:ascii="Times New Roman" w:hAnsi="Times New Roman"/>
                <w:color w:val="auto"/>
                <w:kern w:val="0"/>
                <w:sz w:val="22"/>
                <w:szCs w:val="22"/>
              </w:rPr>
              <w:br w:type="textWrapping"/>
            </w:r>
            <w:r>
              <w:rPr>
                <w:rFonts w:ascii="Times New Roman" w:hAnsi="Times New Roman"/>
                <w:color w:val="auto"/>
                <w:kern w:val="0"/>
                <w:sz w:val="22"/>
                <w:szCs w:val="22"/>
              </w:rPr>
              <w:t>②资金的拨付是否有完整的审批程序和手续；</w:t>
            </w:r>
            <w:r>
              <w:rPr>
                <w:rFonts w:ascii="Times New Roman" w:hAnsi="Times New Roman"/>
                <w:color w:val="auto"/>
                <w:kern w:val="0"/>
                <w:sz w:val="22"/>
                <w:szCs w:val="22"/>
              </w:rPr>
              <w:br w:type="textWrapping"/>
            </w:r>
            <w:r>
              <w:rPr>
                <w:rFonts w:ascii="Times New Roman" w:hAnsi="Times New Roman"/>
                <w:color w:val="auto"/>
                <w:kern w:val="0"/>
                <w:sz w:val="22"/>
                <w:szCs w:val="22"/>
              </w:rPr>
              <w:t>③是否符合项目预算批复或合同规定的用途；</w:t>
            </w:r>
            <w:r>
              <w:rPr>
                <w:rFonts w:ascii="Times New Roman" w:hAnsi="Times New Roman"/>
                <w:color w:val="auto"/>
                <w:kern w:val="0"/>
                <w:sz w:val="22"/>
                <w:szCs w:val="22"/>
              </w:rPr>
              <w:br w:type="textWrapping"/>
            </w:r>
            <w:r>
              <w:rPr>
                <w:rFonts w:ascii="Times New Roman" w:hAnsi="Times New Roman"/>
                <w:color w:val="auto"/>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组织实施</w:t>
            </w:r>
          </w:p>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管理制度</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①是否已制定或具有相应的财务和业务管理制度；</w:t>
            </w:r>
            <w:r>
              <w:rPr>
                <w:rFonts w:ascii="Times New Roman" w:hAnsi="Times New Roman"/>
                <w:color w:val="auto"/>
                <w:kern w:val="0"/>
                <w:sz w:val="22"/>
                <w:szCs w:val="22"/>
              </w:rPr>
              <w:br w:type="textWrapping"/>
            </w:r>
            <w:r>
              <w:rPr>
                <w:rFonts w:ascii="Times New Roman" w:hAnsi="Times New Roman"/>
                <w:color w:val="auto"/>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制度执行</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①是否遵守相关法律法规和相关管理规定；</w:t>
            </w:r>
            <w:r>
              <w:rPr>
                <w:rFonts w:ascii="Times New Roman" w:hAnsi="Times New Roman"/>
                <w:color w:val="auto"/>
                <w:kern w:val="0"/>
                <w:sz w:val="22"/>
                <w:szCs w:val="22"/>
              </w:rPr>
              <w:br w:type="textWrapping"/>
            </w:r>
            <w:r>
              <w:rPr>
                <w:rFonts w:ascii="Times New Roman" w:hAnsi="Times New Roman"/>
                <w:color w:val="auto"/>
                <w:kern w:val="0"/>
                <w:sz w:val="22"/>
                <w:szCs w:val="22"/>
              </w:rPr>
              <w:t>②项目调整及支出调整手续是否完备；</w:t>
            </w:r>
            <w:r>
              <w:rPr>
                <w:rFonts w:ascii="Times New Roman" w:hAnsi="Times New Roman"/>
                <w:color w:val="auto"/>
                <w:kern w:val="0"/>
                <w:sz w:val="22"/>
                <w:szCs w:val="22"/>
              </w:rPr>
              <w:br w:type="textWrapping"/>
            </w:r>
            <w:r>
              <w:rPr>
                <w:rFonts w:ascii="Times New Roman" w:hAnsi="Times New Roman"/>
                <w:color w:val="auto"/>
                <w:kern w:val="0"/>
                <w:sz w:val="22"/>
                <w:szCs w:val="22"/>
              </w:rPr>
              <w:t>③项目合同书、验收报告、技术鉴定等资料是否齐全并及时归档；</w:t>
            </w:r>
            <w:r>
              <w:rPr>
                <w:rFonts w:ascii="Times New Roman" w:hAnsi="Times New Roman"/>
                <w:color w:val="auto"/>
                <w:kern w:val="0"/>
                <w:sz w:val="22"/>
                <w:szCs w:val="22"/>
              </w:rPr>
              <w:br w:type="textWrapping"/>
            </w:r>
            <w:r>
              <w:rPr>
                <w:rFonts w:ascii="Times New Roman" w:hAnsi="Times New Roman"/>
                <w:color w:val="auto"/>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实际完成率=（实际产出数/计划产出数）×100%。</w:t>
            </w:r>
            <w:r>
              <w:rPr>
                <w:rFonts w:ascii="Times New Roman" w:hAnsi="Times New Roman"/>
                <w:color w:val="auto"/>
                <w:kern w:val="0"/>
                <w:sz w:val="22"/>
                <w:szCs w:val="22"/>
              </w:rPr>
              <w:br w:type="textWrapping"/>
            </w:r>
            <w:r>
              <w:rPr>
                <w:rFonts w:ascii="Times New Roman" w:hAnsi="Times New Roman"/>
                <w:color w:val="auto"/>
                <w:kern w:val="0"/>
                <w:sz w:val="22"/>
                <w:szCs w:val="22"/>
              </w:rPr>
              <w:t>实际产出数：一定时期（本年度或项目期）内项目实际产出的产品或提供的服务数量。</w:t>
            </w:r>
            <w:r>
              <w:rPr>
                <w:rFonts w:ascii="Times New Roman" w:hAnsi="Times New Roman"/>
                <w:color w:val="auto"/>
                <w:kern w:val="0"/>
                <w:sz w:val="22"/>
                <w:szCs w:val="22"/>
              </w:rPr>
              <w:br w:type="textWrapping"/>
            </w:r>
            <w:r>
              <w:rPr>
                <w:rFonts w:ascii="Times New Roman" w:hAnsi="Times New Roman"/>
                <w:color w:val="auto"/>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质量达标率=（质量达标产出数/实际产出数）×100%。</w:t>
            </w:r>
          </w:p>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实际完成时间：项目实施单位完成该项目实际所耗用的时间。</w:t>
            </w:r>
            <w:r>
              <w:rPr>
                <w:rFonts w:ascii="Times New Roman" w:hAnsi="Times New Roman"/>
                <w:color w:val="auto"/>
                <w:kern w:val="0"/>
                <w:sz w:val="22"/>
                <w:szCs w:val="22"/>
              </w:rPr>
              <w:br w:type="textWrapping"/>
            </w:r>
            <w:r>
              <w:rPr>
                <w:rFonts w:ascii="Times New Roman" w:hAnsi="Times New Roman"/>
                <w:color w:val="auto"/>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br w:type="textWrapping"/>
            </w:r>
            <w:r>
              <w:rPr>
                <w:rFonts w:ascii="Times New Roman" w:hAnsi="Times New Roman"/>
                <w:color w:val="auto"/>
                <w:kern w:val="0"/>
                <w:sz w:val="22"/>
                <w:szCs w:val="22"/>
              </w:rPr>
              <w:t>成本节约率=[（计划成本-实际成本）/计划成本]×100%。</w:t>
            </w:r>
            <w:r>
              <w:rPr>
                <w:rFonts w:ascii="Times New Roman" w:hAnsi="Times New Roman"/>
                <w:color w:val="auto"/>
                <w:kern w:val="0"/>
                <w:sz w:val="22"/>
                <w:szCs w:val="22"/>
              </w:rPr>
              <w:br w:type="textWrapping"/>
            </w:r>
            <w:r>
              <w:rPr>
                <w:rFonts w:ascii="Times New Roman" w:hAnsi="Times New Roman"/>
                <w:color w:val="auto"/>
                <w:kern w:val="0"/>
                <w:sz w:val="22"/>
                <w:szCs w:val="22"/>
              </w:rPr>
              <w:t>实际成本：项目实施单位如期、保质、保量完成既定工作目标实际所耗费的支出。</w:t>
            </w:r>
            <w:r>
              <w:rPr>
                <w:rFonts w:ascii="Times New Roman" w:hAnsi="Times New Roman"/>
                <w:color w:val="auto"/>
                <w:kern w:val="0"/>
                <w:sz w:val="22"/>
                <w:szCs w:val="22"/>
              </w:rPr>
              <w:br w:type="textWrapping"/>
            </w:r>
            <w:r>
              <w:rPr>
                <w:rFonts w:ascii="Times New Roman" w:hAnsi="Times New Roman"/>
                <w:color w:val="auto"/>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98</w:t>
            </w:r>
          </w:p>
        </w:tc>
      </w:tr>
    </w:tbl>
    <w:p>
      <w:pPr>
        <w:spacing w:line="560" w:lineRule="exact"/>
        <w:ind w:firstLine="200" w:firstLineChars="100"/>
        <w:rPr>
          <w:rFonts w:ascii="Times New Roman" w:hAnsi="Times New Roman"/>
          <w:bCs/>
          <w:color w:val="auto"/>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color w:val="auto"/>
          <w:sz w:val="20"/>
          <w:szCs w:val="20"/>
        </w:rPr>
        <w:t>注：单位可以根据专项资金的管理要求和绩效要求增设个性指标。</w:t>
      </w:r>
    </w:p>
    <w:p>
      <w:pPr>
        <w:rPr>
          <w:color w:val="auto"/>
        </w:rPr>
      </w:pPr>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41048"/>
    <w:multiLevelType w:val="singleLevel"/>
    <w:tmpl w:val="55341048"/>
    <w:lvl w:ilvl="0" w:tentative="0">
      <w:start w:val="1"/>
      <w:numFmt w:val="decimal"/>
      <w:suff w:val="nothing"/>
      <w:lvlText w:val="%1、"/>
      <w:lvlJc w:val="left"/>
    </w:lvl>
  </w:abstractNum>
  <w:abstractNum w:abstractNumId="1">
    <w:nsid w:val="6C7A2298"/>
    <w:multiLevelType w:val="singleLevel"/>
    <w:tmpl w:val="6C7A229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00059D4"/>
    <w:rsid w:val="00AA6A42"/>
    <w:rsid w:val="03E370C4"/>
    <w:rsid w:val="057801BB"/>
    <w:rsid w:val="069D19AE"/>
    <w:rsid w:val="09A33889"/>
    <w:rsid w:val="0E40249F"/>
    <w:rsid w:val="153D3706"/>
    <w:rsid w:val="15A439AE"/>
    <w:rsid w:val="18D41F5C"/>
    <w:rsid w:val="1BBA6406"/>
    <w:rsid w:val="21B446F2"/>
    <w:rsid w:val="27937DEC"/>
    <w:rsid w:val="290B36B7"/>
    <w:rsid w:val="2AB000FC"/>
    <w:rsid w:val="32324DAF"/>
    <w:rsid w:val="338D72E3"/>
    <w:rsid w:val="351250D6"/>
    <w:rsid w:val="37CB39A1"/>
    <w:rsid w:val="3F266C1B"/>
    <w:rsid w:val="3F4E4309"/>
    <w:rsid w:val="42E11F34"/>
    <w:rsid w:val="480775F4"/>
    <w:rsid w:val="49E05992"/>
    <w:rsid w:val="4ABD182E"/>
    <w:rsid w:val="4D0E745E"/>
    <w:rsid w:val="4D98311C"/>
    <w:rsid w:val="50BA7E7C"/>
    <w:rsid w:val="517A605D"/>
    <w:rsid w:val="51DC1EA7"/>
    <w:rsid w:val="54527B00"/>
    <w:rsid w:val="55370E46"/>
    <w:rsid w:val="57401A02"/>
    <w:rsid w:val="57CB476D"/>
    <w:rsid w:val="5DBC59A4"/>
    <w:rsid w:val="61FF53AA"/>
    <w:rsid w:val="626C135F"/>
    <w:rsid w:val="678E6C20"/>
    <w:rsid w:val="680C67EC"/>
    <w:rsid w:val="684D54A5"/>
    <w:rsid w:val="686327A3"/>
    <w:rsid w:val="6D3949F4"/>
    <w:rsid w:val="70DE0D89"/>
    <w:rsid w:val="70E7773F"/>
    <w:rsid w:val="71FA5788"/>
    <w:rsid w:val="72041152"/>
    <w:rsid w:val="7B2923A3"/>
    <w:rsid w:val="7B956297"/>
    <w:rsid w:val="7BC25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19"/>
      <w:jc w:val="left"/>
    </w:pPr>
    <w:rPr>
      <w:rFonts w:ascii="宋体" w:hAnsi="宋体" w:cs="宋体"/>
      <w:kern w:val="0"/>
      <w:sz w:val="24"/>
    </w:rPr>
  </w:style>
  <w:style w:type="paragraph" w:styleId="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
    <w:name w:val="15"/>
    <w:basedOn w:val="5"/>
    <w:qFormat/>
    <w:uiPriority w:val="0"/>
    <w:rPr>
      <w:rFonts w:hint="default" w:ascii="Times New Roman" w:hAnsi="Times New Roman" w:cs="Times New Roman"/>
      <w:b/>
      <w:bCs/>
    </w:rPr>
  </w:style>
  <w:style w:type="paragraph" w:customStyle="1" w:styleId="8">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dcterms:modified xsi:type="dcterms:W3CDTF">2021-08-02T08:45:08Z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58A950A2C96147AE8F47085BC44FF5DA</vt:lpwstr>
  </property>
</Properties>
</file>