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7"/>
        <w:spacing w:line="510" w:lineRule="exact"/>
        <w:jc w:val="center"/>
        <w:rPr>
          <w:rFonts w:ascii="Times New Roman" w:hAnsi="Times New Roman" w:eastAsia="黑体"/>
          <w:sz w:val="44"/>
          <w:szCs w:val="44"/>
        </w:rPr>
      </w:pPr>
      <w:r>
        <w:rPr>
          <w:rFonts w:hint="eastAsia" w:ascii="Times New Roman" w:hAnsi="Times New Roman" w:eastAsia="黑体"/>
          <w:sz w:val="44"/>
          <w:szCs w:val="44"/>
        </w:rPr>
        <w:t>县城建筑（装修）垃圾清运及渣土扬尘污染清洗、填埋场租用</w:t>
      </w:r>
      <w:r>
        <w:rPr>
          <w:rFonts w:ascii="Times New Roman" w:hAnsi="Times New Roman" w:eastAsia="黑体"/>
          <w:sz w:val="44"/>
          <w:szCs w:val="44"/>
        </w:rPr>
        <w:t>项目</w:t>
      </w:r>
      <w:bookmarkStart w:id="0" w:name="_GoBack"/>
      <w:bookmarkEnd w:id="0"/>
      <w:r>
        <w:rPr>
          <w:rFonts w:ascii="Times New Roman" w:hAnsi="Times New Roman" w:eastAsia="黑体"/>
          <w:sz w:val="44"/>
          <w:szCs w:val="44"/>
        </w:rPr>
        <w:t>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7"/>
        <w:spacing w:line="510" w:lineRule="exact"/>
        <w:jc w:val="center"/>
        <w:rPr>
          <w:rFonts w:ascii="Times New Roman" w:hAnsi="Times New Roman" w:eastAsia="黑体"/>
          <w:sz w:val="44"/>
          <w:szCs w:val="44"/>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项目背景</w:t>
      </w:r>
      <w:r>
        <w:rPr>
          <w:rFonts w:hint="eastAsia" w:ascii="Times New Roman" w:hAnsi="Times New Roman" w:eastAsia="仿宋"/>
          <w:sz w:val="32"/>
          <w:szCs w:val="32"/>
          <w:lang w:eastAsia="zh-CN"/>
        </w:rPr>
        <w:t>：依据中方县城市建筑垃圾管理办法（中政办发《2013》30号、城市建筑垃圾管理规定（建筑部令第139号），主要内容是县城内建筑装修垃圾的清理清运及渣土路面扬尘污染的清洗，和县委、县政府的相关规定及指示精神实施，属延续项目。</w:t>
      </w:r>
    </w:p>
    <w:p>
      <w:pPr>
        <w:pStyle w:val="7"/>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rPr>
        <w:t>主要内容及实施情况</w:t>
      </w:r>
      <w:r>
        <w:rPr>
          <w:rFonts w:hint="eastAsia" w:ascii="Times New Roman" w:hAnsi="Times New Roman" w:eastAsia="仿宋"/>
          <w:sz w:val="32"/>
          <w:szCs w:val="32"/>
          <w:lang w:eastAsia="zh-CN"/>
        </w:rPr>
        <w:t>：</w:t>
      </w:r>
      <w:r>
        <w:rPr>
          <w:rFonts w:hint="eastAsia" w:ascii="Times New Roman" w:hAnsi="Times New Roman" w:eastAsia="仿宋"/>
          <w:sz w:val="32"/>
          <w:szCs w:val="32"/>
        </w:rPr>
        <w:t>我县目前纳入县城日常清理清运县城周边乱倒、乱堆装修垃圾</w:t>
      </w:r>
      <w:r>
        <w:rPr>
          <w:rFonts w:hint="eastAsia" w:ascii="Times New Roman" w:hAnsi="Times New Roman" w:eastAsia="仿宋"/>
          <w:sz w:val="32"/>
          <w:szCs w:val="32"/>
          <w:lang w:eastAsia="zh-CN"/>
        </w:rPr>
        <w:t>及渣土扬尘治理</w:t>
      </w:r>
      <w:r>
        <w:rPr>
          <w:rFonts w:hint="eastAsia" w:ascii="Times New Roman" w:hAnsi="Times New Roman" w:eastAsia="仿宋"/>
          <w:sz w:val="32"/>
          <w:szCs w:val="32"/>
        </w:rPr>
        <w:t>公共区域面积约为</w:t>
      </w:r>
      <w:r>
        <w:rPr>
          <w:rFonts w:hint="eastAsia" w:ascii="Times New Roman" w:hAnsi="Times New Roman" w:eastAsia="仿宋"/>
          <w:sz w:val="32"/>
          <w:szCs w:val="32"/>
          <w:lang w:val="en-US" w:eastAsia="zh-CN"/>
        </w:rPr>
        <w:t>145.05</w:t>
      </w:r>
      <w:r>
        <w:rPr>
          <w:rFonts w:hint="eastAsia" w:ascii="Times New Roman" w:hAnsi="Times New Roman" w:eastAsia="仿宋"/>
          <w:sz w:val="32"/>
          <w:szCs w:val="32"/>
        </w:rPr>
        <w:t>万平方米</w:t>
      </w:r>
      <w:r>
        <w:rPr>
          <w:rFonts w:hint="eastAsia" w:ascii="Times New Roman" w:hAnsi="Times New Roman" w:eastAsia="仿宋"/>
          <w:sz w:val="32"/>
          <w:szCs w:val="32"/>
          <w:lang w:eastAsia="zh-CN"/>
        </w:rPr>
        <w:t>。该局下设渣土扬尘执法中队，主要负责</w:t>
      </w:r>
      <w:r>
        <w:rPr>
          <w:rFonts w:hint="eastAsia" w:ascii="Times New Roman" w:hAnsi="Times New Roman" w:eastAsia="仿宋"/>
          <w:sz w:val="32"/>
          <w:szCs w:val="32"/>
        </w:rPr>
        <w:t>渣土运输管理、扬尘污染整治</w:t>
      </w:r>
      <w:r>
        <w:rPr>
          <w:rFonts w:hint="eastAsia" w:ascii="Times New Roman" w:hAnsi="Times New Roman" w:eastAsia="仿宋"/>
          <w:sz w:val="32"/>
          <w:szCs w:val="32"/>
          <w:lang w:eastAsia="zh-CN"/>
        </w:rPr>
        <w:t>；</w:t>
      </w:r>
      <w:r>
        <w:rPr>
          <w:rFonts w:hint="eastAsia" w:ascii="Times New Roman" w:hAnsi="Times New Roman" w:eastAsia="仿宋"/>
          <w:sz w:val="32"/>
          <w:szCs w:val="32"/>
        </w:rPr>
        <w:t>清理清运</w:t>
      </w:r>
      <w:r>
        <w:rPr>
          <w:rFonts w:hint="eastAsia" w:ascii="Times New Roman" w:hAnsi="Times New Roman" w:eastAsia="仿宋"/>
          <w:sz w:val="32"/>
          <w:szCs w:val="32"/>
          <w:lang w:eastAsia="zh-CN"/>
        </w:rPr>
        <w:t>和</w:t>
      </w:r>
      <w:r>
        <w:rPr>
          <w:rFonts w:hint="eastAsia" w:ascii="Times New Roman" w:hAnsi="Times New Roman" w:eastAsia="仿宋"/>
          <w:sz w:val="32"/>
          <w:szCs w:val="32"/>
        </w:rPr>
        <w:t>乱倒、乱堆装修垃圾</w:t>
      </w:r>
      <w:r>
        <w:rPr>
          <w:rFonts w:hint="eastAsia" w:ascii="Times New Roman" w:hAnsi="Times New Roman" w:eastAsia="仿宋"/>
          <w:sz w:val="32"/>
          <w:szCs w:val="32"/>
          <w:lang w:eastAsia="zh-CN"/>
        </w:rPr>
        <w:t>。</w:t>
      </w:r>
      <w:r>
        <w:rPr>
          <w:rFonts w:hint="eastAsia" w:ascii="Times New Roman" w:hAnsi="Times New Roman" w:eastAsia="仿宋"/>
          <w:sz w:val="32"/>
          <w:szCs w:val="32"/>
        </w:rPr>
        <w:t>督促办理渣土车辆准运证，签订环境卫生责任书，严格按照工地周边100%围挡、物料堆放100%覆盖、出入车辆100%冲洗、施工现场地面100%硬化、拆迁工地100%湿法作业、渣土车辆100%密闭运输的“6个100%”内容规范落实，有效推进工地的净化运输和文明施工</w:t>
      </w:r>
      <w:r>
        <w:rPr>
          <w:rFonts w:hint="eastAsia" w:ascii="Times New Roman" w:hAnsi="Times New Roman" w:eastAsia="仿宋"/>
          <w:sz w:val="32"/>
          <w:szCs w:val="32"/>
          <w:lang w:eastAsia="zh-CN"/>
        </w:rPr>
        <w:t>。清理建筑装修垃圾</w:t>
      </w:r>
      <w:r>
        <w:rPr>
          <w:rFonts w:hint="eastAsia" w:ascii="Times New Roman" w:hAnsi="Times New Roman" w:eastAsia="仿宋"/>
          <w:sz w:val="32"/>
          <w:szCs w:val="32"/>
          <w:lang w:val="en-US" w:eastAsia="zh-CN"/>
        </w:rPr>
        <w:t>1000余吨，清洗渣土污染路面50万平方米；组织洒水车（按400元一车）、机械，节省10余万元；上缴非税金额23.2万元。</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资金投入和使用情况</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2020</w:t>
      </w:r>
      <w:r>
        <w:rPr>
          <w:rFonts w:hint="eastAsia" w:ascii="Times New Roman" w:hAnsi="Times New Roman" w:eastAsia="仿宋"/>
          <w:sz w:val="32"/>
          <w:szCs w:val="32"/>
        </w:rPr>
        <w:t>年县财政共安排建筑装修垃圾清运及渣土扬尘污染经费</w:t>
      </w:r>
      <w:r>
        <w:rPr>
          <w:rFonts w:hint="eastAsia" w:ascii="Times New Roman" w:hAnsi="Times New Roman" w:eastAsia="仿宋"/>
          <w:sz w:val="32"/>
          <w:szCs w:val="32"/>
          <w:lang w:val="en-US" w:eastAsia="zh-CN"/>
        </w:rPr>
        <w:t>25</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，本</w:t>
      </w:r>
      <w:r>
        <w:rPr>
          <w:rFonts w:hint="eastAsia" w:ascii="Times New Roman" w:hAnsi="Times New Roman" w:eastAsia="仿宋"/>
          <w:sz w:val="32"/>
          <w:szCs w:val="32"/>
        </w:rPr>
        <w:t>年</w:t>
      </w:r>
      <w:r>
        <w:rPr>
          <w:rFonts w:hint="eastAsia" w:ascii="Times New Roman" w:hAnsi="Times New Roman" w:eastAsia="仿宋"/>
          <w:sz w:val="32"/>
          <w:szCs w:val="32"/>
          <w:lang w:eastAsia="zh-CN"/>
        </w:rPr>
        <w:t>度及时</w:t>
      </w:r>
      <w:r>
        <w:rPr>
          <w:rFonts w:hint="eastAsia" w:ascii="Times New Roman" w:hAnsi="Times New Roman" w:eastAsia="仿宋"/>
          <w:sz w:val="32"/>
          <w:szCs w:val="32"/>
        </w:rPr>
        <w:t>支付</w:t>
      </w:r>
      <w:r>
        <w:rPr>
          <w:rFonts w:hint="eastAsia" w:ascii="Times New Roman" w:hAnsi="Times New Roman" w:eastAsia="仿宋"/>
          <w:sz w:val="32"/>
          <w:szCs w:val="32"/>
          <w:lang w:eastAsia="zh-CN"/>
        </w:rPr>
        <w:t>了</w:t>
      </w:r>
      <w:r>
        <w:rPr>
          <w:rFonts w:hint="eastAsia" w:ascii="Times New Roman" w:hAnsi="Times New Roman" w:eastAsia="仿宋"/>
          <w:sz w:val="32"/>
          <w:szCs w:val="32"/>
        </w:rPr>
        <w:t>经费</w:t>
      </w:r>
      <w:r>
        <w:rPr>
          <w:rFonts w:hint="eastAsia" w:ascii="Times New Roman" w:hAnsi="Times New Roman" w:eastAsia="仿宋"/>
          <w:sz w:val="32"/>
          <w:szCs w:val="32"/>
          <w:lang w:val="en-US" w:eastAsia="zh-CN"/>
        </w:rPr>
        <w:t>25</w:t>
      </w:r>
      <w:r>
        <w:rPr>
          <w:rFonts w:hint="eastAsia" w:ascii="Times New Roman" w:hAnsi="Times New Roman" w:eastAsia="仿宋"/>
          <w:sz w:val="32"/>
          <w:szCs w:val="32"/>
        </w:rPr>
        <w:t>万元，确保了工人的工资发放和</w:t>
      </w:r>
      <w:r>
        <w:rPr>
          <w:rFonts w:hint="eastAsia" w:ascii="Times New Roman" w:hAnsi="Times New Roman" w:eastAsia="仿宋"/>
          <w:sz w:val="32"/>
          <w:szCs w:val="32"/>
          <w:lang w:eastAsia="zh-CN"/>
        </w:rPr>
        <w:t>建筑垃圾临时填埋场</w:t>
      </w:r>
      <w:r>
        <w:rPr>
          <w:rFonts w:hint="eastAsia" w:ascii="Times New Roman" w:hAnsi="Times New Roman" w:eastAsia="仿宋"/>
          <w:sz w:val="32"/>
          <w:szCs w:val="32"/>
        </w:rPr>
        <w:t>的基本运转，使我县的</w:t>
      </w:r>
      <w:r>
        <w:rPr>
          <w:rFonts w:hint="eastAsia" w:ascii="Times New Roman" w:hAnsi="Times New Roman" w:eastAsia="仿宋"/>
          <w:sz w:val="32"/>
          <w:szCs w:val="32"/>
          <w:lang w:eastAsia="zh-CN"/>
        </w:rPr>
        <w:t>渣土扬尘工作</w:t>
      </w:r>
      <w:r>
        <w:rPr>
          <w:rFonts w:hint="eastAsia" w:ascii="Times New Roman" w:hAnsi="Times New Roman" w:eastAsia="仿宋"/>
          <w:sz w:val="32"/>
          <w:szCs w:val="32"/>
        </w:rPr>
        <w:t>得到正常有序地开展。</w:t>
      </w:r>
    </w:p>
    <w:p>
      <w:pPr>
        <w:pStyle w:val="7"/>
        <w:spacing w:line="510" w:lineRule="exact"/>
        <w:ind w:firstLine="640" w:firstLineChars="200"/>
        <w:rPr>
          <w:rFonts w:hint="eastAsia" w:ascii="Times New Roman" w:hAnsi="Times New Roman" w:eastAsia="仿宋"/>
          <w:sz w:val="32"/>
          <w:szCs w:val="32"/>
          <w:lang w:val="en-US" w:eastAsia="zh-CN"/>
        </w:rPr>
      </w:pPr>
    </w:p>
    <w:p>
      <w:pPr>
        <w:pStyle w:val="7"/>
        <w:keepNext w:val="0"/>
        <w:keepLines w:val="0"/>
        <w:pageBreakBefore w:val="0"/>
        <w:numPr>
          <w:ilvl w:val="0"/>
          <w:numId w:val="0"/>
        </w:numPr>
        <w:kinsoku/>
        <w:wordWrap/>
        <w:overflowPunct/>
        <w:topLinePunct w:val="0"/>
        <w:autoSpaceDN/>
        <w:bidi w:val="0"/>
        <w:adjustRightInd/>
        <w:spacing w:line="560" w:lineRule="exact"/>
        <w:ind w:firstLine="320" w:firstLineChars="100"/>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（二）</w:t>
      </w:r>
      <w:r>
        <w:rPr>
          <w:rFonts w:ascii="Times New Roman" w:hAnsi="Times New Roman" w:eastAsia="仿宋"/>
          <w:sz w:val="32"/>
          <w:szCs w:val="32"/>
        </w:rPr>
        <w:t>项目绩效目标。</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总体目标</w:t>
      </w:r>
      <w:r>
        <w:rPr>
          <w:rFonts w:hint="eastAsia" w:ascii="Times New Roman" w:hAnsi="Times New Roman" w:eastAsia="仿宋"/>
          <w:sz w:val="32"/>
          <w:szCs w:val="32"/>
          <w:lang w:eastAsia="zh-CN"/>
        </w:rPr>
        <w:t>：</w:t>
      </w:r>
      <w:r>
        <w:rPr>
          <w:rFonts w:hint="eastAsia" w:ascii="Times New Roman" w:hAnsi="Times New Roman" w:eastAsia="仿宋"/>
          <w:sz w:val="32"/>
          <w:szCs w:val="32"/>
        </w:rPr>
        <w:t>保持县城环境卫生干净整洁、舒适清爽</w:t>
      </w:r>
      <w:r>
        <w:rPr>
          <w:rFonts w:hint="eastAsia" w:ascii="Times New Roman" w:hAnsi="Times New Roman" w:eastAsia="仿宋"/>
          <w:sz w:val="32"/>
          <w:szCs w:val="32"/>
          <w:lang w:eastAsia="zh-CN"/>
        </w:rPr>
        <w:t>。</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rPr>
        <w:t>阶段性目标</w:t>
      </w:r>
      <w:r>
        <w:rPr>
          <w:rFonts w:hint="eastAsia" w:ascii="Times New Roman" w:hAnsi="Times New Roman" w:eastAsia="仿宋"/>
          <w:sz w:val="32"/>
          <w:szCs w:val="32"/>
          <w:lang w:eastAsia="zh-CN"/>
        </w:rPr>
        <w:t>：</w:t>
      </w:r>
      <w:r>
        <w:rPr>
          <w:rFonts w:hint="eastAsia" w:ascii="Times New Roman" w:hAnsi="Times New Roman" w:eastAsia="仿宋"/>
          <w:sz w:val="32"/>
          <w:szCs w:val="32"/>
        </w:rPr>
        <w:t>按年度预算，完成本年度所属区域的建筑垃圾管理，清理清运县城周边乱倒、乱堆装修垃圾，及时清洗出现的渣土路面污染</w:t>
      </w:r>
      <w:r>
        <w:rPr>
          <w:rFonts w:hint="eastAsia" w:ascii="Times New Roman" w:hAnsi="Times New Roman" w:eastAsia="仿宋"/>
          <w:sz w:val="32"/>
          <w:szCs w:val="32"/>
          <w:lang w:eastAsia="zh-CN"/>
        </w:rPr>
        <w:t>和降尘</w:t>
      </w:r>
      <w:r>
        <w:rPr>
          <w:rFonts w:hint="eastAsia" w:ascii="Times New Roman" w:hAnsi="Times New Roman" w:eastAsia="仿宋"/>
          <w:sz w:val="32"/>
          <w:szCs w:val="32"/>
        </w:rPr>
        <w:t>任务。</w:t>
      </w:r>
    </w:p>
    <w:p>
      <w:pPr>
        <w:pStyle w:val="7"/>
        <w:spacing w:line="510" w:lineRule="exact"/>
        <w:ind w:firstLine="643" w:firstLineChars="200"/>
        <w:rPr>
          <w:rFonts w:ascii="Times New Roman" w:hAnsi="Times New Roman" w:eastAsia="仿宋"/>
          <w:sz w:val="32"/>
          <w:szCs w:val="32"/>
        </w:rPr>
      </w:pPr>
      <w:r>
        <w:rPr>
          <w:rFonts w:ascii="Times New Roman" w:hAnsi="Times New Roman" w:eastAsia="楷体"/>
          <w:b/>
          <w:sz w:val="32"/>
          <w:szCs w:val="32"/>
        </w:rPr>
        <w:t>二、绩效评价工作开展情况</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（一）绩效评价目的、对象和范围</w:t>
      </w:r>
      <w:r>
        <w:rPr>
          <w:rFonts w:hint="eastAsia" w:ascii="Times New Roman" w:hAnsi="Times New Roman" w:eastAsia="仿宋"/>
          <w:sz w:val="32"/>
          <w:szCs w:val="32"/>
          <w:lang w:eastAsia="zh-CN"/>
        </w:rPr>
        <w:t>。</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通过对县城建筑垃圾管理清理清运</w:t>
      </w:r>
      <w:r>
        <w:rPr>
          <w:rFonts w:hint="eastAsia" w:ascii="Times New Roman" w:hAnsi="Times New Roman" w:eastAsia="仿宋"/>
          <w:sz w:val="32"/>
          <w:szCs w:val="32"/>
          <w:lang w:eastAsia="zh-CN"/>
        </w:rPr>
        <w:t>，</w:t>
      </w:r>
      <w:r>
        <w:rPr>
          <w:rFonts w:hint="eastAsia" w:ascii="Times New Roman" w:hAnsi="Times New Roman" w:eastAsia="仿宋"/>
          <w:sz w:val="32"/>
          <w:szCs w:val="32"/>
        </w:rPr>
        <w:t>清洗出现的渣土路面污染</w:t>
      </w:r>
      <w:r>
        <w:rPr>
          <w:rFonts w:hint="eastAsia" w:ascii="Times New Roman" w:hAnsi="Times New Roman" w:eastAsia="仿宋"/>
          <w:sz w:val="32"/>
          <w:szCs w:val="32"/>
          <w:lang w:eastAsia="zh-CN"/>
        </w:rPr>
        <w:t>和降尘</w:t>
      </w:r>
      <w:r>
        <w:rPr>
          <w:rFonts w:hint="eastAsia" w:ascii="Times New Roman" w:hAnsi="Times New Roman" w:eastAsia="仿宋"/>
          <w:sz w:val="32"/>
          <w:szCs w:val="32"/>
        </w:rPr>
        <w:t>专项资金的绩效评价，全面摸清资金的发放情况。为上级财政制定相关政策提供参考依据，最大限度发挥财政资金使用</w:t>
      </w:r>
      <w:r>
        <w:rPr>
          <w:rFonts w:hint="eastAsia" w:ascii="Times New Roman" w:hAnsi="Times New Roman" w:eastAsia="仿宋"/>
          <w:sz w:val="32"/>
          <w:szCs w:val="32"/>
          <w:lang w:eastAsia="zh-CN"/>
        </w:rPr>
        <w:t>效益。</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绩效</w:t>
      </w:r>
      <w:r>
        <w:rPr>
          <w:rFonts w:hint="eastAsia" w:ascii="Times New Roman" w:hAnsi="Times New Roman" w:eastAsia="仿宋"/>
          <w:sz w:val="32"/>
          <w:szCs w:val="32"/>
        </w:rPr>
        <w:t>评价原则</w:t>
      </w:r>
      <w:r>
        <w:rPr>
          <w:rFonts w:hint="eastAsia" w:ascii="Times New Roman" w:hAnsi="Times New Roman" w:eastAsia="仿宋"/>
          <w:sz w:val="32"/>
          <w:szCs w:val="32"/>
          <w:lang w:eastAsia="zh-CN"/>
        </w:rPr>
        <w:t>：公开、公平、公正</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评价指标体系、评价方法、评价标准：见附件</w:t>
      </w:r>
      <w:r>
        <w:rPr>
          <w:rFonts w:hint="eastAsia" w:ascii="Times New Roman" w:hAnsi="Times New Roman" w:eastAsia="仿宋"/>
          <w:sz w:val="32"/>
          <w:szCs w:val="32"/>
          <w:lang w:val="en-US" w:eastAsia="zh-CN"/>
        </w:rPr>
        <w:t>1，附件2</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（三）绩效评价工作过程。</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根据县财政局绩效评价股对</w:t>
      </w:r>
      <w:r>
        <w:rPr>
          <w:rFonts w:hint="eastAsia" w:ascii="Times New Roman" w:hAnsi="Times New Roman" w:eastAsia="仿宋"/>
          <w:sz w:val="32"/>
          <w:szCs w:val="32"/>
          <w:lang w:eastAsia="zh-CN"/>
        </w:rPr>
        <w:t>县城市管理行政执法大队</w:t>
      </w:r>
      <w:r>
        <w:rPr>
          <w:rFonts w:hint="eastAsia" w:ascii="Times New Roman" w:hAnsi="Times New Roman" w:eastAsia="仿宋"/>
          <w:sz w:val="32"/>
          <w:szCs w:val="32"/>
        </w:rPr>
        <w:t>下达了绩效评价通知，制定了对该项目的绩效评价工作方案。评价过程中听取了企业负责人的情况介绍，翻阅了相关资料，了解经费的拨付和发放流程，侧重调查资金发放的真实性、公平性。具体工作过程</w:t>
      </w:r>
      <w:r>
        <w:rPr>
          <w:rFonts w:hint="eastAsia" w:ascii="Times New Roman" w:hAnsi="Times New Roman" w:eastAsia="仿宋"/>
          <w:sz w:val="32"/>
          <w:szCs w:val="32"/>
          <w:lang w:eastAsia="zh-CN"/>
        </w:rPr>
        <w:t>如下</w:t>
      </w:r>
      <w:r>
        <w:rPr>
          <w:rFonts w:hint="eastAsia" w:ascii="Times New Roman" w:hAnsi="Times New Roman" w:eastAsia="仿宋"/>
          <w:sz w:val="32"/>
          <w:szCs w:val="32"/>
        </w:rPr>
        <w:t>：</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检查资料。通过对各种资料的查阅，了解该项资金是否及时拨付到位。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sz w:val="32"/>
          <w:szCs w:val="32"/>
        </w:rPr>
      </w:pPr>
      <w:r>
        <w:rPr>
          <w:rFonts w:hint="eastAsia" w:ascii="Times New Roman" w:hAnsi="Times New Roman" w:eastAsia="仿宋" w:cs="Times New Roman"/>
          <w:kern w:val="2"/>
          <w:sz w:val="32"/>
          <w:szCs w:val="32"/>
          <w:lang w:val="en-US" w:eastAsia="zh-CN" w:bidi="ar-SA"/>
        </w:rPr>
        <w:t>2.座谈交流。</w:t>
      </w:r>
    </w:p>
    <w:p>
      <w:pPr>
        <w:pStyle w:val="7"/>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lang w:eastAsia="zh-CN"/>
        </w:rPr>
        <w:t>发放宣传资料，形成知法、懂法、依法运营的良好氛围。深入了解县城建筑（装修）垃圾清运及渣土扬尘污染清洗、填埋场租用资金的真实性、及时性、公平性，听取他们对这项资金提出的意见和建议。</w:t>
      </w:r>
    </w:p>
    <w:p>
      <w:pPr>
        <w:pStyle w:val="7"/>
        <w:spacing w:line="510" w:lineRule="exact"/>
        <w:ind w:firstLine="643" w:firstLineChars="200"/>
        <w:rPr>
          <w:rFonts w:ascii="Times New Roman" w:hAnsi="Times New Roman" w:eastAsia="楷体"/>
          <w:b/>
          <w:bCs w:val="0"/>
          <w:sz w:val="32"/>
          <w:szCs w:val="32"/>
        </w:rPr>
      </w:pPr>
      <w:r>
        <w:rPr>
          <w:rFonts w:ascii="Times New Roman" w:hAnsi="Times New Roman" w:eastAsia="楷体"/>
          <w:b/>
          <w:bCs w:val="0"/>
          <w:sz w:val="32"/>
          <w:szCs w:val="32"/>
        </w:rPr>
        <w:t>三、综合评价情况及评价结论（附相关评分表）</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rPr>
        <w:t>通过自我评价，认为</w:t>
      </w:r>
      <w:r>
        <w:rPr>
          <w:rFonts w:hint="eastAsia" w:ascii="Times New Roman" w:hAnsi="Times New Roman" w:eastAsia="仿宋"/>
          <w:sz w:val="32"/>
          <w:szCs w:val="32"/>
          <w:lang w:val="en-US" w:eastAsia="zh-CN"/>
        </w:rPr>
        <w:t>2020</w:t>
      </w:r>
      <w:r>
        <w:rPr>
          <w:rFonts w:hint="eastAsia" w:ascii="Times New Roman" w:hAnsi="Times New Roman" w:eastAsia="仿宋"/>
          <w:sz w:val="32"/>
          <w:szCs w:val="32"/>
        </w:rPr>
        <w:t>年建筑装修垃圾清运</w:t>
      </w:r>
      <w:r>
        <w:rPr>
          <w:rFonts w:hint="eastAsia" w:ascii="Times New Roman" w:hAnsi="Times New Roman" w:eastAsia="仿宋"/>
          <w:sz w:val="32"/>
          <w:szCs w:val="32"/>
          <w:lang w:eastAsia="zh-CN"/>
        </w:rPr>
        <w:t>、建筑垃圾临时填埋场</w:t>
      </w:r>
      <w:r>
        <w:rPr>
          <w:rFonts w:hint="eastAsia" w:ascii="Times New Roman" w:hAnsi="Times New Roman" w:eastAsia="仿宋"/>
          <w:sz w:val="32"/>
          <w:szCs w:val="32"/>
        </w:rPr>
        <w:t>及渣土扬尘污染专项资金的申报、发放材料规范齐全、评审程序公平公正，</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Times New Roman" w:hAnsi="Times New Roman" w:eastAsia="仿宋"/>
          <w:sz w:val="32"/>
          <w:szCs w:val="32"/>
        </w:rPr>
        <w:t>（县财政直接把资金拨付给了企业</w:t>
      </w:r>
      <w:r>
        <w:rPr>
          <w:rFonts w:hint="eastAsia" w:ascii="Times New Roman" w:hAnsi="Times New Roman" w:eastAsia="仿宋"/>
          <w:sz w:val="32"/>
          <w:szCs w:val="32"/>
          <w:lang w:eastAsia="zh-CN"/>
        </w:rPr>
        <w:t>及村委会</w:t>
      </w:r>
      <w:r>
        <w:rPr>
          <w:rFonts w:hint="eastAsia" w:ascii="Times New Roman" w:hAnsi="Times New Roman" w:eastAsia="仿宋"/>
          <w:sz w:val="32"/>
          <w:szCs w:val="32"/>
        </w:rPr>
        <w:t>）</w:t>
      </w: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本项目经费支出综合绩效评价得分：98分，结果为优。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（一）项目决策情况</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《城市市容和环境卫生管理条例》和“四城同创”指标要求：保持环境卫生清洁，按照规定设置环境卫生设施，保持完好、整洁。</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（二）项目过程情况。</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对县城主次干道及人行道等进行渣土及建筑垃圾清理。</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（三）项目产出情况。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县城环境卫生干净整洁。</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（四）项目效益情况。</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为广大市民提供了优美舒适的生活环境，国家级“四城同创”各项检查如期通过。</w:t>
      </w:r>
    </w:p>
    <w:p>
      <w:pPr>
        <w:pStyle w:val="7"/>
        <w:numPr>
          <w:ilvl w:val="0"/>
          <w:numId w:val="1"/>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pStyle w:val="3"/>
        <w:widowControl/>
        <w:snapToGrid w:val="0"/>
        <w:spacing w:line="500" w:lineRule="exact"/>
        <w:ind w:firstLine="600"/>
        <w:jc w:val="both"/>
        <w:rPr>
          <w:rFonts w:hint="eastAsia" w:ascii="仿宋" w:hAnsi="仿宋" w:eastAsia="仿宋" w:cs="仿宋"/>
          <w:color w:val="auto"/>
          <w:sz w:val="32"/>
          <w:szCs w:val="32"/>
          <w:lang w:eastAsia="zh-CN"/>
        </w:rPr>
      </w:pPr>
      <w:r>
        <w:rPr>
          <w:rStyle w:val="6"/>
          <w:rFonts w:hint="eastAsia" w:ascii="仿宋" w:hAnsi="仿宋" w:eastAsia="仿宋" w:cs="仿宋"/>
          <w:b w:val="0"/>
          <w:bCs/>
          <w:color w:val="auto"/>
          <w:sz w:val="32"/>
          <w:szCs w:val="32"/>
        </w:rPr>
        <w:t>经验及做法</w:t>
      </w:r>
      <w:r>
        <w:rPr>
          <w:rStyle w:val="6"/>
          <w:rFonts w:hint="eastAsia" w:ascii="仿宋" w:hAnsi="仿宋" w:eastAsia="仿宋" w:cs="仿宋"/>
          <w:color w:val="auto"/>
          <w:sz w:val="32"/>
          <w:szCs w:val="32"/>
          <w:lang w:eastAsia="zh-CN"/>
        </w:rPr>
        <w:t>：</w:t>
      </w:r>
      <w:r>
        <w:rPr>
          <w:rFonts w:hint="eastAsia" w:ascii="仿宋" w:hAnsi="仿宋" w:eastAsia="仿宋" w:cs="仿宋"/>
          <w:color w:val="auto"/>
          <w:sz w:val="32"/>
          <w:szCs w:val="32"/>
          <w:lang w:eastAsia="zh-CN"/>
        </w:rPr>
        <w:t>文明施工管理是企业施工生产经营的综合反映，贯穿于施工管理的全过程，以便提高劳动生产率、降低物耗、消除污染、美化环境、防治大气污染、防尘、并在施工过程中，对现场进行全封闭、半封闭的管理。</w:t>
      </w:r>
    </w:p>
    <w:p>
      <w:pPr>
        <w:pStyle w:val="3"/>
        <w:widowControl/>
        <w:snapToGrid w:val="0"/>
        <w:spacing w:line="500" w:lineRule="exact"/>
        <w:ind w:firstLine="600"/>
        <w:jc w:val="both"/>
        <w:rPr>
          <w:rFonts w:ascii="Times New Roman" w:hAnsi="Times New Roman" w:eastAsia="楷体"/>
          <w:b/>
          <w:sz w:val="32"/>
          <w:szCs w:val="32"/>
        </w:rPr>
      </w:pPr>
      <w:r>
        <w:rPr>
          <w:rStyle w:val="6"/>
          <w:rFonts w:hint="eastAsia" w:ascii="仿宋" w:hAnsi="仿宋" w:eastAsia="仿宋" w:cs="仿宋"/>
          <w:b w:val="0"/>
          <w:bCs/>
          <w:color w:val="auto"/>
          <w:sz w:val="32"/>
          <w:szCs w:val="32"/>
        </w:rPr>
        <w:t>存在的问题及原因分析</w:t>
      </w:r>
      <w:r>
        <w:rPr>
          <w:rStyle w:val="6"/>
          <w:rFonts w:hint="eastAsia" w:ascii="仿宋" w:hAnsi="仿宋" w:eastAsia="仿宋" w:cs="仿宋"/>
          <w:b w:val="0"/>
          <w:bCs/>
          <w:color w:val="auto"/>
          <w:sz w:val="32"/>
          <w:szCs w:val="32"/>
          <w:lang w:eastAsia="zh-CN"/>
        </w:rPr>
        <w:t>：</w:t>
      </w:r>
      <w:r>
        <w:rPr>
          <w:rFonts w:hint="eastAsia" w:ascii="仿宋" w:hAnsi="仿宋" w:eastAsia="仿宋" w:cs="仿宋"/>
          <w:color w:val="auto"/>
          <w:sz w:val="32"/>
          <w:szCs w:val="32"/>
          <w:lang w:eastAsia="zh-CN"/>
        </w:rPr>
        <w:t>建筑工地和道路交通产生的扬尘是造成大气污的主要原因之一。（</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）土石方开挖、边坡施工等产生的扬尘。（</w:t>
      </w:r>
      <w:r>
        <w:rPr>
          <w:rFonts w:hint="eastAsia" w:ascii="仿宋" w:hAnsi="仿宋" w:eastAsia="仿宋" w:cs="仿宋"/>
          <w:color w:val="auto"/>
          <w:sz w:val="32"/>
          <w:szCs w:val="32"/>
          <w:lang w:val="en-US" w:eastAsia="zh-CN"/>
        </w:rPr>
        <w:t>2）施工现场道路未全部硬化导致运输车辆在行驶中产生的扬尘。（3）建筑材料（如沙子、水泥、石灰）、建筑垃圾在装卸、堆放过程中产生的扬尘。（4）渣土清运过程中由于装载过多等原因出现遗撒产生的扬尘。（5）运输车辆未及时冲洗，导致车辆带泥上路造成的污染。</w:t>
      </w:r>
    </w:p>
    <w:p>
      <w:pPr>
        <w:pStyle w:val="7"/>
        <w:numPr>
          <w:ilvl w:val="0"/>
          <w:numId w:val="1"/>
        </w:numPr>
        <w:spacing w:line="510" w:lineRule="exact"/>
        <w:ind w:left="0" w:leftChars="0" w:firstLine="643" w:firstLineChars="200"/>
        <w:rPr>
          <w:rFonts w:ascii="Times New Roman" w:hAnsi="Times New Roman" w:eastAsia="楷体"/>
          <w:b/>
          <w:sz w:val="32"/>
          <w:szCs w:val="32"/>
        </w:rPr>
      </w:pPr>
      <w:r>
        <w:rPr>
          <w:rFonts w:ascii="Times New Roman" w:hAnsi="Times New Roman" w:eastAsia="楷体"/>
          <w:b/>
          <w:sz w:val="32"/>
          <w:szCs w:val="32"/>
        </w:rPr>
        <w:t>有关建议</w:t>
      </w:r>
    </w:p>
    <w:p>
      <w:pPr>
        <w:spacing w:line="5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建议政府有关部门加强各执法部门的联动性，公安、交通、城市管理和综合执法部门应建立好渣土运输大数据平台，根据数据分析，加大城区重点时段、路段的监控布防，对工地、消纳场、运输线路实施多方位执法管理。设立监督举报电话，主动接受社会、舆论和公众监督，及时发现问题和解决突出问题。加大对渣土运输企业、驾驶员的安全宣传教育，提高从业人员的守法运营意识。</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县城建筑（装修）垃圾清运及渣土扬尘污染清洗、填埋场租用</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渣土办</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25</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清理建筑装修垃圾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1000余吨</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1000余吨</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清洗渣土污染路面</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50万平方米</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50万平方米</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有效遏制渣土扬尘污染</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有效缓解垃圾围城</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有效缓解垃圾围城</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组织洒水车（按400元一车）、机械</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节省10余万元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节省10余万元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r>
              <w:rPr>
                <w:rFonts w:hint="eastAsia" w:ascii="Times New Roman" w:hAnsi="Times New Roman"/>
                <w:color w:val="000000"/>
                <w:kern w:val="0"/>
                <w:sz w:val="18"/>
                <w:szCs w:val="18"/>
              </w:rPr>
              <w:t>（按100元一车）清洗清运需30余万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上缴非税金额</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23.2万元</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23.2万元</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渣土扬尘污染有效控制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县城生活幸福指数</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县城生活幸福指数</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r>
              <w:rPr>
                <w:rFonts w:hint="eastAsia" w:ascii="Times New Roman" w:hAnsi="Times New Roman"/>
                <w:color w:val="000000"/>
                <w:kern w:val="0"/>
                <w:sz w:val="18"/>
                <w:szCs w:val="18"/>
              </w:rPr>
              <w:t>装修垃圾及时清运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明显提升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明显提升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6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切实提升县城空气环境质量</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有效维护市容环境卫生</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有效维护市容环境卫生</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工地时而未按规定要求开启炮雾机，节省施工成本。</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渣土路面污染有效控制</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扬尘指数达到标准要求</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扬尘指数达到标准要求</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偷倒、偷运现象时而发生，有待提高文明施工。</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满意</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县城环境明显改善</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县城环境明显改善</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7"/>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98</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6518DD"/>
    <w:multiLevelType w:val="singleLevel"/>
    <w:tmpl w:val="656518D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10E77CE"/>
    <w:rsid w:val="0CFB31A9"/>
    <w:rsid w:val="0E82510F"/>
    <w:rsid w:val="1C2E0BB8"/>
    <w:rsid w:val="21B446F2"/>
    <w:rsid w:val="22EA79E6"/>
    <w:rsid w:val="31454392"/>
    <w:rsid w:val="35936D1A"/>
    <w:rsid w:val="36880EB4"/>
    <w:rsid w:val="3F497F99"/>
    <w:rsid w:val="3FCD0978"/>
    <w:rsid w:val="41367367"/>
    <w:rsid w:val="517A605D"/>
    <w:rsid w:val="55D97AF8"/>
    <w:rsid w:val="5CDC3434"/>
    <w:rsid w:val="5CE11D66"/>
    <w:rsid w:val="5F260C96"/>
    <w:rsid w:val="636A1FA8"/>
    <w:rsid w:val="70DE0D89"/>
    <w:rsid w:val="7C917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微软雅黑" w:hAnsi="微软雅黑" w:eastAsia="微软雅黑"/>
      <w:color w:val="4C4C4C"/>
      <w:kern w:val="0"/>
      <w:szCs w:val="21"/>
    </w:rPr>
  </w:style>
  <w:style w:type="character" w:styleId="6">
    <w:name w:val="Strong"/>
    <w:basedOn w:val="5"/>
    <w:qFormat/>
    <w:uiPriority w:val="99"/>
    <w:rPr>
      <w:rFonts w:cs="Times New Roman"/>
      <w:b/>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cp:lastPrinted>2021-08-02T08:33:00Z</cp:lastPrinted>
  <dcterms:modified xsi:type="dcterms:W3CDTF">2021-08-02T08:41:32Z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