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10" w:lineRule="exact"/>
        <w:jc w:val="center"/>
        <w:rPr>
          <w:rFonts w:hint="eastAsia" w:ascii="Times New Roman" w:hAnsi="Times New Roman" w:eastAsia="黑体"/>
          <w:sz w:val="44"/>
          <w:szCs w:val="44"/>
        </w:rPr>
      </w:pPr>
      <w:r>
        <w:rPr>
          <w:rFonts w:hint="eastAsia" w:ascii="Times New Roman" w:hAnsi="Times New Roman" w:eastAsia="黑体"/>
          <w:sz w:val="44"/>
          <w:szCs w:val="44"/>
        </w:rPr>
        <w:t>中方县城市管理行政执法大队2020年度</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LED电子显示屏维修维护</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Times New Roman" w:hAnsi="Times New Roman" w:eastAsia="仿宋"/>
          <w:sz w:val="32"/>
          <w:szCs w:val="32"/>
        </w:rPr>
      </w:pPr>
      <w:bookmarkStart w:id="0" w:name="_GoBack"/>
      <w:bookmarkEnd w:id="0"/>
      <w:r>
        <w:rPr>
          <w:rFonts w:hint="eastAsia" w:ascii="黑体" w:hAnsi="黑体" w:eastAsia="黑体" w:cs="黑体"/>
          <w:b w:val="0"/>
          <w:bCs w:val="0"/>
          <w:sz w:val="44"/>
          <w:szCs w:val="44"/>
          <w:lang w:val="en-US" w:eastAsia="zh-CN"/>
        </w:rPr>
        <w:t>项目支出</w:t>
      </w:r>
      <w:r>
        <w:rPr>
          <w:rFonts w:hint="eastAsia" w:ascii="黑体" w:hAnsi="黑体" w:eastAsia="黑体" w:cs="黑体"/>
          <w:b w:val="0"/>
          <w:bCs w:val="0"/>
          <w:sz w:val="44"/>
          <w:szCs w:val="44"/>
        </w:rPr>
        <w:t>绩效</w:t>
      </w:r>
      <w:r>
        <w:rPr>
          <w:rFonts w:hint="eastAsia" w:ascii="黑体" w:hAnsi="黑体" w:eastAsia="黑体" w:cs="黑体"/>
          <w:b w:val="0"/>
          <w:bCs w:val="0"/>
          <w:sz w:val="44"/>
          <w:szCs w:val="44"/>
          <w:lang w:eastAsia="zh-CN"/>
        </w:rPr>
        <w:t>自评</w:t>
      </w:r>
      <w:r>
        <w:rPr>
          <w:rFonts w:hint="eastAsia" w:ascii="黑体" w:hAnsi="黑体" w:eastAsia="黑体" w:cs="黑体"/>
          <w:b w:val="0"/>
          <w:bCs w:val="0"/>
          <w:sz w:val="44"/>
          <w:szCs w:val="44"/>
        </w:rPr>
        <w:t>报告</w:t>
      </w:r>
    </w:p>
    <w:p>
      <w:pPr>
        <w:jc w:val="center"/>
        <w:rPr>
          <w:rFonts w:ascii="Times New Roman" w:hAnsi="Times New Roman" w:eastAsia="仿宋"/>
          <w:sz w:val="32"/>
          <w:szCs w:val="32"/>
        </w:rPr>
      </w:pPr>
    </w:p>
    <w:p>
      <w:pPr>
        <w:pStyle w:val="6"/>
        <w:keepNext w:val="0"/>
        <w:keepLines w:val="0"/>
        <w:pageBreakBefore w:val="0"/>
        <w:kinsoku/>
        <w:wordWrap/>
        <w:overflowPunct/>
        <w:topLinePunct w:val="0"/>
        <w:autoSpaceDN/>
        <w:bidi w:val="0"/>
        <w:adjustRightInd/>
        <w:spacing w:line="560" w:lineRule="exact"/>
        <w:ind w:firstLine="643" w:firstLineChars="200"/>
        <w:textAlignment w:val="auto"/>
        <w:rPr>
          <w:rFonts w:ascii="Times New Roman" w:hAnsi="Times New Roman" w:eastAsia="楷体"/>
          <w:b/>
          <w:sz w:val="32"/>
          <w:szCs w:val="32"/>
        </w:rPr>
      </w:pPr>
      <w:r>
        <w:rPr>
          <w:rFonts w:ascii="Times New Roman" w:hAnsi="Times New Roman" w:eastAsia="楷体"/>
          <w:b/>
          <w:sz w:val="32"/>
          <w:szCs w:val="32"/>
        </w:rPr>
        <w:t>一、基本情况</w:t>
      </w:r>
    </w:p>
    <w:p>
      <w:pPr>
        <w:pStyle w:val="6"/>
        <w:spacing w:line="51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（一）项目概况。</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2020年创建国家园林城市申报年，应创建办要求及县主要领导安排，城管局对照创建标准,对县城中方大道两块电子显示屏进行维护维修。</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维护区域：</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中方县与鹤城区交界处；中方大道与迎松路交汇处。</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维护内容：经统计1、户外P10全彩单元板48块，单红单元板28块；2、排线48根；3、控制卡3台.接收卡3，转接卡3台；4、电源46台，更换5V电流30台；5、空气开关2个；6、屏体内电缆线材1项；7、空调维修1台及加氟，更换格力空调1台；8、屏、线路、设备调试40㎡；9、人工2人一天；10、更换PLORED主板30块；11、更换LED彩屏显示处理器1台；12更换铝朔板1张，检修吊车一台；13、功放机1台；14、喇叭2个。</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资金投入与使用：2020年县财政预算县城两块电子显示屏维护经费33384.84元，2020年根据实际维护任务支付费用33384.84元。</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（二）项目绩效目标。</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总体目标：确保县城电子显示屏完好及安全运行。</w:t>
      </w:r>
    </w:p>
    <w:p>
      <w:pPr>
        <w:pStyle w:val="6"/>
        <w:spacing w:line="510" w:lineRule="exact"/>
        <w:ind w:firstLine="640" w:firstLineChars="200"/>
        <w:rPr>
          <w:rFonts w:hint="eastAsia" w:ascii="仿宋" w:hAnsi="仿宋" w:eastAsia="仿宋" w:cs="仿宋"/>
          <w:b w:val="0"/>
          <w:i w:val="0"/>
          <w:caps w:val="0"/>
          <w:color w:val="333333"/>
          <w:spacing w:val="0"/>
          <w:kern w:val="0"/>
          <w:sz w:val="32"/>
          <w:szCs w:val="32"/>
          <w:u w:val="none"/>
          <w:lang w:val="en-US" w:eastAsia="zh-CN" w:bidi="ar"/>
        </w:rPr>
      </w:pPr>
      <w:r>
        <w:rPr>
          <w:rFonts w:hint="eastAsia" w:ascii="Times New Roman" w:hAnsi="Times New Roman" w:eastAsia="仿宋" w:cs="Times New Roman"/>
          <w:sz w:val="32"/>
          <w:szCs w:val="32"/>
          <w:lang w:val="en-US" w:eastAsia="zh-CN"/>
        </w:rPr>
        <w:t>阶段性目标：保障县城电子显示屏完好及安全运行，无因电子显示屏设置损坏而引发安全事故。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60" w:lineRule="exact"/>
        <w:ind w:right="0" w:firstLine="643" w:firstLineChars="200"/>
        <w:jc w:val="left"/>
        <w:textAlignment w:val="auto"/>
        <w:rPr>
          <w:rFonts w:ascii="Times New Roman" w:hAnsi="Times New Roman" w:eastAsia="楷体"/>
          <w:b/>
          <w:sz w:val="32"/>
          <w:szCs w:val="32"/>
        </w:rPr>
      </w:pPr>
      <w:r>
        <w:rPr>
          <w:rFonts w:ascii="Times New Roman" w:hAnsi="Times New Roman" w:eastAsia="楷体"/>
          <w:b/>
          <w:sz w:val="32"/>
          <w:szCs w:val="32"/>
        </w:rPr>
        <w:t>二、绩效评价工作开展情况</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（一）绩效评价目的、对象和范围。</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全面评价2020年县城中方大道两块电子显示屏修维护费的资金使用与支出效果，保证资金使用到位，提高资金使用效率，为县城公益宣传保驾护航。</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（二）绩效评价原则、评价指标体系（附表说明）、评价方法、评价标准等。</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1.注重经费支出的经济性、效率性、和有效性，采用定量和定性相结合的方法。</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2.客观、公正、数据资料真实可靠，并接受监督。</w:t>
      </w:r>
    </w:p>
    <w:p>
      <w:pPr>
        <w:pStyle w:val="6"/>
        <w:spacing w:line="51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3.针对具体投入及其产出绩效进行，评价结果清晰反应投入和绩效之间的对应关系。</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（三）绩效评价工作过程。</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们制定了对该项目的绩效评价工作方案，县财政局绩效评价股对中方县城市管理行政执法大队下达了绩效评价通知。评价过程中听取了大队的情况介绍，翻阅了相关资料，了解了县城中方大道两块电子显示屏修维护费专项资金的拨付和发放流程，侧重调查资金发放的真实性、公平性。</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具体工作过程：</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1.检查资料</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通过对各种资料的查阅，了解该项资金是否及时拨付到位；县城中方大道两块电子显示屏是否维护维修到位，将有关资料和工作情况分年度建档备查。</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2.座谈交流</w:t>
      </w:r>
    </w:p>
    <w:p>
      <w:pPr>
        <w:pStyle w:val="6"/>
        <w:spacing w:line="510" w:lineRule="exact"/>
        <w:ind w:firstLine="640" w:firstLineChars="200"/>
        <w:rPr>
          <w:rFonts w:hint="default" w:ascii="仿宋" w:hAnsi="仿宋" w:eastAsia="仿宋" w:cs="仿宋"/>
          <w:sz w:val="32"/>
          <w:szCs w:val="32"/>
          <w:lang w:val="en-US" w:eastAsia="zh-CN"/>
        </w:rPr>
      </w:pPr>
      <w:r>
        <w:rPr>
          <w:rFonts w:hint="eastAsia" w:ascii="Times New Roman" w:hAnsi="Times New Roman" w:eastAsia="仿宋" w:cs="Times New Roman"/>
          <w:sz w:val="32"/>
          <w:szCs w:val="32"/>
          <w:lang w:val="en-US" w:eastAsia="zh-CN"/>
        </w:rPr>
        <w:t>针对2020年县城市政设施维修维护费专项资金资金的调查主要是通过与执法大队面对面的交流，深入了解两块电子显示屏维修维护费资金发放的真实性、及时性、公平性，听取他们对这项资金提出的意见和建议。</w:t>
      </w:r>
    </w:p>
    <w:p>
      <w:pPr>
        <w:pStyle w:val="6"/>
        <w:keepNext w:val="0"/>
        <w:keepLines w:val="0"/>
        <w:pageBreakBefore w:val="0"/>
        <w:kinsoku/>
        <w:wordWrap/>
        <w:overflowPunct/>
        <w:topLinePunct w:val="0"/>
        <w:autoSpaceDN/>
        <w:bidi w:val="0"/>
        <w:adjustRightInd/>
        <w:spacing w:line="560" w:lineRule="exact"/>
        <w:ind w:firstLine="643" w:firstLineChars="200"/>
        <w:textAlignment w:val="auto"/>
        <w:rPr>
          <w:rFonts w:hint="eastAsia" w:ascii="Times New Roman" w:hAnsi="Times New Roman" w:eastAsia="楷体"/>
          <w:b/>
          <w:sz w:val="32"/>
          <w:szCs w:val="32"/>
          <w:lang w:val="en-US" w:eastAsia="zh-CN"/>
        </w:rPr>
      </w:pPr>
      <w:r>
        <w:rPr>
          <w:rFonts w:hint="eastAsia" w:ascii="Times New Roman" w:hAnsi="Times New Roman" w:eastAsia="楷体"/>
          <w:b/>
          <w:sz w:val="32"/>
          <w:szCs w:val="32"/>
          <w:lang w:val="en-US" w:eastAsia="zh-CN"/>
        </w:rPr>
        <w:t>三、综合评价情况及评价结论（附相关评分表）</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b w:val="0"/>
          <w:i w:val="0"/>
          <w:caps w:val="0"/>
          <w:color w:val="333333"/>
          <w:spacing w:val="0"/>
          <w:kern w:val="0"/>
          <w:sz w:val="32"/>
          <w:szCs w:val="32"/>
          <w:u w:val="none"/>
          <w:lang w:val="en-US" w:eastAsia="zh-CN" w:bidi="ar"/>
        </w:rPr>
      </w:pPr>
      <w:r>
        <w:rPr>
          <w:rFonts w:hint="eastAsia" w:ascii="Times New Roman" w:hAnsi="Times New Roman" w:eastAsia="仿宋" w:cs="Times New Roman"/>
          <w:sz w:val="32"/>
          <w:szCs w:val="32"/>
          <w:lang w:val="en-US" w:eastAsia="zh-CN"/>
        </w:rPr>
        <w:t>通过自我评价，认为2020年县城中方大道两块电子显示屏维修维护费专项资金资金的申报材料规范齐全、评审程序公平公正，宣传政策到位，资金的发放与管理符合规范，本项目经费支出综合绩效评价得分：95分，结果为优。</w:t>
      </w:r>
    </w:p>
    <w:p>
      <w:pPr>
        <w:pStyle w:val="6"/>
        <w:keepNext w:val="0"/>
        <w:keepLines w:val="0"/>
        <w:pageBreakBefore w:val="0"/>
        <w:kinsoku/>
        <w:wordWrap/>
        <w:overflowPunct/>
        <w:topLinePunct w:val="0"/>
        <w:autoSpaceDN/>
        <w:bidi w:val="0"/>
        <w:adjustRightInd/>
        <w:spacing w:line="560" w:lineRule="exact"/>
        <w:ind w:firstLine="643" w:firstLineChars="200"/>
        <w:textAlignment w:val="auto"/>
        <w:rPr>
          <w:rFonts w:ascii="Times New Roman" w:hAnsi="Times New Roman" w:eastAsia="楷体"/>
          <w:b/>
          <w:sz w:val="32"/>
          <w:szCs w:val="32"/>
        </w:rPr>
      </w:pPr>
      <w:r>
        <w:rPr>
          <w:rFonts w:ascii="Times New Roman" w:hAnsi="Times New Roman" w:eastAsia="楷体"/>
          <w:b/>
          <w:sz w:val="32"/>
          <w:szCs w:val="32"/>
        </w:rPr>
        <w:t>四、绩效评价指标分析</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（一）项目决策情况。</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2020年创建国家园林城市申报年，应创建办要求及县主要领导安排，城市管理行政执法大队对照创建标准，对县城中方大道两块电子显示屏进行维护维修。</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（二）项目过程情况。</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根据创建指标要求，及县主要领导安排，执法大队对照创建标准找差距、补短板，通过日常巡查建立台账梳理维护项目并上报县主要领导审批，经县财政评审中心评审确立经费预算，并严格遵照市政设施建设标准严格施工管理，确保施工质量。为创建国家园林城市提供有力保障的同时，确保城市安全运行。</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（三）项目产出情况。</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维护内容：经统计1、户外P10全彩单元板48块，单红单元板28块；2、排线48根；3、控制卡3台.接收卡3，转接卡3台；4、电源46台，更换5V电流30台；5、空气开关2个；6、屏体内电缆线材1项；7、空调维修1台及加氟，更换格力空调1台；8、屏、线路、设备调试40㎡；9、人工2人一天；10、更换PLORED主板30块；11、更换LED彩屏显示处理器1台；12更换铝朔板1张，检修吊车一台；13、功放机1台；14、喇叭2个。</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资金投入与使用：2020年县财政预算县城两块电子显示屏维护经费33384.84元，2020年根据实际维护任务支付费用33384.84元。</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（四）项目效益情况。</w:t>
      </w:r>
    </w:p>
    <w:p>
      <w:pPr>
        <w:pStyle w:val="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县城中方大道两块电子显示屏完好及安全运行，满足政府公益性广告宣传的需要，无因电子显示屏损坏而引发安全事故。</w:t>
      </w:r>
    </w:p>
    <w:p>
      <w:pPr>
        <w:pStyle w:val="6"/>
        <w:keepNext w:val="0"/>
        <w:keepLines w:val="0"/>
        <w:pageBreakBefore w:val="0"/>
        <w:numPr>
          <w:ilvl w:val="0"/>
          <w:numId w:val="1"/>
        </w:numPr>
        <w:kinsoku/>
        <w:wordWrap/>
        <w:overflowPunct/>
        <w:topLinePunct w:val="0"/>
        <w:autoSpaceDN/>
        <w:bidi w:val="0"/>
        <w:adjustRightInd/>
        <w:spacing w:line="560" w:lineRule="exact"/>
        <w:ind w:firstLine="643" w:firstLineChars="200"/>
        <w:textAlignment w:val="auto"/>
        <w:rPr>
          <w:rFonts w:ascii="Times New Roman" w:hAnsi="Times New Roman" w:eastAsia="楷体"/>
          <w:b/>
          <w:sz w:val="32"/>
          <w:szCs w:val="32"/>
        </w:rPr>
      </w:pPr>
      <w:r>
        <w:rPr>
          <w:rFonts w:ascii="Times New Roman" w:hAnsi="Times New Roman" w:eastAsia="楷体"/>
          <w:b/>
          <w:sz w:val="32"/>
          <w:szCs w:val="32"/>
        </w:rPr>
        <w:t>主要经验及做法、存在的问题及原因分析</w:t>
      </w:r>
    </w:p>
    <w:p>
      <w:pPr>
        <w:pStyle w:val="6"/>
        <w:spacing w:line="510" w:lineRule="exact"/>
        <w:ind w:firstLine="640" w:firstLineChars="200"/>
        <w:rPr>
          <w:rFonts w:hint="default" w:ascii="仿宋" w:hAnsi="仿宋" w:eastAsia="仿宋" w:cs="仿宋"/>
          <w:b w:val="0"/>
          <w:i w:val="0"/>
          <w:caps w:val="0"/>
          <w:color w:val="333333"/>
          <w:spacing w:val="0"/>
          <w:kern w:val="0"/>
          <w:sz w:val="32"/>
          <w:szCs w:val="32"/>
          <w:u w:val="none"/>
          <w:lang w:val="en-US" w:eastAsia="zh-CN" w:bidi="ar"/>
        </w:rPr>
      </w:pPr>
      <w:r>
        <w:rPr>
          <w:rFonts w:hint="eastAsia" w:ascii="Times New Roman" w:hAnsi="Times New Roman" w:eastAsia="仿宋" w:cs="Times New Roman"/>
          <w:sz w:val="32"/>
          <w:szCs w:val="32"/>
          <w:lang w:val="en-US" w:eastAsia="zh-CN"/>
        </w:rPr>
        <w:t>以日常巡查为主导，全方位为安全运行、及时维修保驾护航，做到隐患排查到位，处理及时，全年无因电子显示屏损坏而引发安全事故，保障市民安全出行。</w:t>
      </w:r>
    </w:p>
    <w:p>
      <w:pPr>
        <w:pStyle w:val="6"/>
        <w:keepNext w:val="0"/>
        <w:keepLines w:val="0"/>
        <w:pageBreakBefore w:val="0"/>
        <w:numPr>
          <w:ilvl w:val="0"/>
          <w:numId w:val="1"/>
        </w:numPr>
        <w:kinsoku/>
        <w:wordWrap/>
        <w:overflowPunct/>
        <w:topLinePunct w:val="0"/>
        <w:autoSpaceDN/>
        <w:bidi w:val="0"/>
        <w:adjustRightInd/>
        <w:spacing w:line="560" w:lineRule="exact"/>
        <w:ind w:left="0" w:leftChars="0" w:firstLine="643" w:firstLineChars="200"/>
        <w:textAlignment w:val="auto"/>
        <w:rPr>
          <w:rFonts w:ascii="Times New Roman" w:hAnsi="Times New Roman" w:eastAsia="楷体"/>
          <w:b/>
          <w:sz w:val="32"/>
          <w:szCs w:val="32"/>
        </w:rPr>
      </w:pPr>
      <w:r>
        <w:rPr>
          <w:rFonts w:ascii="Times New Roman" w:hAnsi="Times New Roman" w:eastAsia="楷体"/>
          <w:b/>
          <w:sz w:val="32"/>
          <w:szCs w:val="32"/>
        </w:rPr>
        <w:t>有关建议</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建议县政府逐步加大对电子显示屏设施建设的资金投入力度，保证户外公益性广告宣传跟上城市快速发展的步伐。</w:t>
      </w:r>
    </w:p>
    <w:p>
      <w:pPr>
        <w:pStyle w:val="6"/>
        <w:keepNext w:val="0"/>
        <w:keepLines w:val="0"/>
        <w:pageBreakBefore w:val="0"/>
        <w:numPr>
          <w:ilvl w:val="0"/>
          <w:numId w:val="1"/>
        </w:numPr>
        <w:kinsoku/>
        <w:wordWrap/>
        <w:overflowPunct/>
        <w:topLinePunct w:val="0"/>
        <w:autoSpaceDN/>
        <w:bidi w:val="0"/>
        <w:adjustRightInd/>
        <w:spacing w:line="560" w:lineRule="exact"/>
        <w:ind w:left="0" w:leftChars="0" w:firstLine="643" w:firstLineChars="200"/>
        <w:textAlignment w:val="auto"/>
        <w:rPr>
          <w:rFonts w:ascii="Times New Roman" w:hAnsi="Times New Roman" w:eastAsia="楷体"/>
          <w:b/>
          <w:sz w:val="32"/>
          <w:szCs w:val="32"/>
        </w:rPr>
      </w:pPr>
      <w:r>
        <w:rPr>
          <w:rFonts w:ascii="Times New Roman" w:hAnsi="Times New Roman" w:eastAsia="楷体"/>
          <w:b/>
          <w:sz w:val="32"/>
          <w:szCs w:val="32"/>
        </w:rPr>
        <w:t>其他需要说明的问题</w:t>
      </w:r>
    </w:p>
    <w:p>
      <w:pPr>
        <w:pStyle w:val="6"/>
        <w:spacing w:line="51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总体来说2020年我县户外电子显示屏设施管理到位、修复及时、质量达标，保障了政府公益性广告的宣传，确保了人民群众出行安全，全年城市管理领域无安全事故发生。</w:t>
      </w:r>
    </w:p>
    <w:p>
      <w:pPr>
        <w:widowControl/>
        <w:spacing w:line="510" w:lineRule="exact"/>
        <w:ind w:firstLine="645"/>
        <w:jc w:val="left"/>
        <w:rPr>
          <w:rFonts w:ascii="Times New Roman" w:hAnsi="Times New Roman" w:eastAsia="仿宋_GB2312"/>
          <w:sz w:val="32"/>
          <w:szCs w:val="32"/>
        </w:rPr>
      </w:pPr>
      <w:r>
        <w:rPr>
          <w:rFonts w:ascii="Times New Roman" w:hAnsi="Times New Roman" w:eastAsia="仿宋_GB2312"/>
          <w:sz w:val="32"/>
          <w:szCs w:val="32"/>
        </w:rPr>
        <w:t>附件：1.项目支出绩效自评表</w:t>
      </w:r>
    </w:p>
    <w:p>
      <w:pPr>
        <w:widowControl/>
        <w:spacing w:line="510" w:lineRule="exact"/>
        <w:ind w:firstLine="1600" w:firstLineChars="500"/>
        <w:jc w:val="left"/>
        <w:rPr>
          <w:rFonts w:ascii="Times New Roman" w:hAnsi="Times New Roman" w:eastAsia="仿宋_GB2312"/>
          <w:sz w:val="32"/>
          <w:szCs w:val="32"/>
        </w:rPr>
      </w:pPr>
      <w:r>
        <w:rPr>
          <w:rFonts w:ascii="Times New Roman" w:hAnsi="Times New Roman" w:eastAsia="仿宋_GB2312"/>
          <w:sz w:val="32"/>
          <w:szCs w:val="32"/>
        </w:rPr>
        <w:t>2.项目支出绩效评价指标</w:t>
      </w:r>
      <w:r>
        <w:rPr>
          <w:rFonts w:ascii="Times New Roman" w:hAnsi="Times New Roman" w:eastAsia="仿宋_GB2312"/>
          <w:bCs/>
          <w:color w:val="000000"/>
          <w:kern w:val="0"/>
          <w:sz w:val="32"/>
          <w:szCs w:val="32"/>
        </w:rPr>
        <w:t>评分表</w:t>
      </w:r>
    </w:p>
    <w:p>
      <w:pPr>
        <w:pStyle w:val="6"/>
        <w:spacing w:line="510" w:lineRule="exact"/>
        <w:ind w:firstLine="640" w:firstLineChars="200"/>
        <w:rPr>
          <w:rFonts w:hint="eastAsia" w:ascii="Times New Roman" w:hAnsi="Times New Roman" w:eastAsia="仿宋" w:cs="Times New Roman"/>
          <w:sz w:val="32"/>
          <w:szCs w:val="32"/>
          <w:lang w:val="en-US" w:eastAsia="zh-CN"/>
        </w:rPr>
      </w:pPr>
    </w:p>
    <w:p>
      <w:pPr>
        <w:pStyle w:val="6"/>
        <w:spacing w:line="510" w:lineRule="exact"/>
        <w:ind w:firstLine="640" w:firstLineChars="200"/>
        <w:rPr>
          <w:rFonts w:hint="eastAsia" w:ascii="Times New Roman" w:hAnsi="Times New Roman" w:eastAsia="仿宋" w:cs="Times New Roman"/>
          <w:sz w:val="32"/>
          <w:szCs w:val="32"/>
          <w:lang w:val="en-US" w:eastAsia="zh-CN"/>
        </w:rPr>
      </w:pPr>
    </w:p>
    <w:p>
      <w:pPr>
        <w:pStyle w:val="6"/>
        <w:spacing w:line="510" w:lineRule="exact"/>
        <w:rPr>
          <w:rFonts w:hint="eastAsia" w:ascii="Times New Roman" w:hAnsi="Times New Roman" w:eastAsia="仿宋" w:cs="Times New Roman"/>
          <w:sz w:val="32"/>
          <w:szCs w:val="32"/>
          <w:lang w:val="en-US" w:eastAsia="zh-CN"/>
        </w:rPr>
      </w:pPr>
    </w:p>
    <w:p>
      <w:pPr>
        <w:pStyle w:val="6"/>
        <w:spacing w:line="510" w:lineRule="exact"/>
        <w:jc w:val="left"/>
        <w:rPr>
          <w:rFonts w:hint="default" w:ascii="Times New Roman" w:hAnsi="Times New Roman" w:eastAsia="仿宋"/>
          <w:sz w:val="32"/>
          <w:szCs w:val="32"/>
          <w:lang w:val="en-US" w:eastAsia="zh-CN"/>
        </w:rPr>
      </w:pPr>
      <w:r>
        <w:rPr>
          <w:rFonts w:hint="eastAsia" w:ascii="Times New Roman" w:hAnsi="Times New Roman" w:eastAsia="仿宋"/>
          <w:sz w:val="32"/>
          <w:szCs w:val="32"/>
          <w:lang w:eastAsia="zh-CN"/>
        </w:rPr>
        <w:t>附件</w:t>
      </w:r>
      <w:r>
        <w:rPr>
          <w:rFonts w:hint="eastAsia" w:ascii="Times New Roman" w:hAnsi="Times New Roman" w:eastAsia="仿宋"/>
          <w:sz w:val="32"/>
          <w:szCs w:val="32"/>
          <w:lang w:val="en-US" w:eastAsia="zh-CN"/>
        </w:rPr>
        <w:t>1</w:t>
      </w:r>
    </w:p>
    <w:tbl>
      <w:tblPr>
        <w:tblStyle w:val="4"/>
        <w:tblW w:w="9080" w:type="dxa"/>
        <w:jc w:val="center"/>
        <w:tblLayout w:type="fixed"/>
        <w:tblCellMar>
          <w:top w:w="0" w:type="dxa"/>
          <w:left w:w="108" w:type="dxa"/>
          <w:bottom w:w="0" w:type="dxa"/>
          <w:right w:w="108" w:type="dxa"/>
        </w:tblCellMar>
      </w:tblPr>
      <w:tblGrid>
        <w:gridCol w:w="588"/>
        <w:gridCol w:w="980"/>
        <w:gridCol w:w="1112"/>
        <w:gridCol w:w="730"/>
        <w:gridCol w:w="1134"/>
        <w:gridCol w:w="154"/>
        <w:gridCol w:w="980"/>
        <w:gridCol w:w="1030"/>
        <w:gridCol w:w="104"/>
        <w:gridCol w:w="406"/>
        <w:gridCol w:w="303"/>
        <w:gridCol w:w="142"/>
        <w:gridCol w:w="709"/>
        <w:gridCol w:w="708"/>
      </w:tblGrid>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Times New Roman" w:hAnsi="Times New Roman"/>
                <w:kern w:val="0"/>
                <w:sz w:val="22"/>
                <w:szCs w:val="22"/>
              </w:rPr>
            </w:pPr>
            <w:r>
              <w:rPr>
                <w:rFonts w:ascii="Times New Roman" w:hAnsi="Times New Roman"/>
                <w:kern w:val="0"/>
                <w:sz w:val="22"/>
                <w:szCs w:val="22"/>
              </w:rPr>
              <w:t>（</w:t>
            </w:r>
            <w:r>
              <w:rPr>
                <w:rFonts w:hint="eastAsia" w:ascii="Times New Roman" w:hAnsi="Times New Roman"/>
                <w:kern w:val="0"/>
                <w:sz w:val="22"/>
                <w:szCs w:val="22"/>
              </w:rPr>
              <w:t>2020</w:t>
            </w:r>
            <w:r>
              <w:rPr>
                <w:rFonts w:ascii="Times New Roman" w:hAnsi="Times New Roman"/>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val="en-US" w:eastAsia="zh-CN"/>
              </w:rPr>
              <w:t>LED</w:t>
            </w:r>
            <w:r>
              <w:rPr>
                <w:rFonts w:hint="eastAsia" w:ascii="Times New Roman" w:hAnsi="Times New Roman"/>
                <w:kern w:val="0"/>
                <w:sz w:val="18"/>
                <w:szCs w:val="18"/>
              </w:rPr>
              <w:t>电子显示屏维修维护</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中方县城市管理行政执法大队</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市政股</w:t>
            </w:r>
          </w:p>
        </w:tc>
      </w:tr>
      <w:tr>
        <w:tblPrEx>
          <w:tblCellMar>
            <w:top w:w="0" w:type="dxa"/>
            <w:left w:w="108" w:type="dxa"/>
            <w:bottom w:w="0" w:type="dxa"/>
            <w:right w:w="108" w:type="dxa"/>
          </w:tblCellMar>
        </w:tblPrEx>
        <w:trPr>
          <w:trHeight w:val="436"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项目资金</w:t>
            </w:r>
            <w:r>
              <w:rPr>
                <w:rFonts w:ascii="Times New Roman" w:hAnsi="Times New Roman"/>
                <w:kern w:val="0"/>
                <w:sz w:val="18"/>
                <w:szCs w:val="18"/>
              </w:rPr>
              <w:br w:type="textWrapping"/>
            </w:r>
            <w:r>
              <w:rPr>
                <w:rFonts w:ascii="Times New Roman" w:hAnsi="Times New Roman"/>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全年预算数</w:t>
            </w:r>
            <w:r>
              <w:rPr>
                <w:rFonts w:ascii="Times New Roman" w:hAnsi="Times New Roman"/>
                <w:color w:val="000000"/>
                <w:kern w:val="0"/>
                <w:sz w:val="20"/>
                <w:szCs w:val="20"/>
              </w:rPr>
              <w:t>（A）</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全年执行数</w:t>
            </w:r>
            <w:r>
              <w:rPr>
                <w:rFonts w:ascii="Times New Roman" w:hAnsi="Times New Roman"/>
                <w:color w:val="000000"/>
                <w:kern w:val="0"/>
                <w:sz w:val="20"/>
                <w:szCs w:val="20"/>
              </w:rPr>
              <w:t>（B）</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执行率</w:t>
            </w:r>
            <w:r>
              <w:rPr>
                <w:rFonts w:ascii="Times New Roman" w:hAnsi="Times New Roman"/>
                <w:color w:val="000000"/>
                <w:kern w:val="0"/>
                <w:sz w:val="20"/>
                <w:szCs w:val="20"/>
              </w:rPr>
              <w:t>（B/A)</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Times New Roman" w:hAnsi="Times New Roman"/>
                <w:kern w:val="0"/>
                <w:sz w:val="18"/>
                <w:szCs w:val="18"/>
              </w:rPr>
            </w:pPr>
            <w:r>
              <w:rPr>
                <w:rFonts w:ascii="Times New Roman" w:hAnsi="Times New Roman"/>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3.34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3.34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实际完成情况</w:t>
            </w:r>
          </w:p>
        </w:tc>
      </w:tr>
      <w:tr>
        <w:tblPrEx>
          <w:tblCellMar>
            <w:top w:w="0" w:type="dxa"/>
            <w:left w:w="108" w:type="dxa"/>
            <w:bottom w:w="0" w:type="dxa"/>
            <w:right w:w="108" w:type="dxa"/>
          </w:tblCellMar>
        </w:tblPrEx>
        <w:trPr>
          <w:trHeight w:val="570"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color w:val="000000"/>
                <w:kern w:val="0"/>
                <w:sz w:val="18"/>
                <w:szCs w:val="18"/>
                <w:lang w:eastAsia="zh-CN"/>
              </w:rPr>
              <w:t>营造春节氛围，美化县城环境</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color w:val="000000"/>
                <w:kern w:val="0"/>
                <w:sz w:val="18"/>
                <w:szCs w:val="18"/>
                <w:lang w:eastAsia="zh-CN"/>
              </w:rPr>
              <w:t>营造春节氛围，美化县城环境</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绩</w:t>
            </w:r>
            <w:r>
              <w:rPr>
                <w:rFonts w:ascii="Times New Roman" w:hAnsi="Times New Roman"/>
                <w:kern w:val="0"/>
                <w:sz w:val="18"/>
                <w:szCs w:val="18"/>
              </w:rPr>
              <w:br w:type="textWrapping"/>
            </w:r>
            <w:r>
              <w:rPr>
                <w:rFonts w:ascii="Times New Roman" w:hAnsi="Times New Roman"/>
                <w:kern w:val="0"/>
                <w:sz w:val="18"/>
                <w:szCs w:val="18"/>
              </w:rPr>
              <w:t>效</w:t>
            </w:r>
            <w:r>
              <w:rPr>
                <w:rFonts w:ascii="Times New Roman" w:hAnsi="Times New Roman"/>
                <w:kern w:val="0"/>
                <w:sz w:val="18"/>
                <w:szCs w:val="18"/>
              </w:rPr>
              <w:br w:type="textWrapping"/>
            </w:r>
            <w:r>
              <w:rPr>
                <w:rFonts w:ascii="Times New Roman" w:hAnsi="Times New Roman"/>
                <w:kern w:val="0"/>
                <w:sz w:val="18"/>
                <w:szCs w:val="18"/>
              </w:rPr>
              <w:t>指</w:t>
            </w:r>
            <w:r>
              <w:rPr>
                <w:rFonts w:ascii="Times New Roman" w:hAnsi="Times New Roman"/>
                <w:kern w:val="0"/>
                <w:sz w:val="18"/>
                <w:szCs w:val="18"/>
              </w:rPr>
              <w:br w:type="textWrapping"/>
            </w:r>
            <w:r>
              <w:rPr>
                <w:rFonts w:ascii="Times New Roman" w:hAnsi="Times New Roman"/>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二级指标</w:t>
            </w:r>
          </w:p>
        </w:tc>
        <w:tc>
          <w:tcPr>
            <w:tcW w:w="201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三级指标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年度</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指标值</w:t>
            </w:r>
          </w:p>
        </w:tc>
        <w:tc>
          <w:tcPr>
            <w:tcW w:w="103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实际</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完成值</w:t>
            </w:r>
          </w:p>
        </w:tc>
        <w:tc>
          <w:tcPr>
            <w:tcW w:w="5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分值</w:t>
            </w:r>
          </w:p>
        </w:tc>
        <w:tc>
          <w:tcPr>
            <w:tcW w:w="4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偏差原因分析及改进措施</w:t>
            </w:r>
          </w:p>
        </w:tc>
      </w:tr>
      <w:tr>
        <w:tblPrEx>
          <w:tblCellMar>
            <w:top w:w="0" w:type="dxa"/>
            <w:left w:w="108" w:type="dxa"/>
            <w:bottom w:w="0" w:type="dxa"/>
            <w:right w:w="108" w:type="dxa"/>
          </w:tblCellMar>
        </w:tblPrEx>
        <w:trPr>
          <w:trHeight w:val="243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产出指标</w:t>
            </w:r>
            <w:r>
              <w:rPr>
                <w:rFonts w:ascii="Times New Roman" w:hAnsi="Times New Roman"/>
                <w:kern w:val="0"/>
                <w:sz w:val="20"/>
                <w:szCs w:val="20"/>
              </w:rPr>
              <w:t>(50分)</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数量指标</w:t>
            </w:r>
          </w:p>
        </w:tc>
        <w:tc>
          <w:tcPr>
            <w:tcW w:w="2018" w:type="dxa"/>
            <w:gridSpan w:val="3"/>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人行道板维修961.29㎡</w:t>
            </w:r>
          </w:p>
          <w:p>
            <w:pPr>
              <w:widowControl/>
              <w:spacing w:line="240" w:lineRule="exact"/>
              <w:jc w:val="left"/>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砼路面维修193.6㎡</w:t>
            </w:r>
          </w:p>
          <w:p>
            <w:pPr>
              <w:widowControl/>
              <w:spacing w:line="240" w:lineRule="exact"/>
              <w:jc w:val="left"/>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沥青路面352.02㎡</w:t>
            </w:r>
          </w:p>
          <w:p>
            <w:pPr>
              <w:widowControl/>
              <w:spacing w:line="240" w:lineRule="exact"/>
              <w:jc w:val="left"/>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电缆线维修794.8m灯具27套、路灯箱变1座、电力设施配件153个</w:t>
            </w:r>
          </w:p>
          <w:p>
            <w:pPr>
              <w:widowControl/>
              <w:spacing w:line="240" w:lineRule="exact"/>
              <w:jc w:val="left"/>
              <w:rPr>
                <w:rFonts w:hint="eastAsia" w:ascii="Times New Roman" w:hAnsi="Times New Roman" w:eastAsia="宋体"/>
                <w:color w:val="000000"/>
                <w:kern w:val="0"/>
                <w:sz w:val="18"/>
                <w:szCs w:val="18"/>
                <w:lang w:val="en-US" w:eastAsia="zh-CN"/>
              </w:rPr>
            </w:pPr>
            <w:r>
              <w:rPr>
                <w:rFonts w:hint="eastAsia" w:ascii="Times New Roman" w:hAnsi="Times New Roman" w:cs="Times New Roman"/>
                <w:color w:val="auto"/>
                <w:kern w:val="0"/>
                <w:sz w:val="18"/>
                <w:szCs w:val="18"/>
                <w:lang w:val="en-US" w:eastAsia="zh-CN"/>
              </w:rPr>
              <w:t>更换井盖56套，完成管网疏通200m</w:t>
            </w:r>
          </w:p>
        </w:tc>
        <w:tc>
          <w:tcPr>
            <w:tcW w:w="98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完好率98%</w:t>
            </w:r>
          </w:p>
          <w:p>
            <w:pPr>
              <w:widowControl/>
              <w:spacing w:line="240" w:lineRule="exact"/>
              <w:jc w:val="center"/>
              <w:rPr>
                <w:rFonts w:hint="eastAsia" w:ascii="Times New Roman" w:hAnsi="Times New Roman"/>
                <w:color w:val="000000"/>
                <w:kern w:val="0"/>
                <w:sz w:val="18"/>
                <w:szCs w:val="18"/>
                <w:lang w:val="en-US" w:eastAsia="zh-CN"/>
              </w:rPr>
            </w:pPr>
          </w:p>
        </w:tc>
        <w:tc>
          <w:tcPr>
            <w:tcW w:w="103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kern w:val="0"/>
                <w:sz w:val="18"/>
                <w:szCs w:val="18"/>
                <w:lang w:val="en-US"/>
              </w:rPr>
            </w:pPr>
            <w:r>
              <w:rPr>
                <w:rFonts w:hint="eastAsia" w:ascii="Times New Roman" w:hAnsi="Times New Roman"/>
                <w:color w:val="000000"/>
                <w:kern w:val="0"/>
                <w:sz w:val="18"/>
                <w:szCs w:val="18"/>
                <w:lang w:val="en-US" w:eastAsia="zh-CN"/>
              </w:rPr>
              <w:t>100%</w:t>
            </w:r>
          </w:p>
        </w:tc>
        <w:tc>
          <w:tcPr>
            <w:tcW w:w="510"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45"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r>
        <w:tblPrEx>
          <w:tblCellMar>
            <w:top w:w="0" w:type="dxa"/>
            <w:left w:w="108" w:type="dxa"/>
            <w:bottom w:w="0" w:type="dxa"/>
            <w:right w:w="108" w:type="dxa"/>
          </w:tblCellMar>
        </w:tblPrEx>
        <w:trPr>
          <w:trHeight w:val="6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质量指标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color w:val="000000"/>
                <w:kern w:val="0"/>
                <w:sz w:val="18"/>
                <w:szCs w:val="18"/>
                <w:lang w:eastAsia="zh-CN"/>
              </w:rPr>
            </w:pPr>
            <w:r>
              <w:rPr>
                <w:rFonts w:hint="eastAsia" w:ascii="Times New Roman" w:hAnsi="Times New Roman"/>
                <w:color w:val="000000"/>
                <w:kern w:val="0"/>
                <w:sz w:val="18"/>
                <w:szCs w:val="18"/>
                <w:lang w:eastAsia="zh-CN"/>
              </w:rPr>
              <w:t>电子显示屏总体完好率</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≧98％</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≧98％</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20</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20</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r>
        <w:tblPrEx>
          <w:tblCellMar>
            <w:top w:w="0" w:type="dxa"/>
            <w:left w:w="108" w:type="dxa"/>
            <w:bottom w:w="0" w:type="dxa"/>
            <w:right w:w="108" w:type="dxa"/>
          </w:tblCellMar>
        </w:tblPrEx>
        <w:trPr>
          <w:trHeight w:val="6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时效指标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lang w:eastAsia="zh-CN"/>
              </w:rPr>
              <w:t>及时维修且消除隐患</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color w:val="000000"/>
                <w:kern w:val="0"/>
                <w:sz w:val="18"/>
                <w:szCs w:val="18"/>
                <w:lang w:val="en-US" w:eastAsia="zh-CN"/>
              </w:rPr>
              <w:t>100%</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color w:val="000000"/>
                <w:kern w:val="0"/>
                <w:sz w:val="18"/>
                <w:szCs w:val="18"/>
                <w:lang w:val="en-US" w:eastAsia="zh-CN"/>
              </w:rPr>
              <w:t>100%</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r>
        <w:tblPrEx>
          <w:tblCellMar>
            <w:top w:w="0" w:type="dxa"/>
            <w:left w:w="108" w:type="dxa"/>
            <w:bottom w:w="0" w:type="dxa"/>
            <w:right w:w="108" w:type="dxa"/>
          </w:tblCellMar>
        </w:tblPrEx>
        <w:trPr>
          <w:trHeight w:val="7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成本指标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color w:val="000000"/>
                <w:kern w:val="0"/>
                <w:sz w:val="18"/>
                <w:szCs w:val="18"/>
                <w:lang w:eastAsia="zh-CN"/>
              </w:rPr>
            </w:pPr>
            <w:r>
              <w:rPr>
                <w:rFonts w:hint="eastAsia" w:ascii="Times New Roman" w:hAnsi="Times New Roman"/>
                <w:color w:val="000000"/>
                <w:kern w:val="0"/>
                <w:sz w:val="18"/>
                <w:szCs w:val="18"/>
              </w:rPr>
              <w:t>财政</w:t>
            </w:r>
            <w:r>
              <w:rPr>
                <w:rFonts w:hint="eastAsia" w:ascii="Times New Roman" w:hAnsi="Times New Roman"/>
                <w:color w:val="000000"/>
                <w:kern w:val="0"/>
                <w:sz w:val="18"/>
                <w:szCs w:val="18"/>
                <w:lang w:eastAsia="zh-CN"/>
              </w:rPr>
              <w:t>预算</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val="en-US" w:eastAsia="zh-CN"/>
              </w:rPr>
              <w:t>3.338484</w:t>
            </w:r>
            <w:r>
              <w:rPr>
                <w:rFonts w:hint="eastAsia" w:ascii="Times New Roman" w:hAnsi="Times New Roman"/>
                <w:kern w:val="0"/>
                <w:sz w:val="18"/>
                <w:szCs w:val="18"/>
              </w:rPr>
              <w:t>万元</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val="en-US" w:eastAsia="zh-CN"/>
              </w:rPr>
              <w:t>3.338484</w:t>
            </w:r>
            <w:r>
              <w:rPr>
                <w:rFonts w:hint="eastAsia" w:ascii="Times New Roman" w:hAnsi="Times New Roman"/>
                <w:kern w:val="0"/>
                <w:sz w:val="18"/>
                <w:szCs w:val="18"/>
              </w:rPr>
              <w:t>万元</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9</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经费不足</w:t>
            </w:r>
          </w:p>
        </w:tc>
      </w:tr>
      <w:tr>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效益指标</w:t>
            </w:r>
            <w:r>
              <w:rPr>
                <w:rFonts w:ascii="Times New Roman" w:hAnsi="Times New Roman"/>
                <w:kern w:val="0"/>
                <w:sz w:val="20"/>
                <w:szCs w:val="20"/>
              </w:rPr>
              <w:t>(30分)</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经济效益</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完善县城</w:t>
            </w:r>
            <w:r>
              <w:rPr>
                <w:rFonts w:hint="eastAsia" w:ascii="Times New Roman" w:hAnsi="Times New Roman"/>
                <w:color w:val="000000"/>
                <w:kern w:val="0"/>
                <w:sz w:val="18"/>
                <w:szCs w:val="18"/>
                <w:lang w:eastAsia="zh-CN"/>
              </w:rPr>
              <w:t>户外电子显示屏</w:t>
            </w:r>
            <w:r>
              <w:rPr>
                <w:rFonts w:hint="eastAsia" w:ascii="Times New Roman" w:hAnsi="Times New Roman"/>
                <w:color w:val="000000"/>
                <w:kern w:val="0"/>
                <w:sz w:val="18"/>
                <w:szCs w:val="18"/>
              </w:rPr>
              <w:t>，吸引投资商投资</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有所提升</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有所提升</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5</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5</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r>
        <w:tblPrEx>
          <w:tblCellMar>
            <w:top w:w="0" w:type="dxa"/>
            <w:left w:w="108" w:type="dxa"/>
            <w:bottom w:w="0" w:type="dxa"/>
            <w:right w:w="108" w:type="dxa"/>
          </w:tblCellMar>
        </w:tblPrEx>
        <w:trPr>
          <w:trHeight w:val="9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社会效益</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color w:val="000000"/>
                <w:kern w:val="0"/>
                <w:sz w:val="18"/>
                <w:szCs w:val="18"/>
                <w:lang w:eastAsia="zh-CN"/>
              </w:rPr>
            </w:pPr>
            <w:r>
              <w:rPr>
                <w:rFonts w:hint="eastAsia" w:ascii="Times New Roman" w:hAnsi="Times New Roman"/>
                <w:color w:val="000000"/>
                <w:kern w:val="0"/>
                <w:sz w:val="18"/>
                <w:szCs w:val="18"/>
                <w:lang w:eastAsia="zh-CN"/>
              </w:rPr>
              <w:t>电子显示屏正常运行</w:t>
            </w:r>
            <w:r>
              <w:rPr>
                <w:rFonts w:hint="eastAsia" w:ascii="Times New Roman" w:hAnsi="Times New Roman"/>
                <w:color w:val="000000"/>
                <w:kern w:val="0"/>
                <w:sz w:val="18"/>
                <w:szCs w:val="18"/>
              </w:rPr>
              <w:t>，确保</w:t>
            </w:r>
            <w:r>
              <w:rPr>
                <w:rFonts w:hint="eastAsia" w:ascii="Times New Roman" w:hAnsi="Times New Roman"/>
                <w:color w:val="000000"/>
                <w:kern w:val="0"/>
                <w:sz w:val="18"/>
                <w:szCs w:val="18"/>
                <w:lang w:eastAsia="zh-CN"/>
              </w:rPr>
              <w:t>政府公益性广告宣传</w:t>
            </w:r>
          </w:p>
          <w:p>
            <w:pPr>
              <w:widowControl/>
              <w:spacing w:line="240" w:lineRule="exact"/>
              <w:jc w:val="center"/>
              <w:rPr>
                <w:rFonts w:ascii="Times New Roman" w:hAnsi="Times New Roman"/>
                <w:color w:val="000000"/>
                <w:kern w:val="0"/>
                <w:sz w:val="18"/>
                <w:szCs w:val="18"/>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100%</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100%</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r>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生态效益</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color w:val="000000"/>
                <w:kern w:val="0"/>
                <w:sz w:val="18"/>
                <w:szCs w:val="18"/>
                <w:lang w:eastAsia="zh-CN"/>
              </w:rPr>
            </w:pPr>
            <w:r>
              <w:rPr>
                <w:rFonts w:hint="eastAsia" w:ascii="Times New Roman" w:hAnsi="Times New Roman"/>
                <w:color w:val="000000"/>
                <w:kern w:val="0"/>
                <w:sz w:val="18"/>
                <w:szCs w:val="18"/>
              </w:rPr>
              <w:t>提升市民</w:t>
            </w:r>
            <w:r>
              <w:rPr>
                <w:rFonts w:hint="eastAsia" w:ascii="Times New Roman" w:hAnsi="Times New Roman"/>
                <w:color w:val="000000"/>
                <w:kern w:val="0"/>
                <w:sz w:val="18"/>
                <w:szCs w:val="18"/>
                <w:lang w:eastAsia="zh-CN"/>
              </w:rPr>
              <w:t>对政府的了解</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100%</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100%</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5</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5</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可持续影响指标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提升城市形象</w:t>
            </w:r>
          </w:p>
          <w:p>
            <w:pPr>
              <w:widowControl/>
              <w:spacing w:line="240" w:lineRule="exact"/>
              <w:jc w:val="center"/>
              <w:rPr>
                <w:rFonts w:ascii="Times New Roman" w:hAnsi="Times New Roman"/>
                <w:color w:val="000000"/>
                <w:kern w:val="0"/>
                <w:sz w:val="18"/>
                <w:szCs w:val="18"/>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长效</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长效</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8</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lang w:eastAsia="zh-CN"/>
              </w:rPr>
              <w:t>经费不足</w:t>
            </w:r>
          </w:p>
        </w:tc>
      </w:tr>
      <w:tr>
        <w:tblPrEx>
          <w:tblCellMar>
            <w:top w:w="0" w:type="dxa"/>
            <w:left w:w="108" w:type="dxa"/>
            <w:bottom w:w="0" w:type="dxa"/>
            <w:right w:w="108" w:type="dxa"/>
          </w:tblCellMar>
        </w:tblPrEx>
        <w:trPr>
          <w:trHeight w:val="8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c>
          <w:tcPr>
            <w:tcW w:w="980"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满意度</w:t>
            </w:r>
          </w:p>
          <w:p>
            <w:pPr>
              <w:widowControl/>
              <w:spacing w:line="240" w:lineRule="exact"/>
              <w:jc w:val="center"/>
              <w:rPr>
                <w:rFonts w:ascii="Times New Roman" w:hAnsi="Times New Roman"/>
                <w:kern w:val="0"/>
                <w:sz w:val="18"/>
                <w:szCs w:val="18"/>
              </w:rPr>
            </w:pPr>
            <w:r>
              <w:rPr>
                <w:rFonts w:ascii="Times New Roman" w:hAnsi="Times New Roman"/>
                <w:kern w:val="0"/>
                <w:sz w:val="18"/>
                <w:szCs w:val="18"/>
              </w:rPr>
              <w:t>指标</w:t>
            </w:r>
            <w:r>
              <w:rPr>
                <w:rFonts w:ascii="Times New Roman" w:hAnsi="Times New Roman"/>
                <w:kern w:val="0"/>
                <w:sz w:val="20"/>
                <w:szCs w:val="20"/>
              </w:rPr>
              <w:t>(10分)</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ascii="Times New Roman" w:hAnsi="Times New Roman"/>
                <w:kern w:val="0"/>
                <w:sz w:val="18"/>
                <w:szCs w:val="18"/>
              </w:rPr>
              <w:t>服务对象满意度指标</w:t>
            </w: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公众满意度</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≧9</w:t>
            </w:r>
            <w:r>
              <w:rPr>
                <w:rFonts w:hint="eastAsia" w:ascii="Times New Roman" w:hAnsi="Times New Roman"/>
                <w:kern w:val="0"/>
                <w:sz w:val="18"/>
                <w:szCs w:val="18"/>
                <w:lang w:val="en-US" w:eastAsia="zh-CN"/>
              </w:rPr>
              <w:t>0</w:t>
            </w:r>
            <w:r>
              <w:rPr>
                <w:rFonts w:hint="eastAsia" w:ascii="Times New Roman" w:hAnsi="Times New Roman"/>
                <w:kern w:val="0"/>
                <w:sz w:val="18"/>
                <w:szCs w:val="18"/>
              </w:rPr>
              <w:t>％</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r>
              <w:rPr>
                <w:rFonts w:hint="eastAsia" w:ascii="Times New Roman" w:hAnsi="Times New Roman"/>
                <w:kern w:val="0"/>
                <w:sz w:val="18"/>
                <w:szCs w:val="18"/>
              </w:rPr>
              <w:t>≧9</w:t>
            </w:r>
            <w:r>
              <w:rPr>
                <w:rFonts w:hint="eastAsia" w:ascii="Times New Roman" w:hAnsi="Times New Roman"/>
                <w:kern w:val="0"/>
                <w:sz w:val="18"/>
                <w:szCs w:val="18"/>
                <w:lang w:val="en-US" w:eastAsia="zh-CN"/>
              </w:rPr>
              <w:t>0</w:t>
            </w:r>
            <w:r>
              <w:rPr>
                <w:rFonts w:hint="eastAsia" w:ascii="Times New Roman" w:hAnsi="Times New Roman"/>
                <w:kern w:val="0"/>
                <w:sz w:val="18"/>
                <w:szCs w:val="18"/>
              </w:rPr>
              <w:t>％</w:t>
            </w:r>
          </w:p>
        </w:tc>
        <w:tc>
          <w:tcPr>
            <w:tcW w:w="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10</w:t>
            </w:r>
          </w:p>
        </w:tc>
        <w:tc>
          <w:tcPr>
            <w:tcW w:w="4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8</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电子显示屏建设年限长，运行时间长，设备老化</w:t>
            </w:r>
          </w:p>
        </w:tc>
      </w:tr>
      <w:tr>
        <w:tblPrEx>
          <w:tblCellMar>
            <w:top w:w="0" w:type="dxa"/>
            <w:left w:w="108" w:type="dxa"/>
            <w:bottom w:w="0" w:type="dxa"/>
            <w:right w:w="108" w:type="dxa"/>
          </w:tblCellMar>
        </w:tblPrEx>
        <w:trPr>
          <w:trHeight w:val="300" w:hRule="exact"/>
          <w:jc w:val="center"/>
        </w:trPr>
        <w:tc>
          <w:tcPr>
            <w:tcW w:w="670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总分</w:t>
            </w:r>
          </w:p>
        </w:tc>
        <w:tc>
          <w:tcPr>
            <w:tcW w:w="51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18"/>
                <w:szCs w:val="18"/>
              </w:rPr>
            </w:pPr>
            <w:r>
              <w:rPr>
                <w:rFonts w:ascii="Times New Roman" w:hAnsi="Times New Roman"/>
                <w:color w:val="000000"/>
                <w:kern w:val="0"/>
                <w:sz w:val="18"/>
                <w:szCs w:val="18"/>
              </w:rPr>
              <w:t>100</w:t>
            </w:r>
          </w:p>
        </w:tc>
        <w:tc>
          <w:tcPr>
            <w:tcW w:w="4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950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18"/>
                <w:szCs w:val="18"/>
              </w:rPr>
            </w:pPr>
          </w:p>
        </w:tc>
      </w:tr>
    </w:tbl>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br w:type="page"/>
      </w:r>
      <w:r>
        <w:rPr>
          <w:sz w:val="18"/>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185420</wp:posOffset>
                </wp:positionV>
                <wp:extent cx="6400800" cy="123825"/>
                <wp:effectExtent l="4445" t="5080" r="14605" b="4445"/>
                <wp:wrapNone/>
                <wp:docPr id="1" name="矩形 1"/>
                <wp:cNvGraphicFramePr/>
                <a:graphic xmlns:a="http://schemas.openxmlformats.org/drawingml/2006/main">
                  <a:graphicData uri="http://schemas.microsoft.com/office/word/2010/wordprocessingShape">
                    <wps:wsp>
                      <wps:cNvSpPr/>
                      <wps:spPr>
                        <a:xfrm>
                          <a:off x="0" y="0"/>
                          <a:ext cx="6400800" cy="12382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5pt;margin-top:14.6pt;height:9.75pt;width:504pt;z-index:251659264;mso-width-relative:page;mso-height-relative:page;" fillcolor="#FFFFFF" filled="t" stroked="t" coordsize="21600,21600" o:gfxdata="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zptq1wAAAAkBAAAPAAAAAAAAAAEAIAAAACIAAABkcnMvZG93bnJldi54bWxQSwEC&#10;FAAUAAAACACHTuJAyINEW/UBAAAeBAAADgAAAAAAAAABACAAAAAmAQAAZHJzL2Uyb0RvYy54bWxQ&#10;SwUGAAAAAAYABgBZAQAAjQUAAAAA&#10;">
                <v:fill on="t" focussize="0,0"/>
                <v:stroke color="#FFFFFF" joinstyle="miter"/>
                <v:imagedata o:title=""/>
                <o:lock v:ext="edit" aspectratio="f"/>
              </v:rect>
            </w:pict>
          </mc:Fallback>
        </mc:AlternateContent>
      </w:r>
    </w:p>
    <w:tbl>
      <w:tblPr>
        <w:tblStyle w:val="4"/>
        <w:tblW w:w="9540" w:type="dxa"/>
        <w:tblInd w:w="97" w:type="dxa"/>
        <w:tblLayout w:type="fixed"/>
        <w:tblCellMar>
          <w:top w:w="0" w:type="dxa"/>
          <w:left w:w="108" w:type="dxa"/>
          <w:bottom w:w="0" w:type="dxa"/>
          <w:right w:w="108" w:type="dxa"/>
        </w:tblCellMar>
      </w:tblPr>
      <w:tblGrid>
        <w:gridCol w:w="9540"/>
      </w:tblGrid>
      <w:tr>
        <w:trPr>
          <w:trHeight w:val="465" w:hRule="atLeast"/>
        </w:trPr>
        <w:tc>
          <w:tcPr>
            <w:tcW w:w="9540" w:type="dxa"/>
            <w:tcBorders>
              <w:top w:val="single" w:color="auto" w:sz="4" w:space="0"/>
              <w:left w:val="nil"/>
              <w:bottom w:val="nil"/>
              <w:right w:val="nil"/>
            </w:tcBorders>
            <w:noWrap w:val="0"/>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tblPrEx>
          <w:tblCellMar>
            <w:top w:w="0" w:type="dxa"/>
            <w:left w:w="108" w:type="dxa"/>
            <w:bottom w:w="0" w:type="dxa"/>
            <w:right w:w="108" w:type="dxa"/>
          </w:tblCellMar>
        </w:tblPrEx>
        <w:trPr>
          <w:trHeight w:val="465" w:hRule="atLeast"/>
        </w:trPr>
        <w:tc>
          <w:tcPr>
            <w:tcW w:w="9540" w:type="dxa"/>
            <w:tcBorders>
              <w:top w:val="nil"/>
              <w:left w:val="nil"/>
              <w:bottom w:val="nil"/>
              <w:right w:val="nil"/>
            </w:tcBorders>
            <w:noWrap w:val="0"/>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 xml:space="preserve">    2.定性指标根据指标完成情况分为：达成预期指标、部分达成预期指标并具有一定效果、未达成预期指标且效果较差三档，分别按照该指标对应分值区间100-80%(含80%)、80-50%(含50%)、50-0%合理确定分值。</w:t>
            </w:r>
          </w:p>
        </w:tc>
      </w:tr>
      <w:tr>
        <w:tblPrEx>
          <w:tblCellMar>
            <w:top w:w="0" w:type="dxa"/>
            <w:left w:w="108" w:type="dxa"/>
            <w:bottom w:w="0" w:type="dxa"/>
            <w:right w:w="108" w:type="dxa"/>
          </w:tblCellMar>
        </w:tblPrEx>
        <w:trPr>
          <w:trHeight w:val="465" w:hRule="atLeast"/>
        </w:trPr>
        <w:tc>
          <w:tcPr>
            <w:tcW w:w="9540" w:type="dxa"/>
            <w:tcBorders>
              <w:top w:val="nil"/>
              <w:left w:val="nil"/>
              <w:bottom w:val="nil"/>
              <w:right w:val="nil"/>
            </w:tcBorders>
            <w:noWrap w:val="0"/>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 xml:space="preserve">    3.定量指标若为正向指标（即指标值为≥*），则得分计算方法应用全年实际值（B）/年度指标值（A）</w:t>
            </w:r>
            <w:r>
              <w:rPr>
                <w:rFonts w:ascii="Times New Roman" w:hAnsi="Times New Roman"/>
                <w:color w:val="000000"/>
                <w:kern w:val="0"/>
                <w:sz w:val="12"/>
                <w:szCs w:val="12"/>
              </w:rPr>
              <w:t>╳</w:t>
            </w:r>
            <w:r>
              <w:rPr>
                <w:rFonts w:ascii="Times New Roman" w:hAnsi="Times New Roman"/>
                <w:color w:val="000000"/>
                <w:kern w:val="0"/>
                <w:sz w:val="18"/>
                <w:szCs w:val="18"/>
              </w:rPr>
              <w:t>该指标分值；若定量指标为反向指标（即指标值为≤*），则得分计算方法应用年度指标值（A）/全年实际值（B）</w:t>
            </w:r>
            <w:r>
              <w:rPr>
                <w:rFonts w:ascii="Times New Roman" w:hAnsi="Times New Roman"/>
                <w:color w:val="000000"/>
                <w:kern w:val="0"/>
                <w:sz w:val="12"/>
                <w:szCs w:val="12"/>
              </w:rPr>
              <w:t>╳</w:t>
            </w:r>
            <w:r>
              <w:rPr>
                <w:rFonts w:ascii="Times New Roman" w:hAnsi="Times New Roman"/>
                <w:color w:val="000000"/>
                <w:kern w:val="0"/>
                <w:sz w:val="18"/>
                <w:szCs w:val="18"/>
              </w:rPr>
              <w:t>该指标分值。</w:t>
            </w:r>
          </w:p>
        </w:tc>
      </w:tr>
      <w:tr>
        <w:tblPrEx>
          <w:tblCellMar>
            <w:top w:w="0" w:type="dxa"/>
            <w:left w:w="108" w:type="dxa"/>
            <w:bottom w:w="0" w:type="dxa"/>
            <w:right w:w="108" w:type="dxa"/>
          </w:tblCellMar>
        </w:tblPrEx>
        <w:trPr>
          <w:trHeight w:val="210" w:hRule="atLeast"/>
        </w:trPr>
        <w:tc>
          <w:tcPr>
            <w:tcW w:w="9540" w:type="dxa"/>
            <w:tcBorders>
              <w:top w:val="nil"/>
              <w:left w:val="nil"/>
              <w:bottom w:val="nil"/>
              <w:right w:val="nil"/>
            </w:tcBorders>
            <w:noWrap/>
            <w:vAlign w:val="center"/>
          </w:tcPr>
          <w:p>
            <w:pPr>
              <w:widowControl/>
              <w:spacing w:line="400" w:lineRule="exact"/>
              <w:jc w:val="left"/>
              <w:rPr>
                <w:rFonts w:ascii="Times New Roman" w:hAnsi="Times New Roman"/>
                <w:color w:val="000000"/>
                <w:kern w:val="0"/>
                <w:sz w:val="18"/>
                <w:szCs w:val="18"/>
              </w:rPr>
            </w:pPr>
            <w:r>
              <w:rPr>
                <w:rFonts w:ascii="Times New Roman" w:hAnsi="Times New Roman"/>
                <w:color w:val="000000"/>
                <w:kern w:val="0"/>
                <w:sz w:val="18"/>
                <w:szCs w:val="18"/>
              </w:rPr>
              <w:t xml:space="preserve">    4.请在“</w:t>
            </w:r>
            <w:r>
              <w:rPr>
                <w:rFonts w:ascii="Times New Roman" w:hAnsi="Times New Roman"/>
                <w:kern w:val="0"/>
                <w:sz w:val="18"/>
                <w:szCs w:val="18"/>
              </w:rPr>
              <w:t>偏差原因分析及改进措施</w:t>
            </w:r>
            <w:r>
              <w:rPr>
                <w:rFonts w:ascii="Times New Roman" w:hAnsi="Times New Roman"/>
                <w:color w:val="000000"/>
                <w:kern w:val="0"/>
                <w:sz w:val="18"/>
                <w:szCs w:val="18"/>
              </w:rPr>
              <w:t>”中说明偏离目标、不能完成目标的原因及拟采取的措施。</w:t>
            </w:r>
          </w:p>
        </w:tc>
      </w:tr>
    </w:tbl>
    <w:p>
      <w:pPr>
        <w:widowControl/>
        <w:spacing w:line="400" w:lineRule="exact"/>
        <w:jc w:val="left"/>
        <w:rPr>
          <w:rFonts w:ascii="Times New Roman" w:hAnsi="Times New Roman"/>
          <w:color w:val="000000"/>
          <w:kern w:val="0"/>
          <w:sz w:val="18"/>
          <w:szCs w:val="18"/>
        </w:rPr>
      </w:pPr>
    </w:p>
    <w:p>
      <w:pPr>
        <w:rPr>
          <w:rFonts w:ascii="Times New Roman" w:hAnsi="Times New Roman"/>
        </w:rPr>
      </w:pPr>
    </w:p>
    <w:p>
      <w:pPr>
        <w:rPr>
          <w:rFonts w:ascii="Times New Roman" w:hAnsi="Times New Roman" w:eastAsia="黑体"/>
        </w:rPr>
        <w:sectPr>
          <w:pgSz w:w="11906" w:h="16838"/>
          <w:pgMar w:top="1587" w:right="1587" w:bottom="1587" w:left="1587" w:header="737" w:footer="850" w:gutter="0"/>
          <w:pgBorders>
            <w:top w:val="none" w:sz="0" w:space="0"/>
            <w:left w:val="none" w:sz="0" w:space="0"/>
            <w:bottom w:val="none" w:sz="0" w:space="0"/>
            <w:right w:val="none" w:sz="0" w:space="0"/>
          </w:pgBorders>
          <w:cols w:space="720" w:num="1"/>
          <w:docGrid w:type="lines" w:linePitch="408" w:charSpace="0"/>
        </w:sectPr>
      </w:pPr>
    </w:p>
    <w:p>
      <w:pPr>
        <w:pStyle w:val="6"/>
        <w:spacing w:line="510" w:lineRule="exact"/>
        <w:jc w:val="left"/>
        <w:rPr>
          <w:rFonts w:ascii="Times New Roman" w:hAnsi="Times New Roman" w:eastAsia="宋体"/>
          <w:bCs/>
          <w:color w:val="000000"/>
          <w:sz w:val="36"/>
          <w:szCs w:val="28"/>
        </w:rPr>
      </w:pPr>
      <w:r>
        <w:rPr>
          <w:rFonts w:hint="eastAsia" w:ascii="Times New Roman" w:hAnsi="Times New Roman" w:eastAsia="仿宋"/>
          <w:sz w:val="32"/>
          <w:szCs w:val="32"/>
          <w:lang w:eastAsia="zh-CN"/>
        </w:rPr>
        <w:t>附件</w:t>
      </w:r>
      <w:r>
        <w:rPr>
          <w:rFonts w:hint="eastAsia" w:ascii="Times New Roman" w:hAnsi="Times New Roman" w:eastAsia="仿宋"/>
          <w:sz w:val="32"/>
          <w:szCs w:val="32"/>
          <w:lang w:val="en-US" w:eastAsia="zh-CN"/>
        </w:rPr>
        <w:t>2</w:t>
      </w:r>
    </w:p>
    <w:p>
      <w:pPr>
        <w:pStyle w:val="2"/>
        <w:spacing w:before="0" w:after="0" w:line="240" w:lineRule="auto"/>
        <w:jc w:val="center"/>
        <w:rPr>
          <w:rFonts w:ascii="Times New Roman" w:hAnsi="Times New Roman" w:eastAsia="宋体"/>
          <w:bCs/>
          <w:color w:val="000000"/>
          <w:sz w:val="36"/>
          <w:szCs w:val="28"/>
        </w:rPr>
      </w:pPr>
      <w:r>
        <w:rPr>
          <w:rFonts w:ascii="Times New Roman" w:hAnsi="Times New Roman" w:eastAsia="宋体"/>
          <w:bCs/>
          <w:color w:val="000000"/>
          <w:sz w:val="36"/>
          <w:szCs w:val="28"/>
        </w:rPr>
        <w:t>项目支出绩效评价共性指标表</w:t>
      </w:r>
    </w:p>
    <w:tbl>
      <w:tblPr>
        <w:tblStyle w:val="4"/>
        <w:tblW w:w="125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2"/>
        <w:gridCol w:w="709"/>
        <w:gridCol w:w="1134"/>
        <w:gridCol w:w="567"/>
        <w:gridCol w:w="2835"/>
        <w:gridCol w:w="6096"/>
        <w:gridCol w:w="5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682" w:type="dxa"/>
            <w:shd w:val="clear" w:color="auto" w:fill="FFFFFF"/>
            <w:noWrap w:val="0"/>
            <w:vAlign w:val="center"/>
          </w:tcPr>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一级指标</w:t>
            </w:r>
          </w:p>
        </w:tc>
        <w:tc>
          <w:tcPr>
            <w:tcW w:w="709" w:type="dxa"/>
            <w:shd w:val="clear" w:color="auto" w:fill="FFFFFF"/>
            <w:noWrap w:val="0"/>
            <w:vAlign w:val="center"/>
          </w:tcPr>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二级指标</w:t>
            </w:r>
          </w:p>
        </w:tc>
        <w:tc>
          <w:tcPr>
            <w:tcW w:w="1134" w:type="dxa"/>
            <w:shd w:val="clear" w:color="auto" w:fill="FFFFFF"/>
            <w:noWrap w:val="0"/>
            <w:vAlign w:val="center"/>
          </w:tcPr>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三级指标</w:t>
            </w:r>
          </w:p>
        </w:tc>
        <w:tc>
          <w:tcPr>
            <w:tcW w:w="567" w:type="dxa"/>
            <w:shd w:val="clear" w:color="auto" w:fill="FFFFFF"/>
            <w:noWrap w:val="0"/>
            <w:vAlign w:val="top"/>
          </w:tcPr>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分</w:t>
            </w:r>
          </w:p>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值</w:t>
            </w:r>
          </w:p>
        </w:tc>
        <w:tc>
          <w:tcPr>
            <w:tcW w:w="2835" w:type="dxa"/>
            <w:shd w:val="clear" w:color="auto" w:fill="FFFFFF"/>
            <w:noWrap w:val="0"/>
            <w:vAlign w:val="center"/>
          </w:tcPr>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指标解释</w:t>
            </w:r>
          </w:p>
        </w:tc>
        <w:tc>
          <w:tcPr>
            <w:tcW w:w="6096" w:type="dxa"/>
            <w:shd w:val="clear" w:color="auto" w:fill="FFFFFF"/>
            <w:noWrap w:val="0"/>
            <w:vAlign w:val="center"/>
          </w:tcPr>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指标说明</w:t>
            </w:r>
          </w:p>
        </w:tc>
        <w:tc>
          <w:tcPr>
            <w:tcW w:w="566" w:type="dxa"/>
            <w:shd w:val="clear" w:color="auto" w:fill="FFFFFF"/>
            <w:noWrap w:val="0"/>
            <w:vAlign w:val="center"/>
          </w:tcPr>
          <w:p>
            <w:pPr>
              <w:widowControl/>
              <w:spacing w:line="0" w:lineRule="atLeast"/>
              <w:jc w:val="center"/>
              <w:rPr>
                <w:rFonts w:ascii="Times New Roman" w:hAnsi="Times New Roman"/>
                <w:b/>
                <w:bCs/>
                <w:color w:val="000000"/>
                <w:kern w:val="0"/>
                <w:sz w:val="22"/>
                <w:szCs w:val="22"/>
              </w:rPr>
            </w:pPr>
            <w:r>
              <w:rPr>
                <w:rFonts w:ascii="Times New Roman" w:hAnsi="Times New Roman"/>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682"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决策　</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　</w:t>
            </w:r>
          </w:p>
          <w:p>
            <w:pPr>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709"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项目立项　</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立项依据</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充分性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项目立项是否符合法律法规、相关政策、发展规划以及部门职责，用以反映和考核项目立项依据情况。</w:t>
            </w:r>
          </w:p>
        </w:tc>
        <w:tc>
          <w:tcPr>
            <w:tcW w:w="6096" w:type="dxa"/>
            <w:shd w:val="clear" w:color="auto" w:fill="FFFFFF"/>
            <w:noWrap w:val="0"/>
            <w:vAlign w:val="center"/>
          </w:tcPr>
          <w:p>
            <w:pPr>
              <w:widowControl/>
              <w:spacing w:line="0" w:lineRule="atLeast"/>
              <w:jc w:val="lef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①项目立项是否符合国家法律法规、国民经济发展规划和相关政策；</w:t>
            </w:r>
            <w:r>
              <w:rPr>
                <w:rFonts w:ascii="Times New Roman" w:hAnsi="Times New Roman"/>
                <w:color w:val="000000"/>
                <w:kern w:val="0"/>
                <w:sz w:val="22"/>
                <w:szCs w:val="22"/>
              </w:rPr>
              <w:br w:type="textWrapping"/>
            </w:r>
            <w:r>
              <w:rPr>
                <w:rFonts w:ascii="Times New Roman" w:hAnsi="Times New Roman"/>
                <w:color w:val="000000"/>
                <w:kern w:val="0"/>
                <w:sz w:val="22"/>
                <w:szCs w:val="22"/>
              </w:rPr>
              <w:t>②项目立项是否符合行业发展规划和政策要求；</w:t>
            </w:r>
            <w:r>
              <w:rPr>
                <w:rFonts w:ascii="Times New Roman" w:hAnsi="Times New Roman"/>
                <w:color w:val="000000"/>
                <w:kern w:val="0"/>
                <w:sz w:val="22"/>
                <w:szCs w:val="22"/>
              </w:rPr>
              <w:br w:type="textWrapping"/>
            </w:r>
            <w:r>
              <w:rPr>
                <w:rFonts w:ascii="Times New Roman" w:hAnsi="Times New Roman"/>
                <w:color w:val="000000"/>
                <w:kern w:val="0"/>
                <w:sz w:val="22"/>
                <w:szCs w:val="22"/>
              </w:rPr>
              <w:t>③项目立项是否与部门职责范围相符，属于部门履职所需；</w:t>
            </w:r>
            <w:r>
              <w:rPr>
                <w:rFonts w:ascii="Times New Roman" w:hAnsi="Times New Roman"/>
                <w:color w:val="000000"/>
                <w:kern w:val="0"/>
                <w:sz w:val="22"/>
                <w:szCs w:val="22"/>
              </w:rPr>
              <w:br w:type="textWrapping"/>
            </w:r>
            <w:r>
              <w:rPr>
                <w:rFonts w:ascii="Times New Roman" w:hAnsi="Times New Roman"/>
                <w:color w:val="000000"/>
                <w:kern w:val="0"/>
                <w:sz w:val="22"/>
                <w:szCs w:val="22"/>
              </w:rPr>
              <w:t>④项目是否属于公共财政支持范围，是否符合中央、地方事权支出责任划分原则；</w:t>
            </w:r>
            <w:r>
              <w:rPr>
                <w:rFonts w:ascii="Times New Roman" w:hAnsi="Times New Roman"/>
                <w:color w:val="000000"/>
                <w:kern w:val="0"/>
                <w:sz w:val="22"/>
                <w:szCs w:val="22"/>
              </w:rPr>
              <w:br w:type="textWrapping"/>
            </w:r>
            <w:r>
              <w:rPr>
                <w:rFonts w:ascii="Times New Roman" w:hAnsi="Times New Roman"/>
                <w:color w:val="000000"/>
                <w:kern w:val="0"/>
                <w:sz w:val="22"/>
                <w:szCs w:val="22"/>
              </w:rPr>
              <w:t>⑤项目是否与相关部门同类项目或部门内部相关项目重复。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0" w:hRule="atLeast"/>
          <w:jc w:val="center"/>
        </w:trPr>
        <w:tc>
          <w:tcPr>
            <w:tcW w:w="682" w:type="dxa"/>
            <w:vMerge w:val="continue"/>
            <w:shd w:val="clear" w:color="auto" w:fill="FFFFFF"/>
            <w:noWrap w:val="0"/>
            <w:vAlign w:val="center"/>
          </w:tcPr>
          <w:p>
            <w:pPr>
              <w:spacing w:line="0" w:lineRule="atLeast"/>
              <w:jc w:val="center"/>
              <w:rPr>
                <w:rFonts w:ascii="Times New Roman" w:hAnsi="Times New Roman"/>
                <w:color w:val="000000"/>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立项程序</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规范性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项目申请、设立过程是否符合相关要求，用以反映和考核项目立项的规范情况。</w:t>
            </w:r>
          </w:p>
        </w:tc>
        <w:tc>
          <w:tcPr>
            <w:tcW w:w="6096" w:type="dxa"/>
            <w:shd w:val="clear" w:color="auto" w:fill="FFFFFF"/>
            <w:noWrap w:val="0"/>
            <w:vAlign w:val="center"/>
          </w:tcPr>
          <w:p>
            <w:pPr>
              <w:widowControl/>
              <w:spacing w:line="0" w:lineRule="atLeast"/>
              <w:jc w:val="lef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①项目是否按照规定的程序申请设立；</w:t>
            </w:r>
            <w:r>
              <w:rPr>
                <w:rFonts w:ascii="Times New Roman" w:hAnsi="Times New Roman"/>
                <w:color w:val="000000"/>
                <w:kern w:val="0"/>
                <w:sz w:val="22"/>
                <w:szCs w:val="22"/>
              </w:rPr>
              <w:br w:type="textWrapping"/>
            </w:r>
            <w:r>
              <w:rPr>
                <w:rFonts w:ascii="Times New Roman" w:hAnsi="Times New Roman"/>
                <w:color w:val="000000"/>
                <w:kern w:val="0"/>
                <w:sz w:val="22"/>
                <w:szCs w:val="22"/>
              </w:rPr>
              <w:t>②审批文件、材料是否符合相关要求；</w:t>
            </w:r>
            <w:r>
              <w:rPr>
                <w:rFonts w:ascii="Times New Roman" w:hAnsi="Times New Roman"/>
                <w:color w:val="000000"/>
                <w:kern w:val="0"/>
                <w:sz w:val="22"/>
                <w:szCs w:val="22"/>
              </w:rPr>
              <w:br w:type="textWrapping"/>
            </w:r>
            <w:r>
              <w:rPr>
                <w:rFonts w:ascii="Times New Roman" w:hAnsi="Times New Roman"/>
                <w:color w:val="000000"/>
                <w:kern w:val="0"/>
                <w:sz w:val="22"/>
                <w:szCs w:val="22"/>
              </w:rPr>
              <w:t>③事前是否已经过必要的可行性研究、专家论证、风险评估、绩效评估、集体决策。</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9" w:hRule="atLeast"/>
          <w:jc w:val="center"/>
        </w:trPr>
        <w:tc>
          <w:tcPr>
            <w:tcW w:w="682" w:type="dxa"/>
            <w:vMerge w:val="continue"/>
            <w:shd w:val="clear" w:color="auto" w:fill="FFFFFF"/>
            <w:noWrap w:val="0"/>
            <w:vAlign w:val="center"/>
          </w:tcPr>
          <w:p>
            <w:pPr>
              <w:spacing w:line="0" w:lineRule="atLeast"/>
              <w:jc w:val="center"/>
              <w:rPr>
                <w:rFonts w:ascii="Times New Roman" w:hAnsi="Times New Roman"/>
                <w:color w:val="000000"/>
                <w:kern w:val="0"/>
                <w:sz w:val="22"/>
                <w:szCs w:val="22"/>
              </w:rPr>
            </w:pPr>
          </w:p>
        </w:tc>
        <w:tc>
          <w:tcPr>
            <w:tcW w:w="709"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绩效目标　</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绩效目标</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合理性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项目所设定的绩效目标是否依据充分，是否符合客观实际，用以反映和考核项目绩效目标与项目实施的相符情况。</w:t>
            </w:r>
          </w:p>
        </w:tc>
        <w:tc>
          <w:tcPr>
            <w:tcW w:w="6096" w:type="dxa"/>
            <w:shd w:val="clear" w:color="auto" w:fill="FFFFFF"/>
            <w:noWrap w:val="0"/>
            <w:vAlign w:val="center"/>
          </w:tcPr>
          <w:p>
            <w:pPr>
              <w:widowControl/>
              <w:spacing w:line="0" w:lineRule="atLeast"/>
              <w:jc w:val="lef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（如未设定预算绩效目标，也可考核其他工作任务目标）</w:t>
            </w:r>
            <w:r>
              <w:rPr>
                <w:rFonts w:ascii="Times New Roman" w:hAnsi="Times New Roman"/>
                <w:color w:val="000000"/>
                <w:kern w:val="0"/>
                <w:sz w:val="22"/>
                <w:szCs w:val="22"/>
              </w:rPr>
              <w:br w:type="textWrapping"/>
            </w:r>
            <w:r>
              <w:rPr>
                <w:rFonts w:ascii="Times New Roman" w:hAnsi="Times New Roman"/>
                <w:color w:val="000000"/>
                <w:kern w:val="0"/>
                <w:sz w:val="22"/>
                <w:szCs w:val="22"/>
              </w:rPr>
              <w:t>①项目是否有绩效目标；</w:t>
            </w:r>
            <w:r>
              <w:rPr>
                <w:rFonts w:ascii="Times New Roman" w:hAnsi="Times New Roman"/>
                <w:color w:val="000000"/>
                <w:kern w:val="0"/>
                <w:sz w:val="22"/>
                <w:szCs w:val="22"/>
              </w:rPr>
              <w:br w:type="textWrapping"/>
            </w:r>
            <w:r>
              <w:rPr>
                <w:rFonts w:ascii="Times New Roman" w:hAnsi="Times New Roman"/>
                <w:color w:val="000000"/>
                <w:kern w:val="0"/>
                <w:sz w:val="22"/>
                <w:szCs w:val="22"/>
              </w:rPr>
              <w:t>②项目绩效目标与实际工作内容是否具有相关性；</w:t>
            </w:r>
            <w:r>
              <w:rPr>
                <w:rFonts w:ascii="Times New Roman" w:hAnsi="Times New Roman"/>
                <w:color w:val="000000"/>
                <w:kern w:val="0"/>
                <w:sz w:val="22"/>
                <w:szCs w:val="22"/>
              </w:rPr>
              <w:br w:type="textWrapping"/>
            </w:r>
            <w:r>
              <w:rPr>
                <w:rFonts w:ascii="Times New Roman" w:hAnsi="Times New Roman"/>
                <w:color w:val="000000"/>
                <w:kern w:val="0"/>
                <w:sz w:val="22"/>
                <w:szCs w:val="22"/>
              </w:rPr>
              <w:t>③项目预期产出效益和效果是否符合正常的业绩水平；</w:t>
            </w:r>
          </w:p>
          <w:p>
            <w:pPr>
              <w:widowControl/>
              <w:spacing w:line="0" w:lineRule="atLeast"/>
              <w:jc w:val="left"/>
              <w:rPr>
                <w:rFonts w:ascii="Times New Roman" w:hAnsi="Times New Roman"/>
                <w:color w:val="000000"/>
                <w:kern w:val="0"/>
                <w:sz w:val="22"/>
                <w:szCs w:val="22"/>
              </w:rPr>
            </w:pPr>
            <w:r>
              <w:rPr>
                <w:rFonts w:ascii="Times New Roman" w:hAnsi="Times New Roman"/>
                <w:color w:val="000000"/>
                <w:kern w:val="0"/>
                <w:sz w:val="22"/>
                <w:szCs w:val="22"/>
              </w:rPr>
              <w:t>④是否与预算确定的项目投资额或资金量相匹配。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682"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决策　</w:t>
            </w:r>
          </w:p>
        </w:tc>
        <w:tc>
          <w:tcPr>
            <w:tcW w:w="709"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绩效目标</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绩效指标</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明确性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依据绩效目标设定的绩效指标是否清晰、细化、可衡量等，用以反映和考核项目绩效目标的明细化情况。</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①是否将项目绩效目标细化分解为具体的绩效指标；</w:t>
            </w:r>
            <w:r>
              <w:rPr>
                <w:rFonts w:ascii="Times New Roman" w:hAnsi="Times New Roman"/>
                <w:color w:val="000000"/>
                <w:kern w:val="0"/>
                <w:sz w:val="22"/>
                <w:szCs w:val="22"/>
              </w:rPr>
              <w:br w:type="textWrapping"/>
            </w:r>
            <w:r>
              <w:rPr>
                <w:rFonts w:ascii="Times New Roman" w:hAnsi="Times New Roman"/>
                <w:color w:val="000000"/>
                <w:kern w:val="0"/>
                <w:sz w:val="22"/>
                <w:szCs w:val="22"/>
              </w:rPr>
              <w:t>②是否通过清晰、可衡量的指标值予以体现；</w:t>
            </w:r>
            <w:r>
              <w:rPr>
                <w:rFonts w:ascii="Times New Roman" w:hAnsi="Times New Roman"/>
                <w:color w:val="000000"/>
                <w:kern w:val="0"/>
                <w:sz w:val="22"/>
                <w:szCs w:val="22"/>
              </w:rPr>
              <w:br w:type="textWrapping"/>
            </w:r>
            <w:r>
              <w:rPr>
                <w:rFonts w:ascii="Times New Roman" w:hAnsi="Times New Roman"/>
                <w:color w:val="000000"/>
                <w:kern w:val="0"/>
                <w:sz w:val="22"/>
                <w:szCs w:val="22"/>
              </w:rPr>
              <w:t>③是否与项目目标任务数或计划数相对应。</w:t>
            </w:r>
            <w:r>
              <w:rPr>
                <w:rFonts w:ascii="Times New Roman" w:hAnsi="Times New Roman"/>
                <w:color w:val="000000"/>
                <w:kern w:val="0"/>
                <w:sz w:val="22"/>
                <w:szCs w:val="22"/>
              </w:rPr>
              <w:br w:type="textWrapping"/>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682" w:type="dxa"/>
            <w:vMerge w:val="continue"/>
            <w:shd w:val="clear" w:color="auto" w:fill="FFFFFF"/>
            <w:noWrap w:val="0"/>
            <w:vAlign w:val="center"/>
          </w:tcPr>
          <w:p>
            <w:pPr>
              <w:spacing w:line="0" w:lineRule="atLeast"/>
              <w:jc w:val="center"/>
              <w:rPr>
                <w:rFonts w:ascii="Times New Roman" w:hAnsi="Times New Roman"/>
                <w:color w:val="000000"/>
                <w:kern w:val="0"/>
                <w:sz w:val="22"/>
                <w:szCs w:val="22"/>
              </w:rPr>
            </w:pPr>
          </w:p>
        </w:tc>
        <w:tc>
          <w:tcPr>
            <w:tcW w:w="709"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资金投入</w:t>
            </w:r>
          </w:p>
          <w:p>
            <w:pPr>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预算编制</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科学性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项目预算编制是否经过科学论证、有明确标准，资金额度与年度目标是否相适应，用以反映和考核项目预算编制的科学性、合理性情况。</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①预算编制是否经过科学论证；</w:t>
            </w:r>
            <w:r>
              <w:rPr>
                <w:rFonts w:ascii="Times New Roman" w:hAnsi="Times New Roman"/>
                <w:color w:val="000000"/>
                <w:kern w:val="0"/>
                <w:sz w:val="22"/>
                <w:szCs w:val="22"/>
              </w:rPr>
              <w:br w:type="textWrapping"/>
            </w:r>
            <w:r>
              <w:rPr>
                <w:rFonts w:ascii="Times New Roman" w:hAnsi="Times New Roman"/>
                <w:color w:val="000000"/>
                <w:kern w:val="0"/>
                <w:sz w:val="22"/>
                <w:szCs w:val="22"/>
              </w:rPr>
              <w:t>②预算内容与项目内容是否匹配；</w:t>
            </w:r>
            <w:r>
              <w:rPr>
                <w:rFonts w:ascii="Times New Roman" w:hAnsi="Times New Roman"/>
                <w:color w:val="000000"/>
                <w:kern w:val="0"/>
                <w:sz w:val="22"/>
                <w:szCs w:val="22"/>
              </w:rPr>
              <w:br w:type="textWrapping"/>
            </w:r>
            <w:r>
              <w:rPr>
                <w:rFonts w:ascii="Times New Roman" w:hAnsi="Times New Roman"/>
                <w:color w:val="000000"/>
                <w:kern w:val="0"/>
                <w:sz w:val="22"/>
                <w:szCs w:val="22"/>
              </w:rPr>
              <w:t>③预算额度测算依据是否充分，是否按照标准编制；</w:t>
            </w:r>
            <w:r>
              <w:rPr>
                <w:rFonts w:ascii="Times New Roman" w:hAnsi="Times New Roman"/>
                <w:color w:val="000000"/>
                <w:kern w:val="0"/>
                <w:sz w:val="22"/>
                <w:szCs w:val="22"/>
              </w:rPr>
              <w:br w:type="textWrapping"/>
            </w:r>
            <w:r>
              <w:rPr>
                <w:rFonts w:ascii="Times New Roman" w:hAnsi="Times New Roman"/>
                <w:color w:val="000000"/>
                <w:kern w:val="0"/>
                <w:sz w:val="22"/>
                <w:szCs w:val="22"/>
              </w:rPr>
              <w:t>④预算确定的项目投资额或资金量是否与工作任务相匹配。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682"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资金分配</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合理性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项目预算资金分配是否有测算依据，与补助单位或地方实际是否相适应，用以反映和考核项目预算资金分配的科学性、合理性情况。</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①预算资金分配依据是否充分；</w:t>
            </w:r>
            <w:r>
              <w:rPr>
                <w:rFonts w:ascii="Times New Roman" w:hAnsi="Times New Roman"/>
                <w:color w:val="000000"/>
                <w:kern w:val="0"/>
                <w:sz w:val="22"/>
                <w:szCs w:val="22"/>
              </w:rPr>
              <w:br w:type="textWrapping"/>
            </w:r>
            <w:r>
              <w:rPr>
                <w:rFonts w:ascii="Times New Roman" w:hAnsi="Times New Roman"/>
                <w:color w:val="000000"/>
                <w:kern w:val="0"/>
                <w:sz w:val="22"/>
                <w:szCs w:val="22"/>
              </w:rPr>
              <w:t>②资金分配额度是否合理，与项目单位或地方实际是否相适应。</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682" w:type="dxa"/>
            <w:vMerge w:val="restart"/>
            <w:shd w:val="clear" w:color="auto" w:fill="FFFFFF"/>
            <w:noWrap w:val="0"/>
            <w:vAlign w:val="center"/>
          </w:tcPr>
          <w:p>
            <w:pPr>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过程</w:t>
            </w:r>
          </w:p>
        </w:tc>
        <w:tc>
          <w:tcPr>
            <w:tcW w:w="709"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资金管理</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资金到位率</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实际到位资金与预算资金的比率，用以反映和考核资金落实情况对项目实施的总体保障程度。</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资金到位率=（实际到位资金/预算资金）×100%。</w:t>
            </w:r>
          </w:p>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实际到位资金：一定时期（本年度或项目期）内落实到具体项目的资金。</w:t>
            </w:r>
          </w:p>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预算资金：一定时期（本年度或项目期）内预算安排到具体项目的资金。</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682" w:type="dxa"/>
            <w:vMerge w:val="continue"/>
            <w:shd w:val="clear" w:color="auto" w:fill="FFFFFF"/>
            <w:noWrap w:val="0"/>
            <w:vAlign w:val="center"/>
          </w:tcPr>
          <w:p>
            <w:pPr>
              <w:spacing w:line="0" w:lineRule="atLeast"/>
              <w:jc w:val="center"/>
              <w:rPr>
                <w:rFonts w:ascii="Times New Roman" w:hAnsi="Times New Roman"/>
                <w:color w:val="000000"/>
                <w:kern w:val="0"/>
                <w:sz w:val="22"/>
                <w:szCs w:val="22"/>
              </w:rPr>
            </w:pPr>
          </w:p>
        </w:tc>
        <w:tc>
          <w:tcPr>
            <w:tcW w:w="709" w:type="dxa"/>
            <w:vMerge w:val="continue"/>
            <w:shd w:val="clear" w:color="auto" w:fill="FFFFFF"/>
            <w:noWrap w:val="0"/>
            <w:vAlign w:val="center"/>
          </w:tcPr>
          <w:p>
            <w:pPr>
              <w:spacing w:line="0" w:lineRule="atLeast"/>
              <w:jc w:val="center"/>
              <w:rPr>
                <w:rFonts w:ascii="Times New Roman" w:hAnsi="Times New Roman"/>
                <w:color w:val="000000"/>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预算执行率</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项目预算资金是否按照计划执行，用以反映或考核项目预算执行情况。</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预算执行率=（实际支出资金/实际到位资金）×100%。</w:t>
            </w:r>
            <w:r>
              <w:rPr>
                <w:rFonts w:ascii="Times New Roman" w:hAnsi="Times New Roman"/>
                <w:color w:val="000000"/>
                <w:kern w:val="0"/>
                <w:sz w:val="22"/>
                <w:szCs w:val="22"/>
              </w:rPr>
              <w:br w:type="textWrapping"/>
            </w:r>
            <w:r>
              <w:rPr>
                <w:rFonts w:ascii="Times New Roman" w:hAnsi="Times New Roman"/>
                <w:color w:val="000000"/>
                <w:kern w:val="0"/>
                <w:sz w:val="22"/>
                <w:szCs w:val="22"/>
              </w:rPr>
              <w:t>实际支出资金：一定时期（本年度或项目期）内项目实际拨付的资金。</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682"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　</w:t>
            </w:r>
          </w:p>
          <w:p>
            <w:pPr>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过程　</w:t>
            </w:r>
          </w:p>
        </w:tc>
        <w:tc>
          <w:tcPr>
            <w:tcW w:w="709"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资金管理</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资金使用</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合规性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项目资金使用是否符合相关的财务管理制度规定，用以反映和考核项目资金的规范运行情况。</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①是否符合国家财经法规和财务管理制度以及有关专项资金管理办法的规定；</w:t>
            </w:r>
            <w:r>
              <w:rPr>
                <w:rFonts w:ascii="Times New Roman" w:hAnsi="Times New Roman"/>
                <w:color w:val="000000"/>
                <w:kern w:val="0"/>
                <w:sz w:val="22"/>
                <w:szCs w:val="22"/>
              </w:rPr>
              <w:br w:type="textWrapping"/>
            </w:r>
            <w:r>
              <w:rPr>
                <w:rFonts w:ascii="Times New Roman" w:hAnsi="Times New Roman"/>
                <w:color w:val="000000"/>
                <w:kern w:val="0"/>
                <w:sz w:val="22"/>
                <w:szCs w:val="22"/>
              </w:rPr>
              <w:t>②资金的拨付是否有完整的审批程序和手续；</w:t>
            </w:r>
            <w:r>
              <w:rPr>
                <w:rFonts w:ascii="Times New Roman" w:hAnsi="Times New Roman"/>
                <w:color w:val="000000"/>
                <w:kern w:val="0"/>
                <w:sz w:val="22"/>
                <w:szCs w:val="22"/>
              </w:rPr>
              <w:br w:type="textWrapping"/>
            </w:r>
            <w:r>
              <w:rPr>
                <w:rFonts w:ascii="Times New Roman" w:hAnsi="Times New Roman"/>
                <w:color w:val="000000"/>
                <w:kern w:val="0"/>
                <w:sz w:val="22"/>
                <w:szCs w:val="22"/>
              </w:rPr>
              <w:t>③是否符合项目预算批复或合同规定的用途；</w:t>
            </w:r>
            <w:r>
              <w:rPr>
                <w:rFonts w:ascii="Times New Roman" w:hAnsi="Times New Roman"/>
                <w:color w:val="000000"/>
                <w:kern w:val="0"/>
                <w:sz w:val="22"/>
                <w:szCs w:val="22"/>
              </w:rPr>
              <w:br w:type="textWrapping"/>
            </w:r>
            <w:r>
              <w:rPr>
                <w:rFonts w:ascii="Times New Roman" w:hAnsi="Times New Roman"/>
                <w:color w:val="000000"/>
                <w:kern w:val="0"/>
                <w:sz w:val="22"/>
                <w:szCs w:val="22"/>
              </w:rPr>
              <w:t>④是否存在截留、挤占、挪用、虚列支出等情况。</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682" w:type="dxa"/>
            <w:vMerge w:val="continue"/>
            <w:shd w:val="clear" w:color="auto" w:fill="FFFFFF"/>
            <w:noWrap w:val="0"/>
            <w:vAlign w:val="center"/>
          </w:tcPr>
          <w:p>
            <w:pPr>
              <w:spacing w:line="0" w:lineRule="atLeast"/>
              <w:jc w:val="center"/>
              <w:rPr>
                <w:rFonts w:ascii="Times New Roman" w:hAnsi="Times New Roman"/>
                <w:color w:val="000000"/>
                <w:kern w:val="0"/>
                <w:sz w:val="22"/>
                <w:szCs w:val="22"/>
              </w:rPr>
            </w:pPr>
          </w:p>
        </w:tc>
        <w:tc>
          <w:tcPr>
            <w:tcW w:w="709"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组织实施</w:t>
            </w:r>
          </w:p>
          <w:p>
            <w:pPr>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　</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管理制度</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健全性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项目实施单位的财务和业务管理制度是否健全，用以反映和考核财务和业务管理制度对项目顺利实施的保障情况。</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①是否已制定或具有相应的财务和业务管理制度；</w:t>
            </w:r>
            <w:r>
              <w:rPr>
                <w:rFonts w:ascii="Times New Roman" w:hAnsi="Times New Roman"/>
                <w:color w:val="000000"/>
                <w:kern w:val="0"/>
                <w:sz w:val="22"/>
                <w:szCs w:val="22"/>
              </w:rPr>
              <w:br w:type="textWrapping"/>
            </w:r>
            <w:r>
              <w:rPr>
                <w:rFonts w:ascii="Times New Roman" w:hAnsi="Times New Roman"/>
                <w:color w:val="000000"/>
                <w:kern w:val="0"/>
                <w:sz w:val="22"/>
                <w:szCs w:val="22"/>
              </w:rPr>
              <w:t>②财务和业务管理制度是否合法、合规、完整。</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682"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制度执行</w:t>
            </w:r>
          </w:p>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有效性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项目实施是否符合相关管理规定，用以反映和考核相关管理制度的有效执行情况。</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评价要点：</w:t>
            </w:r>
            <w:r>
              <w:rPr>
                <w:rFonts w:ascii="Times New Roman" w:hAnsi="Times New Roman"/>
                <w:color w:val="000000"/>
                <w:kern w:val="0"/>
                <w:sz w:val="22"/>
                <w:szCs w:val="22"/>
              </w:rPr>
              <w:br w:type="textWrapping"/>
            </w:r>
            <w:r>
              <w:rPr>
                <w:rFonts w:ascii="Times New Roman" w:hAnsi="Times New Roman"/>
                <w:color w:val="000000"/>
                <w:kern w:val="0"/>
                <w:sz w:val="22"/>
                <w:szCs w:val="22"/>
              </w:rPr>
              <w:t>①是否遵守相关法律法规和相关管理规定；</w:t>
            </w:r>
            <w:r>
              <w:rPr>
                <w:rFonts w:ascii="Times New Roman" w:hAnsi="Times New Roman"/>
                <w:color w:val="000000"/>
                <w:kern w:val="0"/>
                <w:sz w:val="22"/>
                <w:szCs w:val="22"/>
              </w:rPr>
              <w:br w:type="textWrapping"/>
            </w:r>
            <w:r>
              <w:rPr>
                <w:rFonts w:ascii="Times New Roman" w:hAnsi="Times New Roman"/>
                <w:color w:val="000000"/>
                <w:kern w:val="0"/>
                <w:sz w:val="22"/>
                <w:szCs w:val="22"/>
              </w:rPr>
              <w:t>②项目调整及支出调整手续是否完备；</w:t>
            </w:r>
            <w:r>
              <w:rPr>
                <w:rFonts w:ascii="Times New Roman" w:hAnsi="Times New Roman"/>
                <w:color w:val="000000"/>
                <w:kern w:val="0"/>
                <w:sz w:val="22"/>
                <w:szCs w:val="22"/>
              </w:rPr>
              <w:br w:type="textWrapping"/>
            </w:r>
            <w:r>
              <w:rPr>
                <w:rFonts w:ascii="Times New Roman" w:hAnsi="Times New Roman"/>
                <w:color w:val="000000"/>
                <w:kern w:val="0"/>
                <w:sz w:val="22"/>
                <w:szCs w:val="22"/>
              </w:rPr>
              <w:t>③项目合同书、验收报告、技术鉴定等资料是否齐全并及时归档；</w:t>
            </w:r>
            <w:r>
              <w:rPr>
                <w:rFonts w:ascii="Times New Roman" w:hAnsi="Times New Roman"/>
                <w:color w:val="000000"/>
                <w:kern w:val="0"/>
                <w:sz w:val="22"/>
                <w:szCs w:val="22"/>
              </w:rPr>
              <w:br w:type="textWrapping"/>
            </w:r>
            <w:r>
              <w:rPr>
                <w:rFonts w:ascii="Times New Roman" w:hAnsi="Times New Roman"/>
                <w:color w:val="000000"/>
                <w:kern w:val="0"/>
                <w:sz w:val="22"/>
                <w:szCs w:val="22"/>
              </w:rPr>
              <w:t>④项目实施的人员条件、场地设备、信息支撑等是否落实到位。</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682"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产出</w:t>
            </w:r>
          </w:p>
        </w:tc>
        <w:tc>
          <w:tcPr>
            <w:tcW w:w="709"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产出数量</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实际完成率</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项目实施的实际产出数与计划产出数的比率，用以反映和考核项目产出数量目标的实现程度。</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实际完成率=（实际产出数/计划产出数）×100%。</w:t>
            </w:r>
            <w:r>
              <w:rPr>
                <w:rFonts w:ascii="Times New Roman" w:hAnsi="Times New Roman"/>
                <w:color w:val="000000"/>
                <w:kern w:val="0"/>
                <w:sz w:val="22"/>
                <w:szCs w:val="22"/>
              </w:rPr>
              <w:br w:type="textWrapping"/>
            </w:r>
            <w:r>
              <w:rPr>
                <w:rFonts w:ascii="Times New Roman" w:hAnsi="Times New Roman"/>
                <w:color w:val="000000"/>
                <w:kern w:val="0"/>
                <w:sz w:val="22"/>
                <w:szCs w:val="22"/>
              </w:rPr>
              <w:t>实际产出数：一定时期（本年度或项目期）内项目实际产出的产品或提供的服务数量。</w:t>
            </w:r>
            <w:r>
              <w:rPr>
                <w:rFonts w:ascii="Times New Roman" w:hAnsi="Times New Roman"/>
                <w:color w:val="000000"/>
                <w:kern w:val="0"/>
                <w:sz w:val="22"/>
                <w:szCs w:val="22"/>
              </w:rPr>
              <w:br w:type="textWrapping"/>
            </w:r>
            <w:r>
              <w:rPr>
                <w:rFonts w:ascii="Times New Roman" w:hAnsi="Times New Roman"/>
                <w:color w:val="000000"/>
                <w:kern w:val="0"/>
                <w:sz w:val="22"/>
                <w:szCs w:val="22"/>
              </w:rPr>
              <w:t>计划产出数：项目绩效目标确定的在一定时期（本年度或项目期）内计划产出的产品或提供的服务数量。</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682"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产出</w:t>
            </w:r>
          </w:p>
        </w:tc>
        <w:tc>
          <w:tcPr>
            <w:tcW w:w="709"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产出质量</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质量达标率</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项目完成的质量达标产出数与实际产出数的比率，用以反映和考核项目产出质量目标的实现程度。</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质量达标率=（质量达标产出数/实际产出数）×100%。</w:t>
            </w:r>
          </w:p>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682" w:type="dxa"/>
            <w:vMerge w:val="continue"/>
            <w:shd w:val="clear" w:color="auto" w:fill="FFFFFF"/>
            <w:noWrap w:val="0"/>
            <w:vAlign w:val="center"/>
          </w:tcPr>
          <w:p>
            <w:pPr>
              <w:spacing w:line="0" w:lineRule="atLeast"/>
              <w:jc w:val="center"/>
              <w:rPr>
                <w:rFonts w:ascii="Times New Roman" w:hAnsi="Times New Roman"/>
                <w:color w:val="000000"/>
                <w:kern w:val="0"/>
                <w:sz w:val="22"/>
                <w:szCs w:val="22"/>
              </w:rPr>
            </w:pPr>
          </w:p>
        </w:tc>
        <w:tc>
          <w:tcPr>
            <w:tcW w:w="709" w:type="dxa"/>
            <w:shd w:val="clear" w:color="auto" w:fill="FFFFFF"/>
            <w:noWrap w:val="0"/>
            <w:vAlign w:val="center"/>
          </w:tcPr>
          <w:p>
            <w:pPr>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产出时效</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完成及时性</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项目实际完成时间与计划完成时间的比较，用以反映和考核项目产出时效目标的实现程度。</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实际完成时间：项目实施单位完成该项目实际所耗用的时间。</w:t>
            </w:r>
            <w:r>
              <w:rPr>
                <w:rFonts w:ascii="Times New Roman" w:hAnsi="Times New Roman"/>
                <w:color w:val="000000"/>
                <w:kern w:val="0"/>
                <w:sz w:val="22"/>
                <w:szCs w:val="22"/>
              </w:rPr>
              <w:br w:type="textWrapping"/>
            </w:r>
            <w:r>
              <w:rPr>
                <w:rFonts w:ascii="Times New Roman" w:hAnsi="Times New Roman"/>
                <w:color w:val="000000"/>
                <w:kern w:val="0"/>
                <w:sz w:val="22"/>
                <w:szCs w:val="22"/>
              </w:rPr>
              <w:t>计划完成时间：按照项目实施计划或相关规定完成该项目所需的时间。</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4" w:hRule="atLeast"/>
          <w:jc w:val="center"/>
        </w:trPr>
        <w:tc>
          <w:tcPr>
            <w:tcW w:w="682"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709"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产出成本</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成本节约率</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完成项目计划工作目标的实际节约成本与计划成本的比率，用以反映和考核项目的成本节约程度。</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br w:type="textWrapping"/>
            </w:r>
            <w:r>
              <w:rPr>
                <w:rFonts w:ascii="Times New Roman" w:hAnsi="Times New Roman"/>
                <w:color w:val="000000"/>
                <w:kern w:val="0"/>
                <w:sz w:val="22"/>
                <w:szCs w:val="22"/>
              </w:rPr>
              <w:t>成本节约率=[（计划成本-实际成本）/计划成本]×100%。</w:t>
            </w:r>
            <w:r>
              <w:rPr>
                <w:rFonts w:ascii="Times New Roman" w:hAnsi="Times New Roman"/>
                <w:color w:val="000000"/>
                <w:kern w:val="0"/>
                <w:sz w:val="22"/>
                <w:szCs w:val="22"/>
              </w:rPr>
              <w:br w:type="textWrapping"/>
            </w:r>
            <w:r>
              <w:rPr>
                <w:rFonts w:ascii="Times New Roman" w:hAnsi="Times New Roman"/>
                <w:color w:val="000000"/>
                <w:kern w:val="0"/>
                <w:sz w:val="22"/>
                <w:szCs w:val="22"/>
              </w:rPr>
              <w:t>实际成本：项目实施单位如期、保质、保量完成既定工作目标实际所耗费的支出。</w:t>
            </w:r>
            <w:r>
              <w:rPr>
                <w:rFonts w:ascii="Times New Roman" w:hAnsi="Times New Roman"/>
                <w:color w:val="000000"/>
                <w:kern w:val="0"/>
                <w:sz w:val="22"/>
                <w:szCs w:val="22"/>
              </w:rPr>
              <w:br w:type="textWrapping"/>
            </w:r>
            <w:r>
              <w:rPr>
                <w:rFonts w:ascii="Times New Roman" w:hAnsi="Times New Roman"/>
                <w:color w:val="000000"/>
                <w:kern w:val="0"/>
                <w:sz w:val="22"/>
                <w:szCs w:val="22"/>
              </w:rPr>
              <w:t>计划成本：项目实施单位为完成工作目标计划安排的支出，一般以项目预算为参考。</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3" w:hRule="atLeast"/>
          <w:jc w:val="center"/>
        </w:trPr>
        <w:tc>
          <w:tcPr>
            <w:tcW w:w="682"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效益　</w:t>
            </w:r>
          </w:p>
        </w:tc>
        <w:tc>
          <w:tcPr>
            <w:tcW w:w="709" w:type="dxa"/>
            <w:vMerge w:val="restart"/>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项目效益　</w:t>
            </w: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实施效益</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2835" w:type="dxa"/>
            <w:shd w:val="clear" w:color="auto" w:fill="FFFFFF"/>
            <w:noWrap w:val="0"/>
            <w:vAlign w:val="center"/>
          </w:tcPr>
          <w:p>
            <w:pPr>
              <w:widowControl/>
              <w:spacing w:line="0" w:lineRule="atLeast"/>
              <w:jc w:val="left"/>
              <w:rPr>
                <w:rFonts w:ascii="Times New Roman" w:hAnsi="Times New Roman"/>
                <w:color w:val="000000"/>
                <w:kern w:val="0"/>
                <w:sz w:val="22"/>
                <w:szCs w:val="22"/>
              </w:rPr>
            </w:pPr>
            <w:r>
              <w:rPr>
                <w:rFonts w:ascii="Times New Roman" w:hAnsi="Times New Roman"/>
                <w:color w:val="000000"/>
                <w:kern w:val="0"/>
                <w:sz w:val="22"/>
                <w:szCs w:val="22"/>
              </w:rPr>
              <w:t>项目实施所产生的效益。</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项目实施所产生的社会效益、经济效益、生态效益、可持续影响等。可根据项目实际情况有选择地设置和细化。</w:t>
            </w:r>
          </w:p>
        </w:tc>
        <w:tc>
          <w:tcPr>
            <w:tcW w:w="566" w:type="dxa"/>
            <w:shd w:val="clear" w:color="auto" w:fill="FFFFFF"/>
            <w:noWrap w:val="0"/>
            <w:vAlign w:val="center"/>
          </w:tcPr>
          <w:p>
            <w:pPr>
              <w:widowControl/>
              <w:spacing w:line="0" w:lineRule="atLeast"/>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9" w:hRule="atLeast"/>
          <w:jc w:val="center"/>
        </w:trPr>
        <w:tc>
          <w:tcPr>
            <w:tcW w:w="682"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709" w:type="dxa"/>
            <w:vMerge w:val="continue"/>
            <w:shd w:val="clear" w:color="auto" w:fill="FFFFFF"/>
            <w:noWrap w:val="0"/>
            <w:vAlign w:val="center"/>
          </w:tcPr>
          <w:p>
            <w:pPr>
              <w:widowControl/>
              <w:spacing w:line="0" w:lineRule="atLeast"/>
              <w:jc w:val="center"/>
              <w:rPr>
                <w:rFonts w:ascii="Times New Roman" w:hAnsi="Times New Roman"/>
                <w:color w:val="000000"/>
                <w:kern w:val="0"/>
                <w:sz w:val="22"/>
                <w:szCs w:val="22"/>
              </w:rPr>
            </w:pPr>
          </w:p>
        </w:tc>
        <w:tc>
          <w:tcPr>
            <w:tcW w:w="1134"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满意度</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社会公众或服务对象对项目实施效果的满意程度。</w:t>
            </w: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r>
              <w:rPr>
                <w:rFonts w:ascii="Times New Roman" w:hAnsi="Times New Roman"/>
                <w:color w:val="000000"/>
                <w:kern w:val="0"/>
                <w:sz w:val="22"/>
                <w:szCs w:val="22"/>
              </w:rPr>
              <w:t>社会公众或服务对象是指因该项目实施而受到影响的部门（单位）、群体或个人。一般采取社会调查的方式。</w:t>
            </w:r>
          </w:p>
        </w:tc>
        <w:tc>
          <w:tcPr>
            <w:tcW w:w="566" w:type="dxa"/>
            <w:shd w:val="clear" w:color="auto" w:fill="FFFFFF"/>
            <w:noWrap w:val="0"/>
            <w:vAlign w:val="center"/>
          </w:tcPr>
          <w:p>
            <w:pPr>
              <w:widowControl/>
              <w:spacing w:line="0" w:lineRule="atLeast"/>
              <w:jc w:val="center"/>
              <w:rPr>
                <w:rFonts w:hint="eastAsia"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jc w:val="center"/>
        </w:trPr>
        <w:tc>
          <w:tcPr>
            <w:tcW w:w="2525" w:type="dxa"/>
            <w:gridSpan w:val="3"/>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总分</w:t>
            </w:r>
          </w:p>
        </w:tc>
        <w:tc>
          <w:tcPr>
            <w:tcW w:w="567" w:type="dxa"/>
            <w:shd w:val="clear" w:color="auto" w:fill="FFFFFF"/>
            <w:noWrap w:val="0"/>
            <w:vAlign w:val="center"/>
          </w:tcPr>
          <w:p>
            <w:pPr>
              <w:widowControl/>
              <w:spacing w:line="0" w:lineRule="atLeast"/>
              <w:jc w:val="center"/>
              <w:rPr>
                <w:rFonts w:ascii="Times New Roman" w:hAnsi="Times New Roman"/>
                <w:color w:val="000000"/>
                <w:kern w:val="0"/>
                <w:sz w:val="22"/>
                <w:szCs w:val="22"/>
              </w:rPr>
            </w:pPr>
            <w:r>
              <w:rPr>
                <w:rFonts w:ascii="Times New Roman" w:hAnsi="Times New Roman"/>
                <w:color w:val="000000"/>
                <w:kern w:val="0"/>
                <w:sz w:val="22"/>
                <w:szCs w:val="22"/>
              </w:rPr>
              <w:t>100</w:t>
            </w:r>
          </w:p>
        </w:tc>
        <w:tc>
          <w:tcPr>
            <w:tcW w:w="2835" w:type="dxa"/>
            <w:shd w:val="clear" w:color="auto" w:fill="FFFFFF"/>
            <w:noWrap w:val="0"/>
            <w:vAlign w:val="center"/>
          </w:tcPr>
          <w:p>
            <w:pPr>
              <w:widowControl/>
              <w:spacing w:line="0" w:lineRule="atLeast"/>
              <w:rPr>
                <w:rFonts w:ascii="Times New Roman" w:hAnsi="Times New Roman"/>
                <w:color w:val="000000"/>
                <w:kern w:val="0"/>
                <w:sz w:val="22"/>
                <w:szCs w:val="22"/>
              </w:rPr>
            </w:pPr>
          </w:p>
        </w:tc>
        <w:tc>
          <w:tcPr>
            <w:tcW w:w="6096" w:type="dxa"/>
            <w:shd w:val="clear" w:color="auto" w:fill="FFFFFF"/>
            <w:noWrap w:val="0"/>
            <w:vAlign w:val="center"/>
          </w:tcPr>
          <w:p>
            <w:pPr>
              <w:widowControl/>
              <w:spacing w:line="0" w:lineRule="atLeast"/>
              <w:rPr>
                <w:rFonts w:ascii="Times New Roman" w:hAnsi="Times New Roman"/>
                <w:color w:val="000000"/>
                <w:kern w:val="0"/>
                <w:sz w:val="22"/>
                <w:szCs w:val="22"/>
              </w:rPr>
            </w:pPr>
          </w:p>
        </w:tc>
        <w:tc>
          <w:tcPr>
            <w:tcW w:w="566" w:type="dxa"/>
            <w:shd w:val="clear" w:color="auto" w:fill="FFFFFF"/>
            <w:noWrap w:val="0"/>
            <w:vAlign w:val="center"/>
          </w:tcPr>
          <w:p>
            <w:pPr>
              <w:widowControl/>
              <w:spacing w:line="0" w:lineRule="atLeast"/>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95</w:t>
            </w:r>
          </w:p>
        </w:tc>
      </w:tr>
    </w:tbl>
    <w:p>
      <w:pPr>
        <w:spacing w:line="560" w:lineRule="exact"/>
        <w:ind w:firstLine="200" w:firstLineChars="100"/>
        <w:rPr>
          <w:rFonts w:ascii="Times New Roman" w:hAnsi="Times New Roman"/>
          <w:bCs/>
          <w:sz w:val="32"/>
          <w:szCs w:val="32"/>
        </w:rPr>
        <w:sectPr>
          <w:pgSz w:w="16838" w:h="11906" w:orient="landscape"/>
          <w:pgMar w:top="1531" w:right="1928" w:bottom="1531" w:left="1701" w:header="737" w:footer="851" w:gutter="0"/>
          <w:pgBorders>
            <w:top w:val="none" w:sz="0" w:space="0"/>
            <w:left w:val="none" w:sz="0" w:space="0"/>
            <w:bottom w:val="none" w:sz="0" w:space="0"/>
            <w:right w:val="none" w:sz="0" w:space="0"/>
          </w:pgBorders>
          <w:cols w:space="720" w:num="1"/>
          <w:docGrid w:type="lines" w:linePitch="408" w:charSpace="0"/>
        </w:sectPr>
      </w:pPr>
      <w:r>
        <w:rPr>
          <w:rFonts w:ascii="Times New Roman" w:hAnsi="Times New Roman" w:eastAsia="仿宋_GB2312"/>
          <w:sz w:val="20"/>
          <w:szCs w:val="20"/>
        </w:rPr>
        <w:t>注：单位可以根据专项资金的管理要求和绩效要求增设个性</w:t>
      </w:r>
    </w:p>
    <w:p/>
    <w:sectPr>
      <w:pgSz w:w="11906" w:h="16838"/>
      <w:pgMar w:top="1474" w:right="1474" w:bottom="1474" w:left="1474" w:header="851" w:footer="1361" w:gutter="0"/>
      <w:pgBorders>
        <w:top w:val="none" w:sz="0" w:space="0"/>
        <w:left w:val="none" w:sz="0" w:space="0"/>
        <w:bottom w:val="none" w:sz="0" w:space="0"/>
        <w:right w:val="none" w:sz="0" w:space="0"/>
      </w:pgBorders>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51365"/>
    <w:multiLevelType w:val="singleLevel"/>
    <w:tmpl w:val="C355136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A605D"/>
    <w:rsid w:val="02E900CD"/>
    <w:rsid w:val="02F07D6E"/>
    <w:rsid w:val="02F538B4"/>
    <w:rsid w:val="02F7119E"/>
    <w:rsid w:val="05F06560"/>
    <w:rsid w:val="05FA6744"/>
    <w:rsid w:val="06340D4A"/>
    <w:rsid w:val="09687719"/>
    <w:rsid w:val="0AE16AFA"/>
    <w:rsid w:val="0B3B3B71"/>
    <w:rsid w:val="0B515B64"/>
    <w:rsid w:val="0B870BE2"/>
    <w:rsid w:val="0D2A4B54"/>
    <w:rsid w:val="0D3414EF"/>
    <w:rsid w:val="0DF71EED"/>
    <w:rsid w:val="0F4E2158"/>
    <w:rsid w:val="0FD91CA5"/>
    <w:rsid w:val="112118DC"/>
    <w:rsid w:val="11C10772"/>
    <w:rsid w:val="12034B82"/>
    <w:rsid w:val="15A22591"/>
    <w:rsid w:val="15CB0611"/>
    <w:rsid w:val="15D25429"/>
    <w:rsid w:val="160D1321"/>
    <w:rsid w:val="1669593A"/>
    <w:rsid w:val="168D214C"/>
    <w:rsid w:val="17DF6E98"/>
    <w:rsid w:val="17E329C9"/>
    <w:rsid w:val="183E11BF"/>
    <w:rsid w:val="19312FE7"/>
    <w:rsid w:val="194B643A"/>
    <w:rsid w:val="19612214"/>
    <w:rsid w:val="198C2121"/>
    <w:rsid w:val="1B647280"/>
    <w:rsid w:val="1BAB5E54"/>
    <w:rsid w:val="1C132E5F"/>
    <w:rsid w:val="1C850553"/>
    <w:rsid w:val="1D4A1DDA"/>
    <w:rsid w:val="1DAA2018"/>
    <w:rsid w:val="1DF53FB0"/>
    <w:rsid w:val="1E0E5161"/>
    <w:rsid w:val="1F8A0B3D"/>
    <w:rsid w:val="21B446F2"/>
    <w:rsid w:val="224610B7"/>
    <w:rsid w:val="24183135"/>
    <w:rsid w:val="2865143C"/>
    <w:rsid w:val="28E6590B"/>
    <w:rsid w:val="2B8A5867"/>
    <w:rsid w:val="2D3A2D3D"/>
    <w:rsid w:val="2D741D41"/>
    <w:rsid w:val="2DA77001"/>
    <w:rsid w:val="2E2C509C"/>
    <w:rsid w:val="2EB51D25"/>
    <w:rsid w:val="2F9104AB"/>
    <w:rsid w:val="3062218E"/>
    <w:rsid w:val="30F212D1"/>
    <w:rsid w:val="311327C3"/>
    <w:rsid w:val="32886C09"/>
    <w:rsid w:val="328D78F1"/>
    <w:rsid w:val="32A912E6"/>
    <w:rsid w:val="340F7A9C"/>
    <w:rsid w:val="34631312"/>
    <w:rsid w:val="34D546FF"/>
    <w:rsid w:val="35365B95"/>
    <w:rsid w:val="356763A2"/>
    <w:rsid w:val="35B30064"/>
    <w:rsid w:val="35FF4488"/>
    <w:rsid w:val="365D42E5"/>
    <w:rsid w:val="366E5874"/>
    <w:rsid w:val="374B7982"/>
    <w:rsid w:val="37832D51"/>
    <w:rsid w:val="3839615A"/>
    <w:rsid w:val="39866B4B"/>
    <w:rsid w:val="3B5E3C36"/>
    <w:rsid w:val="3B725BE4"/>
    <w:rsid w:val="3B767CB2"/>
    <w:rsid w:val="3C240EDC"/>
    <w:rsid w:val="3C843FB3"/>
    <w:rsid w:val="3CAD1ADF"/>
    <w:rsid w:val="3D09725E"/>
    <w:rsid w:val="3DB55372"/>
    <w:rsid w:val="3E980FBC"/>
    <w:rsid w:val="40923C0A"/>
    <w:rsid w:val="40A075B6"/>
    <w:rsid w:val="41926158"/>
    <w:rsid w:val="41943C51"/>
    <w:rsid w:val="41B431A9"/>
    <w:rsid w:val="41D81FB1"/>
    <w:rsid w:val="42F469D8"/>
    <w:rsid w:val="44AF1D77"/>
    <w:rsid w:val="44C72FF6"/>
    <w:rsid w:val="4560468F"/>
    <w:rsid w:val="45A83672"/>
    <w:rsid w:val="46D2736D"/>
    <w:rsid w:val="47FD401C"/>
    <w:rsid w:val="49B85F67"/>
    <w:rsid w:val="49BC4D94"/>
    <w:rsid w:val="4AF06B56"/>
    <w:rsid w:val="4BEC0C79"/>
    <w:rsid w:val="4C1A048F"/>
    <w:rsid w:val="4C493C9F"/>
    <w:rsid w:val="4D983A60"/>
    <w:rsid w:val="4E9F638C"/>
    <w:rsid w:val="4F3148CE"/>
    <w:rsid w:val="501D3C1B"/>
    <w:rsid w:val="517A605D"/>
    <w:rsid w:val="52443758"/>
    <w:rsid w:val="525A73AA"/>
    <w:rsid w:val="52DA7BA2"/>
    <w:rsid w:val="53CB437E"/>
    <w:rsid w:val="54875D0A"/>
    <w:rsid w:val="565B1C36"/>
    <w:rsid w:val="56C65DFF"/>
    <w:rsid w:val="57063C3C"/>
    <w:rsid w:val="59040874"/>
    <w:rsid w:val="5C8E6342"/>
    <w:rsid w:val="5DE92274"/>
    <w:rsid w:val="607C6D03"/>
    <w:rsid w:val="61150708"/>
    <w:rsid w:val="62DF6284"/>
    <w:rsid w:val="636544F3"/>
    <w:rsid w:val="63FE1C35"/>
    <w:rsid w:val="64F7617F"/>
    <w:rsid w:val="652D386B"/>
    <w:rsid w:val="65A44359"/>
    <w:rsid w:val="65C01ADA"/>
    <w:rsid w:val="67B5433B"/>
    <w:rsid w:val="67E60A45"/>
    <w:rsid w:val="686A478C"/>
    <w:rsid w:val="690911F8"/>
    <w:rsid w:val="693E0210"/>
    <w:rsid w:val="69885E5C"/>
    <w:rsid w:val="6A951277"/>
    <w:rsid w:val="6B011B5C"/>
    <w:rsid w:val="6B13502A"/>
    <w:rsid w:val="6B62385E"/>
    <w:rsid w:val="6B9A1EC8"/>
    <w:rsid w:val="6DE54B3A"/>
    <w:rsid w:val="6E963BCC"/>
    <w:rsid w:val="6F0933DB"/>
    <w:rsid w:val="6FA66B21"/>
    <w:rsid w:val="70297E25"/>
    <w:rsid w:val="70CA4F93"/>
    <w:rsid w:val="70DE0D89"/>
    <w:rsid w:val="70E767FB"/>
    <w:rsid w:val="71527C4D"/>
    <w:rsid w:val="72564EA3"/>
    <w:rsid w:val="72AF795C"/>
    <w:rsid w:val="73CE4DB7"/>
    <w:rsid w:val="748C6C66"/>
    <w:rsid w:val="75057DED"/>
    <w:rsid w:val="75527208"/>
    <w:rsid w:val="7599720B"/>
    <w:rsid w:val="75B54501"/>
    <w:rsid w:val="75D11BD3"/>
    <w:rsid w:val="75F249F8"/>
    <w:rsid w:val="76514288"/>
    <w:rsid w:val="7AE93446"/>
    <w:rsid w:val="7B095541"/>
    <w:rsid w:val="7B47369F"/>
    <w:rsid w:val="7DF9331B"/>
    <w:rsid w:val="7F300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19"/>
      <w:jc w:val="left"/>
    </w:pPr>
    <w:rPr>
      <w:rFonts w:ascii="宋体" w:hAnsi="宋体" w:cs="宋体"/>
      <w:kern w:val="0"/>
      <w:sz w:val="24"/>
    </w:rPr>
  </w:style>
  <w:style w:type="paragraph" w:styleId="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
    <w:name w:val="15"/>
    <w:basedOn w:val="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2021-07-12T08:06:00Z</dcterms:created>
  <dc:creator>错错错愛</dc:creator>
  <cp:lastModifiedBy>错错错愛</cp:lastModifiedBy>
  <dcterms:modified xsi:type="dcterms:W3CDTF">2021-08-02T09:15:59Z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D0175C9A4C6245FA81A4471B997BD504</vt:lpwstr>
  </property>
</Properties>
</file>