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7"/>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污水生态化处理系统维护管理</w:t>
      </w:r>
    </w:p>
    <w:p>
      <w:pPr>
        <w:pStyle w:val="7"/>
        <w:spacing w:line="510" w:lineRule="exact"/>
        <w:jc w:val="center"/>
        <w:rPr>
          <w:rFonts w:ascii="Times New Roman" w:hAnsi="Times New Roman" w:eastAsia="黑体"/>
          <w:sz w:val="44"/>
          <w:szCs w:val="44"/>
        </w:rPr>
      </w:pP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bookmarkStart w:id="0" w:name="_GoBack"/>
      <w:bookmarkEnd w:id="0"/>
      <w:r>
        <w:rPr>
          <w:rFonts w:ascii="Times New Roman" w:hAnsi="Times New Roman" w:eastAsia="黑体"/>
          <w:sz w:val="44"/>
          <w:szCs w:val="44"/>
        </w:rPr>
        <w:t>报告</w:t>
      </w:r>
    </w:p>
    <w:p>
      <w:pPr>
        <w:pStyle w:val="7"/>
        <w:spacing w:line="510" w:lineRule="exact"/>
        <w:jc w:val="center"/>
        <w:rPr>
          <w:rFonts w:ascii="Times New Roman" w:hAnsi="Times New Roman" w:eastAsia="黑体"/>
          <w:sz w:val="44"/>
          <w:szCs w:val="44"/>
        </w:rPr>
      </w:pP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（一）项目概况。</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项目背景</w:t>
      </w:r>
      <w:r>
        <w:rPr>
          <w:rFonts w:hint="eastAsia" w:ascii="Times New Roman" w:hAnsi="Times New Roman" w:eastAsia="仿宋"/>
          <w:sz w:val="32"/>
          <w:szCs w:val="32"/>
          <w:lang w:val="en-US" w:eastAsia="zh-CN"/>
        </w:rPr>
        <w:t>：目前县城已交付我局进行维护和管理的污水生态化模块共计32个，由县财政评审中心核定，2013年政府采购编号：XZFCG2013139，所定金额：9.5万元，维护合同一年一签</w:t>
      </w:r>
      <w:r>
        <w:rPr>
          <w:rFonts w:hint="eastAsia" w:ascii="Times New Roman" w:hAnsi="Times New Roman" w:eastAsia="仿宋"/>
          <w:sz w:val="32"/>
          <w:szCs w:val="32"/>
          <w:lang w:eastAsia="zh-CN"/>
        </w:rPr>
        <w:t>。</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rPr>
        <w:t>主要内容及实施情况</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1、</w:t>
      </w:r>
      <w:r>
        <w:rPr>
          <w:rFonts w:hint="eastAsia" w:ascii="Times New Roman" w:hAnsi="Times New Roman" w:eastAsia="仿宋"/>
          <w:sz w:val="32"/>
          <w:szCs w:val="32"/>
          <w:lang w:eastAsia="zh-CN"/>
        </w:rPr>
        <w:t>对动力设备进行维护管理，保证正常运行；</w:t>
      </w:r>
      <w:r>
        <w:rPr>
          <w:rFonts w:hint="eastAsia" w:ascii="Times New Roman" w:hAnsi="Times New Roman" w:eastAsia="仿宋"/>
          <w:sz w:val="32"/>
          <w:szCs w:val="32"/>
          <w:lang w:val="en-US" w:eastAsia="zh-CN"/>
        </w:rPr>
        <w:t>2、每三个月对生态模块的绿化进行修枝整形，模块内垃圾、杂草的清除，冬季对美人蕉的砍伐清理及必要维护；3、每6个月对污泥池进行清理，并对格栅拦进行人工清渣；4、定期添加污水处理生物填料；5、及时处理生态模块运行的各种突发事件。</w:t>
      </w:r>
    </w:p>
    <w:p>
      <w:pPr>
        <w:pStyle w:val="7"/>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rPr>
        <w:t>资金投入和使用情况</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2020年模块维护费已支付9.5万元，确保了模块维护养护工作正常有序的进行</w:t>
      </w:r>
      <w:r>
        <w:rPr>
          <w:rFonts w:hint="eastAsia" w:ascii="Times New Roman" w:hAnsi="Times New Roman" w:eastAsia="仿宋"/>
          <w:sz w:val="32"/>
          <w:szCs w:val="32"/>
        </w:rPr>
        <w:t>。</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（二）</w:t>
      </w:r>
      <w:r>
        <w:rPr>
          <w:rFonts w:ascii="Times New Roman" w:hAnsi="Times New Roman" w:eastAsia="仿宋"/>
          <w:sz w:val="32"/>
          <w:szCs w:val="32"/>
        </w:rPr>
        <w:t>项目绩效目标。</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rPr>
        <w:t>总体目标</w:t>
      </w:r>
      <w:r>
        <w:rPr>
          <w:rFonts w:hint="eastAsia" w:ascii="Times New Roman" w:hAnsi="Times New Roman" w:eastAsia="仿宋"/>
          <w:sz w:val="32"/>
          <w:szCs w:val="32"/>
          <w:lang w:eastAsia="zh-CN"/>
        </w:rPr>
        <w:t>：确收集的污水及时有效的得到处理，且模块的绿化有美化环境的作用。</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阶段性目标</w:t>
      </w:r>
      <w:r>
        <w:rPr>
          <w:rFonts w:hint="eastAsia" w:ascii="Times New Roman" w:hAnsi="Times New Roman" w:eastAsia="仿宋"/>
          <w:sz w:val="32"/>
          <w:szCs w:val="32"/>
          <w:lang w:eastAsia="zh-CN"/>
        </w:rPr>
        <w:t>：完成合同规定的所有内容，并且得到实施，所有出现的突发事件能及时有效的得到处理。</w:t>
      </w:r>
    </w:p>
    <w:p>
      <w:pPr>
        <w:pStyle w:val="7"/>
        <w:spacing w:line="510" w:lineRule="exact"/>
        <w:ind w:firstLine="643" w:firstLineChars="200"/>
        <w:rPr>
          <w:rFonts w:ascii="Times New Roman" w:hAnsi="Times New Roman" w:eastAsia="仿宋"/>
          <w:sz w:val="32"/>
          <w:szCs w:val="32"/>
        </w:rPr>
      </w:pPr>
      <w:r>
        <w:rPr>
          <w:rFonts w:ascii="Times New Roman" w:hAnsi="Times New Roman" w:eastAsia="楷体"/>
          <w:b/>
          <w:sz w:val="32"/>
          <w:szCs w:val="32"/>
        </w:rPr>
        <w:t>二、绩效评价工作开展情况</w:t>
      </w:r>
    </w:p>
    <w:p>
      <w:pPr>
        <w:pStyle w:val="7"/>
        <w:spacing w:line="51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（一）绩效评价目的、对象和范围</w:t>
      </w:r>
      <w:r>
        <w:rPr>
          <w:rFonts w:hint="eastAsia" w:ascii="Times New Roman" w:hAnsi="Times New Roman" w:eastAsia="仿宋"/>
          <w:sz w:val="32"/>
          <w:szCs w:val="32"/>
          <w:lang w:eastAsia="zh-CN"/>
        </w:rPr>
        <w:t>。</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通过对污水生态化模块的维护保养，确保县城污水能及时有效得到处理并保证排放达标，减少环境污染，创造美好宜居环境，吸引招商投资，最大限度发挥模块维护费的经济效益。</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（二）绩效评价原则、评价指标体系（附表说明）、评价方法、评价标准等。</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绩效</w:t>
      </w:r>
      <w:r>
        <w:rPr>
          <w:rFonts w:hint="eastAsia" w:ascii="Times New Roman" w:hAnsi="Times New Roman" w:eastAsia="仿宋"/>
          <w:sz w:val="32"/>
          <w:szCs w:val="32"/>
        </w:rPr>
        <w:t>评价原则</w:t>
      </w:r>
      <w:r>
        <w:rPr>
          <w:rFonts w:hint="eastAsia" w:ascii="Times New Roman" w:hAnsi="Times New Roman" w:eastAsia="仿宋"/>
          <w:sz w:val="32"/>
          <w:szCs w:val="32"/>
          <w:lang w:eastAsia="zh-CN"/>
        </w:rPr>
        <w:t>：公开、公平、公正</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评价指标体系、评价方法、评价标准：见附件</w:t>
      </w:r>
      <w:r>
        <w:rPr>
          <w:rFonts w:hint="eastAsia" w:ascii="Times New Roman" w:hAnsi="Times New Roman" w:eastAsia="仿宋"/>
          <w:sz w:val="32"/>
          <w:szCs w:val="32"/>
          <w:lang w:val="en-US" w:eastAsia="zh-CN"/>
        </w:rPr>
        <w:t>1，附件2</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（三）绩效评价工作过程。</w:t>
      </w:r>
    </w:p>
    <w:p>
      <w:pPr>
        <w:pStyle w:val="7"/>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根据县财政局绩效评价股对</w:t>
      </w:r>
      <w:r>
        <w:rPr>
          <w:rFonts w:hint="eastAsia" w:ascii="Times New Roman" w:hAnsi="Times New Roman" w:eastAsia="仿宋"/>
          <w:sz w:val="32"/>
          <w:szCs w:val="32"/>
          <w:lang w:eastAsia="zh-CN"/>
        </w:rPr>
        <w:t>县城市管理行政执法大队</w:t>
      </w:r>
      <w:r>
        <w:rPr>
          <w:rFonts w:hint="eastAsia" w:ascii="Times New Roman" w:hAnsi="Times New Roman" w:eastAsia="仿宋"/>
          <w:sz w:val="32"/>
          <w:szCs w:val="32"/>
        </w:rPr>
        <w:t>下达了绩效评价通知，制定了对该项目的绩效评价工作方案。评价过程中听取了企业负责人的情况介绍，翻阅了相关资料，了解经费的拨付和发放流程，侧重调查资金发放的真实性、公平性。具体工作过程</w:t>
      </w:r>
      <w:r>
        <w:rPr>
          <w:rFonts w:hint="eastAsia" w:ascii="Times New Roman" w:hAnsi="Times New Roman" w:eastAsia="仿宋"/>
          <w:sz w:val="32"/>
          <w:szCs w:val="32"/>
          <w:lang w:eastAsia="zh-CN"/>
        </w:rPr>
        <w:t>如下</w:t>
      </w:r>
      <w:r>
        <w:rPr>
          <w:rFonts w:hint="eastAsia" w:ascii="Times New Roman" w:hAnsi="Times New Roman" w:eastAsia="仿宋"/>
          <w:sz w:val="32"/>
          <w:szCs w:val="32"/>
        </w:rPr>
        <w:t>：</w:t>
      </w:r>
    </w:p>
    <w:p>
      <w:pPr>
        <w:pStyle w:val="7"/>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检查资料。通过对各种资料的查阅，了解该项资金是否及时拨付到位。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sz w:val="32"/>
          <w:szCs w:val="32"/>
        </w:rPr>
      </w:pPr>
      <w:r>
        <w:rPr>
          <w:rFonts w:hint="eastAsia" w:ascii="Times New Roman" w:hAnsi="Times New Roman" w:eastAsia="仿宋" w:cs="Times New Roman"/>
          <w:kern w:val="2"/>
          <w:sz w:val="32"/>
          <w:szCs w:val="32"/>
          <w:lang w:val="en-US" w:eastAsia="zh-CN" w:bidi="ar-SA"/>
        </w:rPr>
        <w:t>2.座谈交流。</w:t>
      </w:r>
    </w:p>
    <w:p>
      <w:pPr>
        <w:pStyle w:val="7"/>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eastAsia="zh-CN"/>
        </w:rPr>
        <w:t>发放宣传资料，形成知法、懂法、依法运营的良好氛围。深入了解县城污水生态化处理模块维护资金的真实性、及时性、公平性，听取他们对这项资金提出的意见和建议。</w:t>
      </w:r>
    </w:p>
    <w:p>
      <w:pPr>
        <w:pStyle w:val="7"/>
        <w:spacing w:line="510" w:lineRule="exact"/>
        <w:ind w:firstLine="643" w:firstLineChars="200"/>
        <w:rPr>
          <w:rFonts w:ascii="Times New Roman" w:hAnsi="Times New Roman" w:eastAsia="楷体"/>
          <w:b/>
          <w:bCs w:val="0"/>
          <w:sz w:val="32"/>
          <w:szCs w:val="32"/>
        </w:rPr>
      </w:pPr>
      <w:r>
        <w:rPr>
          <w:rFonts w:ascii="Times New Roman" w:hAnsi="Times New Roman" w:eastAsia="楷体"/>
          <w:b/>
          <w:bCs w:val="0"/>
          <w:sz w:val="32"/>
          <w:szCs w:val="32"/>
        </w:rPr>
        <w:t>三、综合评价情况及评价结论（附相关评分表）</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rPr>
        <w:t>通过自我评价，认为</w:t>
      </w:r>
      <w:r>
        <w:rPr>
          <w:rFonts w:hint="eastAsia" w:ascii="Times New Roman" w:hAnsi="Times New Roman" w:eastAsia="仿宋"/>
          <w:sz w:val="32"/>
          <w:szCs w:val="32"/>
          <w:lang w:val="en-US" w:eastAsia="zh-CN"/>
        </w:rPr>
        <w:t>2020</w:t>
      </w:r>
      <w:r>
        <w:rPr>
          <w:rFonts w:hint="eastAsia" w:ascii="Times New Roman" w:hAnsi="Times New Roman" w:eastAsia="仿宋"/>
          <w:sz w:val="32"/>
          <w:szCs w:val="32"/>
        </w:rPr>
        <w:t>年建</w:t>
      </w:r>
      <w:r>
        <w:rPr>
          <w:rFonts w:hint="eastAsia" w:ascii="Times New Roman" w:hAnsi="Times New Roman" w:eastAsia="仿宋"/>
          <w:sz w:val="32"/>
          <w:szCs w:val="32"/>
          <w:lang w:eastAsia="zh-CN"/>
        </w:rPr>
        <w:t>县城污水生态化处理模块维护</w:t>
      </w:r>
      <w:r>
        <w:rPr>
          <w:rFonts w:hint="eastAsia" w:ascii="Times New Roman" w:hAnsi="Times New Roman" w:eastAsia="仿宋"/>
          <w:sz w:val="32"/>
          <w:szCs w:val="32"/>
        </w:rPr>
        <w:t>资金的申报、发放材料规范齐全、评审程序公平公正，</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Times New Roman" w:hAnsi="Times New Roman" w:eastAsia="仿宋"/>
          <w:sz w:val="32"/>
          <w:szCs w:val="32"/>
        </w:rPr>
        <w:t>（县财政直接把资金拨付给了企业</w:t>
      </w:r>
      <w:r>
        <w:rPr>
          <w:rFonts w:hint="eastAsia" w:ascii="Times New Roman" w:hAnsi="Times New Roman" w:eastAsia="仿宋"/>
          <w:sz w:val="32"/>
          <w:szCs w:val="32"/>
          <w:lang w:eastAsia="zh-CN"/>
        </w:rPr>
        <w:t>及村委会</w:t>
      </w:r>
      <w:r>
        <w:rPr>
          <w:rFonts w:hint="eastAsia" w:ascii="Times New Roman" w:hAnsi="Times New Roman" w:eastAsia="仿宋"/>
          <w:sz w:val="32"/>
          <w:szCs w:val="32"/>
        </w:rPr>
        <w:t>）</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本项目经费支出综合绩效评价得分：99分，结果为优。</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7"/>
        <w:spacing w:line="51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（一）项目决策情况</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《城市市容和环境卫生管理条例》和“四城同创”指标要求：保持环境卫生清洁，按照规定设置环境卫生设施，保持完好、整洁。</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（二）项目过程情况。</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及时有效收集处理县城生活污水。</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（三）项目产出情况。</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县城环境卫生干净整洁。</w:t>
      </w:r>
    </w:p>
    <w:p>
      <w:pPr>
        <w:pStyle w:val="7"/>
        <w:spacing w:line="51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（四）项目效益情况。</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为广大市民提供了优美舒适的生活环境，国家级“四城同创”各项检查如期通过。</w:t>
      </w:r>
    </w:p>
    <w:p>
      <w:pPr>
        <w:pStyle w:val="7"/>
        <w:numPr>
          <w:ilvl w:val="0"/>
          <w:numId w:val="1"/>
        </w:numPr>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主要经验及做法、存在的问题及原因分析</w:t>
      </w:r>
    </w:p>
    <w:p>
      <w:pPr>
        <w:pStyle w:val="7"/>
        <w:numPr>
          <w:ilvl w:val="0"/>
          <w:numId w:val="0"/>
        </w:numPr>
        <w:spacing w:line="510" w:lineRule="exact"/>
        <w:ind w:firstLine="640" w:firstLineChars="200"/>
        <w:rPr>
          <w:rFonts w:ascii="Times New Roman" w:hAnsi="Times New Roman" w:eastAsia="楷体"/>
          <w:b/>
          <w:sz w:val="32"/>
          <w:szCs w:val="32"/>
        </w:rPr>
      </w:pPr>
      <w:r>
        <w:rPr>
          <w:rFonts w:hint="eastAsia" w:ascii="Times New Roman" w:hAnsi="Times New Roman" w:eastAsia="仿宋"/>
          <w:sz w:val="32"/>
          <w:szCs w:val="32"/>
        </w:rPr>
        <w:t>中方县城市管理行政执法大队对2020年县财政下拨的</w:t>
      </w:r>
      <w:r>
        <w:rPr>
          <w:rFonts w:hint="eastAsia" w:ascii="Times New Roman" w:hAnsi="Times New Roman" w:eastAsia="仿宋"/>
          <w:sz w:val="32"/>
          <w:szCs w:val="32"/>
          <w:lang w:eastAsia="zh-CN"/>
        </w:rPr>
        <w:t>污水生态化模块维护</w:t>
      </w:r>
      <w:r>
        <w:rPr>
          <w:rFonts w:hint="eastAsia" w:ascii="Times New Roman" w:hAnsi="Times New Roman" w:eastAsia="仿宋"/>
          <w:sz w:val="32"/>
          <w:szCs w:val="32"/>
        </w:rPr>
        <w:t>资金管理规范，合理开支，保证了资金使用到位，提高资金使用效率，达到了美化县城环境，改善县城生态环境的预期目标及有关要求，社会、经济效益显著，群众满意率达到95%以上</w:t>
      </w:r>
      <w:r>
        <w:rPr>
          <w:rFonts w:hint="eastAsia" w:ascii="仿宋" w:hAnsi="仿宋" w:eastAsia="仿宋" w:cs="仿宋"/>
          <w:color w:val="auto"/>
          <w:sz w:val="32"/>
          <w:szCs w:val="32"/>
          <w:lang w:eastAsia="zh-CN"/>
        </w:rPr>
        <w:t>。</w:t>
      </w:r>
    </w:p>
    <w:p>
      <w:pPr>
        <w:pStyle w:val="7"/>
        <w:numPr>
          <w:ilvl w:val="0"/>
          <w:numId w:val="1"/>
        </w:numPr>
        <w:spacing w:line="510" w:lineRule="exact"/>
        <w:ind w:left="0" w:leftChars="0" w:firstLine="643" w:firstLineChars="200"/>
        <w:rPr>
          <w:rFonts w:ascii="Times New Roman" w:hAnsi="Times New Roman" w:eastAsia="楷体"/>
          <w:b/>
          <w:sz w:val="32"/>
          <w:szCs w:val="32"/>
        </w:rPr>
      </w:pPr>
      <w:r>
        <w:rPr>
          <w:rFonts w:ascii="Times New Roman" w:hAnsi="Times New Roman" w:eastAsia="楷体"/>
          <w:b/>
          <w:sz w:val="32"/>
          <w:szCs w:val="32"/>
        </w:rPr>
        <w:t>有关建议</w:t>
      </w:r>
    </w:p>
    <w:p>
      <w:pPr>
        <w:pStyle w:val="7"/>
        <w:numPr>
          <w:ilvl w:val="0"/>
          <w:numId w:val="0"/>
        </w:numPr>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随着物价指数和人工工资的增长，建议随之合理增加2020年</w:t>
      </w:r>
      <w:r>
        <w:rPr>
          <w:rFonts w:hint="eastAsia" w:ascii="Times New Roman" w:hAnsi="Times New Roman" w:eastAsia="仿宋"/>
          <w:sz w:val="32"/>
          <w:szCs w:val="32"/>
          <w:lang w:eastAsia="zh-CN"/>
        </w:rPr>
        <w:t>污水生态化模块维护管理</w:t>
      </w:r>
      <w:r>
        <w:rPr>
          <w:rFonts w:hint="eastAsia" w:ascii="Times New Roman" w:hAnsi="Times New Roman" w:eastAsia="仿宋"/>
          <w:sz w:val="32"/>
          <w:szCs w:val="32"/>
        </w:rPr>
        <w:t>经费。</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七、其他需要说明的问题</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hint="eastAsia" w:ascii="Times New Roman" w:hAnsi="Times New Roman" w:eastAsia="仿宋"/>
          <w:sz w:val="32"/>
          <w:szCs w:val="32"/>
          <w:lang w:eastAsia="zh-CN"/>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污水生态化处理系统维护管理</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渣土办</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9.5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9.5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9.5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维护模块数量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32</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排放标准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eastAsia="zh-CN"/>
              </w:rPr>
              <w:t>一级</w:t>
            </w:r>
            <w:r>
              <w:rPr>
                <w:rFonts w:hint="eastAsia" w:ascii="Times New Roman" w:hAnsi="Times New Roman"/>
                <w:kern w:val="0"/>
                <w:sz w:val="18"/>
                <w:szCs w:val="18"/>
                <w:lang w:val="en-US" w:eastAsia="zh-CN"/>
              </w:rPr>
              <w:t>B</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eastAsia="zh-CN"/>
              </w:rPr>
              <w:t>一级</w:t>
            </w:r>
            <w:r>
              <w:rPr>
                <w:rFonts w:hint="eastAsia" w:ascii="Times New Roman" w:hAnsi="Times New Roman"/>
                <w:kern w:val="0"/>
                <w:sz w:val="18"/>
                <w:szCs w:val="18"/>
                <w:lang w:val="en-US" w:eastAsia="zh-CN"/>
              </w:rPr>
              <w:t>B</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2020年排放达标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政府采购</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9.5万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9.5万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完善县城市政设施，吸引投资商投资</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提升城市形象，打造宜居环境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排放达标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无环境污染</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因县城居民往模块内倾倒生活垃圾，影响市容环境</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指标1：</w:t>
            </w:r>
            <w:r>
              <w:rPr>
                <w:rFonts w:hint="eastAsia" w:ascii="Times New Roman" w:hAnsi="Times New Roman"/>
                <w:color w:val="000000"/>
                <w:kern w:val="0"/>
                <w:sz w:val="18"/>
                <w:szCs w:val="18"/>
                <w:lang w:eastAsia="zh-CN"/>
              </w:rPr>
              <w:t>满意</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7"/>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98</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注：单位可以根据专项资金的管理要求和绩效要求增设个性指标。</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518DD"/>
    <w:multiLevelType w:val="singleLevel"/>
    <w:tmpl w:val="656518D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01341CE"/>
    <w:rsid w:val="02E94E89"/>
    <w:rsid w:val="0C9F1262"/>
    <w:rsid w:val="0E82510F"/>
    <w:rsid w:val="1C2E0BB8"/>
    <w:rsid w:val="1D803E37"/>
    <w:rsid w:val="21B446F2"/>
    <w:rsid w:val="22CA2E72"/>
    <w:rsid w:val="22EA79E6"/>
    <w:rsid w:val="241C4E86"/>
    <w:rsid w:val="31454392"/>
    <w:rsid w:val="35936D1A"/>
    <w:rsid w:val="36880EB4"/>
    <w:rsid w:val="3F497F99"/>
    <w:rsid w:val="3FCD0978"/>
    <w:rsid w:val="41367367"/>
    <w:rsid w:val="517A605D"/>
    <w:rsid w:val="529D4CFD"/>
    <w:rsid w:val="55D97AF8"/>
    <w:rsid w:val="5CDC3434"/>
    <w:rsid w:val="5CE11D66"/>
    <w:rsid w:val="636A1FA8"/>
    <w:rsid w:val="70DE0D89"/>
    <w:rsid w:val="77CA52FF"/>
    <w:rsid w:val="77CB263A"/>
    <w:rsid w:val="7A2A6EFA"/>
    <w:rsid w:val="7C7C1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jc w:val="left"/>
    </w:pPr>
    <w:rPr>
      <w:rFonts w:ascii="微软雅黑" w:hAnsi="微软雅黑" w:eastAsia="微软雅黑"/>
      <w:color w:val="4C4C4C"/>
      <w:kern w:val="0"/>
      <w:szCs w:val="21"/>
    </w:rPr>
  </w:style>
  <w:style w:type="character" w:styleId="6">
    <w:name w:val="Strong"/>
    <w:basedOn w:val="5"/>
    <w:qFormat/>
    <w:uiPriority w:val="99"/>
    <w:rPr>
      <w:rFonts w:cs="Times New Roman"/>
      <w:b/>
    </w:rPr>
  </w:style>
  <w:style w:type="paragraph" w:styleId="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dcterms:modified xsi:type="dcterms:W3CDTF">2021-08-02T09:47:03Z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