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pStyle w:val="8"/>
        <w:spacing w:line="510" w:lineRule="exact"/>
        <w:jc w:val="center"/>
        <w:rPr>
          <w:rFonts w:hint="eastAsia" w:ascii="Times New Roman" w:hAnsi="Times New Roman" w:eastAsia="黑体"/>
          <w:sz w:val="44"/>
          <w:szCs w:val="44"/>
          <w:lang w:val="en-US" w:eastAsia="zh-CN"/>
        </w:rPr>
      </w:pPr>
      <w:r>
        <w:rPr>
          <w:rFonts w:hint="eastAsia" w:ascii="Times New Roman" w:hAnsi="Times New Roman" w:eastAsia="黑体"/>
          <w:sz w:val="44"/>
          <w:szCs w:val="44"/>
          <w:lang w:val="en-US" w:eastAsia="zh-CN"/>
        </w:rPr>
        <w:t>“两违”防控整治工作经费</w:t>
      </w:r>
    </w:p>
    <w:p>
      <w:pPr>
        <w:pStyle w:val="8"/>
        <w:spacing w:line="510" w:lineRule="exact"/>
        <w:jc w:val="center"/>
        <w:rPr>
          <w:rFonts w:ascii="Times New Roman" w:hAnsi="Times New Roman" w:eastAsia="黑体"/>
          <w:sz w:val="44"/>
          <w:szCs w:val="44"/>
        </w:rPr>
      </w:pPr>
      <w:r>
        <w:rPr>
          <w:rFonts w:ascii="Times New Roman" w:hAnsi="Times New Roman" w:eastAsia="黑体"/>
          <w:sz w:val="44"/>
          <w:szCs w:val="44"/>
        </w:rPr>
        <w:t>项目支出绩效</w:t>
      </w:r>
      <w:r>
        <w:rPr>
          <w:rFonts w:hint="eastAsia" w:ascii="Times New Roman" w:hAnsi="Times New Roman" w:eastAsia="黑体"/>
          <w:sz w:val="44"/>
          <w:szCs w:val="44"/>
          <w:lang w:eastAsia="zh-CN"/>
        </w:rPr>
        <w:t>自评</w:t>
      </w:r>
      <w:bookmarkStart w:id="0" w:name="_GoBack"/>
      <w:bookmarkEnd w:id="0"/>
      <w:r>
        <w:rPr>
          <w:rFonts w:ascii="Times New Roman" w:hAnsi="Times New Roman" w:eastAsia="黑体"/>
          <w:sz w:val="44"/>
          <w:szCs w:val="44"/>
        </w:rPr>
        <w:t>报告</w:t>
      </w:r>
    </w:p>
    <w:p>
      <w:pPr>
        <w:pStyle w:val="8"/>
        <w:spacing w:line="510" w:lineRule="exact"/>
        <w:rPr>
          <w:rFonts w:ascii="Times New Roman" w:hAnsi="Times New Roman" w:eastAsia="楷体"/>
          <w:b/>
          <w:sz w:val="32"/>
          <w:szCs w:val="32"/>
        </w:rPr>
      </w:pPr>
    </w:p>
    <w:p>
      <w:pPr>
        <w:pStyle w:val="8"/>
        <w:spacing w:line="510" w:lineRule="exact"/>
        <w:ind w:firstLine="643" w:firstLineChars="200"/>
        <w:rPr>
          <w:rFonts w:hint="eastAsia" w:ascii="Times New Roman" w:hAnsi="Times New Roman" w:eastAsia="仿宋" w:cs="Times New Roman"/>
          <w:kern w:val="2"/>
          <w:sz w:val="32"/>
          <w:szCs w:val="32"/>
          <w:lang w:val="en-US" w:eastAsia="zh-CN" w:bidi="ar-SA"/>
        </w:rPr>
      </w:pPr>
      <w:r>
        <w:rPr>
          <w:rFonts w:ascii="Times New Roman" w:hAnsi="Times New Roman" w:eastAsia="楷体"/>
          <w:b/>
          <w:sz w:val="32"/>
          <w:szCs w:val="32"/>
        </w:rPr>
        <w:t>一、基本情况</w:t>
      </w:r>
    </w:p>
    <w:p>
      <w:pPr>
        <w:keepNext w:val="0"/>
        <w:keepLines w:val="0"/>
        <w:pageBreakBefore w:val="0"/>
        <w:numPr>
          <w:ilvl w:val="0"/>
          <w:numId w:val="1"/>
        </w:numPr>
        <w:kinsoku/>
        <w:overflowPunct/>
        <w:topLinePunct w:val="0"/>
        <w:autoSpaceDN/>
        <w:bidi w:val="0"/>
        <w:spacing w:line="51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项目概况</w:t>
      </w:r>
    </w:p>
    <w:p>
      <w:pPr>
        <w:keepNext w:val="0"/>
        <w:keepLines w:val="0"/>
        <w:pageBreakBefore w:val="0"/>
        <w:numPr>
          <w:ilvl w:val="0"/>
          <w:numId w:val="0"/>
        </w:numPr>
        <w:kinsoku/>
        <w:overflowPunct/>
        <w:topLinePunct w:val="0"/>
        <w:autoSpaceDN/>
        <w:bidi w:val="0"/>
        <w:spacing w:line="51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两违防控大队属于中方县城市管理行政执法大队，现有工作人员18名，负责中方县城规划区的违法用地违法建设的查处工作，负责对未来取得建设工程规划许可证的违法建设行为进行立案查处，并依法作出责令停止建设，限期拆除等决定，并采取有效制止措施，负责牵头组织对违法建筑依法实施行政强制拆除或申请人民法院强制执行，为切实维护我县城乡建设的管理秩序，设立“两违”防控专项经费20万元。</w:t>
      </w:r>
    </w:p>
    <w:p>
      <w:pPr>
        <w:keepNext w:val="0"/>
        <w:keepLines w:val="0"/>
        <w:pageBreakBefore w:val="0"/>
        <w:numPr>
          <w:ilvl w:val="0"/>
          <w:numId w:val="1"/>
        </w:numPr>
        <w:kinsoku/>
        <w:overflowPunct/>
        <w:topLinePunct w:val="0"/>
        <w:autoSpaceDN/>
        <w:bidi w:val="0"/>
        <w:spacing w:line="510" w:lineRule="exact"/>
        <w:ind w:left="0" w:leftChars="0"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项目绩效目标</w:t>
      </w:r>
    </w:p>
    <w:p>
      <w:pPr>
        <w:keepNext w:val="0"/>
        <w:keepLines w:val="0"/>
        <w:pageBreakBefore w:val="0"/>
        <w:numPr>
          <w:ilvl w:val="0"/>
          <w:numId w:val="0"/>
        </w:numPr>
        <w:kinsoku/>
        <w:overflowPunct/>
        <w:topLinePunct w:val="0"/>
        <w:autoSpaceDN/>
        <w:bidi w:val="0"/>
        <w:spacing w:line="51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规划区“两违”泛滥形势得到遏制，“两违”建设行为得到及时查处，“两违”建筑得到及时制止和拆除，建设秩序得到规范。</w:t>
      </w:r>
    </w:p>
    <w:p>
      <w:pPr>
        <w:pStyle w:val="8"/>
        <w:keepNext w:val="0"/>
        <w:keepLines w:val="0"/>
        <w:pageBreakBefore w:val="0"/>
        <w:kinsoku/>
        <w:overflowPunct/>
        <w:topLinePunct w:val="0"/>
        <w:autoSpaceDN/>
        <w:bidi w:val="0"/>
        <w:spacing w:line="51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二、绩效评价工作开展情况</w:t>
      </w:r>
    </w:p>
    <w:p>
      <w:pPr>
        <w:keepNext w:val="0"/>
        <w:keepLines w:val="0"/>
        <w:pageBreakBefore w:val="0"/>
        <w:numPr>
          <w:ilvl w:val="0"/>
          <w:numId w:val="2"/>
        </w:numPr>
        <w:kinsoku/>
        <w:overflowPunct/>
        <w:topLinePunct w:val="0"/>
        <w:autoSpaceDN/>
        <w:bidi w:val="0"/>
        <w:spacing w:after="150" w:line="51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绩效评价目的、对象和范围。</w:t>
      </w:r>
    </w:p>
    <w:p>
      <w:pPr>
        <w:keepNext w:val="0"/>
        <w:keepLines w:val="0"/>
        <w:pageBreakBefore w:val="0"/>
        <w:numPr>
          <w:ilvl w:val="0"/>
          <w:numId w:val="0"/>
        </w:numPr>
        <w:kinsoku/>
        <w:overflowPunct/>
        <w:topLinePunct w:val="0"/>
        <w:autoSpaceDN/>
        <w:bidi w:val="0"/>
        <w:spacing w:after="150" w:line="51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通过对“两违”防控专项工作经费的绩效评价，全面摸清项目资金的发放使用情况，重点调查项目资金发放使用的真实性、及时性，为上级财政制定相关政策提供参考依据，最大限度发挥财政资金使用效益。</w:t>
      </w:r>
    </w:p>
    <w:p>
      <w:pPr>
        <w:pStyle w:val="8"/>
        <w:keepNext w:val="0"/>
        <w:keepLines w:val="0"/>
        <w:pageBreakBefore w:val="0"/>
        <w:kinsoku/>
        <w:overflowPunct/>
        <w:topLinePunct w:val="0"/>
        <w:autoSpaceDN/>
        <w:bidi w:val="0"/>
        <w:spacing w:line="51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（二）绩效评价原则、评价指标体系（附表说明）、评价方法、评价标准等。</w:t>
      </w:r>
    </w:p>
    <w:p>
      <w:pPr>
        <w:pStyle w:val="8"/>
        <w:keepNext w:val="0"/>
        <w:keepLines w:val="0"/>
        <w:pageBreakBefore w:val="0"/>
        <w:kinsoku/>
        <w:wordWrap/>
        <w:overflowPunct/>
        <w:topLinePunct w:val="0"/>
        <w:autoSpaceDN/>
        <w:bidi w:val="0"/>
        <w:adjustRightInd/>
        <w:spacing w:line="51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1.注重经费支出的经济性、效率性、和有效性，采用定量和定性相结合的方法。</w:t>
      </w:r>
    </w:p>
    <w:p>
      <w:pPr>
        <w:pStyle w:val="8"/>
        <w:keepNext w:val="0"/>
        <w:keepLines w:val="0"/>
        <w:pageBreakBefore w:val="0"/>
        <w:kinsoku/>
        <w:wordWrap/>
        <w:overflowPunct/>
        <w:topLinePunct w:val="0"/>
        <w:autoSpaceDN/>
        <w:bidi w:val="0"/>
        <w:adjustRightInd/>
        <w:spacing w:line="51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2.客观、公正、数据资料真实可靠，并接受监督。</w:t>
      </w:r>
    </w:p>
    <w:p>
      <w:pPr>
        <w:pStyle w:val="8"/>
        <w:keepNext w:val="0"/>
        <w:keepLines w:val="0"/>
        <w:pageBreakBefore w:val="0"/>
        <w:kinsoku/>
        <w:wordWrap/>
        <w:overflowPunct/>
        <w:topLinePunct w:val="0"/>
        <w:autoSpaceDN/>
        <w:bidi w:val="0"/>
        <w:adjustRightInd/>
        <w:spacing w:line="51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3.针对具体投入及其产出绩效进行，评价结果清晰反应投入和绩效之间的对应关系。</w:t>
      </w:r>
    </w:p>
    <w:p>
      <w:pPr>
        <w:pStyle w:val="8"/>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ascii="Times New Roman" w:hAnsi="Times New Roman" w:eastAsia="仿宋"/>
          <w:sz w:val="32"/>
          <w:szCs w:val="32"/>
        </w:rPr>
        <w:t>（三）绩效评价工作过程。</w:t>
      </w:r>
    </w:p>
    <w:p>
      <w:pPr>
        <w:pStyle w:val="8"/>
        <w:keepNext w:val="0"/>
        <w:keepLines w:val="0"/>
        <w:pageBreakBefore w:val="0"/>
        <w:kinsoku/>
        <w:wordWrap/>
        <w:overflowPunct/>
        <w:topLinePunct w:val="0"/>
        <w:autoSpaceDN/>
        <w:bidi w:val="0"/>
        <w:adjustRightInd/>
        <w:spacing w:line="51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涉及专项工作经费使用上，贯彻“专款专用”的原则，确保信息资料明晰、真实、完整、及时，在项目的支出环节上，该项目有较完善的支出审批制度，严格按照项目负责人审查，相关部门审核，项目主管领导批准，程序办理支付业务，加强资金财务监督。</w:t>
      </w:r>
    </w:p>
    <w:p>
      <w:pPr>
        <w:pStyle w:val="8"/>
        <w:keepNext w:val="0"/>
        <w:keepLines w:val="0"/>
        <w:pageBreakBefore w:val="0"/>
        <w:kinsoku/>
        <w:wordWrap/>
        <w:overflowPunct/>
        <w:topLinePunct w:val="0"/>
        <w:autoSpaceDN/>
        <w:bidi w:val="0"/>
        <w:adjustRightInd/>
        <w:spacing w:line="51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具体工作过程：</w:t>
      </w:r>
    </w:p>
    <w:p>
      <w:pPr>
        <w:pStyle w:val="8"/>
        <w:keepNext w:val="0"/>
        <w:keepLines w:val="0"/>
        <w:pageBreakBefore w:val="0"/>
        <w:kinsoku/>
        <w:wordWrap/>
        <w:overflowPunct/>
        <w:topLinePunct w:val="0"/>
        <w:autoSpaceDN/>
        <w:bidi w:val="0"/>
        <w:adjustRightInd/>
        <w:spacing w:line="510" w:lineRule="exact"/>
        <w:ind w:firstLine="640" w:firstLineChars="200"/>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1.检查资料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1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通过对各种资料的查阅，了解该项资金是否及时拨付到位；检查县城规划区和县工业园区两违防控情况，将有关资料和工作情况分年度建档备查。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1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2.座谈交流</w:t>
      </w:r>
    </w:p>
    <w:p>
      <w:pPr>
        <w:keepNext w:val="0"/>
        <w:keepLines w:val="0"/>
        <w:pageBreakBefore w:val="0"/>
        <w:kinsoku/>
        <w:wordWrap w:val="0"/>
        <w:overflowPunct/>
        <w:topLinePunct w:val="0"/>
        <w:autoSpaceDE w:val="0"/>
        <w:autoSpaceDN/>
        <w:bidi w:val="0"/>
        <w:spacing w:line="510" w:lineRule="exact"/>
        <w:ind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针对县城“两违”防控专项资金的调查主要是通过与执法大队面对面的交流，深入了解两违防控专项资金发放的真实性、及时性、公平性，听取他们对这项资金提出的意见和建议。</w:t>
      </w:r>
    </w:p>
    <w:p>
      <w:pPr>
        <w:pStyle w:val="8"/>
        <w:spacing w:line="510" w:lineRule="exact"/>
        <w:ind w:firstLine="643" w:firstLineChars="200"/>
        <w:rPr>
          <w:rFonts w:hint="eastAsia" w:ascii="Times New Roman" w:hAnsi="Times New Roman" w:eastAsia="仿宋" w:cs="Times New Roman"/>
          <w:kern w:val="2"/>
          <w:sz w:val="32"/>
          <w:szCs w:val="32"/>
          <w:lang w:val="en-US" w:eastAsia="zh-CN" w:bidi="ar-SA"/>
        </w:rPr>
      </w:pPr>
      <w:r>
        <w:rPr>
          <w:rFonts w:ascii="Times New Roman" w:hAnsi="Times New Roman" w:eastAsia="楷体"/>
          <w:b/>
          <w:sz w:val="32"/>
          <w:szCs w:val="32"/>
        </w:rPr>
        <w:t>三、综合评价情况及评价结论（附相关评分表）</w:t>
      </w:r>
    </w:p>
    <w:p>
      <w:pPr>
        <w:keepNext w:val="0"/>
        <w:keepLines w:val="0"/>
        <w:pageBreakBefore w:val="0"/>
        <w:kinsoku/>
        <w:wordWrap w:val="0"/>
        <w:overflowPunct/>
        <w:topLinePunct w:val="0"/>
        <w:autoSpaceDE w:val="0"/>
        <w:autoSpaceDN/>
        <w:bidi w:val="0"/>
        <w:spacing w:line="510" w:lineRule="exact"/>
        <w:ind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通过评价，本项目经费支出绩效评价结果为优。认为2020年“两违”防控专项项目经费的申报材料规范齐全，评审程序公平公正，资金的发放与管理符合规范。本项目经费支出绩效评价综合得分99分，结果为优。</w:t>
      </w:r>
    </w:p>
    <w:p>
      <w:pPr>
        <w:pStyle w:val="8"/>
        <w:spacing w:line="510" w:lineRule="exact"/>
        <w:ind w:firstLine="643" w:firstLineChars="200"/>
        <w:rPr>
          <w:rFonts w:ascii="Times New Roman" w:hAnsi="Times New Roman" w:eastAsia="楷体"/>
          <w:b/>
          <w:sz w:val="32"/>
          <w:szCs w:val="32"/>
        </w:rPr>
      </w:pPr>
      <w:r>
        <w:rPr>
          <w:rFonts w:ascii="Times New Roman" w:hAnsi="Times New Roman" w:eastAsia="楷体"/>
          <w:b/>
          <w:sz w:val="32"/>
          <w:szCs w:val="32"/>
        </w:rPr>
        <w:t>四、绩效评价指标分析</w:t>
      </w:r>
    </w:p>
    <w:p>
      <w:pPr>
        <w:pStyle w:val="8"/>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（一）项目决策情况。</w:t>
      </w:r>
    </w:p>
    <w:p>
      <w:pPr>
        <w:pStyle w:val="8"/>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为打击和防控县城规划区的违法建设行为，及时对违法建设进行拆除，维护良好的建设秩序。设立“两违”防控专项经费20万元。</w:t>
      </w:r>
    </w:p>
    <w:p>
      <w:pPr>
        <w:pStyle w:val="8"/>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ascii="Times New Roman" w:hAnsi="Times New Roman" w:eastAsia="仿宋"/>
          <w:sz w:val="32"/>
          <w:szCs w:val="32"/>
        </w:rPr>
        <w:t>（二）项目过程情况。</w:t>
      </w:r>
    </w:p>
    <w:p>
      <w:pPr>
        <w:pStyle w:val="8"/>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1.中方县城规划区两违建筑处置项目（一季度）实施开始时间为2020年1月，完成时间为2020年3月。</w:t>
      </w:r>
    </w:p>
    <w:p>
      <w:pPr>
        <w:pStyle w:val="8"/>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2.中方县城规划区两违建筑处置项目（二季度）实施开始时间为2020年4月，完成时间为2020年6月。</w:t>
      </w:r>
    </w:p>
    <w:p>
      <w:pPr>
        <w:pStyle w:val="8"/>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3.中方县城规划区两违建筑处置项目（三季度）实施开始时间为2020年7月，完成时间为2020年9月。</w:t>
      </w:r>
    </w:p>
    <w:p>
      <w:pPr>
        <w:pStyle w:val="8"/>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4.中方县城规划区两违建筑处置项目（四季度）实施开始时间为2020年10月，完成时间为2020年12月。</w:t>
      </w:r>
    </w:p>
    <w:p>
      <w:pPr>
        <w:pStyle w:val="8"/>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（三）项目产出情况。</w:t>
      </w:r>
    </w:p>
    <w:p>
      <w:pPr>
        <w:pStyle w:val="8"/>
        <w:spacing w:line="51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规划区“两违”泛滥形势得到遏制，“两违”建设行为得到及时查处，“两违”建筑得到及时制止和拆除，建设秩序得到规范。</w:t>
      </w:r>
    </w:p>
    <w:p>
      <w:pPr>
        <w:pStyle w:val="8"/>
        <w:numPr>
          <w:ilvl w:val="0"/>
          <w:numId w:val="0"/>
        </w:numPr>
        <w:spacing w:line="510" w:lineRule="exact"/>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（四）</w:t>
      </w:r>
      <w:r>
        <w:rPr>
          <w:rFonts w:ascii="Times New Roman" w:hAnsi="Times New Roman" w:eastAsia="仿宋"/>
          <w:sz w:val="32"/>
          <w:szCs w:val="32"/>
        </w:rPr>
        <w:t>项目效益情况。</w:t>
      </w:r>
    </w:p>
    <w:p>
      <w:pPr>
        <w:pStyle w:val="8"/>
        <w:numPr>
          <w:ilvl w:val="0"/>
          <w:numId w:val="0"/>
        </w:numPr>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打击和防控县城规划区的违法建设行为，及时对违法建设进行拆除，维护良好的建设秩序。推动了项目的施工，促进了中方房地产的发展。</w:t>
      </w:r>
    </w:p>
    <w:p>
      <w:pPr>
        <w:pStyle w:val="8"/>
        <w:spacing w:line="510" w:lineRule="exact"/>
        <w:ind w:firstLine="643" w:firstLineChars="200"/>
        <w:rPr>
          <w:rFonts w:hint="eastAsia" w:ascii="Times New Roman" w:hAnsi="Times New Roman" w:eastAsia="仿宋" w:cs="Times New Roman"/>
          <w:kern w:val="2"/>
          <w:sz w:val="32"/>
          <w:szCs w:val="32"/>
          <w:lang w:val="en-US" w:eastAsia="zh-CN" w:bidi="ar-SA"/>
        </w:rPr>
      </w:pPr>
      <w:r>
        <w:rPr>
          <w:rFonts w:ascii="Times New Roman" w:hAnsi="Times New Roman" w:eastAsia="楷体"/>
          <w:b/>
          <w:sz w:val="32"/>
          <w:szCs w:val="32"/>
        </w:rPr>
        <w:t>五、主要经验及做法、存在的问题及原因分析</w:t>
      </w:r>
    </w:p>
    <w:p>
      <w:pPr>
        <w:pStyle w:val="8"/>
        <w:numPr>
          <w:ilvl w:val="0"/>
          <w:numId w:val="0"/>
        </w:numPr>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“两违”防控专项经费的发放，使“两违”防控工作能够正常开展，及时制止求和查处违法建设行为，及时拆除了项目区的违法建筑，推动了项目的施工，促进了中方房地产的发展。</w:t>
      </w:r>
    </w:p>
    <w:p>
      <w:pPr>
        <w:pStyle w:val="8"/>
        <w:spacing w:line="510" w:lineRule="exact"/>
        <w:ind w:firstLine="643" w:firstLineChars="200"/>
        <w:rPr>
          <w:rFonts w:hint="eastAsia" w:ascii="Times New Roman" w:hAnsi="Times New Roman" w:eastAsia="仿宋" w:cs="Times New Roman"/>
          <w:kern w:val="2"/>
          <w:sz w:val="32"/>
          <w:szCs w:val="32"/>
          <w:lang w:val="en-US" w:eastAsia="zh-CN" w:bidi="ar-SA"/>
        </w:rPr>
      </w:pPr>
      <w:r>
        <w:rPr>
          <w:rFonts w:ascii="Times New Roman" w:hAnsi="Times New Roman" w:eastAsia="楷体"/>
          <w:b/>
          <w:sz w:val="32"/>
          <w:szCs w:val="32"/>
        </w:rPr>
        <w:t>六、有关建议</w:t>
      </w:r>
    </w:p>
    <w:p>
      <w:pPr>
        <w:pStyle w:val="8"/>
        <w:numPr>
          <w:ilvl w:val="0"/>
          <w:numId w:val="0"/>
        </w:numPr>
        <w:spacing w:line="510" w:lineRule="exact"/>
        <w:ind w:firstLine="640" w:firstLineChars="200"/>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建议根据城管专项资金项目的特点，研究制定出更为科学、合理的绩效评价指标体系，针对性地加强对专项资金项目执行和经费使用情况的绩效评价考核，促进项目按要求出成果、出效益。</w:t>
      </w:r>
    </w:p>
    <w:p>
      <w:pPr>
        <w:pStyle w:val="8"/>
        <w:keepNext w:val="0"/>
        <w:keepLines w:val="0"/>
        <w:pageBreakBefore w:val="0"/>
        <w:numPr>
          <w:ilvl w:val="0"/>
          <w:numId w:val="3"/>
        </w:numPr>
        <w:kinsoku/>
        <w:overflowPunct/>
        <w:topLinePunct w:val="0"/>
        <w:autoSpaceDN/>
        <w:bidi w:val="0"/>
        <w:spacing w:line="510" w:lineRule="exact"/>
        <w:ind w:firstLine="643" w:firstLineChars="200"/>
        <w:textAlignment w:val="auto"/>
        <w:rPr>
          <w:rFonts w:hint="eastAsia" w:ascii="楷体" w:hAnsi="楷体" w:eastAsia="楷体" w:cs="楷体"/>
          <w:b/>
          <w:bCs/>
          <w:color w:val="auto"/>
          <w:kern w:val="0"/>
          <w:sz w:val="32"/>
          <w:szCs w:val="32"/>
          <w:lang w:val="en-US" w:eastAsia="zh-CN" w:bidi="ar-SA"/>
        </w:rPr>
      </w:pPr>
      <w:r>
        <w:rPr>
          <w:rFonts w:hint="eastAsia" w:ascii="楷体" w:hAnsi="楷体" w:eastAsia="楷体" w:cs="楷体"/>
          <w:b/>
          <w:bCs/>
          <w:color w:val="auto"/>
          <w:kern w:val="0"/>
          <w:sz w:val="32"/>
          <w:szCs w:val="32"/>
          <w:lang w:val="en-US" w:eastAsia="zh-CN" w:bidi="ar-SA"/>
        </w:rPr>
        <w:t>其他需要说明的问题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10" w:lineRule="exact"/>
        <w:ind w:right="0" w:firstLine="640" w:firstLineChars="200"/>
        <w:jc w:val="left"/>
        <w:textAlignment w:val="auto"/>
        <w:rPr>
          <w:rFonts w:hint="eastAsia" w:ascii="楷体" w:hAnsi="楷体" w:eastAsia="楷体" w:cs="楷体"/>
          <w:b/>
          <w:bCs/>
          <w:color w:val="auto"/>
          <w:kern w:val="0"/>
          <w:sz w:val="32"/>
          <w:szCs w:val="32"/>
          <w:lang w:val="en-US" w:eastAsia="zh-CN" w:bidi="ar-SA"/>
        </w:rPr>
      </w:pPr>
      <w:r>
        <w:rPr>
          <w:rFonts w:hint="eastAsia" w:ascii="仿宋" w:hAnsi="仿宋" w:eastAsia="仿宋" w:cs="仿宋"/>
          <w:color w:val="auto"/>
          <w:sz w:val="32"/>
          <w:szCs w:val="32"/>
          <w:lang w:val="en-US" w:eastAsia="zh-CN"/>
        </w:rPr>
        <w:t>“两违”</w:t>
      </w:r>
      <w:r>
        <w:rPr>
          <w:rFonts w:hint="eastAsia" w:ascii="仿宋" w:hAnsi="仿宋" w:eastAsia="仿宋" w:cs="仿宋"/>
          <w:color w:val="auto"/>
          <w:kern w:val="0"/>
          <w:sz w:val="32"/>
          <w:szCs w:val="32"/>
          <w:lang w:val="en-US" w:eastAsia="zh-CN" w:bidi="ar-SA"/>
        </w:rPr>
        <w:t>防控专项经费资金利用率高，社会效益显著，绩效较好，充分发挥了资金的作用。</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ascii="Times New Roman" w:hAnsi="Times New Roman" w:eastAsia="仿宋_GB2312"/>
          <w:sz w:val="32"/>
          <w:szCs w:val="32"/>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hint="eastAsia" w:ascii="仿宋" w:hAnsi="仿宋" w:eastAsia="仿宋" w:cs="仿宋"/>
          <w:color w:val="auto"/>
          <w:kern w:val="0"/>
          <w:sz w:val="32"/>
          <w:szCs w:val="32"/>
          <w:lang w:val="en-US" w:eastAsia="zh-CN" w:bidi="ar-SA"/>
        </w:rPr>
      </w:pPr>
    </w:p>
    <w:p>
      <w:pPr>
        <w:widowControl/>
        <w:numPr>
          <w:ilvl w:val="0"/>
          <w:numId w:val="0"/>
        </w:numPr>
        <w:spacing w:line="510" w:lineRule="exact"/>
        <w:jc w:val="left"/>
        <w:rPr>
          <w:rFonts w:ascii="Times New Roman" w:hAnsi="Times New Roman" w:eastAsia="仿宋_GB2312"/>
          <w:bCs/>
          <w:color w:val="auto"/>
          <w:kern w:val="0"/>
          <w:sz w:val="32"/>
          <w:szCs w:val="32"/>
        </w:rPr>
      </w:pPr>
    </w:p>
    <w:p>
      <w:pPr>
        <w:widowControl/>
        <w:numPr>
          <w:ilvl w:val="0"/>
          <w:numId w:val="0"/>
        </w:numPr>
        <w:spacing w:line="510" w:lineRule="exact"/>
        <w:jc w:val="left"/>
        <w:rPr>
          <w:rFonts w:hint="default" w:ascii="Times New Roman" w:hAnsi="Times New Roman" w:eastAsia="仿宋_GB2312"/>
          <w:bCs/>
          <w:color w:val="auto"/>
          <w:kern w:val="0"/>
          <w:sz w:val="32"/>
          <w:szCs w:val="32"/>
          <w:lang w:val="en-US" w:eastAsia="zh-CN"/>
        </w:rPr>
      </w:pPr>
      <w:r>
        <w:rPr>
          <w:rFonts w:hint="eastAsia" w:ascii="Times New Roman" w:hAnsi="Times New Roman" w:eastAsia="仿宋_GB2312"/>
          <w:bCs/>
          <w:color w:val="auto"/>
          <w:kern w:val="0"/>
          <w:sz w:val="32"/>
          <w:szCs w:val="32"/>
          <w:lang w:eastAsia="zh-CN"/>
        </w:rPr>
        <w:t>附件</w:t>
      </w:r>
      <w:r>
        <w:rPr>
          <w:rFonts w:hint="eastAsia" w:ascii="Times New Roman" w:hAnsi="Times New Roman" w:eastAsia="仿宋_GB2312"/>
          <w:bCs/>
          <w:color w:val="auto"/>
          <w:kern w:val="0"/>
          <w:sz w:val="32"/>
          <w:szCs w:val="32"/>
          <w:lang w:val="en-US" w:eastAsia="zh-CN"/>
        </w:rPr>
        <w:t>1</w:t>
      </w:r>
    </w:p>
    <w:tbl>
      <w:tblPr>
        <w:tblStyle w:val="5"/>
        <w:tblW w:w="9080" w:type="dxa"/>
        <w:jc w:val="center"/>
        <w:tblLayout w:type="fixed"/>
        <w:tblCellMar>
          <w:top w:w="0" w:type="dxa"/>
          <w:left w:w="108" w:type="dxa"/>
          <w:bottom w:w="0" w:type="dxa"/>
          <w:right w:w="108" w:type="dxa"/>
        </w:tblCellMar>
      </w:tblPr>
      <w:tblGrid>
        <w:gridCol w:w="588"/>
        <w:gridCol w:w="980"/>
        <w:gridCol w:w="1112"/>
        <w:gridCol w:w="730"/>
        <w:gridCol w:w="1134"/>
        <w:gridCol w:w="284"/>
        <w:gridCol w:w="979"/>
        <w:gridCol w:w="793"/>
        <w:gridCol w:w="212"/>
        <w:gridCol w:w="284"/>
        <w:gridCol w:w="425"/>
        <w:gridCol w:w="142"/>
        <w:gridCol w:w="709"/>
        <w:gridCol w:w="708"/>
      </w:tblGrid>
      <w:tr>
        <w:tblPrEx>
          <w:tblCellMar>
            <w:top w:w="0" w:type="dxa"/>
            <w:left w:w="108" w:type="dxa"/>
            <w:bottom w:w="0" w:type="dxa"/>
            <w:right w:w="108" w:type="dxa"/>
          </w:tblCellMar>
        </w:tblPrEx>
        <w:trPr>
          <w:trHeight w:val="349"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Times New Roman" w:hAnsi="Times New Roman"/>
                <w:b/>
                <w:bCs/>
                <w:color w:val="auto"/>
                <w:kern w:val="0"/>
                <w:sz w:val="32"/>
                <w:szCs w:val="32"/>
              </w:rPr>
            </w:pPr>
            <w:r>
              <w:rPr>
                <w:rFonts w:ascii="Times New Roman" w:hAnsi="Times New Roman"/>
                <w:b/>
                <w:bCs/>
                <w:color w:val="auto"/>
                <w:kern w:val="0"/>
                <w:sz w:val="32"/>
                <w:szCs w:val="32"/>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color w:val="auto"/>
                <w:kern w:val="0"/>
                <w:sz w:val="22"/>
                <w:szCs w:val="22"/>
              </w:rPr>
            </w:pPr>
            <w:r>
              <w:rPr>
                <w:rFonts w:ascii="Times New Roman" w:hAnsi="Times New Roman"/>
                <w:color w:val="auto"/>
                <w:kern w:val="0"/>
                <w:sz w:val="22"/>
                <w:szCs w:val="22"/>
              </w:rPr>
              <w:t>（</w:t>
            </w:r>
            <w:r>
              <w:rPr>
                <w:rFonts w:hint="eastAsia" w:ascii="Times New Roman" w:hAnsi="Times New Roman"/>
                <w:color w:val="auto"/>
                <w:kern w:val="0"/>
                <w:sz w:val="22"/>
                <w:szCs w:val="22"/>
                <w:lang w:val="en-US" w:eastAsia="zh-CN"/>
              </w:rPr>
              <w:t>2020</w:t>
            </w:r>
            <w:r>
              <w:rPr>
                <w:rFonts w:ascii="Times New Roman" w:hAnsi="Times New Roman"/>
                <w:color w:val="auto"/>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lang w:val="en-US" w:eastAsia="zh-CN"/>
              </w:rPr>
              <w:t>“两违”防控整治工作经费</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主管部门</w:t>
            </w:r>
          </w:p>
        </w:tc>
        <w:tc>
          <w:tcPr>
            <w:tcW w:w="4239"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rPr>
              <w:t>中方县城市管理</w:t>
            </w:r>
            <w:r>
              <w:rPr>
                <w:rFonts w:hint="eastAsia" w:ascii="Times New Roman" w:hAnsi="Times New Roman"/>
                <w:color w:val="auto"/>
                <w:kern w:val="0"/>
                <w:sz w:val="18"/>
                <w:szCs w:val="18"/>
                <w:lang w:eastAsia="zh-CN"/>
              </w:rPr>
              <w:t>行政执法大队</w:t>
            </w:r>
          </w:p>
        </w:tc>
        <w:tc>
          <w:tcPr>
            <w:tcW w:w="10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5"/>
                <w:szCs w:val="15"/>
                <w:lang w:eastAsia="zh-CN"/>
              </w:rPr>
            </w:pPr>
            <w:r>
              <w:rPr>
                <w:rFonts w:hint="eastAsia" w:ascii="Times New Roman" w:hAnsi="Times New Roman"/>
                <w:color w:val="auto"/>
                <w:kern w:val="0"/>
                <w:sz w:val="15"/>
                <w:szCs w:val="15"/>
              </w:rPr>
              <w:t>中方县城市管理</w:t>
            </w:r>
            <w:r>
              <w:rPr>
                <w:rFonts w:hint="eastAsia" w:ascii="Times New Roman" w:hAnsi="Times New Roman"/>
                <w:color w:val="auto"/>
                <w:kern w:val="0"/>
                <w:sz w:val="15"/>
                <w:szCs w:val="15"/>
                <w:lang w:eastAsia="zh-CN"/>
              </w:rPr>
              <w:t>行政执法大队</w:t>
            </w:r>
          </w:p>
        </w:tc>
      </w:tr>
      <w:tr>
        <w:tblPrEx>
          <w:tblCellMar>
            <w:top w:w="0" w:type="dxa"/>
            <w:left w:w="108" w:type="dxa"/>
            <w:bottom w:w="0" w:type="dxa"/>
            <w:right w:w="108" w:type="dxa"/>
          </w:tblCellMar>
        </w:tblPrEx>
        <w:trPr>
          <w:trHeight w:val="56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项目资金</w:t>
            </w:r>
            <w:r>
              <w:rPr>
                <w:rFonts w:ascii="Times New Roman" w:hAnsi="Times New Roman"/>
                <w:color w:val="auto"/>
                <w:kern w:val="0"/>
                <w:sz w:val="18"/>
                <w:szCs w:val="18"/>
              </w:rPr>
              <w:br w:type="textWrapping"/>
            </w:r>
            <w:r>
              <w:rPr>
                <w:rFonts w:ascii="Times New Roman" w:hAnsi="Times New Roman"/>
                <w:color w:val="auto"/>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年初预算数</w:t>
            </w:r>
          </w:p>
        </w:tc>
        <w:tc>
          <w:tcPr>
            <w:tcW w:w="12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全年预算数</w:t>
            </w:r>
            <w:r>
              <w:rPr>
                <w:rFonts w:ascii="Times New Roman" w:hAnsi="Times New Roman"/>
                <w:color w:val="auto"/>
                <w:kern w:val="0"/>
                <w:sz w:val="20"/>
                <w:szCs w:val="20"/>
              </w:rPr>
              <w:t>（A）</w:t>
            </w:r>
          </w:p>
        </w:tc>
        <w:tc>
          <w:tcPr>
            <w:tcW w:w="10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全年执行数</w:t>
            </w:r>
            <w:r>
              <w:rPr>
                <w:rFonts w:ascii="Times New Roman" w:hAnsi="Times New Roman"/>
                <w:color w:val="auto"/>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执行率</w:t>
            </w:r>
            <w:r>
              <w:rPr>
                <w:rFonts w:ascii="Times New Roman" w:hAnsi="Times New Roman"/>
                <w:color w:val="auto"/>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color w:val="auto"/>
                <w:kern w:val="0"/>
                <w:sz w:val="18"/>
                <w:szCs w:val="18"/>
              </w:rPr>
            </w:pPr>
            <w:r>
              <w:rPr>
                <w:rFonts w:ascii="Times New Roman" w:hAnsi="Times New Roman"/>
                <w:color w:val="auto"/>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20</w:t>
            </w:r>
          </w:p>
        </w:tc>
        <w:tc>
          <w:tcPr>
            <w:tcW w:w="12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20</w:t>
            </w:r>
          </w:p>
        </w:tc>
        <w:tc>
          <w:tcPr>
            <w:tcW w:w="10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20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20</w:t>
            </w:r>
          </w:p>
        </w:tc>
        <w:tc>
          <w:tcPr>
            <w:tcW w:w="12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20</w:t>
            </w:r>
          </w:p>
        </w:tc>
        <w:tc>
          <w:tcPr>
            <w:tcW w:w="10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20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2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0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26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00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年度总体目标</w:t>
            </w:r>
          </w:p>
        </w:tc>
        <w:tc>
          <w:tcPr>
            <w:tcW w:w="521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预期目标</w:t>
            </w:r>
          </w:p>
        </w:tc>
        <w:tc>
          <w:tcPr>
            <w:tcW w:w="327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实际完成情况</w:t>
            </w:r>
          </w:p>
        </w:tc>
      </w:tr>
      <w:tr>
        <w:tblPrEx>
          <w:tblCellMar>
            <w:top w:w="0" w:type="dxa"/>
            <w:left w:w="108" w:type="dxa"/>
            <w:bottom w:w="0" w:type="dxa"/>
            <w:right w:w="108" w:type="dxa"/>
          </w:tblCellMar>
        </w:tblPrEx>
        <w:trPr>
          <w:trHeight w:val="57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5219"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规范建设秩序打造宜居生活环境</w:t>
            </w:r>
          </w:p>
        </w:tc>
        <w:tc>
          <w:tcPr>
            <w:tcW w:w="3273"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规范建设秩序打造宜居生活环境</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绩</w:t>
            </w:r>
            <w:r>
              <w:rPr>
                <w:rFonts w:ascii="Times New Roman" w:hAnsi="Times New Roman"/>
                <w:color w:val="auto"/>
                <w:kern w:val="0"/>
                <w:sz w:val="18"/>
                <w:szCs w:val="18"/>
              </w:rPr>
              <w:br w:type="textWrapping"/>
            </w:r>
            <w:r>
              <w:rPr>
                <w:rFonts w:ascii="Times New Roman" w:hAnsi="Times New Roman"/>
                <w:color w:val="auto"/>
                <w:kern w:val="0"/>
                <w:sz w:val="18"/>
                <w:szCs w:val="18"/>
              </w:rPr>
              <w:t>效</w:t>
            </w:r>
            <w:r>
              <w:rPr>
                <w:rFonts w:ascii="Times New Roman" w:hAnsi="Times New Roman"/>
                <w:color w:val="auto"/>
                <w:kern w:val="0"/>
                <w:sz w:val="18"/>
                <w:szCs w:val="18"/>
              </w:rPr>
              <w:br w:type="textWrapping"/>
            </w:r>
            <w:r>
              <w:rPr>
                <w:rFonts w:ascii="Times New Roman" w:hAnsi="Times New Roman"/>
                <w:color w:val="auto"/>
                <w:kern w:val="0"/>
                <w:sz w:val="18"/>
                <w:szCs w:val="18"/>
              </w:rPr>
              <w:t>指</w:t>
            </w:r>
            <w:r>
              <w:rPr>
                <w:rFonts w:ascii="Times New Roman" w:hAnsi="Times New Roman"/>
                <w:color w:val="auto"/>
                <w:kern w:val="0"/>
                <w:sz w:val="18"/>
                <w:szCs w:val="18"/>
              </w:rPr>
              <w:br w:type="textWrapping"/>
            </w:r>
            <w:r>
              <w:rPr>
                <w:rFonts w:ascii="Times New Roman" w:hAnsi="Times New Roman"/>
                <w:color w:val="auto"/>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二级指标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三级指标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年度</w:t>
            </w:r>
          </w:p>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指标值</w:t>
            </w:r>
          </w:p>
        </w:tc>
        <w:tc>
          <w:tcPr>
            <w:tcW w:w="79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实际</w:t>
            </w:r>
          </w:p>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完成值</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分值</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偏差原因分析及改进措施</w:t>
            </w:r>
          </w:p>
        </w:tc>
      </w:tr>
      <w:tr>
        <w:tblPrEx>
          <w:tblCellMar>
            <w:top w:w="0" w:type="dxa"/>
            <w:left w:w="108" w:type="dxa"/>
            <w:bottom w:w="0" w:type="dxa"/>
            <w:right w:w="108" w:type="dxa"/>
          </w:tblCellMar>
        </w:tblPrEx>
        <w:trPr>
          <w:trHeight w:val="59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产出指标</w:t>
            </w:r>
            <w:r>
              <w:rPr>
                <w:rFonts w:ascii="Times New Roman" w:hAnsi="Times New Roman"/>
                <w:color w:val="auto"/>
                <w:kern w:val="0"/>
                <w:sz w:val="20"/>
                <w:szCs w:val="20"/>
              </w:rPr>
              <w:t>(</w:t>
            </w:r>
            <w:r>
              <w:rPr>
                <w:rFonts w:hint="eastAsia" w:ascii="Times New Roman" w:hAnsi="Times New Roman"/>
                <w:color w:val="auto"/>
                <w:kern w:val="0"/>
                <w:sz w:val="20"/>
                <w:szCs w:val="20"/>
                <w:lang w:val="en-US" w:eastAsia="zh-CN"/>
              </w:rPr>
              <w:t>4</w:t>
            </w:r>
            <w:r>
              <w:rPr>
                <w:rFonts w:ascii="Times New Roman" w:hAnsi="Times New Roman"/>
                <w:color w:val="auto"/>
                <w:kern w:val="0"/>
                <w:sz w:val="20"/>
                <w:szCs w:val="20"/>
              </w:rPr>
              <w:t>0分)</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数量指标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auto"/>
                <w:kern w:val="0"/>
                <w:sz w:val="18"/>
                <w:szCs w:val="18"/>
              </w:rPr>
            </w:pPr>
            <w:r>
              <w:rPr>
                <w:rFonts w:hint="eastAsia" w:ascii="Times New Roman" w:hAnsi="Times New Roman"/>
                <w:color w:val="auto"/>
                <w:kern w:val="0"/>
                <w:sz w:val="18"/>
                <w:szCs w:val="18"/>
                <w:lang w:val="en-US" w:eastAsia="zh-CN"/>
              </w:rPr>
              <w:t>2020</w:t>
            </w:r>
            <w:r>
              <w:rPr>
                <w:rFonts w:hint="eastAsia" w:ascii="Times New Roman" w:hAnsi="Times New Roman"/>
                <w:color w:val="auto"/>
                <w:kern w:val="0"/>
                <w:sz w:val="18"/>
                <w:szCs w:val="18"/>
              </w:rPr>
              <w:t>年两违整治拆违法建筑</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宋体" w:hAnsi="宋体" w:eastAsia="宋体" w:cs="宋体"/>
                <w:color w:val="auto"/>
                <w:kern w:val="0"/>
                <w:sz w:val="18"/>
                <w:szCs w:val="18"/>
              </w:rPr>
              <w:t>≧</w:t>
            </w:r>
            <w:r>
              <w:rPr>
                <w:rFonts w:hint="eastAsia" w:ascii="Times New Roman" w:hAnsi="Times New Roman" w:eastAsia="宋体"/>
                <w:color w:val="auto"/>
                <w:kern w:val="0"/>
                <w:sz w:val="18"/>
                <w:szCs w:val="18"/>
                <w:lang w:val="en-US" w:eastAsia="zh-CN"/>
              </w:rPr>
              <w:t>7200</w:t>
            </w:r>
            <w:r>
              <w:rPr>
                <w:rFonts w:hint="eastAsia" w:ascii="宋体" w:hAnsi="宋体" w:eastAsia="宋体" w:cs="宋体"/>
                <w:color w:val="auto"/>
                <w:kern w:val="0"/>
                <w:sz w:val="18"/>
                <w:szCs w:val="18"/>
                <w:lang w:val="en-US" w:eastAsia="zh-CN"/>
              </w:rPr>
              <w:t>㎡</w:t>
            </w:r>
          </w:p>
        </w:tc>
        <w:tc>
          <w:tcPr>
            <w:tcW w:w="79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7800</w:t>
            </w:r>
            <w:r>
              <w:rPr>
                <w:rFonts w:hint="eastAsia" w:ascii="宋体" w:hAnsi="宋体" w:eastAsia="宋体" w:cs="宋体"/>
                <w:color w:val="auto"/>
                <w:kern w:val="0"/>
                <w:sz w:val="18"/>
                <w:szCs w:val="18"/>
                <w:lang w:val="en-US" w:eastAsia="zh-CN"/>
              </w:rPr>
              <w:t>㎡</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3"/>
                <w:szCs w:val="13"/>
              </w:rPr>
            </w:pPr>
          </w:p>
        </w:tc>
      </w:tr>
      <w:tr>
        <w:tblPrEx>
          <w:tblCellMar>
            <w:top w:w="0" w:type="dxa"/>
            <w:left w:w="108" w:type="dxa"/>
            <w:bottom w:w="0" w:type="dxa"/>
            <w:right w:w="108" w:type="dxa"/>
          </w:tblCellMar>
        </w:tblPrEx>
        <w:trPr>
          <w:trHeight w:val="59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质量指标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auto"/>
                <w:kern w:val="0"/>
                <w:sz w:val="18"/>
                <w:szCs w:val="18"/>
              </w:rPr>
            </w:pPr>
            <w:r>
              <w:rPr>
                <w:rFonts w:hint="eastAsia" w:ascii="Times New Roman" w:hAnsi="Times New Roman"/>
                <w:color w:val="auto"/>
                <w:kern w:val="0"/>
                <w:sz w:val="18"/>
                <w:szCs w:val="18"/>
              </w:rPr>
              <w:t>违法建筑的拆除，确保违法建筑不二次搭建</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79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lang w:val="en-US" w:eastAsia="zh-CN"/>
              </w:rPr>
              <w:t>100%</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3"/>
                <w:szCs w:val="13"/>
              </w:rPr>
            </w:pPr>
          </w:p>
        </w:tc>
      </w:tr>
      <w:tr>
        <w:tblPrEx>
          <w:tblCellMar>
            <w:top w:w="0" w:type="dxa"/>
            <w:left w:w="108" w:type="dxa"/>
            <w:bottom w:w="0" w:type="dxa"/>
            <w:right w:w="108" w:type="dxa"/>
          </w:tblCellMar>
        </w:tblPrEx>
        <w:trPr>
          <w:trHeight w:val="67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时效指标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auto"/>
                <w:kern w:val="0"/>
                <w:sz w:val="18"/>
                <w:szCs w:val="18"/>
              </w:rPr>
            </w:pPr>
            <w:r>
              <w:rPr>
                <w:rFonts w:hint="eastAsia" w:ascii="Times New Roman" w:hAnsi="Times New Roman"/>
                <w:color w:val="auto"/>
                <w:kern w:val="0"/>
                <w:sz w:val="18"/>
                <w:szCs w:val="18"/>
              </w:rPr>
              <w:t>在项目实施规定期限内拆除</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79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lang w:val="en-US" w:eastAsia="zh-CN"/>
              </w:rPr>
              <w:t>100%</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3"/>
                <w:szCs w:val="13"/>
              </w:rPr>
            </w:pPr>
          </w:p>
        </w:tc>
      </w:tr>
      <w:tr>
        <w:tblPrEx>
          <w:tblCellMar>
            <w:top w:w="0" w:type="dxa"/>
            <w:left w:w="108" w:type="dxa"/>
            <w:bottom w:w="0" w:type="dxa"/>
            <w:right w:w="108" w:type="dxa"/>
          </w:tblCellMar>
        </w:tblPrEx>
        <w:trPr>
          <w:trHeight w:val="61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成本指标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auto"/>
                <w:kern w:val="0"/>
                <w:sz w:val="18"/>
                <w:szCs w:val="18"/>
              </w:rPr>
            </w:pPr>
            <w:r>
              <w:rPr>
                <w:rFonts w:hint="eastAsia" w:ascii="Times New Roman" w:hAnsi="Times New Roman"/>
                <w:color w:val="auto"/>
                <w:kern w:val="0"/>
                <w:sz w:val="18"/>
                <w:szCs w:val="18"/>
              </w:rPr>
              <w:t>民工劳务、村民自拆工时补偿等</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20万</w:t>
            </w:r>
          </w:p>
        </w:tc>
        <w:tc>
          <w:tcPr>
            <w:tcW w:w="793"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20万</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3"/>
                <w:szCs w:val="13"/>
              </w:rPr>
            </w:pPr>
          </w:p>
        </w:tc>
      </w:tr>
      <w:tr>
        <w:tblPrEx>
          <w:tblCellMar>
            <w:top w:w="0" w:type="dxa"/>
            <w:left w:w="108" w:type="dxa"/>
            <w:bottom w:w="0" w:type="dxa"/>
            <w:right w:w="108" w:type="dxa"/>
          </w:tblCellMar>
        </w:tblPrEx>
        <w:trPr>
          <w:trHeight w:val="77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效益指标</w:t>
            </w:r>
            <w:r>
              <w:rPr>
                <w:rFonts w:ascii="Times New Roman" w:hAnsi="Times New Roman"/>
                <w:color w:val="auto"/>
                <w:kern w:val="0"/>
                <w:sz w:val="20"/>
                <w:szCs w:val="20"/>
              </w:rPr>
              <w:t>(</w:t>
            </w:r>
            <w:r>
              <w:rPr>
                <w:rFonts w:hint="eastAsia" w:ascii="Times New Roman" w:hAnsi="Times New Roman"/>
                <w:color w:val="auto"/>
                <w:kern w:val="0"/>
                <w:sz w:val="20"/>
                <w:szCs w:val="20"/>
                <w:lang w:val="en-US" w:eastAsia="zh-CN"/>
              </w:rPr>
              <w:t>4</w:t>
            </w:r>
            <w:r>
              <w:rPr>
                <w:rFonts w:ascii="Times New Roman" w:hAnsi="Times New Roman"/>
                <w:color w:val="auto"/>
                <w:kern w:val="0"/>
                <w:sz w:val="20"/>
                <w:szCs w:val="20"/>
              </w:rPr>
              <w:t>0分)</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经济效益</w:t>
            </w:r>
          </w:p>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auto"/>
                <w:kern w:val="0"/>
                <w:sz w:val="18"/>
                <w:szCs w:val="18"/>
              </w:rPr>
            </w:pPr>
            <w:r>
              <w:rPr>
                <w:rFonts w:hint="eastAsia" w:ascii="Times New Roman" w:hAnsi="Times New Roman"/>
                <w:color w:val="auto"/>
                <w:kern w:val="0"/>
                <w:sz w:val="18"/>
                <w:szCs w:val="18"/>
              </w:rPr>
              <w:t>推进了项目进展，减少政府征收拆迁成本，创造良好投资环境</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有所提高</w:t>
            </w:r>
          </w:p>
        </w:tc>
        <w:tc>
          <w:tcPr>
            <w:tcW w:w="79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有所提高</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3"/>
                <w:szCs w:val="13"/>
              </w:rPr>
            </w:pPr>
          </w:p>
        </w:tc>
      </w:tr>
      <w:tr>
        <w:tblPrEx>
          <w:tblCellMar>
            <w:top w:w="0" w:type="dxa"/>
            <w:left w:w="108" w:type="dxa"/>
            <w:bottom w:w="0" w:type="dxa"/>
            <w:right w:w="108" w:type="dxa"/>
          </w:tblCellMar>
        </w:tblPrEx>
        <w:trPr>
          <w:trHeight w:val="6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社会效益</w:t>
            </w:r>
          </w:p>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auto"/>
                <w:kern w:val="0"/>
                <w:sz w:val="18"/>
                <w:szCs w:val="18"/>
              </w:rPr>
            </w:pPr>
            <w:r>
              <w:rPr>
                <w:rFonts w:hint="eastAsia" w:ascii="Times New Roman" w:hAnsi="Times New Roman"/>
                <w:color w:val="auto"/>
                <w:kern w:val="0"/>
                <w:sz w:val="18"/>
                <w:szCs w:val="18"/>
              </w:rPr>
              <w:t>促进中方县城的经济建设和发展</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有所提高</w:t>
            </w:r>
          </w:p>
        </w:tc>
        <w:tc>
          <w:tcPr>
            <w:tcW w:w="793"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有所提高</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3"/>
                <w:szCs w:val="13"/>
              </w:rPr>
            </w:pPr>
          </w:p>
        </w:tc>
      </w:tr>
      <w:tr>
        <w:tblPrEx>
          <w:tblCellMar>
            <w:top w:w="0" w:type="dxa"/>
            <w:left w:w="108" w:type="dxa"/>
            <w:bottom w:w="0" w:type="dxa"/>
            <w:right w:w="108" w:type="dxa"/>
          </w:tblCellMar>
        </w:tblPrEx>
        <w:trPr>
          <w:trHeight w:val="91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生态效益</w:t>
            </w:r>
          </w:p>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auto"/>
                <w:kern w:val="0"/>
                <w:sz w:val="18"/>
                <w:szCs w:val="18"/>
              </w:rPr>
            </w:pPr>
            <w:r>
              <w:rPr>
                <w:rFonts w:hint="eastAsia" w:ascii="Times New Roman" w:hAnsi="Times New Roman"/>
                <w:color w:val="auto"/>
                <w:kern w:val="0"/>
                <w:sz w:val="18"/>
                <w:szCs w:val="18"/>
              </w:rPr>
              <w:t>拆除了大量乱搭乱建，促进了城市美观和环境改善</w:t>
            </w:r>
          </w:p>
        </w:tc>
        <w:tc>
          <w:tcPr>
            <w:tcW w:w="97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有所提高</w:t>
            </w:r>
          </w:p>
        </w:tc>
        <w:tc>
          <w:tcPr>
            <w:tcW w:w="7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有所提高</w:t>
            </w: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3"/>
                <w:szCs w:val="13"/>
              </w:rPr>
            </w:pPr>
          </w:p>
        </w:tc>
      </w:tr>
      <w:tr>
        <w:tblPrEx>
          <w:tblCellMar>
            <w:top w:w="0" w:type="dxa"/>
            <w:left w:w="108" w:type="dxa"/>
            <w:bottom w:w="0" w:type="dxa"/>
            <w:right w:w="108" w:type="dxa"/>
          </w:tblCellMar>
        </w:tblPrEx>
        <w:trPr>
          <w:trHeight w:val="70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可持续影响指标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auto"/>
                <w:kern w:val="0"/>
                <w:sz w:val="18"/>
                <w:szCs w:val="18"/>
              </w:rPr>
            </w:pPr>
            <w:r>
              <w:rPr>
                <w:rFonts w:hint="eastAsia" w:ascii="Times New Roman" w:hAnsi="Times New Roman"/>
                <w:color w:val="auto"/>
                <w:kern w:val="0"/>
                <w:sz w:val="18"/>
                <w:szCs w:val="18"/>
              </w:rPr>
              <w:t>规范了建设秩序打造宜居生活环境</w:t>
            </w:r>
          </w:p>
        </w:tc>
        <w:tc>
          <w:tcPr>
            <w:tcW w:w="97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eastAsia="zh-CN"/>
              </w:rPr>
            </w:pPr>
            <w:r>
              <w:rPr>
                <w:rFonts w:hint="eastAsia" w:ascii="Times New Roman" w:hAnsi="Times New Roman"/>
                <w:color w:val="auto"/>
                <w:kern w:val="0"/>
                <w:sz w:val="18"/>
                <w:szCs w:val="18"/>
                <w:lang w:eastAsia="zh-CN"/>
              </w:rPr>
              <w:t>长效</w:t>
            </w:r>
          </w:p>
        </w:tc>
        <w:tc>
          <w:tcPr>
            <w:tcW w:w="7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lang w:eastAsia="zh-CN"/>
              </w:rPr>
              <w:t>长效</w:t>
            </w: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3"/>
                <w:szCs w:val="13"/>
              </w:rPr>
            </w:pPr>
          </w:p>
        </w:tc>
      </w:tr>
      <w:tr>
        <w:tblPrEx>
          <w:tblCellMar>
            <w:top w:w="0" w:type="dxa"/>
            <w:left w:w="108" w:type="dxa"/>
            <w:bottom w:w="0" w:type="dxa"/>
            <w:right w:w="108" w:type="dxa"/>
          </w:tblCellMar>
        </w:tblPrEx>
        <w:trPr>
          <w:trHeight w:val="99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满意度</w:t>
            </w:r>
          </w:p>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指标</w:t>
            </w:r>
            <w:r>
              <w:rPr>
                <w:rFonts w:ascii="Times New Roman" w:hAnsi="Times New Roman"/>
                <w:color w:val="auto"/>
                <w:kern w:val="0"/>
                <w:sz w:val="20"/>
                <w:szCs w:val="20"/>
              </w:rPr>
              <w:t>(10分)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服务对象满意度指标</w:t>
            </w:r>
          </w:p>
        </w:tc>
        <w:tc>
          <w:tcPr>
            <w:tcW w:w="214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Times New Roman" w:hAnsi="Times New Roman"/>
                <w:color w:val="auto"/>
                <w:kern w:val="0"/>
                <w:sz w:val="18"/>
                <w:szCs w:val="18"/>
              </w:rPr>
            </w:pPr>
            <w:r>
              <w:rPr>
                <w:rFonts w:hint="eastAsia" w:ascii="Times New Roman" w:hAnsi="Times New Roman"/>
                <w:color w:val="auto"/>
                <w:kern w:val="0"/>
                <w:sz w:val="18"/>
                <w:szCs w:val="18"/>
              </w:rPr>
              <w:t>市民满意度</w:t>
            </w:r>
          </w:p>
        </w:tc>
        <w:tc>
          <w:tcPr>
            <w:tcW w:w="97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100%</w:t>
            </w:r>
          </w:p>
        </w:tc>
        <w:tc>
          <w:tcPr>
            <w:tcW w:w="79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hint="eastAsia" w:ascii="Times New Roman" w:hAnsi="Times New Roman"/>
                <w:color w:val="auto"/>
                <w:kern w:val="0"/>
                <w:sz w:val="18"/>
                <w:szCs w:val="18"/>
                <w:lang w:val="en-US" w:eastAsia="zh-CN"/>
              </w:rPr>
              <w:t>92%</w:t>
            </w:r>
          </w:p>
        </w:tc>
        <w:tc>
          <w:tcPr>
            <w:tcW w:w="49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10</w:t>
            </w:r>
          </w:p>
        </w:tc>
        <w:tc>
          <w:tcPr>
            <w:tcW w:w="56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3"/>
                <w:szCs w:val="13"/>
              </w:rPr>
            </w:pPr>
          </w:p>
        </w:tc>
      </w:tr>
      <w:tr>
        <w:tblPrEx>
          <w:tblCellMar>
            <w:top w:w="0" w:type="dxa"/>
            <w:left w:w="108" w:type="dxa"/>
            <w:bottom w:w="0" w:type="dxa"/>
            <w:right w:w="108" w:type="dxa"/>
          </w:tblCellMar>
        </w:tblPrEx>
        <w:trPr>
          <w:trHeight w:val="494" w:hRule="exact"/>
          <w:jc w:val="center"/>
        </w:trPr>
        <w:tc>
          <w:tcPr>
            <w:tcW w:w="6600"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总分</w:t>
            </w:r>
          </w:p>
        </w:tc>
        <w:tc>
          <w:tcPr>
            <w:tcW w:w="49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r>
              <w:rPr>
                <w:rFonts w:ascii="Times New Roman" w:hAnsi="Times New Roman"/>
                <w:color w:val="auto"/>
                <w:kern w:val="0"/>
                <w:sz w:val="18"/>
                <w:szCs w:val="18"/>
              </w:rPr>
              <w:t>100</w:t>
            </w:r>
          </w:p>
        </w:tc>
        <w:tc>
          <w:tcPr>
            <w:tcW w:w="56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auto"/>
                <w:kern w:val="0"/>
                <w:sz w:val="18"/>
                <w:szCs w:val="18"/>
                <w:lang w:val="en-US" w:eastAsia="zh-CN"/>
              </w:rPr>
            </w:pPr>
            <w:r>
              <w:rPr>
                <w:rFonts w:hint="eastAsia" w:ascii="Times New Roman" w:hAnsi="Times New Roman"/>
                <w:color w:val="auto"/>
                <w:kern w:val="0"/>
                <w:sz w:val="18"/>
                <w:szCs w:val="18"/>
                <w:lang w:val="en-US" w:eastAsia="zh-CN"/>
              </w:rPr>
              <w:t>99</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auto"/>
                <w:kern w:val="0"/>
                <w:sz w:val="18"/>
                <w:szCs w:val="18"/>
              </w:rPr>
            </w:pPr>
          </w:p>
        </w:tc>
      </w:tr>
    </w:tbl>
    <w:tbl>
      <w:tblPr>
        <w:tblStyle w:val="5"/>
        <w:tblpPr w:leftFromText="180" w:rightFromText="180" w:vertAnchor="text" w:horzAnchor="page" w:tblpX="1575" w:tblpY="151"/>
        <w:tblOverlap w:val="never"/>
        <w:tblW w:w="9540" w:type="dxa"/>
        <w:tblInd w:w="0"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auto"/>
                <w:kern w:val="0"/>
                <w:sz w:val="18"/>
                <w:szCs w:val="18"/>
              </w:rPr>
            </w:pPr>
            <w:r>
              <w:rPr>
                <w:rFonts w:ascii="Times New Roman" w:hAnsi="Times New Roman"/>
                <w:color w:val="auto"/>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auto"/>
                <w:kern w:val="0"/>
                <w:sz w:val="18"/>
                <w:szCs w:val="18"/>
              </w:rPr>
            </w:pPr>
            <w:r>
              <w:rPr>
                <w:rFonts w:ascii="Times New Roman" w:hAnsi="Times New Roman"/>
                <w:color w:val="auto"/>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auto"/>
                <w:kern w:val="0"/>
                <w:sz w:val="18"/>
                <w:szCs w:val="18"/>
              </w:rPr>
            </w:pPr>
            <w:r>
              <w:rPr>
                <w:rFonts w:ascii="Times New Roman" w:hAnsi="Times New Roman"/>
                <w:color w:val="auto"/>
                <w:kern w:val="0"/>
                <w:sz w:val="18"/>
                <w:szCs w:val="18"/>
              </w:rPr>
              <w:t xml:space="preserve">    3.定量指标若为正向指标（即指标值为≥*），则得分计算方法应用全年实际值（B）/年度指标值（A）</w:t>
            </w:r>
            <w:r>
              <w:rPr>
                <w:rFonts w:ascii="Times New Roman" w:hAnsi="Times New Roman"/>
                <w:color w:val="auto"/>
                <w:kern w:val="0"/>
                <w:sz w:val="12"/>
                <w:szCs w:val="12"/>
              </w:rPr>
              <w:t>╳</w:t>
            </w:r>
            <w:r>
              <w:rPr>
                <w:rFonts w:ascii="Times New Roman" w:hAnsi="Times New Roman"/>
                <w:color w:val="auto"/>
                <w:kern w:val="0"/>
                <w:sz w:val="18"/>
                <w:szCs w:val="18"/>
              </w:rPr>
              <w:t>该指标分值；若定量指标为反向指标（即指标值为≤*），则得分计算方法应用年度指标值（A）/全年实际值（B）</w:t>
            </w:r>
            <w:r>
              <w:rPr>
                <w:rFonts w:ascii="Times New Roman" w:hAnsi="Times New Roman"/>
                <w:color w:val="auto"/>
                <w:kern w:val="0"/>
                <w:sz w:val="12"/>
                <w:szCs w:val="12"/>
              </w:rPr>
              <w:t>╳</w:t>
            </w:r>
            <w:r>
              <w:rPr>
                <w:rFonts w:ascii="Times New Roman" w:hAnsi="Times New Roman"/>
                <w:color w:val="auto"/>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auto"/>
                <w:kern w:val="0"/>
                <w:sz w:val="18"/>
                <w:szCs w:val="18"/>
              </w:rPr>
            </w:pPr>
            <w:r>
              <w:rPr>
                <w:rFonts w:ascii="Times New Roman" w:hAnsi="Times New Roman"/>
                <w:color w:val="auto"/>
                <w:kern w:val="0"/>
                <w:sz w:val="18"/>
                <w:szCs w:val="18"/>
              </w:rPr>
              <w:t xml:space="preserve">    4.请在“偏差原因分析及改进措施”中说明偏离目标、不能完成目标的原因及拟采取的措施。</w:t>
            </w:r>
          </w:p>
        </w:tc>
      </w:tr>
    </w:tbl>
    <w:p>
      <w:pPr>
        <w:widowControl/>
        <w:spacing w:line="400" w:lineRule="exact"/>
        <w:jc w:val="left"/>
        <w:rPr>
          <w:color w:val="auto"/>
          <w:sz w:val="18"/>
        </w:rPr>
      </w:pPr>
      <w:r>
        <w:rPr>
          <w:color w:val="auto"/>
          <w:sz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6400800" cy="12382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pt;margin-top:14.6pt;height:9.75pt;width:504pt;z-index:251659264;mso-width-relative:page;mso-height-relative:page;" fillcolor="#FFFFFF" filled="t" stroked="t" coordsize="21600,21600" o:gfxdata="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ptq1wAAAAkBAAAPAAAAAAAAAAEAIAAAACIAAABkcnMvZG93bnJldi54bWxQSwEC&#10;FAAUAAAACACHTuJAyINEW/UBAAAeBAAADgAAAAAAAAABACAAAAAmAQAAZHJzL2Uyb0RvYy54bWxQ&#10;SwUGAAAAAAYABgBZAQAAjQUAAAAA&#10;">
                <v:fill on="t" focussize="0,0"/>
                <v:stroke color="#FFFFFF" joinstyle="miter"/>
                <v:imagedata o:title=""/>
                <o:lock v:ext="edit" aspectratio="f"/>
              </v:rect>
            </w:pict>
          </mc:Fallback>
        </mc:AlternateContent>
      </w:r>
    </w:p>
    <w:p>
      <w:pPr>
        <w:tabs>
          <w:tab w:val="left" w:pos="1776"/>
        </w:tabs>
        <w:bidi w:val="0"/>
        <w:jc w:val="left"/>
        <w:rPr>
          <w:color w:val="auto"/>
          <w:lang w:val="en-US" w:eastAsia="zh-CN"/>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8"/>
        <w:spacing w:line="510" w:lineRule="exact"/>
        <w:jc w:val="left"/>
        <w:rPr>
          <w:rFonts w:ascii="Times New Roman" w:hAnsi="Times New Roman" w:eastAsia="宋体"/>
          <w:bCs/>
          <w:color w:val="auto"/>
          <w:sz w:val="36"/>
          <w:szCs w:val="28"/>
        </w:rPr>
      </w:pPr>
      <w:r>
        <w:rPr>
          <w:rFonts w:hint="eastAsia" w:ascii="Times New Roman" w:hAnsi="Times New Roman" w:eastAsia="仿宋"/>
          <w:color w:val="auto"/>
          <w:sz w:val="32"/>
          <w:szCs w:val="32"/>
          <w:lang w:eastAsia="zh-CN"/>
        </w:rPr>
        <w:t>附件</w:t>
      </w:r>
      <w:r>
        <w:rPr>
          <w:rFonts w:hint="eastAsia" w:ascii="Times New Roman" w:hAnsi="Times New Roman" w:eastAsia="仿宋"/>
          <w:color w:val="auto"/>
          <w:sz w:val="32"/>
          <w:szCs w:val="32"/>
          <w:lang w:val="en-US" w:eastAsia="zh-CN"/>
        </w:rPr>
        <w:t>2</w:t>
      </w:r>
    </w:p>
    <w:p>
      <w:pPr>
        <w:pStyle w:val="2"/>
        <w:spacing w:before="0" w:after="0" w:line="240" w:lineRule="auto"/>
        <w:jc w:val="center"/>
        <w:rPr>
          <w:rFonts w:ascii="Times New Roman" w:hAnsi="Times New Roman" w:eastAsia="宋体"/>
          <w:bCs/>
          <w:color w:val="auto"/>
          <w:sz w:val="36"/>
          <w:szCs w:val="28"/>
        </w:rPr>
      </w:pPr>
      <w:r>
        <w:rPr>
          <w:rFonts w:ascii="Times New Roman" w:hAnsi="Times New Roman" w:eastAsia="宋体"/>
          <w:bCs/>
          <w:color w:val="auto"/>
          <w:sz w:val="36"/>
          <w:szCs w:val="28"/>
        </w:rPr>
        <w:t>项目支出绩效评价共性指标表</w:t>
      </w:r>
    </w:p>
    <w:tbl>
      <w:tblPr>
        <w:tblStyle w:val="5"/>
        <w:tblpPr w:leftFromText="180" w:rightFromText="180" w:vertAnchor="text" w:horzAnchor="page" w:tblpX="2121" w:tblpY="832"/>
        <w:tblOverlap w:val="never"/>
        <w:tblW w:w="1258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trPr>
        <w:tc>
          <w:tcPr>
            <w:tcW w:w="682" w:type="dxa"/>
            <w:shd w:val="clear" w:color="auto" w:fill="FFFFFF"/>
            <w:noWrap w:val="0"/>
            <w:vAlign w:val="center"/>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分</w:t>
            </w:r>
          </w:p>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auto"/>
                <w:kern w:val="0"/>
                <w:sz w:val="22"/>
                <w:szCs w:val="22"/>
              </w:rPr>
            </w:pPr>
            <w:r>
              <w:rPr>
                <w:rFonts w:ascii="Times New Roman" w:hAnsi="Times New Roman"/>
                <w:b/>
                <w:bCs/>
                <w:color w:val="auto"/>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trPr>
        <w:tc>
          <w:tcPr>
            <w:tcW w:w="682"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决策　</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　</w:t>
            </w:r>
          </w:p>
          <w:p>
            <w:pPr>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立项依据</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①项目立项是否符合国家法律法规、国民经济发展规划和相关政策；</w:t>
            </w:r>
            <w:r>
              <w:rPr>
                <w:rFonts w:ascii="Times New Roman" w:hAnsi="Times New Roman"/>
                <w:color w:val="auto"/>
                <w:kern w:val="0"/>
                <w:sz w:val="22"/>
                <w:szCs w:val="22"/>
              </w:rPr>
              <w:br w:type="textWrapping"/>
            </w:r>
            <w:r>
              <w:rPr>
                <w:rFonts w:ascii="Times New Roman" w:hAnsi="Times New Roman"/>
                <w:color w:val="auto"/>
                <w:kern w:val="0"/>
                <w:sz w:val="22"/>
                <w:szCs w:val="22"/>
              </w:rPr>
              <w:t>②项目立项是否符合行业发展规划和政策要求；</w:t>
            </w:r>
            <w:r>
              <w:rPr>
                <w:rFonts w:ascii="Times New Roman" w:hAnsi="Times New Roman"/>
                <w:color w:val="auto"/>
                <w:kern w:val="0"/>
                <w:sz w:val="22"/>
                <w:szCs w:val="22"/>
              </w:rPr>
              <w:br w:type="textWrapping"/>
            </w:r>
            <w:r>
              <w:rPr>
                <w:rFonts w:ascii="Times New Roman" w:hAnsi="Times New Roman"/>
                <w:color w:val="auto"/>
                <w:kern w:val="0"/>
                <w:sz w:val="22"/>
                <w:szCs w:val="22"/>
              </w:rPr>
              <w:t>③项目立项是否与部门职责范围相符，属于部门履职所需；</w:t>
            </w:r>
            <w:r>
              <w:rPr>
                <w:rFonts w:ascii="Times New Roman" w:hAnsi="Times New Roman"/>
                <w:color w:val="auto"/>
                <w:kern w:val="0"/>
                <w:sz w:val="22"/>
                <w:szCs w:val="22"/>
              </w:rPr>
              <w:br w:type="textWrapping"/>
            </w:r>
            <w:r>
              <w:rPr>
                <w:rFonts w:ascii="Times New Roman" w:hAnsi="Times New Roman"/>
                <w:color w:val="auto"/>
                <w:kern w:val="0"/>
                <w:sz w:val="22"/>
                <w:szCs w:val="22"/>
              </w:rPr>
              <w:t>④项目是否属于公共财政支持范围，是否符合中央、地方事权支出责任划分原则；</w:t>
            </w:r>
            <w:r>
              <w:rPr>
                <w:rFonts w:ascii="Times New Roman" w:hAnsi="Times New Roman"/>
                <w:color w:val="auto"/>
                <w:kern w:val="0"/>
                <w:sz w:val="22"/>
                <w:szCs w:val="22"/>
              </w:rPr>
              <w:br w:type="textWrapping"/>
            </w:r>
            <w:r>
              <w:rPr>
                <w:rFonts w:ascii="Times New Roman" w:hAnsi="Times New Roman"/>
                <w:color w:val="auto"/>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trPr>
        <w:tc>
          <w:tcPr>
            <w:tcW w:w="682"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立项程序</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①项目是否按照规定的程序申请设立；</w:t>
            </w:r>
            <w:r>
              <w:rPr>
                <w:rFonts w:ascii="Times New Roman" w:hAnsi="Times New Roman"/>
                <w:color w:val="auto"/>
                <w:kern w:val="0"/>
                <w:sz w:val="22"/>
                <w:szCs w:val="22"/>
              </w:rPr>
              <w:br w:type="textWrapping"/>
            </w:r>
            <w:r>
              <w:rPr>
                <w:rFonts w:ascii="Times New Roman" w:hAnsi="Times New Roman"/>
                <w:color w:val="auto"/>
                <w:kern w:val="0"/>
                <w:sz w:val="22"/>
                <w:szCs w:val="22"/>
              </w:rPr>
              <w:t>②审批文件、材料是否符合相关要求；</w:t>
            </w:r>
            <w:r>
              <w:rPr>
                <w:rFonts w:ascii="Times New Roman" w:hAnsi="Times New Roman"/>
                <w:color w:val="auto"/>
                <w:kern w:val="0"/>
                <w:sz w:val="22"/>
                <w:szCs w:val="22"/>
              </w:rPr>
              <w:br w:type="textWrapping"/>
            </w:r>
            <w:r>
              <w:rPr>
                <w:rFonts w:ascii="Times New Roman" w:hAnsi="Times New Roman"/>
                <w:color w:val="auto"/>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trPr>
        <w:tc>
          <w:tcPr>
            <w:tcW w:w="682"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绩效目标</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（如未设定预算绩效目标，也可考核其他工作任务目标）</w:t>
            </w:r>
            <w:r>
              <w:rPr>
                <w:rFonts w:ascii="Times New Roman" w:hAnsi="Times New Roman"/>
                <w:color w:val="auto"/>
                <w:kern w:val="0"/>
                <w:sz w:val="22"/>
                <w:szCs w:val="22"/>
              </w:rPr>
              <w:br w:type="textWrapping"/>
            </w:r>
            <w:r>
              <w:rPr>
                <w:rFonts w:ascii="Times New Roman" w:hAnsi="Times New Roman"/>
                <w:color w:val="auto"/>
                <w:kern w:val="0"/>
                <w:sz w:val="22"/>
                <w:szCs w:val="22"/>
              </w:rPr>
              <w:t>①项目是否有绩效目标；</w:t>
            </w:r>
            <w:r>
              <w:rPr>
                <w:rFonts w:ascii="Times New Roman" w:hAnsi="Times New Roman"/>
                <w:color w:val="auto"/>
                <w:kern w:val="0"/>
                <w:sz w:val="22"/>
                <w:szCs w:val="22"/>
              </w:rPr>
              <w:br w:type="textWrapping"/>
            </w:r>
            <w:r>
              <w:rPr>
                <w:rFonts w:ascii="Times New Roman" w:hAnsi="Times New Roman"/>
                <w:color w:val="auto"/>
                <w:kern w:val="0"/>
                <w:sz w:val="22"/>
                <w:szCs w:val="22"/>
              </w:rPr>
              <w:t>②项目绩效目标与实际工作内容是否具有相关性；</w:t>
            </w:r>
            <w:r>
              <w:rPr>
                <w:rFonts w:ascii="Times New Roman" w:hAnsi="Times New Roman"/>
                <w:color w:val="auto"/>
                <w:kern w:val="0"/>
                <w:sz w:val="22"/>
                <w:szCs w:val="22"/>
              </w:rPr>
              <w:br w:type="textWrapping"/>
            </w:r>
            <w:r>
              <w:rPr>
                <w:rFonts w:ascii="Times New Roman" w:hAnsi="Times New Roman"/>
                <w:color w:val="auto"/>
                <w:kern w:val="0"/>
                <w:sz w:val="22"/>
                <w:szCs w:val="22"/>
              </w:rPr>
              <w:t>③项目预期产出效益和效果是否符合正常的业绩水平；</w:t>
            </w:r>
          </w:p>
          <w:p>
            <w:pPr>
              <w:widowControl/>
              <w:spacing w:line="0" w:lineRule="atLeast"/>
              <w:jc w:val="left"/>
              <w:rPr>
                <w:rFonts w:ascii="Times New Roman" w:hAnsi="Times New Roman"/>
                <w:color w:val="auto"/>
                <w:kern w:val="0"/>
                <w:sz w:val="22"/>
                <w:szCs w:val="22"/>
              </w:rPr>
            </w:pPr>
            <w:r>
              <w:rPr>
                <w:rFonts w:ascii="Times New Roman" w:hAnsi="Times New Roman"/>
                <w:color w:val="auto"/>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trPr>
        <w:tc>
          <w:tcPr>
            <w:tcW w:w="682"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绩效指标</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①是否将项目绩效目标细化分解为具体的绩效指标；</w:t>
            </w:r>
            <w:r>
              <w:rPr>
                <w:rFonts w:ascii="Times New Roman" w:hAnsi="Times New Roman"/>
                <w:color w:val="auto"/>
                <w:kern w:val="0"/>
                <w:sz w:val="22"/>
                <w:szCs w:val="22"/>
              </w:rPr>
              <w:br w:type="textWrapping"/>
            </w:r>
            <w:r>
              <w:rPr>
                <w:rFonts w:ascii="Times New Roman" w:hAnsi="Times New Roman"/>
                <w:color w:val="auto"/>
                <w:kern w:val="0"/>
                <w:sz w:val="22"/>
                <w:szCs w:val="22"/>
              </w:rPr>
              <w:t>②是否通过清晰、可衡量的指标值予以体现；</w:t>
            </w:r>
            <w:r>
              <w:rPr>
                <w:rFonts w:ascii="Times New Roman" w:hAnsi="Times New Roman"/>
                <w:color w:val="auto"/>
                <w:kern w:val="0"/>
                <w:sz w:val="22"/>
                <w:szCs w:val="22"/>
              </w:rPr>
              <w:br w:type="textWrapping"/>
            </w:r>
            <w:r>
              <w:rPr>
                <w:rFonts w:ascii="Times New Roman" w:hAnsi="Times New Roman"/>
                <w:color w:val="auto"/>
                <w:kern w:val="0"/>
                <w:sz w:val="22"/>
                <w:szCs w:val="22"/>
              </w:rPr>
              <w:t>③是否与项目目标任务数或计划数相对应。</w:t>
            </w:r>
            <w:r>
              <w:rPr>
                <w:rFonts w:ascii="Times New Roman" w:hAnsi="Times New Roman"/>
                <w:color w:val="auto"/>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trPr>
        <w:tc>
          <w:tcPr>
            <w:tcW w:w="682"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资金投入</w:t>
            </w:r>
          </w:p>
          <w:p>
            <w:pPr>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预算编制</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①预算编制是否经过科学论证；</w:t>
            </w:r>
            <w:r>
              <w:rPr>
                <w:rFonts w:ascii="Times New Roman" w:hAnsi="Times New Roman"/>
                <w:color w:val="auto"/>
                <w:kern w:val="0"/>
                <w:sz w:val="22"/>
                <w:szCs w:val="22"/>
              </w:rPr>
              <w:br w:type="textWrapping"/>
            </w:r>
            <w:r>
              <w:rPr>
                <w:rFonts w:ascii="Times New Roman" w:hAnsi="Times New Roman"/>
                <w:color w:val="auto"/>
                <w:kern w:val="0"/>
                <w:sz w:val="22"/>
                <w:szCs w:val="22"/>
              </w:rPr>
              <w:t>②预算内容与项目内容是否匹配；</w:t>
            </w:r>
            <w:r>
              <w:rPr>
                <w:rFonts w:ascii="Times New Roman" w:hAnsi="Times New Roman"/>
                <w:color w:val="auto"/>
                <w:kern w:val="0"/>
                <w:sz w:val="22"/>
                <w:szCs w:val="22"/>
              </w:rPr>
              <w:br w:type="textWrapping"/>
            </w:r>
            <w:r>
              <w:rPr>
                <w:rFonts w:ascii="Times New Roman" w:hAnsi="Times New Roman"/>
                <w:color w:val="auto"/>
                <w:kern w:val="0"/>
                <w:sz w:val="22"/>
                <w:szCs w:val="22"/>
              </w:rPr>
              <w:t>③预算额度测算依据是否充分，是否按照标准编制；</w:t>
            </w:r>
            <w:r>
              <w:rPr>
                <w:rFonts w:ascii="Times New Roman" w:hAnsi="Times New Roman"/>
                <w:color w:val="auto"/>
                <w:kern w:val="0"/>
                <w:sz w:val="22"/>
                <w:szCs w:val="22"/>
              </w:rPr>
              <w:br w:type="textWrapping"/>
            </w:r>
            <w:r>
              <w:rPr>
                <w:rFonts w:ascii="Times New Roman" w:hAnsi="Times New Roman"/>
                <w:color w:val="auto"/>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trPr>
        <w:tc>
          <w:tcPr>
            <w:tcW w:w="682"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资金分配</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①预算资金分配依据是否充分；</w:t>
            </w:r>
            <w:r>
              <w:rPr>
                <w:rFonts w:ascii="Times New Roman" w:hAnsi="Times New Roman"/>
                <w:color w:val="auto"/>
                <w:kern w:val="0"/>
                <w:sz w:val="22"/>
                <w:szCs w:val="22"/>
              </w:rPr>
              <w:br w:type="textWrapping"/>
            </w:r>
            <w:r>
              <w:rPr>
                <w:rFonts w:ascii="Times New Roman" w:hAnsi="Times New Roman"/>
                <w:color w:val="auto"/>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trPr>
        <w:tc>
          <w:tcPr>
            <w:tcW w:w="682" w:type="dxa"/>
            <w:vMerge w:val="restart"/>
            <w:shd w:val="clear" w:color="auto" w:fill="FFFFFF"/>
            <w:noWrap w:val="0"/>
            <w:vAlign w:val="center"/>
          </w:tcPr>
          <w:p>
            <w:pPr>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资金到位率=（实际到位资金/预算资金）×100%。</w:t>
            </w:r>
          </w:p>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实际到位资金：一定时期（本年度或项目期）内落实到具体项目的资金。</w:t>
            </w:r>
          </w:p>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trPr>
        <w:tc>
          <w:tcPr>
            <w:tcW w:w="682"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预算执行率=（实际支出资金/实际到位资金）×100%。</w:t>
            </w:r>
            <w:r>
              <w:rPr>
                <w:rFonts w:ascii="Times New Roman" w:hAnsi="Times New Roman"/>
                <w:color w:val="auto"/>
                <w:kern w:val="0"/>
                <w:sz w:val="22"/>
                <w:szCs w:val="22"/>
              </w:rPr>
              <w:br w:type="textWrapping"/>
            </w:r>
            <w:r>
              <w:rPr>
                <w:rFonts w:ascii="Times New Roman" w:hAnsi="Times New Roman"/>
                <w:color w:val="auto"/>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trPr>
        <w:tc>
          <w:tcPr>
            <w:tcW w:w="682"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　</w:t>
            </w:r>
          </w:p>
          <w:p>
            <w:pPr>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资金使用</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①是否符合国家财经法规和财务管理制度以及有关专项资金管理办法的规定；</w:t>
            </w:r>
            <w:r>
              <w:rPr>
                <w:rFonts w:ascii="Times New Roman" w:hAnsi="Times New Roman"/>
                <w:color w:val="auto"/>
                <w:kern w:val="0"/>
                <w:sz w:val="22"/>
                <w:szCs w:val="22"/>
              </w:rPr>
              <w:br w:type="textWrapping"/>
            </w:r>
            <w:r>
              <w:rPr>
                <w:rFonts w:ascii="Times New Roman" w:hAnsi="Times New Roman"/>
                <w:color w:val="auto"/>
                <w:kern w:val="0"/>
                <w:sz w:val="22"/>
                <w:szCs w:val="22"/>
              </w:rPr>
              <w:t>②资金的拨付是否有完整的审批程序和手续；</w:t>
            </w:r>
            <w:r>
              <w:rPr>
                <w:rFonts w:ascii="Times New Roman" w:hAnsi="Times New Roman"/>
                <w:color w:val="auto"/>
                <w:kern w:val="0"/>
                <w:sz w:val="22"/>
                <w:szCs w:val="22"/>
              </w:rPr>
              <w:br w:type="textWrapping"/>
            </w:r>
            <w:r>
              <w:rPr>
                <w:rFonts w:ascii="Times New Roman" w:hAnsi="Times New Roman"/>
                <w:color w:val="auto"/>
                <w:kern w:val="0"/>
                <w:sz w:val="22"/>
                <w:szCs w:val="22"/>
              </w:rPr>
              <w:t>③是否符合项目预算批复或合同规定的用途；</w:t>
            </w:r>
            <w:r>
              <w:rPr>
                <w:rFonts w:ascii="Times New Roman" w:hAnsi="Times New Roman"/>
                <w:color w:val="auto"/>
                <w:kern w:val="0"/>
                <w:sz w:val="22"/>
                <w:szCs w:val="22"/>
              </w:rPr>
              <w:br w:type="textWrapping"/>
            </w:r>
            <w:r>
              <w:rPr>
                <w:rFonts w:ascii="Times New Roman" w:hAnsi="Times New Roman"/>
                <w:color w:val="auto"/>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trPr>
        <w:tc>
          <w:tcPr>
            <w:tcW w:w="682"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组织实施</w:t>
            </w:r>
          </w:p>
          <w:p>
            <w:pPr>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管理制度</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①是否已制定或具有相应的财务和业务管理制度；</w:t>
            </w:r>
            <w:r>
              <w:rPr>
                <w:rFonts w:ascii="Times New Roman" w:hAnsi="Times New Roman"/>
                <w:color w:val="auto"/>
                <w:kern w:val="0"/>
                <w:sz w:val="22"/>
                <w:szCs w:val="22"/>
              </w:rPr>
              <w:br w:type="textWrapping"/>
            </w:r>
            <w:r>
              <w:rPr>
                <w:rFonts w:ascii="Times New Roman" w:hAnsi="Times New Roman"/>
                <w:color w:val="auto"/>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trPr>
        <w:tc>
          <w:tcPr>
            <w:tcW w:w="682"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制度执行</w:t>
            </w:r>
          </w:p>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评价要点：</w:t>
            </w:r>
            <w:r>
              <w:rPr>
                <w:rFonts w:ascii="Times New Roman" w:hAnsi="Times New Roman"/>
                <w:color w:val="auto"/>
                <w:kern w:val="0"/>
                <w:sz w:val="22"/>
                <w:szCs w:val="22"/>
              </w:rPr>
              <w:br w:type="textWrapping"/>
            </w:r>
            <w:r>
              <w:rPr>
                <w:rFonts w:ascii="Times New Roman" w:hAnsi="Times New Roman"/>
                <w:color w:val="auto"/>
                <w:kern w:val="0"/>
                <w:sz w:val="22"/>
                <w:szCs w:val="22"/>
              </w:rPr>
              <w:t>①是否遵守相关法律法规和相关管理规定；</w:t>
            </w:r>
            <w:r>
              <w:rPr>
                <w:rFonts w:ascii="Times New Roman" w:hAnsi="Times New Roman"/>
                <w:color w:val="auto"/>
                <w:kern w:val="0"/>
                <w:sz w:val="22"/>
                <w:szCs w:val="22"/>
              </w:rPr>
              <w:br w:type="textWrapping"/>
            </w:r>
            <w:r>
              <w:rPr>
                <w:rFonts w:ascii="Times New Roman" w:hAnsi="Times New Roman"/>
                <w:color w:val="auto"/>
                <w:kern w:val="0"/>
                <w:sz w:val="22"/>
                <w:szCs w:val="22"/>
              </w:rPr>
              <w:t>②项目调整及支出调整手续是否完备；</w:t>
            </w:r>
            <w:r>
              <w:rPr>
                <w:rFonts w:ascii="Times New Roman" w:hAnsi="Times New Roman"/>
                <w:color w:val="auto"/>
                <w:kern w:val="0"/>
                <w:sz w:val="22"/>
                <w:szCs w:val="22"/>
              </w:rPr>
              <w:br w:type="textWrapping"/>
            </w:r>
            <w:r>
              <w:rPr>
                <w:rFonts w:ascii="Times New Roman" w:hAnsi="Times New Roman"/>
                <w:color w:val="auto"/>
                <w:kern w:val="0"/>
                <w:sz w:val="22"/>
                <w:szCs w:val="22"/>
              </w:rPr>
              <w:t>③项目合同书、验收报告、技术鉴定等资料是否齐全并及时归档；</w:t>
            </w:r>
            <w:r>
              <w:rPr>
                <w:rFonts w:ascii="Times New Roman" w:hAnsi="Times New Roman"/>
                <w:color w:val="auto"/>
                <w:kern w:val="0"/>
                <w:sz w:val="22"/>
                <w:szCs w:val="22"/>
              </w:rPr>
              <w:br w:type="textWrapping"/>
            </w:r>
            <w:r>
              <w:rPr>
                <w:rFonts w:ascii="Times New Roman" w:hAnsi="Times New Roman"/>
                <w:color w:val="auto"/>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trPr>
        <w:tc>
          <w:tcPr>
            <w:tcW w:w="682"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实际完成率=（实际产出数/计划产出数）×100%。</w:t>
            </w:r>
            <w:r>
              <w:rPr>
                <w:rFonts w:ascii="Times New Roman" w:hAnsi="Times New Roman"/>
                <w:color w:val="auto"/>
                <w:kern w:val="0"/>
                <w:sz w:val="22"/>
                <w:szCs w:val="22"/>
              </w:rPr>
              <w:br w:type="textWrapping"/>
            </w:r>
            <w:r>
              <w:rPr>
                <w:rFonts w:ascii="Times New Roman" w:hAnsi="Times New Roman"/>
                <w:color w:val="auto"/>
                <w:kern w:val="0"/>
                <w:sz w:val="22"/>
                <w:szCs w:val="22"/>
              </w:rPr>
              <w:t>实际产出数：一定时期（本年度或项目期）内项目实际产出的产品或提供的服务数量。</w:t>
            </w:r>
            <w:r>
              <w:rPr>
                <w:rFonts w:ascii="Times New Roman" w:hAnsi="Times New Roman"/>
                <w:color w:val="auto"/>
                <w:kern w:val="0"/>
                <w:sz w:val="22"/>
                <w:szCs w:val="22"/>
              </w:rPr>
              <w:br w:type="textWrapping"/>
            </w:r>
            <w:r>
              <w:rPr>
                <w:rFonts w:ascii="Times New Roman" w:hAnsi="Times New Roman"/>
                <w:color w:val="auto"/>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trPr>
        <w:tc>
          <w:tcPr>
            <w:tcW w:w="682"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质量达标率=（质量达标产出数/实际产出数）×100%。</w:t>
            </w:r>
          </w:p>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trPr>
        <w:tc>
          <w:tcPr>
            <w:tcW w:w="682" w:type="dxa"/>
            <w:vMerge w:val="continue"/>
            <w:shd w:val="clear" w:color="auto" w:fill="FFFFFF"/>
            <w:noWrap w:val="0"/>
            <w:vAlign w:val="center"/>
          </w:tcPr>
          <w:p>
            <w:pPr>
              <w:spacing w:line="0" w:lineRule="atLeast"/>
              <w:jc w:val="center"/>
              <w:rPr>
                <w:rFonts w:ascii="Times New Roman" w:hAnsi="Times New Roman"/>
                <w:color w:val="auto"/>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实际完成时间：项目实施单位完成该项目实际所耗用的时间。</w:t>
            </w:r>
            <w:r>
              <w:rPr>
                <w:rFonts w:ascii="Times New Roman" w:hAnsi="Times New Roman"/>
                <w:color w:val="auto"/>
                <w:kern w:val="0"/>
                <w:sz w:val="22"/>
                <w:szCs w:val="22"/>
              </w:rPr>
              <w:br w:type="textWrapping"/>
            </w:r>
            <w:r>
              <w:rPr>
                <w:rFonts w:ascii="Times New Roman" w:hAnsi="Times New Roman"/>
                <w:color w:val="auto"/>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trPr>
        <w:tc>
          <w:tcPr>
            <w:tcW w:w="682"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br w:type="textWrapping"/>
            </w:r>
            <w:r>
              <w:rPr>
                <w:rFonts w:ascii="Times New Roman" w:hAnsi="Times New Roman"/>
                <w:color w:val="auto"/>
                <w:kern w:val="0"/>
                <w:sz w:val="22"/>
                <w:szCs w:val="22"/>
              </w:rPr>
              <w:t>成本节约率=[（计划成本-实际成本）/计划成本]×100%。</w:t>
            </w:r>
            <w:r>
              <w:rPr>
                <w:rFonts w:ascii="Times New Roman" w:hAnsi="Times New Roman"/>
                <w:color w:val="auto"/>
                <w:kern w:val="0"/>
                <w:sz w:val="22"/>
                <w:szCs w:val="22"/>
              </w:rPr>
              <w:br w:type="textWrapping"/>
            </w:r>
            <w:r>
              <w:rPr>
                <w:rFonts w:ascii="Times New Roman" w:hAnsi="Times New Roman"/>
                <w:color w:val="auto"/>
                <w:kern w:val="0"/>
                <w:sz w:val="22"/>
                <w:szCs w:val="22"/>
              </w:rPr>
              <w:t>实际成本：项目实施单位如期、保质、保量完成既定工作目标实际所耗费的支出。</w:t>
            </w:r>
            <w:r>
              <w:rPr>
                <w:rFonts w:ascii="Times New Roman" w:hAnsi="Times New Roman"/>
                <w:color w:val="auto"/>
                <w:kern w:val="0"/>
                <w:sz w:val="22"/>
                <w:szCs w:val="22"/>
              </w:rPr>
              <w:br w:type="textWrapping"/>
            </w:r>
            <w:r>
              <w:rPr>
                <w:rFonts w:ascii="Times New Roman" w:hAnsi="Times New Roman"/>
                <w:color w:val="auto"/>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trPr>
        <w:tc>
          <w:tcPr>
            <w:tcW w:w="682"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auto"/>
                <w:kern w:val="0"/>
                <w:sz w:val="22"/>
                <w:szCs w:val="22"/>
              </w:rPr>
            </w:pPr>
            <w:r>
              <w:rPr>
                <w:rFonts w:ascii="Times New Roman" w:hAnsi="Times New Roman"/>
                <w:color w:val="auto"/>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trPr>
        <w:tc>
          <w:tcPr>
            <w:tcW w:w="682"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auto"/>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r>
              <w:rPr>
                <w:rFonts w:ascii="Times New Roman" w:hAnsi="Times New Roman"/>
                <w:color w:val="auto"/>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trPr>
        <w:tc>
          <w:tcPr>
            <w:tcW w:w="2525" w:type="dxa"/>
            <w:gridSpan w:val="3"/>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auto"/>
                <w:kern w:val="0"/>
                <w:sz w:val="22"/>
                <w:szCs w:val="22"/>
              </w:rPr>
            </w:pPr>
            <w:r>
              <w:rPr>
                <w:rFonts w:ascii="Times New Roman" w:hAnsi="Times New Roman"/>
                <w:color w:val="auto"/>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auto"/>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auto"/>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auto"/>
                <w:kern w:val="0"/>
                <w:sz w:val="22"/>
                <w:szCs w:val="22"/>
                <w:lang w:val="en-US" w:eastAsia="zh-CN"/>
              </w:rPr>
            </w:pPr>
            <w:r>
              <w:rPr>
                <w:rFonts w:hint="eastAsia" w:ascii="Times New Roman" w:hAnsi="Times New Roman"/>
                <w:color w:val="auto"/>
                <w:kern w:val="0"/>
                <w:sz w:val="22"/>
                <w:szCs w:val="22"/>
                <w:lang w:val="en-US" w:eastAsia="zh-CN"/>
              </w:rPr>
              <w:t>99</w:t>
            </w:r>
          </w:p>
        </w:tc>
      </w:tr>
    </w:tbl>
    <w:p>
      <w:pPr>
        <w:spacing w:line="560" w:lineRule="exact"/>
        <w:ind w:firstLine="200" w:firstLineChars="100"/>
        <w:rPr>
          <w:rFonts w:hint="eastAsia" w:ascii="Times New Roman" w:hAnsi="Times New Roman" w:eastAsia="仿宋_GB2312"/>
          <w:bCs/>
          <w:color w:val="auto"/>
          <w:sz w:val="32"/>
          <w:szCs w:val="32"/>
          <w:lang w:eastAsia="zh-CN"/>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color w:val="auto"/>
          <w:sz w:val="20"/>
          <w:szCs w:val="20"/>
        </w:rPr>
        <w:t>注：单位可以根据专项资金的管理要求和绩效要求增设个性指标</w:t>
      </w:r>
      <w:r>
        <w:rPr>
          <w:rFonts w:hint="eastAsia" w:ascii="Times New Roman" w:hAnsi="Times New Roman" w:eastAsia="仿宋_GB2312"/>
          <w:color w:val="auto"/>
          <w:sz w:val="20"/>
          <w:szCs w:val="20"/>
          <w:lang w:eastAsia="zh-CN"/>
        </w:rPr>
        <w:t>。</w:t>
      </w:r>
    </w:p>
    <w:p>
      <w:pPr>
        <w:rPr>
          <w:rFonts w:hint="eastAsia" w:ascii="仿宋" w:hAnsi="仿宋" w:eastAsia="仿宋" w:cs="仿宋"/>
          <w:color w:val="auto"/>
          <w:kern w:val="0"/>
          <w:sz w:val="32"/>
          <w:szCs w:val="32"/>
          <w:lang w:val="en-US" w:eastAsia="zh-CN" w:bidi="ar-SA"/>
        </w:rPr>
      </w:pPr>
    </w:p>
    <w:sectPr>
      <w:pgSz w:w="11906" w:h="16838"/>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563FB"/>
    <w:multiLevelType w:val="singleLevel"/>
    <w:tmpl w:val="89D563FB"/>
    <w:lvl w:ilvl="0" w:tentative="0">
      <w:start w:val="1"/>
      <w:numFmt w:val="chineseCounting"/>
      <w:suff w:val="nothing"/>
      <w:lvlText w:val="（%1）"/>
      <w:lvlJc w:val="left"/>
      <w:rPr>
        <w:rFonts w:hint="eastAsia"/>
      </w:rPr>
    </w:lvl>
  </w:abstractNum>
  <w:abstractNum w:abstractNumId="1">
    <w:nsid w:val="E5FACF6D"/>
    <w:multiLevelType w:val="singleLevel"/>
    <w:tmpl w:val="E5FACF6D"/>
    <w:lvl w:ilvl="0" w:tentative="0">
      <w:start w:val="7"/>
      <w:numFmt w:val="chineseCounting"/>
      <w:suff w:val="nothing"/>
      <w:lvlText w:val="%1、"/>
      <w:lvlJc w:val="left"/>
      <w:rPr>
        <w:rFonts w:hint="eastAsia"/>
      </w:rPr>
    </w:lvl>
  </w:abstractNum>
  <w:abstractNum w:abstractNumId="2">
    <w:nsid w:val="3C3EA249"/>
    <w:multiLevelType w:val="singleLevel"/>
    <w:tmpl w:val="3C3EA249"/>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605D"/>
    <w:rsid w:val="01515265"/>
    <w:rsid w:val="0C024639"/>
    <w:rsid w:val="18240202"/>
    <w:rsid w:val="1A58193B"/>
    <w:rsid w:val="20FD210F"/>
    <w:rsid w:val="21B446F2"/>
    <w:rsid w:val="2B772A02"/>
    <w:rsid w:val="372D4628"/>
    <w:rsid w:val="395F3ACF"/>
    <w:rsid w:val="3B254B82"/>
    <w:rsid w:val="4943053D"/>
    <w:rsid w:val="517A605D"/>
    <w:rsid w:val="557A5B01"/>
    <w:rsid w:val="605B7248"/>
    <w:rsid w:val="6271270B"/>
    <w:rsid w:val="6BEC6511"/>
    <w:rsid w:val="70DE0D89"/>
    <w:rsid w:val="72D55C57"/>
    <w:rsid w:val="75941F41"/>
    <w:rsid w:val="7F4244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kern w:val="0"/>
      <w:sz w:val="18"/>
      <w:szCs w:val="18"/>
    </w:rPr>
  </w:style>
  <w:style w:type="paragraph" w:styleId="4">
    <w:name w:val="Normal (Web)"/>
    <w:basedOn w:val="1"/>
    <w:qFormat/>
    <w:uiPriority w:val="0"/>
    <w:pPr>
      <w:widowControl/>
      <w:spacing w:before="100" w:beforeAutospacing="1" w:after="119"/>
      <w:jc w:val="left"/>
    </w:pPr>
    <w:rPr>
      <w:rFonts w:ascii="宋体" w:hAnsi="宋体" w:cs="宋体"/>
      <w:kern w:val="0"/>
      <w:sz w:val="24"/>
    </w:rPr>
  </w:style>
  <w:style w:type="character" w:styleId="7">
    <w:name w:val="Strong"/>
    <w:basedOn w:val="6"/>
    <w:qFormat/>
    <w:uiPriority w:val="0"/>
    <w:rPr>
      <w:rFonts w:cs="Times New Roman"/>
      <w:b/>
    </w:rPr>
  </w:style>
  <w:style w:type="paragraph" w:styleId="8">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2021-07-12T08:06:00Z</dcterms:created>
  <dc:creator>错错错愛</dc:creator>
  <cp:lastModifiedBy>错错错愛</cp:lastModifiedBy>
  <cp:lastPrinted>2021-07-21T01:59:00Z</cp:lastPrinted>
  <dcterms:modified xsi:type="dcterms:W3CDTF">2021-08-02T09:55:59Z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DAD5AD4AA2794CAEAEF399D745B35796</vt:lpwstr>
  </property>
</Properties>
</file>