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6"/>
        <w:spacing w:line="510" w:lineRule="exact"/>
        <w:jc w:val="center"/>
        <w:rPr>
          <w:rFonts w:hint="eastAsia" w:ascii="Times New Roman" w:hAnsi="Times New Roman" w:eastAsia="黑体"/>
          <w:sz w:val="44"/>
          <w:szCs w:val="44"/>
        </w:rPr>
      </w:pPr>
      <w:r>
        <w:rPr>
          <w:rFonts w:hint="eastAsia" w:ascii="Times New Roman" w:hAnsi="Times New Roman" w:eastAsia="黑体"/>
          <w:sz w:val="44"/>
          <w:szCs w:val="44"/>
        </w:rPr>
        <w:t>中方县城市管理行政执法大队2020年度</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hint="eastAsia" w:ascii="黑体" w:hAnsi="黑体" w:eastAsia="黑体" w:cs="黑体"/>
          <w:b w:val="0"/>
          <w:bCs w:val="0"/>
          <w:sz w:val="44"/>
          <w:szCs w:val="44"/>
          <w:lang w:val="en-US" w:eastAsia="zh-CN"/>
        </w:rPr>
      </w:pPr>
      <w:r>
        <w:rPr>
          <w:rFonts w:hint="eastAsia" w:ascii="黑体" w:hAnsi="黑体" w:eastAsia="黑体" w:cs="黑体"/>
          <w:b w:val="0"/>
          <w:bCs w:val="0"/>
          <w:sz w:val="44"/>
          <w:szCs w:val="44"/>
          <w:lang w:val="en-US" w:eastAsia="zh-CN"/>
        </w:rPr>
        <w:t>市政设施日常维修维护</w:t>
      </w:r>
    </w:p>
    <w:p>
      <w:pPr>
        <w:keepNext w:val="0"/>
        <w:keepLines w:val="0"/>
        <w:pageBreakBefore w:val="0"/>
        <w:widowControl w:val="0"/>
        <w:kinsoku/>
        <w:wordWrap/>
        <w:overflowPunct/>
        <w:topLinePunct w:val="0"/>
        <w:autoSpaceDE/>
        <w:autoSpaceDN/>
        <w:bidi w:val="0"/>
        <w:adjustRightInd/>
        <w:snapToGrid/>
        <w:spacing w:line="510" w:lineRule="exact"/>
        <w:jc w:val="center"/>
        <w:textAlignment w:val="auto"/>
        <w:rPr>
          <w:rFonts w:ascii="Times New Roman" w:hAnsi="Times New Roman" w:eastAsia="仿宋"/>
          <w:sz w:val="32"/>
          <w:szCs w:val="32"/>
        </w:rPr>
      </w:pPr>
      <w:r>
        <w:rPr>
          <w:rFonts w:hint="eastAsia" w:ascii="黑体" w:hAnsi="黑体" w:eastAsia="黑体" w:cs="黑体"/>
          <w:b w:val="0"/>
          <w:bCs w:val="0"/>
          <w:sz w:val="44"/>
          <w:szCs w:val="44"/>
          <w:lang w:val="en-US" w:eastAsia="zh-CN"/>
        </w:rPr>
        <w:t>项目支出</w:t>
      </w:r>
      <w:r>
        <w:rPr>
          <w:rFonts w:hint="eastAsia" w:ascii="黑体" w:hAnsi="黑体" w:eastAsia="黑体" w:cs="黑体"/>
          <w:b w:val="0"/>
          <w:bCs w:val="0"/>
          <w:sz w:val="44"/>
          <w:szCs w:val="44"/>
        </w:rPr>
        <w:t>绩效</w:t>
      </w:r>
      <w:r>
        <w:rPr>
          <w:rFonts w:hint="eastAsia" w:ascii="黑体" w:hAnsi="黑体" w:eastAsia="黑体" w:cs="黑体"/>
          <w:b w:val="0"/>
          <w:bCs w:val="0"/>
          <w:sz w:val="44"/>
          <w:szCs w:val="44"/>
          <w:lang w:eastAsia="zh-CN"/>
        </w:rPr>
        <w:t>自评</w:t>
      </w:r>
      <w:r>
        <w:rPr>
          <w:rFonts w:hint="eastAsia" w:ascii="黑体" w:hAnsi="黑体" w:eastAsia="黑体" w:cs="黑体"/>
          <w:b w:val="0"/>
          <w:bCs w:val="0"/>
          <w:sz w:val="44"/>
          <w:szCs w:val="44"/>
        </w:rPr>
        <w:t>报告</w:t>
      </w:r>
    </w:p>
    <w:p>
      <w:pPr>
        <w:jc w:val="center"/>
        <w:rPr>
          <w:rFonts w:ascii="Times New Roman" w:hAnsi="Times New Roman" w:eastAsia="仿宋"/>
          <w:sz w:val="32"/>
          <w:szCs w:val="32"/>
        </w:rPr>
      </w:pP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一、基本情况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ascii="Times New Roman" w:hAnsi="Times New Roman" w:eastAsia="仿宋"/>
          <w:sz w:val="32"/>
          <w:szCs w:val="32"/>
        </w:rPr>
      </w:pPr>
      <w:r>
        <w:rPr>
          <w:rFonts w:ascii="Times New Roman" w:hAnsi="Times New Roman" w:eastAsia="仿宋"/>
          <w:sz w:val="32"/>
          <w:szCs w:val="32"/>
        </w:rPr>
        <w:t>（一）项目概况。</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仿宋" w:hAnsi="仿宋" w:eastAsia="仿宋" w:cs="仿宋"/>
          <w:b w:val="0"/>
          <w:i w:val="0"/>
          <w:caps w:val="0"/>
          <w:color w:val="333333"/>
          <w:spacing w:val="0"/>
          <w:kern w:val="0"/>
          <w:sz w:val="32"/>
          <w:szCs w:val="32"/>
          <w:u w:val="none"/>
          <w:lang w:val="en-US" w:eastAsia="zh-CN" w:bidi="ar"/>
        </w:rPr>
      </w:pPr>
      <w:r>
        <w:rPr>
          <w:rFonts w:hint="eastAsia" w:ascii="Times New Roman" w:hAnsi="Times New Roman" w:eastAsia="仿宋" w:cs="Times New Roman"/>
          <w:kern w:val="2"/>
          <w:sz w:val="32"/>
          <w:szCs w:val="32"/>
          <w:lang w:val="en-US" w:eastAsia="zh-CN" w:bidi="ar-SA"/>
        </w:rPr>
        <w:t>2020年创建国家园林城市申报年，应创建办要求及县主要领导安排，城管局对照创建标准找差距、补短板。对县城核心区市政基础设施进行维护维修。</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维护区域：</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中方县城建成区。</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维护内容：经统计1、排水管网总计28.5公里。2、滨江路污水提升泵站1座（年内预计增加一座，和诚发酒店污水泵站即将投入使用）。3、县城行车道：43.6公里、面积：87.84万m2。4、县城人行道：面积48.67万㎡。5、县城路灯：1811杆、路灯地下电缆87.2公里、路灯配电箱：42个、路灯专用变压器：10个（怀黔路6个箱变、滨江路4个）。6、下水井盖、雨水篦子：4160个左右。</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0" w:firstLineChars="200"/>
        <w:jc w:val="left"/>
        <w:textAlignment w:val="auto"/>
        <w:rPr>
          <w:rFonts w:hint="eastAsia" w:ascii="Times New Roman" w:hAnsi="Times New Roman" w:eastAsia="仿宋" w:cs="Times New Roman"/>
          <w:kern w:val="2"/>
          <w:sz w:val="32"/>
          <w:szCs w:val="32"/>
          <w:lang w:val="en-US" w:eastAsia="zh-CN" w:bidi="ar-SA"/>
        </w:rPr>
      </w:pPr>
      <w:r>
        <w:rPr>
          <w:rFonts w:hint="eastAsia" w:ascii="Times New Roman" w:hAnsi="Times New Roman" w:eastAsia="仿宋" w:cs="Times New Roman"/>
          <w:kern w:val="2"/>
          <w:sz w:val="32"/>
          <w:szCs w:val="32"/>
          <w:lang w:val="en-US" w:eastAsia="zh-CN" w:bidi="ar-SA"/>
        </w:rPr>
        <w:t>资金投入与使用：2020年县财政预算县城市政设施日常维护经费150.88万元，2020年根据实际维护任务通过财政评审产生维护经费150.88万元。</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ascii="Times New Roman" w:hAnsi="Times New Roman" w:eastAsia="仿宋"/>
          <w:sz w:val="32"/>
          <w:szCs w:val="32"/>
        </w:rPr>
        <w:t>（二）项目绩效目标。</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总体目标：确保县城市政设施完好及安全运行，满足人民群众的出行需要。</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阶段性目标：保障县城市政设施完好及安全运行，满足人民群众的出行需要，无因市政设施损坏而引发安全事故。</w:t>
      </w:r>
    </w:p>
    <w:p>
      <w:pPr>
        <w:keepNext w:val="0"/>
        <w:keepLines w:val="0"/>
        <w:pageBreakBefore w:val="0"/>
        <w:widowControl/>
        <w:suppressLineNumbers w:val="0"/>
        <w:pBdr>
          <w:top w:val="none" w:color="auto" w:sz="0" w:space="0"/>
          <w:left w:val="none" w:color="auto" w:sz="0" w:space="0"/>
          <w:bottom w:val="none" w:color="auto" w:sz="0" w:space="0"/>
          <w:right w:val="none" w:color="auto" w:sz="0" w:space="0"/>
        </w:pBdr>
        <w:kinsoku/>
        <w:wordWrap/>
        <w:overflowPunct/>
        <w:topLinePunct w:val="0"/>
        <w:autoSpaceDN/>
        <w:bidi w:val="0"/>
        <w:adjustRightInd/>
        <w:spacing w:before="0" w:beforeAutospacing="0" w:after="0" w:afterAutospacing="0" w:line="560" w:lineRule="exact"/>
        <w:ind w:right="0" w:firstLine="643" w:firstLineChars="200"/>
        <w:jc w:val="left"/>
        <w:textAlignment w:val="auto"/>
        <w:rPr>
          <w:rFonts w:ascii="Times New Roman" w:hAnsi="Times New Roman" w:eastAsia="楷体"/>
          <w:b/>
          <w:sz w:val="32"/>
          <w:szCs w:val="32"/>
        </w:rPr>
      </w:pPr>
      <w:r>
        <w:rPr>
          <w:rFonts w:ascii="Times New Roman" w:hAnsi="Times New Roman" w:eastAsia="楷体"/>
          <w:b/>
          <w:sz w:val="32"/>
          <w:szCs w:val="32"/>
        </w:rPr>
        <w:t>二、绩效评价工作开展情况</w:t>
      </w:r>
    </w:p>
    <w:p>
      <w:pPr>
        <w:pStyle w:val="6"/>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（一）绩效评价目的、对象和范围。</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b w:val="0"/>
          <w:i w:val="0"/>
          <w:caps w:val="0"/>
          <w:color w:val="333333"/>
          <w:spacing w:val="0"/>
          <w:kern w:val="0"/>
          <w:sz w:val="32"/>
          <w:szCs w:val="32"/>
          <w:u w:val="none"/>
          <w:lang w:val="en-US" w:eastAsia="zh-CN" w:bidi="ar"/>
        </w:rPr>
      </w:pPr>
      <w:r>
        <w:rPr>
          <w:rFonts w:hint="eastAsia" w:ascii="Times New Roman" w:hAnsi="Times New Roman" w:eastAsia="仿宋" w:cs="Times New Roman"/>
          <w:sz w:val="32"/>
          <w:szCs w:val="32"/>
          <w:lang w:val="en-US" w:eastAsia="zh-CN"/>
        </w:rPr>
        <w:t>全面评价2020年县城市政设施维修维护费的资金使用与支出效果，保证资金使用到位，提高资金使用效率，为广大市民出行安全保驾护航。</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b w:val="0"/>
          <w:i w:val="0"/>
          <w:caps w:val="0"/>
          <w:color w:val="333333"/>
          <w:spacing w:val="0"/>
          <w:kern w:val="0"/>
          <w:sz w:val="32"/>
          <w:szCs w:val="32"/>
          <w:u w:val="none"/>
          <w:lang w:val="en-US" w:eastAsia="zh-CN" w:bidi="ar"/>
        </w:rPr>
      </w:pPr>
      <w:r>
        <w:rPr>
          <w:rFonts w:ascii="Times New Roman" w:hAnsi="Times New Roman" w:eastAsia="仿宋"/>
          <w:sz w:val="32"/>
          <w:szCs w:val="32"/>
        </w:rPr>
        <w:t>（二）绩效评价原则、评价指标体系（附表说明）、评价方法、评价标准等。</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1.注重经费支出的经济性、效率性、和有效性，采用定量和定性相结合的方法。</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2.客观、公正、数据资料真实可靠，并接受监督。</w:t>
      </w:r>
    </w:p>
    <w:p>
      <w:pPr>
        <w:pStyle w:val="6"/>
        <w:spacing w:line="510" w:lineRule="exact"/>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3.针对具体投入及其产出绩效进行，评价结果清晰反应投入和绩效之间的对应关系。</w:t>
      </w:r>
    </w:p>
    <w:p>
      <w:pPr>
        <w:pStyle w:val="6"/>
        <w:spacing w:line="510" w:lineRule="exact"/>
        <w:ind w:firstLine="640" w:firstLineChars="200"/>
        <w:rPr>
          <w:rFonts w:hint="eastAsia" w:ascii="仿宋" w:hAnsi="仿宋" w:eastAsia="仿宋" w:cs="仿宋"/>
          <w:b w:val="0"/>
          <w:i w:val="0"/>
          <w:caps w:val="0"/>
          <w:color w:val="333333"/>
          <w:spacing w:val="0"/>
          <w:kern w:val="0"/>
          <w:sz w:val="32"/>
          <w:szCs w:val="32"/>
          <w:u w:val="none"/>
          <w:lang w:val="en-US" w:eastAsia="zh-CN" w:bidi="ar"/>
        </w:rPr>
      </w:pPr>
      <w:r>
        <w:rPr>
          <w:rFonts w:ascii="Times New Roman" w:hAnsi="Times New Roman" w:eastAsia="仿宋"/>
          <w:sz w:val="32"/>
          <w:szCs w:val="32"/>
        </w:rPr>
        <w:t>（三）绩效评价工作过程。</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我们制定了对该项目的绩效评价工作方案，县财政局绩效评价股对中方县城市管理行政执法大队下达了绩效评价通知。评价过程中听取了大队的情况介绍，翻阅了相关资料，了解了县城市政设施维修维护费专项资金的拨付和发放流程，侧重调查资金发放的真实性、公平性。</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具体工作过程：</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1.检查资料</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通过对各种资料的查阅，了解该项资金是否及时拨付到位；县城市政设施是否养护到位，将有关资料和工作情况分年度建档备查。</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2.座谈交流</w:t>
      </w:r>
    </w:p>
    <w:p>
      <w:pPr>
        <w:pStyle w:val="6"/>
        <w:spacing w:line="510" w:lineRule="exact"/>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针对2020年县城市政设施维修维护费专项资金资金的调查主要是通过与执法大队面对面的交流，深入了解市政设施维修维护费资金发放的真实性、及时性、公平性，听取他们对这项资金提出的意见和建议。</w:t>
      </w: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hint="eastAsia" w:ascii="Times New Roman" w:hAnsi="Times New Roman" w:eastAsia="楷体"/>
          <w:b/>
          <w:sz w:val="32"/>
          <w:szCs w:val="32"/>
          <w:lang w:val="en-US" w:eastAsia="zh-CN"/>
        </w:rPr>
      </w:pPr>
      <w:r>
        <w:rPr>
          <w:rFonts w:hint="eastAsia" w:ascii="Times New Roman" w:hAnsi="Times New Roman" w:eastAsia="楷体"/>
          <w:b/>
          <w:sz w:val="32"/>
          <w:szCs w:val="32"/>
          <w:lang w:val="en-US" w:eastAsia="zh-CN"/>
        </w:rPr>
        <w:t>三、综合评价情况及评价结论（附相关评分表）</w:t>
      </w:r>
    </w:p>
    <w:p>
      <w:pPr>
        <w:pStyle w:val="6"/>
        <w:spacing w:line="510" w:lineRule="exact"/>
        <w:ind w:firstLine="640" w:firstLineChars="200"/>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通过自我评价，认为2020年县城市政设施维修维护费专项资金资金的申报材料规范齐全、评审程序公平公正，宣传政策到位，</w:t>
      </w:r>
      <w:r>
        <w:rPr>
          <w:rFonts w:hint="eastAsia" w:ascii="仿宋" w:hAnsi="仿宋" w:eastAsia="仿宋" w:cs="仿宋"/>
          <w:color w:val="auto"/>
          <w:sz w:val="32"/>
          <w:szCs w:val="32"/>
        </w:rPr>
        <w:t>资金的发放与管理</w:t>
      </w:r>
      <w:r>
        <w:rPr>
          <w:rFonts w:hint="eastAsia" w:ascii="仿宋" w:hAnsi="仿宋" w:eastAsia="仿宋" w:cs="仿宋"/>
          <w:color w:val="auto"/>
          <w:sz w:val="32"/>
          <w:szCs w:val="32"/>
          <w:lang w:eastAsia="zh-CN"/>
        </w:rPr>
        <w:t>符合</w:t>
      </w:r>
      <w:r>
        <w:rPr>
          <w:rFonts w:hint="eastAsia" w:ascii="仿宋" w:hAnsi="仿宋" w:eastAsia="仿宋" w:cs="仿宋"/>
          <w:color w:val="auto"/>
          <w:sz w:val="32"/>
          <w:szCs w:val="32"/>
        </w:rPr>
        <w:t>规范</w:t>
      </w:r>
      <w:r>
        <w:rPr>
          <w:rFonts w:hint="eastAsia" w:ascii="Times New Roman" w:hAnsi="Times New Roman" w:eastAsia="仿宋" w:cs="Times New Roman"/>
          <w:sz w:val="32"/>
          <w:szCs w:val="32"/>
          <w:lang w:val="en-US" w:eastAsia="zh-CN"/>
        </w:rPr>
        <w:t>，本项目经费支出综合绩效评价得分：95分，结果为优。</w:t>
      </w:r>
    </w:p>
    <w:p>
      <w:pPr>
        <w:pStyle w:val="6"/>
        <w:keepNext w:val="0"/>
        <w:keepLines w:val="0"/>
        <w:pageBreakBefore w:val="0"/>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四、绩效评价指标分析</w:t>
      </w:r>
    </w:p>
    <w:p>
      <w:pPr>
        <w:pStyle w:val="6"/>
        <w:spacing w:line="510" w:lineRule="exact"/>
        <w:ind w:firstLine="640" w:firstLineChars="200"/>
        <w:rPr>
          <w:rFonts w:hint="eastAsia" w:ascii="仿宋" w:hAnsi="仿宋" w:eastAsia="仿宋" w:cs="仿宋"/>
          <w:b w:val="0"/>
          <w:i w:val="0"/>
          <w:caps w:val="0"/>
          <w:color w:val="333333"/>
          <w:spacing w:val="0"/>
          <w:kern w:val="0"/>
          <w:sz w:val="32"/>
          <w:szCs w:val="32"/>
          <w:u w:val="none"/>
          <w:lang w:val="en-US" w:eastAsia="zh-CN" w:bidi="ar"/>
        </w:rPr>
      </w:pPr>
      <w:r>
        <w:rPr>
          <w:rFonts w:ascii="Times New Roman" w:hAnsi="Times New Roman" w:eastAsia="仿宋"/>
          <w:sz w:val="32"/>
          <w:szCs w:val="32"/>
        </w:rPr>
        <w:t>（一）项目决策情况。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b w:val="0"/>
          <w:i w:val="0"/>
          <w:caps w:val="0"/>
          <w:color w:val="333333"/>
          <w:spacing w:val="0"/>
          <w:kern w:val="0"/>
          <w:sz w:val="32"/>
          <w:szCs w:val="32"/>
          <w:u w:val="none"/>
          <w:lang w:val="en-US" w:eastAsia="zh-CN" w:bidi="ar"/>
        </w:rPr>
      </w:pPr>
      <w:r>
        <w:rPr>
          <w:rFonts w:hint="eastAsia" w:ascii="Times New Roman" w:hAnsi="Times New Roman" w:eastAsia="仿宋" w:cs="Times New Roman"/>
          <w:sz w:val="32"/>
          <w:szCs w:val="32"/>
          <w:lang w:val="en-US" w:eastAsia="zh-CN"/>
        </w:rPr>
        <w:t>2020年创建国家园林城市申报年，应创建办要求及县主要领导安排，城市管理行政执法大队对照创建标准找差距、补短板。对县城核心区市政基础设施进行维护维修。</w:t>
      </w:r>
    </w:p>
    <w:p>
      <w:pPr>
        <w:pStyle w:val="6"/>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（二）项目过程情况。</w:t>
      </w:r>
    </w:p>
    <w:p>
      <w:pPr>
        <w:pStyle w:val="6"/>
        <w:spacing w:line="510" w:lineRule="exact"/>
        <w:ind w:firstLine="640" w:firstLineChars="200"/>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根据创建指标要求，及县主要领导安排，执法大队对照创建标准找差距、补短板，通过日常巡查建立台账梳理维护项目并上报县主要领导审批，经县财政评审中心评审确立经费预算，并严格遵照市政设施建设标准严格施工管理，确保施工质量。为创建国家园林城市提供有力保障的同时，确保城市安全运行。</w:t>
      </w:r>
    </w:p>
    <w:p>
      <w:pPr>
        <w:pStyle w:val="6"/>
        <w:spacing w:line="510" w:lineRule="exact"/>
        <w:ind w:firstLine="640" w:firstLineChars="200"/>
        <w:rPr>
          <w:rFonts w:ascii="Times New Roman" w:hAnsi="Times New Roman" w:eastAsia="仿宋"/>
          <w:sz w:val="32"/>
          <w:szCs w:val="32"/>
        </w:rPr>
      </w:pPr>
      <w:r>
        <w:rPr>
          <w:rFonts w:ascii="Times New Roman" w:hAnsi="Times New Roman" w:eastAsia="仿宋"/>
          <w:sz w:val="32"/>
          <w:szCs w:val="32"/>
        </w:rPr>
        <w:t>（三）项目产出情况。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1.2020年共计完成城区961.29㎡人行道板维修、完成砼路面193.6㎡、沥青路面352.02㎡全年管辖区内的车行道完好率≧98%、路面无明显坑洼。</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2.2020年完成794.8m路灯电缆线维修、灯具27套、路灯箱变1座、电力设施配件153个（交流接触器、时控开关、空开等）维修任务，确保城市道路亮灯率日常达到≧95%、节假日≧98%。</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3.城市桥梁9座，建立桥梁日常养护巡查台账。目前已完成滨江路茅利桥定期检测，其余8座桥梁已纳入计划2021年进行定期检测。</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4.对县城内已损坏破损的雨水篦子及井盖进行维修更换56套，完成管网疏通200m，完成怀黔路21公里管网检测工程、处理智慧城管派单523件。城区范围无内排水设施完好无内涝、外溢点，路面无明显积水。</w:t>
      </w:r>
    </w:p>
    <w:p>
      <w:pPr>
        <w:pStyle w:val="6"/>
        <w:spacing w:line="510" w:lineRule="exact"/>
        <w:ind w:firstLine="640" w:firstLineChars="200"/>
        <w:rPr>
          <w:rFonts w:hint="eastAsia" w:ascii="仿宋" w:hAnsi="仿宋" w:eastAsia="仿宋" w:cs="仿宋"/>
          <w:b w:val="0"/>
          <w:i w:val="0"/>
          <w:caps w:val="0"/>
          <w:color w:val="333333"/>
          <w:spacing w:val="0"/>
          <w:kern w:val="0"/>
          <w:sz w:val="32"/>
          <w:szCs w:val="32"/>
          <w:u w:val="none"/>
          <w:lang w:val="en-US" w:eastAsia="zh-CN" w:bidi="ar"/>
        </w:rPr>
      </w:pPr>
      <w:r>
        <w:rPr>
          <w:rFonts w:ascii="Times New Roman" w:hAnsi="Times New Roman" w:eastAsia="仿宋"/>
          <w:sz w:val="32"/>
          <w:szCs w:val="32"/>
        </w:rPr>
        <w:t>（四）项目效益情况。</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县城市政设施完好及安全运行，满足人民群众的出行需要，无因市政设施损坏而引发安全事故。</w:t>
      </w:r>
    </w:p>
    <w:p>
      <w:pPr>
        <w:pStyle w:val="6"/>
        <w:keepNext w:val="0"/>
        <w:keepLines w:val="0"/>
        <w:pageBreakBefore w:val="0"/>
        <w:numPr>
          <w:ilvl w:val="0"/>
          <w:numId w:val="1"/>
        </w:numPr>
        <w:kinsoku/>
        <w:wordWrap/>
        <w:overflowPunct/>
        <w:topLinePunct w:val="0"/>
        <w:autoSpaceDN/>
        <w:bidi w:val="0"/>
        <w:adjustRightInd/>
        <w:spacing w:line="560" w:lineRule="exact"/>
        <w:ind w:firstLine="643" w:firstLineChars="200"/>
        <w:textAlignment w:val="auto"/>
        <w:rPr>
          <w:rFonts w:ascii="Times New Roman" w:hAnsi="Times New Roman" w:eastAsia="楷体"/>
          <w:b/>
          <w:sz w:val="32"/>
          <w:szCs w:val="32"/>
        </w:rPr>
      </w:pPr>
      <w:r>
        <w:rPr>
          <w:rFonts w:ascii="Times New Roman" w:hAnsi="Times New Roman" w:eastAsia="楷体"/>
          <w:b/>
          <w:sz w:val="32"/>
          <w:szCs w:val="32"/>
        </w:rPr>
        <w:t>主要经验及做法、存在的问题及原因分析</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default"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以日常安全巡查为主导，结合城市管理服务平台、中方县交通管理中心等部门，全方位为安全运行保驾护航，做到隐患排查到位，处理及时，全年无因市政设施损坏而引发安全事故，保障市民安全出行。</w:t>
      </w:r>
    </w:p>
    <w:p>
      <w:pPr>
        <w:pStyle w:val="6"/>
        <w:keepNext w:val="0"/>
        <w:keepLines w:val="0"/>
        <w:pageBreakBefore w:val="0"/>
        <w:numPr>
          <w:ilvl w:val="0"/>
          <w:numId w:val="1"/>
        </w:numPr>
        <w:kinsoku/>
        <w:wordWrap/>
        <w:overflowPunct/>
        <w:topLinePunct w:val="0"/>
        <w:autoSpaceDN/>
        <w:bidi w:val="0"/>
        <w:adjustRightInd/>
        <w:spacing w:line="560" w:lineRule="exact"/>
        <w:ind w:left="0" w:leftChars="0" w:firstLine="643" w:firstLineChars="200"/>
        <w:textAlignment w:val="auto"/>
        <w:rPr>
          <w:rFonts w:ascii="Times New Roman" w:hAnsi="Times New Roman" w:eastAsia="楷体"/>
          <w:b/>
          <w:sz w:val="32"/>
          <w:szCs w:val="32"/>
        </w:rPr>
      </w:pPr>
      <w:r>
        <w:rPr>
          <w:rFonts w:ascii="Times New Roman" w:hAnsi="Times New Roman" w:eastAsia="楷体"/>
          <w:b/>
          <w:sz w:val="32"/>
          <w:szCs w:val="32"/>
        </w:rPr>
        <w:t>有关建议</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仿宋" w:hAnsi="仿宋" w:eastAsia="仿宋" w:cs="仿宋"/>
          <w:b w:val="0"/>
          <w:i w:val="0"/>
          <w:caps w:val="0"/>
          <w:color w:val="333333"/>
          <w:spacing w:val="0"/>
          <w:kern w:val="0"/>
          <w:sz w:val="32"/>
          <w:szCs w:val="32"/>
          <w:u w:val="none"/>
          <w:lang w:val="en-US" w:eastAsia="zh-CN" w:bidi="ar"/>
        </w:rPr>
      </w:pPr>
      <w:r>
        <w:rPr>
          <w:rFonts w:hint="eastAsia" w:ascii="Times New Roman" w:hAnsi="Times New Roman" w:eastAsia="仿宋" w:cs="Times New Roman"/>
          <w:sz w:val="32"/>
          <w:szCs w:val="32"/>
          <w:lang w:val="en-US" w:eastAsia="zh-CN"/>
        </w:rPr>
        <w:t>建议县政府逐步加大对市政基础设施建设的资金投入力度，保证市政基础设施建设跟上城市快速发展的步伐。</w:t>
      </w:r>
    </w:p>
    <w:p>
      <w:pPr>
        <w:pStyle w:val="6"/>
        <w:keepNext w:val="0"/>
        <w:keepLines w:val="0"/>
        <w:pageBreakBefore w:val="0"/>
        <w:numPr>
          <w:ilvl w:val="0"/>
          <w:numId w:val="1"/>
        </w:numPr>
        <w:kinsoku/>
        <w:wordWrap/>
        <w:overflowPunct/>
        <w:topLinePunct w:val="0"/>
        <w:autoSpaceDN/>
        <w:bidi w:val="0"/>
        <w:adjustRightInd/>
        <w:spacing w:line="560" w:lineRule="exact"/>
        <w:ind w:left="0" w:leftChars="0" w:firstLine="643" w:firstLineChars="200"/>
        <w:textAlignment w:val="auto"/>
        <w:rPr>
          <w:rFonts w:ascii="Times New Roman" w:hAnsi="Times New Roman" w:eastAsia="楷体"/>
          <w:b/>
          <w:sz w:val="32"/>
          <w:szCs w:val="32"/>
        </w:rPr>
      </w:pPr>
      <w:r>
        <w:rPr>
          <w:rFonts w:ascii="Times New Roman" w:hAnsi="Times New Roman" w:eastAsia="楷体"/>
          <w:b/>
          <w:sz w:val="32"/>
          <w:szCs w:val="32"/>
        </w:rPr>
        <w:t>其他需要说明的问题</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r>
        <w:rPr>
          <w:rFonts w:hint="eastAsia" w:ascii="Times New Roman" w:hAnsi="Times New Roman" w:eastAsia="仿宋" w:cs="Times New Roman"/>
          <w:sz w:val="32"/>
          <w:szCs w:val="32"/>
          <w:lang w:val="en-US" w:eastAsia="zh-CN"/>
        </w:rPr>
        <w:t>总体来说2020年我县市政基础设施管理到位、修复及时、质量达标，确保了人民群众出行安全，全年城市管理领域无安全事故发生。</w:t>
      </w:r>
    </w:p>
    <w:p>
      <w:pPr>
        <w:widowControl/>
        <w:spacing w:line="510" w:lineRule="exact"/>
        <w:ind w:firstLine="645"/>
        <w:jc w:val="left"/>
        <w:rPr>
          <w:rFonts w:ascii="Times New Roman" w:hAnsi="Times New Roman" w:eastAsia="仿宋_GB2312"/>
          <w:sz w:val="32"/>
          <w:szCs w:val="32"/>
        </w:rPr>
      </w:pPr>
      <w:r>
        <w:rPr>
          <w:rFonts w:ascii="Times New Roman" w:hAnsi="Times New Roman" w:eastAsia="仿宋_GB2312"/>
          <w:sz w:val="32"/>
          <w:szCs w:val="32"/>
        </w:rPr>
        <w:t>附件：1.项目支出绩效自评表</w:t>
      </w:r>
    </w:p>
    <w:p>
      <w:pPr>
        <w:widowControl/>
        <w:spacing w:line="510" w:lineRule="exact"/>
        <w:ind w:firstLine="1600" w:firstLineChars="500"/>
        <w:jc w:val="left"/>
        <w:rPr>
          <w:rFonts w:ascii="Times New Roman" w:hAnsi="Times New Roman" w:eastAsia="仿宋_GB2312"/>
          <w:sz w:val="32"/>
          <w:szCs w:val="32"/>
        </w:rPr>
      </w:pPr>
      <w:r>
        <w:rPr>
          <w:rFonts w:ascii="Times New Roman" w:hAnsi="Times New Roman" w:eastAsia="仿宋_GB2312"/>
          <w:sz w:val="32"/>
          <w:szCs w:val="32"/>
        </w:rPr>
        <w:t>2.项目支出绩效评价指标</w:t>
      </w:r>
      <w:r>
        <w:rPr>
          <w:rFonts w:ascii="Times New Roman" w:hAnsi="Times New Roman" w:eastAsia="仿宋_GB2312"/>
          <w:bCs/>
          <w:color w:val="000000"/>
          <w:kern w:val="0"/>
          <w:sz w:val="32"/>
          <w:szCs w:val="32"/>
        </w:rPr>
        <w:t>评分表</w:t>
      </w: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ind w:firstLine="640" w:firstLineChars="200"/>
        <w:textAlignment w:val="auto"/>
        <w:rPr>
          <w:rFonts w:hint="eastAsia" w:ascii="Times New Roman" w:hAnsi="Times New Roman" w:eastAsia="仿宋" w:cs="Times New Roman"/>
          <w:sz w:val="32"/>
          <w:szCs w:val="32"/>
          <w:lang w:val="en-US" w:eastAsia="zh-CN"/>
        </w:rPr>
      </w:pPr>
    </w:p>
    <w:p>
      <w:pPr>
        <w:pStyle w:val="6"/>
        <w:keepNext w:val="0"/>
        <w:keepLines w:val="0"/>
        <w:pageBreakBefore w:val="0"/>
        <w:kinsoku/>
        <w:wordWrap/>
        <w:overflowPunct/>
        <w:topLinePunct w:val="0"/>
        <w:autoSpaceDN/>
        <w:bidi w:val="0"/>
        <w:adjustRightInd/>
        <w:spacing w:line="560" w:lineRule="exact"/>
        <w:textAlignment w:val="auto"/>
        <w:rPr>
          <w:rFonts w:hint="eastAsia" w:ascii="Times New Roman" w:hAnsi="Times New Roman" w:eastAsia="仿宋" w:cs="Times New Roman"/>
          <w:sz w:val="32"/>
          <w:szCs w:val="32"/>
          <w:lang w:val="en-US" w:eastAsia="zh-CN"/>
        </w:rPr>
      </w:pPr>
    </w:p>
    <w:p>
      <w:pPr>
        <w:pStyle w:val="6"/>
        <w:spacing w:line="510" w:lineRule="exact"/>
        <w:jc w:val="left"/>
        <w:rPr>
          <w:rFonts w:hint="default" w:ascii="Times New Roman" w:hAnsi="Times New Roman" w:eastAsia="仿宋"/>
          <w:sz w:val="32"/>
          <w:szCs w:val="32"/>
          <w:lang w:val="en-US" w:eastAsia="zh-CN"/>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1</w:t>
      </w:r>
    </w:p>
    <w:tbl>
      <w:tblPr>
        <w:tblStyle w:val="4"/>
        <w:tblW w:w="9080" w:type="dxa"/>
        <w:jc w:val="center"/>
        <w:tblLayout w:type="fixed"/>
        <w:tblCellMar>
          <w:top w:w="0" w:type="dxa"/>
          <w:left w:w="108" w:type="dxa"/>
          <w:bottom w:w="0" w:type="dxa"/>
          <w:right w:w="108" w:type="dxa"/>
        </w:tblCellMar>
      </w:tblPr>
      <w:tblGrid>
        <w:gridCol w:w="588"/>
        <w:gridCol w:w="980"/>
        <w:gridCol w:w="1112"/>
        <w:gridCol w:w="730"/>
        <w:gridCol w:w="1134"/>
        <w:gridCol w:w="154"/>
        <w:gridCol w:w="980"/>
        <w:gridCol w:w="1030"/>
        <w:gridCol w:w="104"/>
        <w:gridCol w:w="406"/>
        <w:gridCol w:w="303"/>
        <w:gridCol w:w="142"/>
        <w:gridCol w:w="709"/>
        <w:gridCol w:w="708"/>
      </w:tblGrid>
      <w:tr>
        <w:tblPrEx>
          <w:tblCellMar>
            <w:top w:w="0" w:type="dxa"/>
            <w:left w:w="108" w:type="dxa"/>
            <w:bottom w:w="0" w:type="dxa"/>
            <w:right w:w="108" w:type="dxa"/>
          </w:tblCellMar>
        </w:tblPrEx>
        <w:trPr>
          <w:trHeight w:val="201" w:hRule="atLeast"/>
          <w:jc w:val="center"/>
        </w:trPr>
        <w:tc>
          <w:tcPr>
            <w:tcW w:w="9080" w:type="dxa"/>
            <w:gridSpan w:val="14"/>
            <w:tcBorders>
              <w:top w:val="nil"/>
              <w:left w:val="nil"/>
              <w:bottom w:val="nil"/>
              <w:right w:val="nil"/>
            </w:tcBorders>
            <w:noWrap w:val="0"/>
            <w:vAlign w:val="top"/>
          </w:tcPr>
          <w:p>
            <w:pPr>
              <w:widowControl/>
              <w:jc w:val="center"/>
              <w:rPr>
                <w:rFonts w:ascii="Times New Roman" w:hAnsi="Times New Roman"/>
                <w:kern w:val="0"/>
                <w:sz w:val="22"/>
                <w:szCs w:val="22"/>
              </w:rPr>
            </w:pPr>
            <w:r>
              <w:rPr>
                <w:rFonts w:ascii="Times New Roman" w:hAnsi="Times New Roman"/>
                <w:kern w:val="0"/>
                <w:sz w:val="22"/>
                <w:szCs w:val="22"/>
              </w:rPr>
              <w:t>（</w:t>
            </w:r>
            <w:r>
              <w:rPr>
                <w:rFonts w:hint="eastAsia" w:ascii="Times New Roman" w:hAnsi="Times New Roman"/>
                <w:kern w:val="0"/>
                <w:sz w:val="22"/>
                <w:szCs w:val="22"/>
              </w:rPr>
              <w:t>2020</w:t>
            </w:r>
            <w:r>
              <w:rPr>
                <w:rFonts w:ascii="Times New Roman" w:hAnsi="Times New Roman"/>
                <w:kern w:val="0"/>
                <w:sz w:val="22"/>
                <w:szCs w:val="22"/>
              </w:rPr>
              <w:t>年度）</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项目名称</w:t>
            </w:r>
          </w:p>
        </w:tc>
        <w:tc>
          <w:tcPr>
            <w:tcW w:w="7512" w:type="dxa"/>
            <w:gridSpan w:val="1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bookmarkStart w:id="0" w:name="_GoBack"/>
            <w:bookmarkEnd w:id="0"/>
            <w:r>
              <w:rPr>
                <w:rFonts w:hint="eastAsia" w:ascii="Times New Roman" w:hAnsi="Times New Roman"/>
                <w:kern w:val="0"/>
                <w:sz w:val="18"/>
                <w:szCs w:val="18"/>
              </w:rPr>
              <w:t>市政设施日常维修维护</w:t>
            </w:r>
          </w:p>
        </w:tc>
      </w:tr>
      <w:tr>
        <w:tblPrEx>
          <w:tblCellMar>
            <w:top w:w="0" w:type="dxa"/>
            <w:left w:w="108" w:type="dxa"/>
            <w:bottom w:w="0" w:type="dxa"/>
            <w:right w:w="108" w:type="dxa"/>
          </w:tblCellMar>
        </w:tblPrEx>
        <w:trPr>
          <w:trHeight w:val="300" w:hRule="exact"/>
          <w:jc w:val="center"/>
        </w:trPr>
        <w:tc>
          <w:tcPr>
            <w:tcW w:w="1568"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主管部门</w:t>
            </w:r>
          </w:p>
        </w:tc>
        <w:tc>
          <w:tcPr>
            <w:tcW w:w="4110"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中方县城市管理行政执法大队</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实施单位</w:t>
            </w:r>
          </w:p>
        </w:tc>
        <w:tc>
          <w:tcPr>
            <w:tcW w:w="2268" w:type="dxa"/>
            <w:gridSpan w:val="5"/>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市政股</w:t>
            </w:r>
          </w:p>
        </w:tc>
      </w:tr>
      <w:tr>
        <w:tblPrEx>
          <w:tblCellMar>
            <w:top w:w="0" w:type="dxa"/>
            <w:left w:w="108" w:type="dxa"/>
            <w:bottom w:w="0" w:type="dxa"/>
            <w:right w:w="108" w:type="dxa"/>
          </w:tblCellMar>
        </w:tblPrEx>
        <w:trPr>
          <w:trHeight w:val="436" w:hRule="exact"/>
          <w:jc w:val="center"/>
        </w:trPr>
        <w:tc>
          <w:tcPr>
            <w:tcW w:w="1568" w:type="dxa"/>
            <w:gridSpan w:val="2"/>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项目资金</w:t>
            </w:r>
            <w:r>
              <w:rPr>
                <w:rFonts w:ascii="Times New Roman" w:hAnsi="Times New Roman"/>
                <w:kern w:val="0"/>
                <w:sz w:val="18"/>
                <w:szCs w:val="18"/>
              </w:rPr>
              <w:br w:type="textWrapping"/>
            </w:r>
            <w:r>
              <w:rPr>
                <w:rFonts w:ascii="Times New Roman" w:hAnsi="Times New Roman"/>
                <w:kern w:val="0"/>
                <w:sz w:val="18"/>
                <w:szCs w:val="18"/>
              </w:rPr>
              <w:t>（万元）</w:t>
            </w: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年初预算数</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全年预算数</w:t>
            </w:r>
            <w:r>
              <w:rPr>
                <w:rFonts w:ascii="Times New Roman" w:hAnsi="Times New Roman"/>
                <w:color w:val="000000"/>
                <w:kern w:val="0"/>
                <w:sz w:val="20"/>
                <w:szCs w:val="20"/>
              </w:rPr>
              <w:t>（A）</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全年执行数</w:t>
            </w:r>
            <w:r>
              <w:rPr>
                <w:rFonts w:ascii="Times New Roman" w:hAnsi="Times New Roman"/>
                <w:color w:val="000000"/>
                <w:kern w:val="0"/>
                <w:sz w:val="20"/>
                <w:szCs w:val="20"/>
              </w:rPr>
              <w:t>（B）</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执行率</w:t>
            </w:r>
            <w:r>
              <w:rPr>
                <w:rFonts w:ascii="Times New Roman" w:hAnsi="Times New Roman"/>
                <w:color w:val="000000"/>
                <w:kern w:val="0"/>
                <w:sz w:val="20"/>
                <w:szCs w:val="20"/>
              </w:rPr>
              <w:t>（B/A)</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rPr>
                <w:rFonts w:ascii="Times New Roman" w:hAnsi="Times New Roman"/>
                <w:kern w:val="0"/>
                <w:sz w:val="18"/>
                <w:szCs w:val="18"/>
              </w:rPr>
            </w:pPr>
            <w:r>
              <w:rPr>
                <w:rFonts w:ascii="Times New Roman" w:hAnsi="Times New Roman"/>
                <w:kern w:val="0"/>
                <w:sz w:val="18"/>
                <w:szCs w:val="18"/>
              </w:rPr>
              <w:t>年度资金总额</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153.54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153.54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150.88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10</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98.27%</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其中：当年财政拨款</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153.54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153.54</w:t>
            </w: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150.88</w:t>
            </w: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98.27%</w:t>
            </w: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上年结转资金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1568" w:type="dxa"/>
            <w:gridSpan w:val="2"/>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842"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 xml:space="preserve">  其他资金</w:t>
            </w:r>
          </w:p>
        </w:tc>
        <w:tc>
          <w:tcPr>
            <w:tcW w:w="1134"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34"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9"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c>
          <w:tcPr>
            <w:tcW w:w="851"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708"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w:t>
            </w:r>
          </w:p>
        </w:tc>
      </w:tr>
      <w:tr>
        <w:tblPrEx>
          <w:tblCellMar>
            <w:top w:w="0" w:type="dxa"/>
            <w:left w:w="108" w:type="dxa"/>
            <w:bottom w:w="0" w:type="dxa"/>
            <w:right w:w="108" w:type="dxa"/>
          </w:tblCellMar>
        </w:tblPrEx>
        <w:trPr>
          <w:trHeight w:val="300" w:hRule="exact"/>
          <w:jc w:val="center"/>
        </w:trPr>
        <w:tc>
          <w:tcPr>
            <w:tcW w:w="588"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年度总体目标</w:t>
            </w: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预期目标</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实际完成情况</w:t>
            </w:r>
          </w:p>
        </w:tc>
      </w:tr>
      <w:tr>
        <w:tblPrEx>
          <w:tblCellMar>
            <w:top w:w="0" w:type="dxa"/>
            <w:left w:w="108" w:type="dxa"/>
            <w:bottom w:w="0" w:type="dxa"/>
            <w:right w:w="108" w:type="dxa"/>
          </w:tblCellMar>
        </w:tblPrEx>
        <w:trPr>
          <w:trHeight w:val="570" w:hRule="exact"/>
          <w:jc w:val="center"/>
        </w:trPr>
        <w:tc>
          <w:tcPr>
            <w:tcW w:w="588"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5090" w:type="dxa"/>
            <w:gridSpan w:val="6"/>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营造春节氛围，美化县城环境</w:t>
            </w:r>
          </w:p>
        </w:tc>
        <w:tc>
          <w:tcPr>
            <w:tcW w:w="3402" w:type="dxa"/>
            <w:gridSpan w:val="7"/>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eastAsia="zh-CN"/>
              </w:rPr>
              <w:t>营造春节氛围，美化县城环境</w:t>
            </w:r>
          </w:p>
        </w:tc>
      </w:tr>
      <w:tr>
        <w:tblPrEx>
          <w:tblCellMar>
            <w:top w:w="0" w:type="dxa"/>
            <w:left w:w="108" w:type="dxa"/>
            <w:bottom w:w="0" w:type="dxa"/>
            <w:right w:w="108" w:type="dxa"/>
          </w:tblCellMar>
        </w:tblPrEx>
        <w:trPr>
          <w:trHeight w:val="533" w:hRule="exact"/>
          <w:jc w:val="center"/>
        </w:trPr>
        <w:tc>
          <w:tcPr>
            <w:tcW w:w="588" w:type="dxa"/>
            <w:vMerge w:val="restart"/>
            <w:tcBorders>
              <w:top w:val="nil"/>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绩</w:t>
            </w:r>
            <w:r>
              <w:rPr>
                <w:rFonts w:ascii="Times New Roman" w:hAnsi="Times New Roman"/>
                <w:kern w:val="0"/>
                <w:sz w:val="18"/>
                <w:szCs w:val="18"/>
              </w:rPr>
              <w:br w:type="textWrapping"/>
            </w:r>
            <w:r>
              <w:rPr>
                <w:rFonts w:ascii="Times New Roman" w:hAnsi="Times New Roman"/>
                <w:kern w:val="0"/>
                <w:sz w:val="18"/>
                <w:szCs w:val="18"/>
              </w:rPr>
              <w:t>效</w:t>
            </w:r>
            <w:r>
              <w:rPr>
                <w:rFonts w:ascii="Times New Roman" w:hAnsi="Times New Roman"/>
                <w:kern w:val="0"/>
                <w:sz w:val="18"/>
                <w:szCs w:val="18"/>
              </w:rPr>
              <w:br w:type="textWrapping"/>
            </w:r>
            <w:r>
              <w:rPr>
                <w:rFonts w:ascii="Times New Roman" w:hAnsi="Times New Roman"/>
                <w:kern w:val="0"/>
                <w:sz w:val="18"/>
                <w:szCs w:val="18"/>
              </w:rPr>
              <w:t>指</w:t>
            </w:r>
            <w:r>
              <w:rPr>
                <w:rFonts w:ascii="Times New Roman" w:hAnsi="Times New Roman"/>
                <w:kern w:val="0"/>
                <w:sz w:val="18"/>
                <w:szCs w:val="18"/>
              </w:rPr>
              <w:br w:type="textWrapping"/>
            </w:r>
            <w:r>
              <w:rPr>
                <w:rFonts w:ascii="Times New Roman" w:hAnsi="Times New Roman"/>
                <w:kern w:val="0"/>
                <w:sz w:val="18"/>
                <w:szCs w:val="18"/>
              </w:rPr>
              <w:t>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一级指标</w:t>
            </w:r>
          </w:p>
        </w:tc>
        <w:tc>
          <w:tcPr>
            <w:tcW w:w="1112"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二级指标</w:t>
            </w:r>
          </w:p>
        </w:tc>
        <w:tc>
          <w:tcPr>
            <w:tcW w:w="2018" w:type="dxa"/>
            <w:gridSpan w:val="3"/>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三级指标</w:t>
            </w:r>
          </w:p>
        </w:tc>
        <w:tc>
          <w:tcPr>
            <w:tcW w:w="98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年度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指标值</w:t>
            </w:r>
          </w:p>
        </w:tc>
        <w:tc>
          <w:tcPr>
            <w:tcW w:w="1030" w:type="dxa"/>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实际</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完成值</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分值</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得分</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偏差原因分析及改进措施</w:t>
            </w:r>
          </w:p>
        </w:tc>
      </w:tr>
      <w:tr>
        <w:tblPrEx>
          <w:tblCellMar>
            <w:top w:w="0" w:type="dxa"/>
            <w:left w:w="108" w:type="dxa"/>
            <w:bottom w:w="0" w:type="dxa"/>
            <w:right w:w="108" w:type="dxa"/>
          </w:tblCellMar>
        </w:tblPrEx>
        <w:trPr>
          <w:trHeight w:val="243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产出指标</w:t>
            </w:r>
            <w:r>
              <w:rPr>
                <w:rFonts w:ascii="Times New Roman" w:hAnsi="Times New Roman"/>
                <w:kern w:val="0"/>
                <w:sz w:val="20"/>
                <w:szCs w:val="20"/>
              </w:rPr>
              <w:t>(50分)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数量指标</w:t>
            </w:r>
          </w:p>
        </w:tc>
        <w:tc>
          <w:tcPr>
            <w:tcW w:w="2018" w:type="dxa"/>
            <w:gridSpan w:val="3"/>
            <w:tcBorders>
              <w:top w:val="single" w:color="auto" w:sz="4" w:space="0"/>
              <w:left w:val="single" w:color="auto" w:sz="4" w:space="0"/>
              <w:right w:val="single" w:color="auto" w:sz="4" w:space="0"/>
            </w:tcBorders>
            <w:noWrap w:val="0"/>
            <w:vAlign w:val="center"/>
          </w:tcPr>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人行道板维修961.29㎡</w:t>
            </w:r>
          </w:p>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砼路面维修193.6㎡</w:t>
            </w:r>
          </w:p>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沥青路面352.02㎡</w:t>
            </w:r>
          </w:p>
          <w:p>
            <w:pPr>
              <w:widowControl/>
              <w:spacing w:line="240" w:lineRule="exact"/>
              <w:jc w:val="left"/>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电缆线维修794.8m灯具27套、路灯箱变1座、电力设施配件153个</w:t>
            </w:r>
          </w:p>
          <w:p>
            <w:pPr>
              <w:widowControl/>
              <w:spacing w:line="240" w:lineRule="exact"/>
              <w:jc w:val="left"/>
              <w:rPr>
                <w:rFonts w:hint="eastAsia" w:ascii="Times New Roman" w:hAnsi="Times New Roman" w:eastAsia="宋体"/>
                <w:color w:val="000000"/>
                <w:kern w:val="0"/>
                <w:sz w:val="18"/>
                <w:szCs w:val="18"/>
                <w:lang w:val="en-US" w:eastAsia="zh-CN"/>
              </w:rPr>
            </w:pPr>
            <w:r>
              <w:rPr>
                <w:rFonts w:hint="eastAsia" w:ascii="Times New Roman" w:hAnsi="Times New Roman" w:cs="Times New Roman"/>
                <w:kern w:val="0"/>
                <w:sz w:val="18"/>
                <w:szCs w:val="18"/>
                <w:lang w:val="en-US" w:eastAsia="zh-CN"/>
              </w:rPr>
              <w:t>更换井盖56套，完成管网疏通200m</w:t>
            </w: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eastAsia" w:ascii="Times New Roman" w:hAnsi="Times New Roman" w:cs="Times New Roman"/>
                <w:kern w:val="0"/>
                <w:sz w:val="18"/>
                <w:szCs w:val="18"/>
                <w:lang w:val="en-US" w:eastAsia="zh-CN"/>
              </w:rPr>
            </w:pPr>
            <w:r>
              <w:rPr>
                <w:rFonts w:hint="eastAsia" w:ascii="Times New Roman" w:hAnsi="Times New Roman" w:cs="Times New Roman"/>
                <w:kern w:val="0"/>
                <w:sz w:val="18"/>
                <w:szCs w:val="18"/>
                <w:lang w:val="en-US" w:eastAsia="zh-CN"/>
              </w:rPr>
              <w:t>完好率98%</w:t>
            </w:r>
          </w:p>
          <w:p>
            <w:pPr>
              <w:widowControl/>
              <w:spacing w:line="240" w:lineRule="exact"/>
              <w:jc w:val="center"/>
              <w:rPr>
                <w:rFonts w:hint="eastAsia" w:ascii="Times New Roman" w:hAnsi="Times New Roman"/>
                <w:color w:val="000000"/>
                <w:kern w:val="0"/>
                <w:sz w:val="18"/>
                <w:szCs w:val="18"/>
                <w:lang w:val="en-US" w:eastAsia="zh-CN"/>
              </w:rPr>
            </w:pPr>
          </w:p>
        </w:tc>
        <w:tc>
          <w:tcPr>
            <w:tcW w:w="1030" w:type="dxa"/>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kern w:val="0"/>
                <w:sz w:val="18"/>
                <w:szCs w:val="18"/>
                <w:lang w:val="en-US"/>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质量指标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color w:val="000000"/>
                <w:kern w:val="0"/>
                <w:sz w:val="18"/>
                <w:szCs w:val="18"/>
                <w:lang w:eastAsia="zh-CN"/>
              </w:rPr>
            </w:pPr>
            <w:r>
              <w:rPr>
                <w:rFonts w:hint="eastAsia" w:ascii="Times New Roman" w:hAnsi="Times New Roman"/>
                <w:color w:val="000000"/>
                <w:kern w:val="0"/>
                <w:sz w:val="18"/>
                <w:szCs w:val="18"/>
                <w:lang w:eastAsia="zh-CN"/>
              </w:rPr>
              <w:t>市政设施总体完好率</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≧98％</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20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6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时效指标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lang w:eastAsia="zh-CN"/>
              </w:rPr>
              <w:t>及时消除隐患</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color w:val="000000"/>
                <w:kern w:val="0"/>
                <w:sz w:val="18"/>
                <w:szCs w:val="18"/>
                <w:lang w:val="en-US" w:eastAsia="zh-CN"/>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6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成本指标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财政评审中心预算评审价格</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150.88</w:t>
            </w:r>
            <w:r>
              <w:rPr>
                <w:rFonts w:hint="eastAsia" w:ascii="Times New Roman" w:hAnsi="Times New Roman"/>
                <w:kern w:val="0"/>
                <w:sz w:val="18"/>
                <w:szCs w:val="18"/>
              </w:rPr>
              <w:t>万元</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val="en-US" w:eastAsia="zh-CN"/>
              </w:rPr>
              <w:t>150.88</w:t>
            </w:r>
            <w:r>
              <w:rPr>
                <w:rFonts w:hint="eastAsia" w:ascii="Times New Roman" w:hAnsi="Times New Roman"/>
                <w:kern w:val="0"/>
                <w:sz w:val="18"/>
                <w:szCs w:val="18"/>
              </w:rPr>
              <w:t>万元</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restart"/>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效益指标</w:t>
            </w:r>
            <w:r>
              <w:rPr>
                <w:rFonts w:ascii="Times New Roman" w:hAnsi="Times New Roman"/>
                <w:kern w:val="0"/>
                <w:sz w:val="20"/>
                <w:szCs w:val="20"/>
              </w:rPr>
              <w:t>(30分)</w:t>
            </w: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经济效益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完善县城市政设施，吸引投资商投资</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有所提升</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90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社会效益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路灯正常照明，确保市民安全出行</w:t>
            </w:r>
          </w:p>
          <w:p>
            <w:pPr>
              <w:widowControl/>
              <w:spacing w:line="240" w:lineRule="exact"/>
              <w:jc w:val="center"/>
              <w:rPr>
                <w:rFonts w:ascii="Times New Roman" w:hAnsi="Times New Roman"/>
                <w:color w:val="000000"/>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9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生态效益</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提升市民安全感</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100%</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5</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r>
        <w:tblPrEx>
          <w:tblCellMar>
            <w:top w:w="0" w:type="dxa"/>
            <w:left w:w="108" w:type="dxa"/>
            <w:bottom w:w="0" w:type="dxa"/>
            <w:right w:w="108" w:type="dxa"/>
          </w:tblCellMar>
        </w:tblPrEx>
        <w:trPr>
          <w:trHeight w:val="735"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vMerge w:val="continue"/>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1112" w:type="dxa"/>
            <w:tcBorders>
              <w:top w:val="nil"/>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可持续影响指标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提升城市形象</w:t>
            </w:r>
          </w:p>
          <w:p>
            <w:pPr>
              <w:widowControl/>
              <w:spacing w:line="240" w:lineRule="exact"/>
              <w:jc w:val="center"/>
              <w:rPr>
                <w:rFonts w:ascii="Times New Roman" w:hAnsi="Times New Roman"/>
                <w:color w:val="000000"/>
                <w:kern w:val="0"/>
                <w:sz w:val="18"/>
                <w:szCs w:val="18"/>
              </w:rPr>
            </w:pP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长效</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9</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lang w:eastAsia="zh-CN"/>
              </w:rPr>
              <w:t>经费不足</w:t>
            </w:r>
          </w:p>
        </w:tc>
      </w:tr>
      <w:tr>
        <w:tblPrEx>
          <w:tblCellMar>
            <w:top w:w="0" w:type="dxa"/>
            <w:left w:w="108" w:type="dxa"/>
            <w:bottom w:w="0" w:type="dxa"/>
            <w:right w:w="108" w:type="dxa"/>
          </w:tblCellMar>
        </w:tblPrEx>
        <w:trPr>
          <w:trHeight w:val="890" w:hRule="exact"/>
          <w:jc w:val="center"/>
        </w:trPr>
        <w:tc>
          <w:tcPr>
            <w:tcW w:w="588" w:type="dxa"/>
            <w:vMerge w:val="continue"/>
            <w:tcBorders>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c>
          <w:tcPr>
            <w:tcW w:w="980" w:type="dxa"/>
            <w:tcBorders>
              <w:top w:val="single" w:color="auto" w:sz="4" w:space="0"/>
              <w:left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满意度</w:t>
            </w:r>
          </w:p>
          <w:p>
            <w:pPr>
              <w:widowControl/>
              <w:spacing w:line="240" w:lineRule="exact"/>
              <w:jc w:val="center"/>
              <w:rPr>
                <w:rFonts w:ascii="Times New Roman" w:hAnsi="Times New Roman"/>
                <w:kern w:val="0"/>
                <w:sz w:val="18"/>
                <w:szCs w:val="18"/>
              </w:rPr>
            </w:pPr>
            <w:r>
              <w:rPr>
                <w:rFonts w:ascii="Times New Roman" w:hAnsi="Times New Roman"/>
                <w:kern w:val="0"/>
                <w:sz w:val="18"/>
                <w:szCs w:val="18"/>
              </w:rPr>
              <w:t>指标</w:t>
            </w:r>
            <w:r>
              <w:rPr>
                <w:rFonts w:ascii="Times New Roman" w:hAnsi="Times New Roman"/>
                <w:kern w:val="0"/>
                <w:sz w:val="20"/>
                <w:szCs w:val="20"/>
              </w:rPr>
              <w:t>(10分)</w:t>
            </w:r>
          </w:p>
        </w:tc>
        <w:tc>
          <w:tcPr>
            <w:tcW w:w="1112"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ascii="Times New Roman" w:hAnsi="Times New Roman"/>
                <w:kern w:val="0"/>
                <w:sz w:val="18"/>
                <w:szCs w:val="18"/>
              </w:rPr>
              <w:t>服务对象满意度指标</w:t>
            </w:r>
          </w:p>
        </w:tc>
        <w:tc>
          <w:tcPr>
            <w:tcW w:w="2018" w:type="dxa"/>
            <w:gridSpan w:val="3"/>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hint="eastAsia" w:ascii="Times New Roman" w:hAnsi="Times New Roman"/>
                <w:color w:val="000000"/>
                <w:kern w:val="0"/>
                <w:sz w:val="18"/>
                <w:szCs w:val="18"/>
              </w:rPr>
              <w:t>公众满意度</w:t>
            </w:r>
          </w:p>
        </w:tc>
        <w:tc>
          <w:tcPr>
            <w:tcW w:w="98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0</w:t>
            </w:r>
            <w:r>
              <w:rPr>
                <w:rFonts w:hint="eastAsia" w:ascii="Times New Roman" w:hAnsi="Times New Roman"/>
                <w:kern w:val="0"/>
                <w:sz w:val="18"/>
                <w:szCs w:val="18"/>
              </w:rPr>
              <w:t>％</w:t>
            </w:r>
          </w:p>
        </w:tc>
        <w:tc>
          <w:tcPr>
            <w:tcW w:w="1030" w:type="dxa"/>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r>
              <w:rPr>
                <w:rFonts w:hint="eastAsia" w:ascii="Times New Roman" w:hAnsi="Times New Roman"/>
                <w:kern w:val="0"/>
                <w:sz w:val="18"/>
                <w:szCs w:val="18"/>
              </w:rPr>
              <w:t>≧9</w:t>
            </w:r>
            <w:r>
              <w:rPr>
                <w:rFonts w:hint="eastAsia" w:ascii="Times New Roman" w:hAnsi="Times New Roman"/>
                <w:kern w:val="0"/>
                <w:sz w:val="18"/>
                <w:szCs w:val="18"/>
                <w:lang w:val="en-US" w:eastAsia="zh-CN"/>
              </w:rPr>
              <w:t>0</w:t>
            </w:r>
            <w:r>
              <w:rPr>
                <w:rFonts w:hint="eastAsia" w:ascii="Times New Roman" w:hAnsi="Times New Roman"/>
                <w:kern w:val="0"/>
                <w:sz w:val="18"/>
                <w:szCs w:val="18"/>
              </w:rPr>
              <w:t>％</w:t>
            </w:r>
          </w:p>
        </w:tc>
        <w:tc>
          <w:tcPr>
            <w:tcW w:w="510"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10</w:t>
            </w:r>
          </w:p>
        </w:tc>
        <w:tc>
          <w:tcPr>
            <w:tcW w:w="445"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kern w:val="0"/>
                <w:sz w:val="18"/>
                <w:szCs w:val="18"/>
                <w:lang w:val="en-US" w:eastAsia="zh-CN"/>
              </w:rPr>
            </w:pPr>
            <w:r>
              <w:rPr>
                <w:rFonts w:hint="eastAsia" w:ascii="Times New Roman" w:hAnsi="Times New Roman"/>
                <w:kern w:val="0"/>
                <w:sz w:val="18"/>
                <w:szCs w:val="18"/>
                <w:lang w:val="en-US" w:eastAsia="zh-CN"/>
              </w:rPr>
              <w:t>8</w:t>
            </w:r>
          </w:p>
        </w:tc>
        <w:tc>
          <w:tcPr>
            <w:tcW w:w="1417" w:type="dxa"/>
            <w:gridSpan w:val="2"/>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hint="eastAsia" w:ascii="Times New Roman" w:hAnsi="Times New Roman" w:eastAsia="宋体"/>
                <w:kern w:val="0"/>
                <w:sz w:val="18"/>
                <w:szCs w:val="18"/>
                <w:lang w:eastAsia="zh-CN"/>
              </w:rPr>
            </w:pPr>
            <w:r>
              <w:rPr>
                <w:rFonts w:hint="eastAsia" w:ascii="Times New Roman" w:hAnsi="Times New Roman"/>
                <w:kern w:val="0"/>
                <w:sz w:val="18"/>
                <w:szCs w:val="18"/>
                <w:lang w:eastAsia="zh-CN"/>
              </w:rPr>
              <w:t>存在车辆上人行道影响行人通行，我们将强化管理。</w:t>
            </w:r>
          </w:p>
        </w:tc>
      </w:tr>
      <w:tr>
        <w:tblPrEx>
          <w:tblCellMar>
            <w:top w:w="0" w:type="dxa"/>
            <w:left w:w="108" w:type="dxa"/>
            <w:bottom w:w="0" w:type="dxa"/>
            <w:right w:w="108" w:type="dxa"/>
          </w:tblCellMar>
        </w:tblPrEx>
        <w:trPr>
          <w:trHeight w:val="300" w:hRule="exact"/>
          <w:jc w:val="center"/>
        </w:trPr>
        <w:tc>
          <w:tcPr>
            <w:tcW w:w="6708" w:type="dxa"/>
            <w:gridSpan w:val="8"/>
            <w:tcBorders>
              <w:top w:val="single" w:color="auto" w:sz="4" w:space="0"/>
              <w:left w:val="single" w:color="auto" w:sz="4" w:space="0"/>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总分</w:t>
            </w:r>
          </w:p>
        </w:tc>
        <w:tc>
          <w:tcPr>
            <w:tcW w:w="510"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ascii="Times New Roman" w:hAnsi="Times New Roman"/>
                <w:color w:val="000000"/>
                <w:kern w:val="0"/>
                <w:sz w:val="18"/>
                <w:szCs w:val="18"/>
              </w:rPr>
            </w:pPr>
            <w:r>
              <w:rPr>
                <w:rFonts w:ascii="Times New Roman" w:hAnsi="Times New Roman"/>
                <w:color w:val="000000"/>
                <w:kern w:val="0"/>
                <w:sz w:val="18"/>
                <w:szCs w:val="18"/>
              </w:rPr>
              <w:t>100</w:t>
            </w:r>
          </w:p>
        </w:tc>
        <w:tc>
          <w:tcPr>
            <w:tcW w:w="445" w:type="dxa"/>
            <w:gridSpan w:val="2"/>
            <w:tcBorders>
              <w:top w:val="nil"/>
              <w:left w:val="nil"/>
              <w:bottom w:val="single" w:color="auto" w:sz="4" w:space="0"/>
              <w:right w:val="single" w:color="auto" w:sz="4" w:space="0"/>
            </w:tcBorders>
            <w:noWrap w:val="0"/>
            <w:vAlign w:val="center"/>
          </w:tcPr>
          <w:p>
            <w:pPr>
              <w:widowControl/>
              <w:spacing w:line="240" w:lineRule="exact"/>
              <w:jc w:val="center"/>
              <w:rPr>
                <w:rFonts w:hint="default" w:ascii="Times New Roman" w:hAnsi="Times New Roman" w:eastAsia="宋体"/>
                <w:color w:val="000000"/>
                <w:kern w:val="0"/>
                <w:sz w:val="18"/>
                <w:szCs w:val="18"/>
                <w:lang w:val="en-US" w:eastAsia="zh-CN"/>
              </w:rPr>
            </w:pPr>
            <w:r>
              <w:rPr>
                <w:rFonts w:hint="eastAsia" w:ascii="Times New Roman" w:hAnsi="Times New Roman"/>
                <w:color w:val="000000"/>
                <w:kern w:val="0"/>
                <w:sz w:val="18"/>
                <w:szCs w:val="18"/>
                <w:lang w:val="en-US" w:eastAsia="zh-CN"/>
              </w:rPr>
              <w:t>960</w:t>
            </w:r>
          </w:p>
        </w:tc>
        <w:tc>
          <w:tcPr>
            <w:tcW w:w="1417" w:type="dxa"/>
            <w:gridSpan w:val="2"/>
            <w:tcBorders>
              <w:top w:val="single" w:color="auto" w:sz="4" w:space="0"/>
              <w:left w:val="nil"/>
              <w:bottom w:val="single" w:color="auto" w:sz="4" w:space="0"/>
              <w:right w:val="single" w:color="auto" w:sz="4" w:space="0"/>
            </w:tcBorders>
            <w:noWrap w:val="0"/>
            <w:vAlign w:val="center"/>
          </w:tcPr>
          <w:p>
            <w:pPr>
              <w:widowControl/>
              <w:spacing w:line="240" w:lineRule="exact"/>
              <w:jc w:val="center"/>
              <w:rPr>
                <w:rFonts w:ascii="Times New Roman" w:hAnsi="Times New Roman"/>
                <w:kern w:val="0"/>
                <w:sz w:val="18"/>
                <w:szCs w:val="18"/>
              </w:rPr>
            </w:pPr>
          </w:p>
        </w:tc>
      </w:tr>
    </w:tbl>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br w:type="page"/>
      </w:r>
      <w:r>
        <w:rPr>
          <w:sz w:val="18"/>
        </w:rPr>
        <mc:AlternateContent>
          <mc:Choice Requires="wps">
            <w:drawing>
              <wp:anchor distT="0" distB="0" distL="114300" distR="114300" simplePos="0" relativeHeight="251659264" behindDoc="0" locked="0" layoutInCell="1" allowOverlap="1">
                <wp:simplePos x="0" y="0"/>
                <wp:positionH relativeFrom="column">
                  <wp:posOffset>-107950</wp:posOffset>
                </wp:positionH>
                <wp:positionV relativeFrom="paragraph">
                  <wp:posOffset>185420</wp:posOffset>
                </wp:positionV>
                <wp:extent cx="6400800" cy="123825"/>
                <wp:effectExtent l="4445" t="5080" r="14605" b="4445"/>
                <wp:wrapNone/>
                <wp:docPr id="1" name="矩形 1"/>
                <wp:cNvGraphicFramePr/>
                <a:graphic xmlns:a="http://schemas.openxmlformats.org/drawingml/2006/main">
                  <a:graphicData uri="http://schemas.microsoft.com/office/word/2010/wordprocessingShape">
                    <wps:wsp>
                      <wps:cNvSpPr/>
                      <wps:spPr>
                        <a:xfrm>
                          <a:off x="0" y="0"/>
                          <a:ext cx="6400800" cy="123825"/>
                        </a:xfrm>
                        <a:prstGeom prst="rect">
                          <a:avLst/>
                        </a:prstGeom>
                        <a:solidFill>
                          <a:srgbClr val="FFFFFF"/>
                        </a:solidFill>
                        <a:ln w="9525" cap="flat" cmpd="sng">
                          <a:solidFill>
                            <a:srgbClr val="FFFFFF"/>
                          </a:solidFill>
                          <a:prstDash val="solid"/>
                          <a:miter/>
                          <a:headEnd type="none" w="med" len="med"/>
                          <a:tailEnd type="none" w="med" len="med"/>
                        </a:ln>
                      </wps:spPr>
                      <wps:bodyPr upright="1"/>
                    </wps:wsp>
                  </a:graphicData>
                </a:graphic>
              </wp:anchor>
            </w:drawing>
          </mc:Choice>
          <mc:Fallback>
            <w:pict>
              <v:rect id="_x0000_s1026" o:spid="_x0000_s1026" o:spt="1" style="position:absolute;left:0pt;margin-left:-8.5pt;margin-top:14.6pt;height:9.75pt;width:504pt;z-index:251659264;mso-width-relative:page;mso-height-relative:page;" fillcolor="#FFFFFF" filled="t" stroked="t" coordsize="21600,21600" o:gfxdata="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">
                <v:fill on="t" focussize="0,0"/>
                <v:stroke color="#FFFFFF" joinstyle="miter"/>
                <v:imagedata o:title=""/>
                <o:lock v:ext="edit" aspectratio="f"/>
              </v:rect>
            </w:pict>
          </mc:Fallback>
        </mc:AlternateContent>
      </w:r>
    </w:p>
    <w:tbl>
      <w:tblPr>
        <w:tblStyle w:val="4"/>
        <w:tblW w:w="9540" w:type="dxa"/>
        <w:tblInd w:w="97" w:type="dxa"/>
        <w:tblLayout w:type="fixed"/>
        <w:tblCellMar>
          <w:top w:w="0" w:type="dxa"/>
          <w:left w:w="108" w:type="dxa"/>
          <w:bottom w:w="0" w:type="dxa"/>
          <w:right w:w="108" w:type="dxa"/>
        </w:tblCellMar>
      </w:tblPr>
      <w:tblGrid>
        <w:gridCol w:w="9540"/>
      </w:tblGrid>
      <w:tr>
        <w:tblPrEx>
          <w:tblCellMar>
            <w:top w:w="0" w:type="dxa"/>
            <w:left w:w="108" w:type="dxa"/>
            <w:bottom w:w="0" w:type="dxa"/>
            <w:right w:w="108" w:type="dxa"/>
          </w:tblCellMar>
        </w:tblPrEx>
        <w:trPr>
          <w:trHeight w:val="465" w:hRule="atLeast"/>
        </w:trPr>
        <w:tc>
          <w:tcPr>
            <w:tcW w:w="9540" w:type="dxa"/>
            <w:tcBorders>
              <w:top w:val="single" w:color="auto" w:sz="4" w:space="0"/>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注：1.一级指标分值统一设置为：产出指标50分、效益指标30分、服务对象满意度指标10分、预算资金执行率10分。如有特殊情况，上述权重可做适当调整，但加总后应等于100分。各部门根据各项指标重要程度确定三级指标的分值。得分一档最高不能超过该指标分值上限。</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2.定性指标根据指标完成情况分为：达成预期指标、部分达成预期指标并具有一定效果、未达成预期指标且效果较差三档，分别按照该指标对应分值区间100-80%(含80%)、80-50%(含50%)、50-0%合理确定分值。</w:t>
            </w:r>
          </w:p>
        </w:tc>
      </w:tr>
      <w:tr>
        <w:tblPrEx>
          <w:tblCellMar>
            <w:top w:w="0" w:type="dxa"/>
            <w:left w:w="108" w:type="dxa"/>
            <w:bottom w:w="0" w:type="dxa"/>
            <w:right w:w="108" w:type="dxa"/>
          </w:tblCellMar>
        </w:tblPrEx>
        <w:trPr>
          <w:trHeight w:val="465" w:hRule="atLeast"/>
        </w:trPr>
        <w:tc>
          <w:tcPr>
            <w:tcW w:w="9540" w:type="dxa"/>
            <w:tcBorders>
              <w:top w:val="nil"/>
              <w:left w:val="nil"/>
              <w:bottom w:val="nil"/>
              <w:right w:val="nil"/>
            </w:tcBorders>
            <w:noWrap w:val="0"/>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3.定量指标若为正向指标（即指标值为≥*），则得分计算方法应用全年实际值（B）/年度指标值（A）</w:t>
            </w:r>
            <w:r>
              <w:rPr>
                <w:rFonts w:ascii="Times New Roman" w:hAnsi="Times New Roman"/>
                <w:color w:val="000000"/>
                <w:kern w:val="0"/>
                <w:sz w:val="12"/>
                <w:szCs w:val="12"/>
              </w:rPr>
              <w:t>╳</w:t>
            </w:r>
            <w:r>
              <w:rPr>
                <w:rFonts w:ascii="Times New Roman" w:hAnsi="Times New Roman"/>
                <w:color w:val="000000"/>
                <w:kern w:val="0"/>
                <w:sz w:val="18"/>
                <w:szCs w:val="18"/>
              </w:rPr>
              <w:t>该指标分值；若定量指标为反向指标（即指标值为≤*），则得分计算方法应用年度指标值（A）/全年实际值（B）</w:t>
            </w:r>
            <w:r>
              <w:rPr>
                <w:rFonts w:ascii="Times New Roman" w:hAnsi="Times New Roman"/>
                <w:color w:val="000000"/>
                <w:kern w:val="0"/>
                <w:sz w:val="12"/>
                <w:szCs w:val="12"/>
              </w:rPr>
              <w:t>╳</w:t>
            </w:r>
            <w:r>
              <w:rPr>
                <w:rFonts w:ascii="Times New Roman" w:hAnsi="Times New Roman"/>
                <w:color w:val="000000"/>
                <w:kern w:val="0"/>
                <w:sz w:val="18"/>
                <w:szCs w:val="18"/>
              </w:rPr>
              <w:t>该指标分值。</w:t>
            </w:r>
          </w:p>
        </w:tc>
      </w:tr>
      <w:tr>
        <w:tblPrEx>
          <w:tblCellMar>
            <w:top w:w="0" w:type="dxa"/>
            <w:left w:w="108" w:type="dxa"/>
            <w:bottom w:w="0" w:type="dxa"/>
            <w:right w:w="108" w:type="dxa"/>
          </w:tblCellMar>
        </w:tblPrEx>
        <w:trPr>
          <w:trHeight w:val="210" w:hRule="atLeast"/>
        </w:trPr>
        <w:tc>
          <w:tcPr>
            <w:tcW w:w="9540" w:type="dxa"/>
            <w:tcBorders>
              <w:top w:val="nil"/>
              <w:left w:val="nil"/>
              <w:bottom w:val="nil"/>
              <w:right w:val="nil"/>
            </w:tcBorders>
            <w:noWrap/>
            <w:vAlign w:val="center"/>
          </w:tcPr>
          <w:p>
            <w:pPr>
              <w:widowControl/>
              <w:spacing w:line="400" w:lineRule="exact"/>
              <w:jc w:val="left"/>
              <w:rPr>
                <w:rFonts w:ascii="Times New Roman" w:hAnsi="Times New Roman"/>
                <w:color w:val="000000"/>
                <w:kern w:val="0"/>
                <w:sz w:val="18"/>
                <w:szCs w:val="18"/>
              </w:rPr>
            </w:pPr>
            <w:r>
              <w:rPr>
                <w:rFonts w:ascii="Times New Roman" w:hAnsi="Times New Roman"/>
                <w:color w:val="000000"/>
                <w:kern w:val="0"/>
                <w:sz w:val="18"/>
                <w:szCs w:val="18"/>
              </w:rPr>
              <w:t xml:space="preserve">    4.请在“</w:t>
            </w:r>
            <w:r>
              <w:rPr>
                <w:rFonts w:ascii="Times New Roman" w:hAnsi="Times New Roman"/>
                <w:kern w:val="0"/>
                <w:sz w:val="18"/>
                <w:szCs w:val="18"/>
              </w:rPr>
              <w:t>偏差原因分析及改进措施</w:t>
            </w:r>
            <w:r>
              <w:rPr>
                <w:rFonts w:ascii="Times New Roman" w:hAnsi="Times New Roman"/>
                <w:color w:val="000000"/>
                <w:kern w:val="0"/>
                <w:sz w:val="18"/>
                <w:szCs w:val="18"/>
              </w:rPr>
              <w:t>”中说明偏离目标、不能完成目标的原因及拟采取的措施。</w:t>
            </w:r>
          </w:p>
        </w:tc>
      </w:tr>
    </w:tbl>
    <w:p>
      <w:pPr>
        <w:widowControl/>
        <w:spacing w:line="400" w:lineRule="exact"/>
        <w:jc w:val="left"/>
        <w:rPr>
          <w:rFonts w:ascii="Times New Roman" w:hAnsi="Times New Roman"/>
          <w:color w:val="000000"/>
          <w:kern w:val="0"/>
          <w:sz w:val="18"/>
          <w:szCs w:val="18"/>
        </w:rPr>
      </w:pPr>
    </w:p>
    <w:p>
      <w:pPr>
        <w:rPr>
          <w:rFonts w:ascii="Times New Roman" w:hAnsi="Times New Roman"/>
        </w:rPr>
      </w:pPr>
    </w:p>
    <w:p>
      <w:pPr>
        <w:rPr>
          <w:rFonts w:ascii="Times New Roman" w:hAnsi="Times New Roman" w:eastAsia="黑体"/>
        </w:rPr>
        <w:sectPr>
          <w:pgSz w:w="11906" w:h="16838"/>
          <w:pgMar w:top="1587" w:right="1587" w:bottom="1587" w:left="1587" w:header="737" w:footer="850" w:gutter="0"/>
          <w:pgBorders>
            <w:top w:val="none" w:sz="0" w:space="0"/>
            <w:left w:val="none" w:sz="0" w:space="0"/>
            <w:bottom w:val="none" w:sz="0" w:space="0"/>
            <w:right w:val="none" w:sz="0" w:space="0"/>
          </w:pgBorders>
          <w:cols w:space="720" w:num="1"/>
          <w:docGrid w:type="lines" w:linePitch="408" w:charSpace="0"/>
        </w:sectPr>
      </w:pPr>
    </w:p>
    <w:p>
      <w:pPr>
        <w:pStyle w:val="6"/>
        <w:spacing w:line="510" w:lineRule="exact"/>
        <w:jc w:val="left"/>
        <w:rPr>
          <w:rFonts w:ascii="Times New Roman" w:hAnsi="Times New Roman" w:eastAsia="宋体"/>
          <w:bCs/>
          <w:color w:val="000000"/>
          <w:sz w:val="36"/>
          <w:szCs w:val="28"/>
        </w:rPr>
      </w:pPr>
      <w:r>
        <w:rPr>
          <w:rFonts w:hint="eastAsia" w:ascii="Times New Roman" w:hAnsi="Times New Roman" w:eastAsia="仿宋"/>
          <w:sz w:val="32"/>
          <w:szCs w:val="32"/>
          <w:lang w:eastAsia="zh-CN"/>
        </w:rPr>
        <w:t>附件</w:t>
      </w:r>
      <w:r>
        <w:rPr>
          <w:rFonts w:hint="eastAsia" w:ascii="Times New Roman" w:hAnsi="Times New Roman" w:eastAsia="仿宋"/>
          <w:sz w:val="32"/>
          <w:szCs w:val="32"/>
          <w:lang w:val="en-US" w:eastAsia="zh-CN"/>
        </w:rPr>
        <w:t>2</w:t>
      </w:r>
    </w:p>
    <w:p>
      <w:pPr>
        <w:pStyle w:val="2"/>
        <w:spacing w:before="0" w:after="0" w:line="240" w:lineRule="auto"/>
        <w:jc w:val="center"/>
        <w:rPr>
          <w:rFonts w:ascii="Times New Roman" w:hAnsi="Times New Roman" w:eastAsia="宋体"/>
          <w:bCs/>
          <w:color w:val="000000"/>
          <w:sz w:val="36"/>
          <w:szCs w:val="28"/>
        </w:rPr>
      </w:pPr>
      <w:r>
        <w:rPr>
          <w:rFonts w:ascii="Times New Roman" w:hAnsi="Times New Roman" w:eastAsia="宋体"/>
          <w:bCs/>
          <w:color w:val="000000"/>
          <w:sz w:val="36"/>
          <w:szCs w:val="28"/>
        </w:rPr>
        <w:t>项目支出绩效评价共性指标表</w:t>
      </w:r>
    </w:p>
    <w:tbl>
      <w:tblPr>
        <w:tblStyle w:val="4"/>
        <w:tblW w:w="12589"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682"/>
        <w:gridCol w:w="709"/>
        <w:gridCol w:w="1134"/>
        <w:gridCol w:w="567"/>
        <w:gridCol w:w="2835"/>
        <w:gridCol w:w="6096"/>
        <w:gridCol w:w="566"/>
      </w:tblGrid>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682"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一级指标</w:t>
            </w:r>
          </w:p>
        </w:tc>
        <w:tc>
          <w:tcPr>
            <w:tcW w:w="709"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二级指标</w:t>
            </w:r>
          </w:p>
        </w:tc>
        <w:tc>
          <w:tcPr>
            <w:tcW w:w="1134"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三级指标</w:t>
            </w:r>
          </w:p>
        </w:tc>
        <w:tc>
          <w:tcPr>
            <w:tcW w:w="567" w:type="dxa"/>
            <w:shd w:val="clear" w:color="auto" w:fill="FFFFFF"/>
            <w:noWrap w:val="0"/>
            <w:vAlign w:val="top"/>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分</w:t>
            </w:r>
          </w:p>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值</w:t>
            </w:r>
          </w:p>
        </w:tc>
        <w:tc>
          <w:tcPr>
            <w:tcW w:w="2835"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指标解释</w:t>
            </w:r>
          </w:p>
        </w:tc>
        <w:tc>
          <w:tcPr>
            <w:tcW w:w="609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指标说明</w:t>
            </w:r>
          </w:p>
        </w:tc>
        <w:tc>
          <w:tcPr>
            <w:tcW w:w="566" w:type="dxa"/>
            <w:shd w:val="clear" w:color="auto" w:fill="FFFFFF"/>
            <w:noWrap w:val="0"/>
            <w:vAlign w:val="center"/>
          </w:tcPr>
          <w:p>
            <w:pPr>
              <w:widowControl/>
              <w:spacing w:line="0" w:lineRule="atLeast"/>
              <w:jc w:val="center"/>
              <w:rPr>
                <w:rFonts w:ascii="Times New Roman" w:hAnsi="Times New Roman"/>
                <w:b/>
                <w:bCs/>
                <w:color w:val="000000"/>
                <w:kern w:val="0"/>
                <w:sz w:val="22"/>
                <w:szCs w:val="22"/>
              </w:rPr>
            </w:pPr>
            <w:r>
              <w:rPr>
                <w:rFonts w:ascii="Times New Roman" w:hAnsi="Times New Roman"/>
                <w:b/>
                <w:bCs/>
                <w:color w:val="000000"/>
                <w:kern w:val="0"/>
                <w:sz w:val="22"/>
                <w:szCs w:val="22"/>
              </w:rPr>
              <w:t>得分</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项目立项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立项依据</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充分性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项目立项是否符合法律法规、相关政策、发展规划以及部门职责，用以反映和考核项目立项依据情况。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①项目立项是否符合国家法律法规、国民经济发展规划和相关政策；</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②项目立项是否符合行业发展规划和政策要求；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③项目立项是否与部门职责范围相符，属于部门履职所需；</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④项目是否属于公共财政支持范围，是否符合中央、地方事权支出责任划分原则；</w:t>
            </w:r>
            <w:r>
              <w:rPr>
                <w:rFonts w:ascii="Times New Roman" w:hAnsi="Times New Roman"/>
                <w:color w:val="000000"/>
                <w:kern w:val="0"/>
                <w:sz w:val="22"/>
                <w:szCs w:val="22"/>
              </w:rPr>
              <w:br w:type="textWrapping"/>
            </w:r>
            <w:r>
              <w:rPr>
                <w:rFonts w:ascii="Times New Roman" w:hAnsi="Times New Roman"/>
                <w:color w:val="000000"/>
                <w:kern w:val="0"/>
                <w:sz w:val="22"/>
                <w:szCs w:val="22"/>
              </w:rPr>
              <w:t>⑤项目是否与相关部门同类项目或部门内部相关项目重复。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1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立项程序</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规范性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项目申请、设立过程是否符合相关要求，用以反映和考核项目立项的规范情况。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①项目是否按照规定的程序申请设立；</w:t>
            </w:r>
            <w:r>
              <w:rPr>
                <w:rFonts w:ascii="Times New Roman" w:hAnsi="Times New Roman"/>
                <w:color w:val="000000"/>
                <w:kern w:val="0"/>
                <w:sz w:val="22"/>
                <w:szCs w:val="22"/>
              </w:rPr>
              <w:br w:type="textWrapping"/>
            </w:r>
            <w:r>
              <w:rPr>
                <w:rFonts w:ascii="Times New Roman" w:hAnsi="Times New Roman"/>
                <w:color w:val="000000"/>
                <w:kern w:val="0"/>
                <w:sz w:val="22"/>
                <w:szCs w:val="22"/>
              </w:rPr>
              <w:t>②审批文件、材料是否符合相关要求；</w:t>
            </w:r>
            <w:r>
              <w:rPr>
                <w:rFonts w:ascii="Times New Roman" w:hAnsi="Times New Roman"/>
                <w:color w:val="000000"/>
                <w:kern w:val="0"/>
                <w:sz w:val="22"/>
                <w:szCs w:val="22"/>
              </w:rPr>
              <w:br w:type="textWrapping"/>
            </w:r>
            <w:r>
              <w:rPr>
                <w:rFonts w:ascii="Times New Roman" w:hAnsi="Times New Roman"/>
                <w:color w:val="000000"/>
                <w:kern w:val="0"/>
                <w:sz w:val="22"/>
                <w:szCs w:val="22"/>
              </w:rPr>
              <w:t>③事前是否已经过必要的可行性研究、专家论证、风险评估、绩效评估、集体决策。</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829"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项目所设定的绩效目标是否依据充分，是否符合客观实际，用以反映和考核项目绩效目标与项目实施的相符情况。</w:t>
            </w:r>
          </w:p>
        </w:tc>
        <w:tc>
          <w:tcPr>
            <w:tcW w:w="6096"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（如未设定预算绩效目标，也可考核其他工作任务目标）</w:t>
            </w:r>
            <w:r>
              <w:rPr>
                <w:rFonts w:ascii="Times New Roman" w:hAnsi="Times New Roman"/>
                <w:color w:val="000000"/>
                <w:kern w:val="0"/>
                <w:sz w:val="22"/>
                <w:szCs w:val="22"/>
              </w:rPr>
              <w:br w:type="textWrapping"/>
            </w:r>
            <w:r>
              <w:rPr>
                <w:rFonts w:ascii="Times New Roman" w:hAnsi="Times New Roman"/>
                <w:color w:val="000000"/>
                <w:kern w:val="0"/>
                <w:sz w:val="22"/>
                <w:szCs w:val="22"/>
              </w:rPr>
              <w:t>①项目是否有绩效目标；</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②项目绩效目标与实际工作内容是否具有相关性；</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③项目预期产出效益和效果是否符合正常的业绩水平；</w:t>
            </w:r>
          </w:p>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④是否与预算确定的项目投资额或资金量相匹配。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决策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绩效目标</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绩效指标</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明确性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依据绩效目标设定的绩效指标是否清晰、细化、可衡量等，用以反映和考核项目绩效目标的明细化情况。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①是否将项目绩效目标细化分解为具体的绩效指标；</w:t>
            </w:r>
            <w:r>
              <w:rPr>
                <w:rFonts w:ascii="Times New Roman" w:hAnsi="Times New Roman"/>
                <w:color w:val="000000"/>
                <w:kern w:val="0"/>
                <w:sz w:val="22"/>
                <w:szCs w:val="22"/>
              </w:rPr>
              <w:br w:type="textWrapping"/>
            </w:r>
            <w:r>
              <w:rPr>
                <w:rFonts w:ascii="Times New Roman" w:hAnsi="Times New Roman"/>
                <w:color w:val="000000"/>
                <w:kern w:val="0"/>
                <w:sz w:val="22"/>
                <w:szCs w:val="22"/>
              </w:rPr>
              <w:t>②是否通过清晰、可衡量的指标值予以体现；</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③是否与项目目标任务数或计划数相对应。</w:t>
            </w:r>
            <w:r>
              <w:rPr>
                <w:rFonts w:ascii="Times New Roman" w:hAnsi="Times New Roman"/>
                <w:color w:val="000000"/>
                <w:kern w:val="0"/>
                <w:sz w:val="22"/>
                <w:szCs w:val="22"/>
              </w:rPr>
              <w:br w:type="textWrapping"/>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资金投入</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预算编制</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科学性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项目预算编制是否经过科学论证、有明确标准，资金额度与年度目标是否相适应，用以反映和考核项目预算编制的科学性、合理性情况。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①预算编制是否经过科学论证；</w:t>
            </w:r>
            <w:r>
              <w:rPr>
                <w:rFonts w:ascii="Times New Roman" w:hAnsi="Times New Roman"/>
                <w:color w:val="000000"/>
                <w:kern w:val="0"/>
                <w:sz w:val="22"/>
                <w:szCs w:val="22"/>
              </w:rPr>
              <w:br w:type="textWrapping"/>
            </w:r>
            <w:r>
              <w:rPr>
                <w:rFonts w:ascii="Times New Roman" w:hAnsi="Times New Roman"/>
                <w:color w:val="000000"/>
                <w:kern w:val="0"/>
                <w:sz w:val="22"/>
                <w:szCs w:val="22"/>
              </w:rPr>
              <w:t>②预算内容与项目内容是否匹配；</w:t>
            </w:r>
            <w:r>
              <w:rPr>
                <w:rFonts w:ascii="Times New Roman" w:hAnsi="Times New Roman"/>
                <w:color w:val="000000"/>
                <w:kern w:val="0"/>
                <w:sz w:val="22"/>
                <w:szCs w:val="22"/>
              </w:rPr>
              <w:br w:type="textWrapping"/>
            </w:r>
            <w:r>
              <w:rPr>
                <w:rFonts w:ascii="Times New Roman" w:hAnsi="Times New Roman"/>
                <w:color w:val="000000"/>
                <w:kern w:val="0"/>
                <w:sz w:val="22"/>
                <w:szCs w:val="22"/>
              </w:rPr>
              <w:t>③预算额度测算依据是否充分，是否按照标准编制；</w:t>
            </w:r>
            <w:r>
              <w:rPr>
                <w:rFonts w:ascii="Times New Roman" w:hAnsi="Times New Roman"/>
                <w:color w:val="000000"/>
                <w:kern w:val="0"/>
                <w:sz w:val="22"/>
                <w:szCs w:val="22"/>
              </w:rPr>
              <w:br w:type="textWrapping"/>
            </w:r>
            <w:r>
              <w:rPr>
                <w:rFonts w:ascii="Times New Roman" w:hAnsi="Times New Roman"/>
                <w:color w:val="000000"/>
                <w:kern w:val="0"/>
                <w:sz w:val="22"/>
                <w:szCs w:val="22"/>
              </w:rPr>
              <w:t>④预算确定的项目投资额或资金量是否与工作任务相匹配。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2</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资金分配</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合理性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项目预算资金分配是否有测算依据，与补助单位或地方实际是否相适应，用以反映和考核项目预算资金分配的科学性、合理性情况。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①预算资金分配依据是否充分；</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②资金分配额度是否合理，与项目单位或地方实际是否相适应。</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682" w:type="dxa"/>
            <w:vMerge w:val="restart"/>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资金到位率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3</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实际到位资金与预算资金的比率，用以反映和考核资金落实情况对项目实施的总体保障程度。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资金到位率=（实际到位资金/预算资金）×100%。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实际到位资金：一定时期（本年度或项目期）内落实到具体项目的资金。</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预算资金：一定时期（本年度或项目期）内预算安排到具体项目的资金。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3</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预算执行率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项目预算资金是否按照计划执行，用以反映或考核项目预算执行情况。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预算执行率=（实际支出资金/实际到位资金）×100%。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实际支出资金：一定时期（本年度或项目期）内项目实际拨付的资金。</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过程　</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资金管理</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资金使用</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合规性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项目资金使用是否符合相关的财务管理制度规定，用以反映和考核项目资金的规范运行情况。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①是否符合国家财经法规和财务管理制度以及有关专项资金管理办法的规定；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②资金的拨付是否有完整的审批程序和手续；</w:t>
            </w:r>
            <w:r>
              <w:rPr>
                <w:rFonts w:ascii="Times New Roman" w:hAnsi="Times New Roman"/>
                <w:color w:val="000000"/>
                <w:kern w:val="0"/>
                <w:sz w:val="22"/>
                <w:szCs w:val="22"/>
              </w:rPr>
              <w:br w:type="textWrapping"/>
            </w:r>
            <w:r>
              <w:rPr>
                <w:rFonts w:ascii="Times New Roman" w:hAnsi="Times New Roman"/>
                <w:color w:val="000000"/>
                <w:kern w:val="0"/>
                <w:sz w:val="22"/>
                <w:szCs w:val="22"/>
              </w:rPr>
              <w:t>③是否符合项目预算批复或合同规定的用途；</w:t>
            </w:r>
            <w:r>
              <w:rPr>
                <w:rFonts w:ascii="Times New Roman" w:hAnsi="Times New Roman"/>
                <w:color w:val="000000"/>
                <w:kern w:val="0"/>
                <w:sz w:val="22"/>
                <w:szCs w:val="22"/>
              </w:rPr>
              <w:br w:type="textWrapping"/>
            </w:r>
            <w:r>
              <w:rPr>
                <w:rFonts w:ascii="Times New Roman" w:hAnsi="Times New Roman"/>
                <w:color w:val="000000"/>
                <w:kern w:val="0"/>
                <w:sz w:val="22"/>
                <w:szCs w:val="22"/>
              </w:rPr>
              <w:t>④是否存在截留、挤占、挪用、虚列支出等情况。</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组织实施</w:t>
            </w:r>
          </w:p>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管理制度</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健全性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项目实施单位的财务和业务管理制度是否健全，用以反映和考核财务和业务管理制度对项目顺利实施的保障情况。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①是否已制定或具有相应的财务和业务管理制度；</w:t>
            </w:r>
            <w:r>
              <w:rPr>
                <w:rFonts w:ascii="Times New Roman" w:hAnsi="Times New Roman"/>
                <w:color w:val="000000"/>
                <w:kern w:val="0"/>
                <w:sz w:val="22"/>
                <w:szCs w:val="22"/>
              </w:rPr>
              <w:br w:type="textWrapping"/>
            </w:r>
            <w:r>
              <w:rPr>
                <w:rFonts w:ascii="Times New Roman" w:hAnsi="Times New Roman"/>
                <w:color w:val="000000"/>
                <w:kern w:val="0"/>
                <w:sz w:val="22"/>
                <w:szCs w:val="22"/>
              </w:rPr>
              <w:t>②财务和业务管理制度是否合法、合规、完整。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制度执行</w:t>
            </w:r>
          </w:p>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有效性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4</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项目实施是否符合相关管理规定，用以反映和考核相关管理制度的有效执行情况。</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评价要点：</w:t>
            </w:r>
            <w:r>
              <w:rPr>
                <w:rFonts w:ascii="Times New Roman" w:hAnsi="Times New Roman"/>
                <w:color w:val="000000"/>
                <w:kern w:val="0"/>
                <w:sz w:val="22"/>
                <w:szCs w:val="22"/>
              </w:rPr>
              <w:br w:type="textWrapping"/>
            </w:r>
            <w:r>
              <w:rPr>
                <w:rFonts w:ascii="Times New Roman" w:hAnsi="Times New Roman"/>
                <w:color w:val="000000"/>
                <w:kern w:val="0"/>
                <w:sz w:val="22"/>
                <w:szCs w:val="22"/>
              </w:rPr>
              <w:t>①是否遵守相关法律法规和相关管理规定；</w:t>
            </w:r>
            <w:r>
              <w:rPr>
                <w:rFonts w:ascii="Times New Roman" w:hAnsi="Times New Roman"/>
                <w:color w:val="000000"/>
                <w:kern w:val="0"/>
                <w:sz w:val="22"/>
                <w:szCs w:val="22"/>
              </w:rPr>
              <w:br w:type="textWrapping"/>
            </w:r>
            <w:r>
              <w:rPr>
                <w:rFonts w:ascii="Times New Roman" w:hAnsi="Times New Roman"/>
                <w:color w:val="000000"/>
                <w:kern w:val="0"/>
                <w:sz w:val="22"/>
                <w:szCs w:val="22"/>
              </w:rPr>
              <w:t>②项目调整及支出调整手续是否完备；</w:t>
            </w:r>
            <w:r>
              <w:rPr>
                <w:rFonts w:ascii="Times New Roman" w:hAnsi="Times New Roman"/>
                <w:color w:val="000000"/>
                <w:kern w:val="0"/>
                <w:sz w:val="22"/>
                <w:szCs w:val="22"/>
              </w:rPr>
              <w:br w:type="textWrapping"/>
            </w:r>
            <w:r>
              <w:rPr>
                <w:rFonts w:ascii="Times New Roman" w:hAnsi="Times New Roman"/>
                <w:color w:val="000000"/>
                <w:kern w:val="0"/>
                <w:sz w:val="22"/>
                <w:szCs w:val="22"/>
              </w:rPr>
              <w:t>③项目合同书、验收报告、技术鉴定等资料是否齐全并及时归档；</w:t>
            </w:r>
            <w:r>
              <w:rPr>
                <w:rFonts w:ascii="Times New Roman" w:hAnsi="Times New Roman"/>
                <w:color w:val="000000"/>
                <w:kern w:val="0"/>
                <w:sz w:val="22"/>
                <w:szCs w:val="22"/>
              </w:rPr>
              <w:br w:type="textWrapping"/>
            </w:r>
            <w:r>
              <w:rPr>
                <w:rFonts w:ascii="Times New Roman" w:hAnsi="Times New Roman"/>
                <w:color w:val="000000"/>
                <w:kern w:val="0"/>
                <w:sz w:val="22"/>
                <w:szCs w:val="22"/>
              </w:rPr>
              <w:t>④项目实施的人员条件、场地设备、信息支撑等是否落实到位。</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4</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7" w:hRule="atLeast"/>
          <w:jc w:val="center"/>
        </w:trPr>
        <w:tc>
          <w:tcPr>
            <w:tcW w:w="682"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产出数量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实际完成率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项目实施的实际产出数与计划产出数的比率，用以反映和考核项目产出数量目标的实现程度。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实际完成率=（实际产出数/计划产出数）×100%。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实际产出数：一定时期（本年度或项目期）内项目实际产出的产品或提供的服务数量。</w:t>
            </w:r>
            <w:r>
              <w:rPr>
                <w:rFonts w:ascii="Times New Roman" w:hAnsi="Times New Roman"/>
                <w:color w:val="000000"/>
                <w:kern w:val="0"/>
                <w:sz w:val="22"/>
                <w:szCs w:val="22"/>
              </w:rPr>
              <w:br w:type="textWrapping"/>
            </w:r>
            <w:r>
              <w:rPr>
                <w:rFonts w:ascii="Times New Roman" w:hAnsi="Times New Roman"/>
                <w:color w:val="000000"/>
                <w:kern w:val="0"/>
                <w:sz w:val="22"/>
                <w:szCs w:val="22"/>
              </w:rPr>
              <w:t>计划产出数：项目绩效目标确定的在一定时期（本年度或项目期）内计划产出的产品或提供的服务数量。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w:t>
            </w: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产出质量</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质量达标率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项目完成的质量达标产出数与实际产出数的比率，用以反映和考核项目产出质量目标的实现程度。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质量达标率=（质量达标产出数/实际产出数）×100%。</w:t>
            </w:r>
          </w:p>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506" w:hRule="atLeast"/>
          <w:jc w:val="center"/>
        </w:trPr>
        <w:tc>
          <w:tcPr>
            <w:tcW w:w="682" w:type="dxa"/>
            <w:vMerge w:val="continue"/>
            <w:shd w:val="clear" w:color="auto" w:fill="FFFFFF"/>
            <w:noWrap w:val="0"/>
            <w:vAlign w:val="center"/>
          </w:tcPr>
          <w:p>
            <w:pPr>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产出时效</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完成及时性</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项目实际完成时间与计划完成时间的比较，用以反映和考核项目产出时效目标的实现程度。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实际完成时间：项目实施单位完成该项目实际所耗用的时间。</w:t>
            </w:r>
            <w:r>
              <w:rPr>
                <w:rFonts w:ascii="Times New Roman" w:hAnsi="Times New Roman"/>
                <w:color w:val="000000"/>
                <w:kern w:val="0"/>
                <w:sz w:val="22"/>
                <w:szCs w:val="22"/>
              </w:rPr>
              <w:br w:type="textWrapping"/>
            </w:r>
            <w:r>
              <w:rPr>
                <w:rFonts w:ascii="Times New Roman" w:hAnsi="Times New Roman"/>
                <w:color w:val="000000"/>
                <w:kern w:val="0"/>
                <w:sz w:val="22"/>
                <w:szCs w:val="22"/>
              </w:rPr>
              <w:t>计划完成时间：按照项目实施计划或相关规定完成该项目所需的时间。</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8</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74"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产出成本</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成本节约率</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完成项目计划工作目标的实际节约成本与计划成本的比率，用以反映和考核项目的成本节约程度。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br w:type="textWrapping"/>
            </w:r>
            <w:r>
              <w:rPr>
                <w:rFonts w:ascii="Times New Roman" w:hAnsi="Times New Roman"/>
                <w:color w:val="000000"/>
                <w:kern w:val="0"/>
                <w:sz w:val="22"/>
                <w:szCs w:val="22"/>
              </w:rPr>
              <w:t>成本节约率=[（计划成本-实际成本）/计划成本]×100%。</w:t>
            </w:r>
            <w:r>
              <w:rPr>
                <w:rFonts w:ascii="Times New Roman" w:hAnsi="Times New Roman"/>
                <w:color w:val="000000"/>
                <w:kern w:val="0"/>
                <w:sz w:val="22"/>
                <w:szCs w:val="22"/>
              </w:rPr>
              <w:br w:type="textWrapping"/>
            </w:r>
            <w:r>
              <w:rPr>
                <w:rFonts w:ascii="Times New Roman" w:hAnsi="Times New Roman"/>
                <w:color w:val="000000"/>
                <w:kern w:val="0"/>
                <w:sz w:val="22"/>
                <w:szCs w:val="22"/>
              </w:rPr>
              <w:t>实际成本：项目实施单位如期、保质、保量完成既定工作目标实际所耗费的支出。</w:t>
            </w:r>
            <w:r>
              <w:rPr>
                <w:rFonts w:ascii="Times New Roman" w:hAnsi="Times New Roman"/>
                <w:color w:val="000000"/>
                <w:kern w:val="0"/>
                <w:sz w:val="22"/>
                <w:szCs w:val="22"/>
              </w:rPr>
              <w:br w:type="textWrapping"/>
            </w:r>
            <w:r>
              <w:rPr>
                <w:rFonts w:ascii="Times New Roman" w:hAnsi="Times New Roman"/>
                <w:color w:val="000000"/>
                <w:kern w:val="0"/>
                <w:sz w:val="22"/>
                <w:szCs w:val="22"/>
              </w:rPr>
              <w:t>计划成本：项目实施单位为完成工作目标计划安排的支出，一般以项目预算为参考。</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7</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3" w:hRule="atLeast"/>
          <w:jc w:val="center"/>
        </w:trPr>
        <w:tc>
          <w:tcPr>
            <w:tcW w:w="682"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效益　</w:t>
            </w:r>
          </w:p>
        </w:tc>
        <w:tc>
          <w:tcPr>
            <w:tcW w:w="709" w:type="dxa"/>
            <w:vMerge w:val="restart"/>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项目效益　</w:t>
            </w: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实施效益</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20</w:t>
            </w:r>
          </w:p>
        </w:tc>
        <w:tc>
          <w:tcPr>
            <w:tcW w:w="2835" w:type="dxa"/>
            <w:shd w:val="clear" w:color="auto" w:fill="FFFFFF"/>
            <w:noWrap w:val="0"/>
            <w:vAlign w:val="center"/>
          </w:tcPr>
          <w:p>
            <w:pPr>
              <w:widowControl/>
              <w:spacing w:line="0" w:lineRule="atLeast"/>
              <w:jc w:val="left"/>
              <w:rPr>
                <w:rFonts w:ascii="Times New Roman" w:hAnsi="Times New Roman"/>
                <w:color w:val="000000"/>
                <w:kern w:val="0"/>
                <w:sz w:val="22"/>
                <w:szCs w:val="22"/>
              </w:rPr>
            </w:pPr>
            <w:r>
              <w:rPr>
                <w:rFonts w:ascii="Times New Roman" w:hAnsi="Times New Roman"/>
                <w:color w:val="000000"/>
                <w:kern w:val="0"/>
                <w:sz w:val="22"/>
                <w:szCs w:val="22"/>
              </w:rPr>
              <w:t>项目实施所产生的效益。</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项目实施所产生的社会效益、经济效益、生态效益、可持续影响等。可根据项目实际情况有选择地设置和细化。</w:t>
            </w: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19</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29" w:hRule="atLeast"/>
          <w:jc w:val="center"/>
        </w:trPr>
        <w:tc>
          <w:tcPr>
            <w:tcW w:w="682"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709" w:type="dxa"/>
            <w:vMerge w:val="continue"/>
            <w:shd w:val="clear" w:color="auto" w:fill="FFFFFF"/>
            <w:noWrap w:val="0"/>
            <w:vAlign w:val="center"/>
          </w:tcPr>
          <w:p>
            <w:pPr>
              <w:widowControl/>
              <w:spacing w:line="0" w:lineRule="atLeast"/>
              <w:jc w:val="center"/>
              <w:rPr>
                <w:rFonts w:ascii="Times New Roman" w:hAnsi="Times New Roman"/>
                <w:color w:val="000000"/>
                <w:kern w:val="0"/>
                <w:sz w:val="22"/>
                <w:szCs w:val="22"/>
              </w:rPr>
            </w:pPr>
          </w:p>
        </w:tc>
        <w:tc>
          <w:tcPr>
            <w:tcW w:w="1134"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满意度</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8</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社会公众或服务对象对项目实施效果的满意程度。</w:t>
            </w: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r>
              <w:rPr>
                <w:rFonts w:ascii="Times New Roman" w:hAnsi="Times New Roman"/>
                <w:color w:val="000000"/>
                <w:kern w:val="0"/>
                <w:sz w:val="22"/>
                <w:szCs w:val="22"/>
              </w:rPr>
              <w:t>社会公众或服务对象是指因该项目实施而受到影响的部门（单位）、群体或个人。一般采取社会调查的方式。</w:t>
            </w:r>
          </w:p>
        </w:tc>
        <w:tc>
          <w:tcPr>
            <w:tcW w:w="566" w:type="dxa"/>
            <w:shd w:val="clear" w:color="auto" w:fill="FFFFFF"/>
            <w:noWrap w:val="0"/>
            <w:vAlign w:val="center"/>
          </w:tcPr>
          <w:p>
            <w:pPr>
              <w:widowControl/>
              <w:spacing w:line="0" w:lineRule="atLeast"/>
              <w:jc w:val="center"/>
              <w:rPr>
                <w:rFonts w:hint="eastAsia"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6</w:t>
            </w:r>
          </w:p>
        </w:tc>
      </w:tr>
      <w:tr>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58" w:hRule="atLeast"/>
          <w:jc w:val="center"/>
        </w:trPr>
        <w:tc>
          <w:tcPr>
            <w:tcW w:w="2525" w:type="dxa"/>
            <w:gridSpan w:val="3"/>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总分</w:t>
            </w:r>
          </w:p>
        </w:tc>
        <w:tc>
          <w:tcPr>
            <w:tcW w:w="567" w:type="dxa"/>
            <w:shd w:val="clear" w:color="auto" w:fill="FFFFFF"/>
            <w:noWrap w:val="0"/>
            <w:vAlign w:val="center"/>
          </w:tcPr>
          <w:p>
            <w:pPr>
              <w:widowControl/>
              <w:spacing w:line="0" w:lineRule="atLeast"/>
              <w:jc w:val="center"/>
              <w:rPr>
                <w:rFonts w:ascii="Times New Roman" w:hAnsi="Times New Roman"/>
                <w:color w:val="000000"/>
                <w:kern w:val="0"/>
                <w:sz w:val="22"/>
                <w:szCs w:val="22"/>
              </w:rPr>
            </w:pPr>
            <w:r>
              <w:rPr>
                <w:rFonts w:ascii="Times New Roman" w:hAnsi="Times New Roman"/>
                <w:color w:val="000000"/>
                <w:kern w:val="0"/>
                <w:sz w:val="22"/>
                <w:szCs w:val="22"/>
              </w:rPr>
              <w:t>100</w:t>
            </w:r>
          </w:p>
        </w:tc>
        <w:tc>
          <w:tcPr>
            <w:tcW w:w="2835"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6096" w:type="dxa"/>
            <w:shd w:val="clear" w:color="auto" w:fill="FFFFFF"/>
            <w:noWrap w:val="0"/>
            <w:vAlign w:val="center"/>
          </w:tcPr>
          <w:p>
            <w:pPr>
              <w:widowControl/>
              <w:spacing w:line="0" w:lineRule="atLeast"/>
              <w:rPr>
                <w:rFonts w:ascii="Times New Roman" w:hAnsi="Times New Roman"/>
                <w:color w:val="000000"/>
                <w:kern w:val="0"/>
                <w:sz w:val="22"/>
                <w:szCs w:val="22"/>
              </w:rPr>
            </w:pPr>
          </w:p>
        </w:tc>
        <w:tc>
          <w:tcPr>
            <w:tcW w:w="566" w:type="dxa"/>
            <w:shd w:val="clear" w:color="auto" w:fill="FFFFFF"/>
            <w:noWrap w:val="0"/>
            <w:vAlign w:val="center"/>
          </w:tcPr>
          <w:p>
            <w:pPr>
              <w:widowControl/>
              <w:spacing w:line="0" w:lineRule="atLeast"/>
              <w:jc w:val="center"/>
              <w:rPr>
                <w:rFonts w:hint="default" w:ascii="Times New Roman" w:hAnsi="Times New Roman" w:eastAsia="宋体"/>
                <w:color w:val="000000"/>
                <w:kern w:val="0"/>
                <w:sz w:val="22"/>
                <w:szCs w:val="22"/>
                <w:lang w:val="en-US" w:eastAsia="zh-CN"/>
              </w:rPr>
            </w:pPr>
            <w:r>
              <w:rPr>
                <w:rFonts w:hint="eastAsia" w:ascii="Times New Roman" w:hAnsi="Times New Roman"/>
                <w:color w:val="000000"/>
                <w:kern w:val="0"/>
                <w:sz w:val="22"/>
                <w:szCs w:val="22"/>
                <w:lang w:val="en-US" w:eastAsia="zh-CN"/>
              </w:rPr>
              <w:t>96</w:t>
            </w:r>
          </w:p>
        </w:tc>
      </w:tr>
    </w:tbl>
    <w:p>
      <w:pPr>
        <w:spacing w:line="560" w:lineRule="exact"/>
        <w:ind w:firstLine="200" w:firstLineChars="100"/>
        <w:rPr>
          <w:rFonts w:ascii="Times New Roman" w:hAnsi="Times New Roman"/>
          <w:bCs/>
          <w:sz w:val="32"/>
          <w:szCs w:val="32"/>
        </w:rPr>
        <w:sectPr>
          <w:pgSz w:w="16838" w:h="11906" w:orient="landscape"/>
          <w:pgMar w:top="1531" w:right="1928" w:bottom="1531" w:left="1701" w:header="737" w:footer="851" w:gutter="0"/>
          <w:pgBorders>
            <w:top w:val="none" w:sz="0" w:space="0"/>
            <w:left w:val="none" w:sz="0" w:space="0"/>
            <w:bottom w:val="none" w:sz="0" w:space="0"/>
            <w:right w:val="none" w:sz="0" w:space="0"/>
          </w:pgBorders>
          <w:cols w:space="720" w:num="1"/>
          <w:docGrid w:type="lines" w:linePitch="408" w:charSpace="0"/>
        </w:sectPr>
      </w:pPr>
      <w:r>
        <w:rPr>
          <w:rFonts w:ascii="Times New Roman" w:hAnsi="Times New Roman" w:eastAsia="仿宋_GB2312"/>
          <w:sz w:val="20"/>
          <w:szCs w:val="20"/>
        </w:rPr>
        <w:t>注：单位可以根据专项资金的管理要求和绩效要求增设个性</w:t>
      </w:r>
    </w:p>
    <w:p/>
    <w:sectPr>
      <w:pgSz w:w="11906" w:h="16838"/>
      <w:pgMar w:top="1474" w:right="1474" w:bottom="1474" w:left="1474" w:header="851" w:footer="1361" w:gutter="0"/>
      <w:pgBorders>
        <w:top w:val="none" w:sz="0" w:space="0"/>
        <w:left w:val="none" w:sz="0" w:space="0"/>
        <w:bottom w:val="none" w:sz="0" w:space="0"/>
        <w:right w:val="none" w:sz="0" w:space="0"/>
      </w:pgBorders>
      <w:cols w:space="720" w:num="1"/>
      <w:docGrid w:type="lines" w:linePitch="323"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4D"/>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仿宋_GB2312">
    <w:altName w:val="仿宋"/>
    <w:panose1 w:val="02010609030101010101"/>
    <w:charset w:val="86"/>
    <w:family w:val="modern"/>
    <w:pitch w:val="default"/>
    <w:sig w:usb0="00000000" w:usb1="00000000" w:usb2="00000000" w:usb3="00000000" w:csb0="00040000"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C3551365"/>
    <w:multiLevelType w:val="singleLevel"/>
    <w:tmpl w:val="C3551365"/>
    <w:lvl w:ilvl="0" w:tentative="0">
      <w:start w:val="5"/>
      <w:numFmt w:val="chineseCounting"/>
      <w:suff w:val="nothing"/>
      <w:lvlText w:val="%1、"/>
      <w:lvlJc w:val="left"/>
      <w:rPr>
        <w:rFonts w:hint="eastAsia"/>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517A605D"/>
    <w:rsid w:val="02E900CD"/>
    <w:rsid w:val="02F07D6E"/>
    <w:rsid w:val="02F538B4"/>
    <w:rsid w:val="02F7119E"/>
    <w:rsid w:val="05F06560"/>
    <w:rsid w:val="05FA6744"/>
    <w:rsid w:val="06340D4A"/>
    <w:rsid w:val="08E00818"/>
    <w:rsid w:val="09687719"/>
    <w:rsid w:val="0B3B3B71"/>
    <w:rsid w:val="0B515B64"/>
    <w:rsid w:val="0B870BE2"/>
    <w:rsid w:val="0D2A4B54"/>
    <w:rsid w:val="0DF71EED"/>
    <w:rsid w:val="0F4E2158"/>
    <w:rsid w:val="112118DC"/>
    <w:rsid w:val="116A1AEE"/>
    <w:rsid w:val="11C10772"/>
    <w:rsid w:val="12034B82"/>
    <w:rsid w:val="126608B2"/>
    <w:rsid w:val="15A22591"/>
    <w:rsid w:val="15CB0611"/>
    <w:rsid w:val="15D25429"/>
    <w:rsid w:val="1669593A"/>
    <w:rsid w:val="168D214C"/>
    <w:rsid w:val="17DF6E98"/>
    <w:rsid w:val="17E329C9"/>
    <w:rsid w:val="183E11BF"/>
    <w:rsid w:val="19312FE7"/>
    <w:rsid w:val="194B643A"/>
    <w:rsid w:val="19612214"/>
    <w:rsid w:val="198C2121"/>
    <w:rsid w:val="1B647280"/>
    <w:rsid w:val="1BAB5E54"/>
    <w:rsid w:val="1C132E5F"/>
    <w:rsid w:val="1C850553"/>
    <w:rsid w:val="1D4A1DDA"/>
    <w:rsid w:val="1DAA2018"/>
    <w:rsid w:val="1E0E5161"/>
    <w:rsid w:val="1F8A0B3D"/>
    <w:rsid w:val="21B446F2"/>
    <w:rsid w:val="224610B7"/>
    <w:rsid w:val="24183135"/>
    <w:rsid w:val="2865143C"/>
    <w:rsid w:val="28E6590B"/>
    <w:rsid w:val="2B8A5867"/>
    <w:rsid w:val="2D3A2D3D"/>
    <w:rsid w:val="2D741D41"/>
    <w:rsid w:val="2DA77001"/>
    <w:rsid w:val="2E2C509C"/>
    <w:rsid w:val="2EB51D25"/>
    <w:rsid w:val="2F9104AB"/>
    <w:rsid w:val="3062218E"/>
    <w:rsid w:val="30F212D1"/>
    <w:rsid w:val="311327C3"/>
    <w:rsid w:val="32886C09"/>
    <w:rsid w:val="328D78F1"/>
    <w:rsid w:val="32A912E6"/>
    <w:rsid w:val="340F7A9C"/>
    <w:rsid w:val="34631312"/>
    <w:rsid w:val="34D546FF"/>
    <w:rsid w:val="35365B95"/>
    <w:rsid w:val="356763A2"/>
    <w:rsid w:val="35B30064"/>
    <w:rsid w:val="35FF4488"/>
    <w:rsid w:val="365D42E5"/>
    <w:rsid w:val="366E5874"/>
    <w:rsid w:val="374B7982"/>
    <w:rsid w:val="37832D51"/>
    <w:rsid w:val="3839615A"/>
    <w:rsid w:val="39866B4B"/>
    <w:rsid w:val="3B5E3C36"/>
    <w:rsid w:val="3B725BE4"/>
    <w:rsid w:val="3B767CB2"/>
    <w:rsid w:val="3C240EDC"/>
    <w:rsid w:val="3C843FB3"/>
    <w:rsid w:val="3CAD1ADF"/>
    <w:rsid w:val="3D09725E"/>
    <w:rsid w:val="3DB55372"/>
    <w:rsid w:val="3E980FBC"/>
    <w:rsid w:val="40923C0A"/>
    <w:rsid w:val="40A075B6"/>
    <w:rsid w:val="41926158"/>
    <w:rsid w:val="41943C51"/>
    <w:rsid w:val="41B431A9"/>
    <w:rsid w:val="41D81FB1"/>
    <w:rsid w:val="42F469D8"/>
    <w:rsid w:val="44AF1D77"/>
    <w:rsid w:val="44C72FF6"/>
    <w:rsid w:val="4560468F"/>
    <w:rsid w:val="45A83672"/>
    <w:rsid w:val="46D2736D"/>
    <w:rsid w:val="47FD401C"/>
    <w:rsid w:val="49B85F67"/>
    <w:rsid w:val="49BC4D94"/>
    <w:rsid w:val="4AF06B56"/>
    <w:rsid w:val="4BEC0C79"/>
    <w:rsid w:val="4D983A60"/>
    <w:rsid w:val="4E9F638C"/>
    <w:rsid w:val="4F3148CE"/>
    <w:rsid w:val="501D3C1B"/>
    <w:rsid w:val="517A605D"/>
    <w:rsid w:val="52443758"/>
    <w:rsid w:val="525A73AA"/>
    <w:rsid w:val="52DA7BA2"/>
    <w:rsid w:val="53CB437E"/>
    <w:rsid w:val="54875D0A"/>
    <w:rsid w:val="565B1C36"/>
    <w:rsid w:val="56C65DFF"/>
    <w:rsid w:val="57063C3C"/>
    <w:rsid w:val="59040874"/>
    <w:rsid w:val="5C231536"/>
    <w:rsid w:val="5C8E6342"/>
    <w:rsid w:val="607C6D03"/>
    <w:rsid w:val="61150708"/>
    <w:rsid w:val="62DF6284"/>
    <w:rsid w:val="636544F3"/>
    <w:rsid w:val="63FE1C35"/>
    <w:rsid w:val="64372905"/>
    <w:rsid w:val="64F7617F"/>
    <w:rsid w:val="652D386B"/>
    <w:rsid w:val="65C01ADA"/>
    <w:rsid w:val="67B5433B"/>
    <w:rsid w:val="67E60A45"/>
    <w:rsid w:val="686A478C"/>
    <w:rsid w:val="690911F8"/>
    <w:rsid w:val="693E0210"/>
    <w:rsid w:val="69885E5C"/>
    <w:rsid w:val="6A951277"/>
    <w:rsid w:val="6B011B5C"/>
    <w:rsid w:val="6B13502A"/>
    <w:rsid w:val="6B9A1EC8"/>
    <w:rsid w:val="6CC103C6"/>
    <w:rsid w:val="6DE54B3A"/>
    <w:rsid w:val="6E963BCC"/>
    <w:rsid w:val="6F0933DB"/>
    <w:rsid w:val="6FA66B21"/>
    <w:rsid w:val="70297E25"/>
    <w:rsid w:val="70CA4F93"/>
    <w:rsid w:val="70DE0D89"/>
    <w:rsid w:val="70E767FB"/>
    <w:rsid w:val="71527C4D"/>
    <w:rsid w:val="72564EA3"/>
    <w:rsid w:val="72AF795C"/>
    <w:rsid w:val="73CE4DB7"/>
    <w:rsid w:val="748C6C66"/>
    <w:rsid w:val="75057DED"/>
    <w:rsid w:val="75527208"/>
    <w:rsid w:val="7599720B"/>
    <w:rsid w:val="75B54501"/>
    <w:rsid w:val="75D11BD3"/>
    <w:rsid w:val="75F249F8"/>
    <w:rsid w:val="76514288"/>
    <w:rsid w:val="7AE93446"/>
    <w:rsid w:val="7B095541"/>
    <w:rsid w:val="7B47369F"/>
    <w:rsid w:val="7D675CB7"/>
    <w:rsid w:val="7DF9331B"/>
    <w:rsid w:val="7F300F88"/>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0"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paragraph" w:styleId="2">
    <w:name w:val="heading 2"/>
    <w:basedOn w:val="1"/>
    <w:next w:val="1"/>
    <w:qFormat/>
    <w:uiPriority w:val="0"/>
    <w:pPr>
      <w:keepNext/>
      <w:keepLines/>
      <w:spacing w:before="260" w:after="260" w:line="413" w:lineRule="auto"/>
      <w:outlineLvl w:val="1"/>
    </w:pPr>
    <w:rPr>
      <w:rFonts w:ascii="Arial" w:hAnsi="Arial" w:eastAsia="黑体"/>
      <w:b/>
      <w:sz w:val="32"/>
    </w:rPr>
  </w:style>
  <w:style w:type="character" w:default="1" w:styleId="5">
    <w:name w:val="Default Paragraph Font"/>
    <w:semiHidden/>
    <w:qFormat/>
    <w:uiPriority w:val="0"/>
  </w:style>
  <w:style w:type="table" w:default="1" w:styleId="4">
    <w:name w:val="Normal Table"/>
    <w:semiHidden/>
    <w:qFormat/>
    <w:uiPriority w:val="0"/>
    <w:tblPr>
      <w:tblCellMar>
        <w:top w:w="0" w:type="dxa"/>
        <w:left w:w="108" w:type="dxa"/>
        <w:bottom w:w="0" w:type="dxa"/>
        <w:right w:w="108" w:type="dxa"/>
      </w:tblCellMar>
    </w:tblPr>
  </w:style>
  <w:style w:type="paragraph" w:styleId="3">
    <w:name w:val="Normal (Web)"/>
    <w:basedOn w:val="1"/>
    <w:qFormat/>
    <w:uiPriority w:val="0"/>
    <w:pPr>
      <w:widowControl/>
      <w:spacing w:before="100" w:beforeAutospacing="1" w:after="119"/>
      <w:jc w:val="left"/>
    </w:pPr>
    <w:rPr>
      <w:rFonts w:ascii="宋体" w:hAnsi="宋体" w:cs="宋体"/>
      <w:kern w:val="0"/>
      <w:sz w:val="24"/>
    </w:rPr>
  </w:style>
  <w:style w:type="paragraph" w:styleId="6">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7">
    <w:name w:val="15"/>
    <w:basedOn w:val="5"/>
    <w:qFormat/>
    <w:uiPriority w:val="0"/>
    <w:rPr>
      <w:rFonts w:hint="default" w:ascii="Times New Roman" w:hAnsi="Times New Roman" w:cs="Times New Roman"/>
      <w:b/>
      <w:bCs/>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Office_11.1.0.10667_F1E327BC-269C-435d-A152-05C5408002CA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2021-07-12T08:06:00Z</dcterms:created>
  <dc:creator>错错错愛</dc:creator>
  <cp:lastModifiedBy>错错错愛</cp:lastModifiedBy>
  <dcterms:modified xsi:type="dcterms:W3CDTF">2021-08-02T09:58:31Z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2052-11.1.0.10667</vt:lpwstr>
  </property>
  <property fmtid="{D5CDD505-2E9C-101B-9397-08002B2CF9AE}" pid="3" name="ICV">
    <vt:lpwstr>D0175C9A4C6245FA81A4471B997BD504</vt:lpwstr>
  </property>
</Properties>
</file>