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9"/>
        <w:spacing w:line="510" w:lineRule="exact"/>
        <w:jc w:val="center"/>
        <w:rPr>
          <w:rFonts w:ascii="Times New Roman" w:hAnsi="Times New Roman" w:eastAsia="黑体"/>
          <w:sz w:val="44"/>
          <w:szCs w:val="44"/>
        </w:rPr>
      </w:pPr>
      <w:r>
        <w:rPr>
          <w:rFonts w:hint="eastAsia" w:ascii="Times New Roman" w:hAnsi="Times New Roman" w:eastAsia="黑体"/>
          <w:sz w:val="44"/>
          <w:szCs w:val="44"/>
        </w:rPr>
        <w:t>管网维修</w:t>
      </w: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r>
        <w:rPr>
          <w:rFonts w:ascii="Times New Roman" w:hAnsi="Times New Roman" w:eastAsia="黑体"/>
          <w:sz w:val="44"/>
          <w:szCs w:val="44"/>
        </w:rPr>
        <w:t>报告</w:t>
      </w:r>
    </w:p>
    <w:p>
      <w:pPr>
        <w:pStyle w:val="9"/>
        <w:spacing w:line="510" w:lineRule="exact"/>
        <w:ind w:firstLine="643" w:firstLineChars="200"/>
        <w:rPr>
          <w:rFonts w:ascii="Times New Roman" w:hAnsi="Times New Roman" w:eastAsia="楷体"/>
          <w:b/>
          <w:sz w:val="32"/>
          <w:szCs w:val="32"/>
        </w:rPr>
      </w:pP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一、基本情况</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（一）项目概况。</w:t>
      </w:r>
    </w:p>
    <w:p>
      <w:pPr>
        <w:pStyle w:val="9"/>
        <w:spacing w:line="510" w:lineRule="exact"/>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项目概况：中方县迎松路与中方大道交汇处污水外流，严重影响城市形象、污染周边环境、影响行车及行人通行安全。</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项目绩效目标。</w:t>
      </w:r>
    </w:p>
    <w:p>
      <w:pPr>
        <w:pStyle w:val="9"/>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完善县城污水管网运输系统，确保县城污水及时有效得到处理。</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二、绩效评价工作开展情况</w:t>
      </w:r>
    </w:p>
    <w:p>
      <w:pPr>
        <w:widowControl/>
        <w:spacing w:line="60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（一）绩效评价目的、对象和范围。</w:t>
      </w:r>
    </w:p>
    <w:p>
      <w:pPr>
        <w:pStyle w:val="9"/>
        <w:numPr>
          <w:ilvl w:val="0"/>
          <w:numId w:val="0"/>
        </w:numPr>
        <w:spacing w:line="510" w:lineRule="exact"/>
        <w:ind w:firstLine="640" w:firstLineChars="200"/>
        <w:rPr>
          <w:rFonts w:hint="default"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xml:space="preserve"> 全面评价县城进城路口污水管道维修改造工程项目资金使用与支出效果，保证资金使用到位，提高资金使用效率。</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（二）绩效评价原则、评价指标体系（附表说明）、评价方法、评价标准等。</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1、客观公正，公平公开。考核过程全面公开，每项考核记录、数据均可面向考核单位公开查询比对。</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2、分类施策，科学考评。针对各考核单位不同情况实行分类考核，并采取数字城管、现场检查、专项督办、正负面清单等多种手段相结合的考核方式。</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3、突出重点，循序渐进。先重点解决明显突出的问题，再兼顾全面，逐步提高和细化考核标准。</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（三）绩效评价工作过程。</w:t>
      </w:r>
    </w:p>
    <w:p>
      <w:pPr>
        <w:pStyle w:val="9"/>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县财政局绩效评价股对中方县城市管理行政执法大队下达了绩效评价通知。评价过程中听取了中方县城市管理行政执法大队的情况介绍，翻阅了相关资料，了解县城进城路口污水管道维修改造工程项目资金的拨付和发放流程，侧重调查资金发放的真实性、公平性。</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三、综合评价情况及评价结论（附相关评分表）</w:t>
      </w:r>
    </w:p>
    <w:p>
      <w:pPr>
        <w:pStyle w:val="9"/>
        <w:numPr>
          <w:ilvl w:val="0"/>
          <w:numId w:val="0"/>
        </w:numPr>
        <w:spacing w:line="510" w:lineRule="exact"/>
        <w:ind w:firstLine="640" w:firstLineChars="200"/>
        <w:rPr>
          <w:rFonts w:ascii="Times New Roman" w:hAnsi="Times New Roman" w:eastAsia="楷体"/>
          <w:b/>
          <w:sz w:val="32"/>
          <w:szCs w:val="32"/>
        </w:rPr>
      </w:pPr>
      <w:r>
        <w:rPr>
          <w:rFonts w:hint="eastAsia" w:ascii="Times New Roman" w:hAnsi="Times New Roman" w:eastAsia="仿宋"/>
          <w:sz w:val="32"/>
          <w:szCs w:val="32"/>
        </w:rPr>
        <w:t>针对通过自我评价，认为</w:t>
      </w:r>
      <w:r>
        <w:rPr>
          <w:rFonts w:hint="eastAsia" w:ascii="Times New Roman" w:hAnsi="Times New Roman" w:eastAsia="仿宋"/>
          <w:sz w:val="32"/>
          <w:szCs w:val="32"/>
          <w:lang w:val="en-US" w:eastAsia="zh-CN"/>
        </w:rPr>
        <w:t>县城进城路口污水管道维修改造工程</w:t>
      </w:r>
      <w:r>
        <w:rPr>
          <w:rFonts w:hint="eastAsia" w:ascii="Times New Roman" w:hAnsi="Times New Roman" w:eastAsia="仿宋"/>
          <w:sz w:val="32"/>
          <w:szCs w:val="32"/>
        </w:rPr>
        <w:t>项目申报材料规范齐全、评审程序公平公正，宣传政策到位，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sz w:val="32"/>
          <w:szCs w:val="32"/>
        </w:rPr>
        <w:t>。本项目经费支出绩效评价综合得分98分，结果为优。</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（一）项目决策情况。</w:t>
      </w:r>
    </w:p>
    <w:p>
      <w:pPr>
        <w:pStyle w:val="9"/>
        <w:spacing w:line="510" w:lineRule="exact"/>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lang w:eastAsia="zh-CN"/>
        </w:rPr>
        <w:t>为更加完善县城污水输送系统，县委县政府同意开展县城进城路口污水管道维修改造工程，完成后县城污水运输系统功能更加健全，效率更高，为建设宜居中方创造更好条件。</w:t>
      </w:r>
    </w:p>
    <w:p>
      <w:pPr>
        <w:pStyle w:val="9"/>
        <w:spacing w:line="51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（二）项目过程情况</w:t>
      </w:r>
    </w:p>
    <w:p>
      <w:pPr>
        <w:pStyle w:val="9"/>
        <w:spacing w:line="510" w:lineRule="exact"/>
        <w:ind w:firstLine="640" w:firstLineChars="200"/>
        <w:rPr>
          <w:rFonts w:ascii="Times New Roman" w:hAnsi="Times New Roman" w:eastAsia="仿宋" w:cs="Times New Roman"/>
          <w:sz w:val="32"/>
          <w:szCs w:val="32"/>
        </w:rPr>
      </w:pPr>
      <w:r>
        <w:rPr>
          <w:rFonts w:hint="eastAsia" w:ascii="Times New Roman" w:hAnsi="Times New Roman" w:eastAsia="仿宋"/>
          <w:sz w:val="32"/>
          <w:szCs w:val="32"/>
        </w:rPr>
        <w:t>结合实际情况，科学设置支出科目，规范财务核算，完整披露相关信息。项目按规定的程序及标准进行。</w:t>
      </w:r>
    </w:p>
    <w:p>
      <w:pPr>
        <w:pStyle w:val="9"/>
        <w:spacing w:line="51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（三）项目产出情况。</w:t>
      </w:r>
    </w:p>
    <w:p>
      <w:pPr>
        <w:pStyle w:val="9"/>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管网运行安全得到很好保障，全年运行无任何安全问题，设备稳定运行。</w:t>
      </w:r>
    </w:p>
    <w:p>
      <w:pPr>
        <w:pStyle w:val="9"/>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（四）项目效益情况。</w:t>
      </w:r>
    </w:p>
    <w:p>
      <w:pPr>
        <w:pStyle w:val="9"/>
        <w:numPr>
          <w:ilvl w:val="0"/>
          <w:numId w:val="0"/>
        </w:numPr>
        <w:spacing w:line="510" w:lineRule="exact"/>
        <w:ind w:firstLine="640" w:firstLineChars="200"/>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县城污水输送能力极大提升，为县城广大居民提供了更好的工作居住环境，为建设宜居中方创造更好条件。</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五、主要经验及做法、存在的问题及原因分析</w:t>
      </w:r>
    </w:p>
    <w:p>
      <w:pPr>
        <w:pStyle w:val="9"/>
        <w:numPr>
          <w:ilvl w:val="0"/>
          <w:numId w:val="0"/>
        </w:numPr>
        <w:spacing w:line="510" w:lineRule="exact"/>
        <w:ind w:firstLine="640" w:firstLineChars="200"/>
        <w:rPr>
          <w:rFonts w:hint="eastAsia" w:ascii="Times New Roman" w:hAnsi="Times New Roman" w:eastAsia="楷体"/>
          <w:b/>
          <w:sz w:val="32"/>
          <w:szCs w:val="32"/>
          <w:lang w:eastAsia="zh-CN"/>
        </w:rPr>
      </w:pPr>
      <w:r>
        <w:rPr>
          <w:rFonts w:hint="eastAsia" w:ascii="Times New Roman" w:hAnsi="Times New Roman" w:eastAsia="仿宋"/>
          <w:sz w:val="32"/>
          <w:szCs w:val="32"/>
        </w:rPr>
        <w:t>县城进城路口污水管道维修改造工程中方县城市管理行政执法大队对2020年县财政下拨的该专项资金管理规范，合理开支，保证了资金使用到位，提高资金使用效率，达到了美化县城环境，改善县城生态环境的预期目标及有关要求，社会、经济效益显著，群众满意率达到95%以上</w:t>
      </w:r>
    </w:p>
    <w:p>
      <w:pPr>
        <w:pStyle w:val="9"/>
        <w:numPr>
          <w:ilvl w:val="0"/>
          <w:numId w:val="1"/>
        </w:numPr>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有关建议</w:t>
      </w:r>
    </w:p>
    <w:p>
      <w:pPr>
        <w:pStyle w:val="9"/>
        <w:numPr>
          <w:ilvl w:val="0"/>
          <w:numId w:val="0"/>
        </w:numPr>
        <w:spacing w:line="510" w:lineRule="exact"/>
        <w:ind w:firstLine="640" w:firstLineChars="200"/>
        <w:rPr>
          <w:rFonts w:hint="eastAsia" w:ascii="Times New Roman" w:hAnsi="Times New Roman" w:eastAsia="仿宋"/>
          <w:b/>
          <w:sz w:val="32"/>
          <w:szCs w:val="32"/>
          <w:lang w:val="en-US" w:eastAsia="zh-CN"/>
        </w:rPr>
      </w:pPr>
      <w:r>
        <w:rPr>
          <w:rFonts w:hint="eastAsia" w:ascii="Times New Roman" w:hAnsi="Times New Roman" w:eastAsia="仿宋"/>
          <w:sz w:val="32"/>
          <w:szCs w:val="32"/>
        </w:rPr>
        <w:t>随着物价指数和人工工资的增长，</w:t>
      </w:r>
      <w:r>
        <w:rPr>
          <w:rFonts w:hint="eastAsia" w:ascii="Times New Roman" w:hAnsi="Times New Roman" w:eastAsia="仿宋"/>
          <w:sz w:val="32"/>
          <w:szCs w:val="32"/>
          <w:lang w:eastAsia="zh-CN"/>
        </w:rPr>
        <w:t>建议提高后期维护管理的相关费用。</w:t>
      </w:r>
    </w:p>
    <w:p>
      <w:pPr>
        <w:pStyle w:val="9"/>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七、其他需要说明的问题</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hint="eastAsia" w:ascii="Times New Roman" w:hAnsi="Times New Roman" w:eastAsia="仿宋"/>
          <w:sz w:val="32"/>
          <w:szCs w:val="32"/>
          <w:lang w:eastAsia="zh-CN"/>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2"/>
        <w:numPr>
          <w:numId w:val="0"/>
        </w:numPr>
        <w:jc w:val="both"/>
        <w:rPr>
          <w:rFonts w:hint="eastAsia"/>
          <w:sz w:val="32"/>
          <w:szCs w:val="32"/>
        </w:rPr>
      </w:pPr>
      <w:bookmarkStart w:id="0" w:name="_GoBack"/>
      <w:bookmarkEnd w:id="0"/>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sz w:val="32"/>
          <w:szCs w:val="32"/>
        </w:rPr>
      </w:pPr>
    </w:p>
    <w:p>
      <w:pPr>
        <w:pStyle w:val="2"/>
        <w:jc w:val="both"/>
        <w:rPr>
          <w:rFonts w:hint="eastAsia"/>
        </w:rPr>
      </w:pPr>
    </w:p>
    <w:p>
      <w:pPr>
        <w:pStyle w:val="9"/>
        <w:spacing w:line="510" w:lineRule="exact"/>
        <w:jc w:val="left"/>
        <w:rPr>
          <w:rFonts w:hint="eastAsia"/>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6"/>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ind w:firstLine="1620" w:firstLineChars="900"/>
              <w:jc w:val="both"/>
              <w:rPr>
                <w:rFonts w:ascii="Times New Roman" w:hAnsi="Times New Roman"/>
                <w:kern w:val="0"/>
                <w:sz w:val="18"/>
                <w:szCs w:val="18"/>
              </w:rPr>
            </w:pPr>
            <w:r>
              <w:rPr>
                <w:rFonts w:hint="eastAsia" w:ascii="Times New Roman" w:hAnsi="Times New Roman"/>
                <w:kern w:val="0"/>
                <w:sz w:val="18"/>
                <w:szCs w:val="18"/>
              </w:rPr>
              <w:t>管网维修</w:t>
            </w:r>
          </w:p>
        </w:tc>
      </w:tr>
      <w:tr>
        <w:tblPrEx>
          <w:tblCellMar>
            <w:top w:w="0" w:type="dxa"/>
            <w:left w:w="108" w:type="dxa"/>
            <w:bottom w:w="0" w:type="dxa"/>
            <w:right w:w="108" w:type="dxa"/>
          </w:tblCellMar>
        </w:tblPrEx>
        <w:trPr>
          <w:trHeight w:val="49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中方县人民政府</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eastAsia="宋体"/>
                <w:kern w:val="0"/>
                <w:sz w:val="18"/>
                <w:szCs w:val="18"/>
                <w:lang w:eastAsia="zh-CN"/>
              </w:rPr>
              <w:t>中方县城市管理行政执法大队</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35.3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181%</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19.46</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35.3</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181%</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79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怀城执法请示[2017年]26号文件：关于将三区一县智慧城管项目相关配套建设纳入市城区智慧城管统一建设</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关于将三区一县智慧城管项目相关配套建设纳入市城区智慧城管统一建设</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555"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vMerge w:val="restart"/>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s="Times New Roman"/>
                <w:kern w:val="0"/>
                <w:sz w:val="18"/>
                <w:szCs w:val="18"/>
                <w:lang w:val="en-US" w:eastAsia="zh-CN"/>
              </w:rPr>
              <w:t>改造污水管网长度</w:t>
            </w:r>
          </w:p>
        </w:tc>
        <w:tc>
          <w:tcPr>
            <w:tcW w:w="98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Theme="minorEastAsia"/>
                <w:color w:val="000000"/>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201.0米</w:t>
            </w:r>
          </w:p>
        </w:tc>
        <w:tc>
          <w:tcPr>
            <w:tcW w:w="103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kern w:val="0"/>
                <w:sz w:val="18"/>
                <w:szCs w:val="18"/>
                <w:lang w:val="en-US"/>
              </w:rPr>
            </w:pPr>
            <w:r>
              <w:rPr>
                <w:rFonts w:hint="eastAsia" w:ascii="宋体" w:hAnsi="宋体" w:eastAsia="宋体" w:cs="宋体"/>
                <w:i w:val="0"/>
                <w:iCs w:val="0"/>
                <w:color w:val="000000"/>
                <w:kern w:val="0"/>
                <w:sz w:val="20"/>
                <w:szCs w:val="20"/>
                <w:u w:val="none"/>
                <w:lang w:val="en-US" w:eastAsia="zh-CN" w:bidi="ar"/>
              </w:rPr>
              <w:t>201.0米</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555" w:hRule="atLeas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pPr>
          </w:p>
        </w:tc>
        <w:tc>
          <w:tcPr>
            <w:tcW w:w="980"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pPr>
          </w:p>
        </w:tc>
        <w:tc>
          <w:tcPr>
            <w:tcW w:w="1112"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恢复快车道路面</w:t>
            </w:r>
          </w:p>
        </w:tc>
        <w:tc>
          <w:tcPr>
            <w:tcW w:w="98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306.0㎡</w:t>
            </w:r>
          </w:p>
        </w:tc>
        <w:tc>
          <w:tcPr>
            <w:tcW w:w="103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cs="Times New Roman"/>
                <w:kern w:val="0"/>
                <w:sz w:val="18"/>
                <w:szCs w:val="18"/>
                <w:lang w:val="en-US" w:eastAsia="zh-CN"/>
              </w:rPr>
            </w:pPr>
            <w:r>
              <w:rPr>
                <w:rFonts w:hint="eastAsia" w:ascii="宋体" w:hAnsi="宋体" w:eastAsia="宋体" w:cs="宋体"/>
                <w:i w:val="0"/>
                <w:iCs w:val="0"/>
                <w:color w:val="000000"/>
                <w:kern w:val="0"/>
                <w:sz w:val="20"/>
                <w:szCs w:val="20"/>
                <w:u w:val="none"/>
                <w:lang w:val="en-US" w:eastAsia="zh-CN" w:bidi="ar"/>
              </w:rPr>
              <w:t>306.0㎡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项目竣工验收合格率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6"/>
                <w:szCs w:val="16"/>
                <w:lang w:eastAsia="zh-CN"/>
              </w:rPr>
              <w:t>项目按合同按期完成率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送县财政评审中心预算评审价格</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19.46万元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kern w:val="0"/>
                <w:sz w:val="18"/>
                <w:szCs w:val="18"/>
                <w:lang w:val="en-US" w:eastAsia="zh-CN"/>
              </w:rPr>
              <w:t>19.46万元</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color w:val="000000"/>
                <w:kern w:val="0"/>
                <w:sz w:val="18"/>
                <w:szCs w:val="18"/>
                <w:lang w:eastAsia="zh-CN"/>
              </w:rPr>
            </w:pPr>
            <w:r>
              <w:rPr>
                <w:rFonts w:hint="eastAsia" w:ascii="Times New Roman" w:hAnsi="Times New Roman"/>
                <w:color w:val="000000"/>
                <w:kern w:val="0"/>
                <w:sz w:val="18"/>
                <w:szCs w:val="18"/>
              </w:rPr>
              <w:t>经济效益指标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安全出行宜居环境</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Theme="minorEastAsia"/>
                <w:kern w:val="0"/>
                <w:sz w:val="18"/>
                <w:szCs w:val="18"/>
                <w:lang w:val="en-US" w:eastAsia="zh-CN"/>
              </w:rPr>
            </w:pPr>
            <w:r>
              <w:rPr>
                <w:rFonts w:hint="eastAsia" w:ascii="Times New Roman" w:hAnsi="Times New Roman"/>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Theme="minorEastAsia"/>
                <w:kern w:val="0"/>
                <w:sz w:val="18"/>
                <w:szCs w:val="18"/>
                <w:lang w:eastAsia="zh-CN"/>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保证污水通畅导流</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eastAsia="宋体"/>
                <w:kern w:val="0"/>
                <w:sz w:val="18"/>
                <w:szCs w:val="18"/>
                <w:lang w:val="en-US" w:eastAsia="zh-CN"/>
              </w:rPr>
              <w:t>3</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6"/>
                <w:szCs w:val="16"/>
                <w:lang w:eastAsia="zh-CN"/>
              </w:rPr>
              <w:t>因上游排污企业未建设沉淀池，造成管网轻微堵塞</w:t>
            </w: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无环境污染</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5</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980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rPr>
          <w:rFonts w:hint="eastAsia" w:ascii="仿宋" w:hAnsi="仿宋" w:eastAsia="仿宋"/>
          <w:b/>
          <w:sz w:val="32"/>
          <w:szCs w:val="32"/>
        </w:rPr>
      </w:pPr>
    </w:p>
    <w:tbl>
      <w:tblPr>
        <w:tblStyle w:val="6"/>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9"/>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3"/>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6"/>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95</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w:t>
      </w:r>
    </w:p>
    <w:p>
      <w:pPr>
        <w:pStyle w:val="2"/>
        <w:jc w:val="both"/>
        <w:rPr>
          <w:rFonts w:hint="default"/>
          <w:lang w:val="en-US" w:eastAsia="zh-CN"/>
        </w:rPr>
      </w:pPr>
    </w:p>
    <w:sectPr>
      <w:pgSz w:w="16838" w:h="11906" w:orient="landscape"/>
      <w:pgMar w:top="1701" w:right="1531" w:bottom="170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1FA5A8"/>
    <w:multiLevelType w:val="singleLevel"/>
    <w:tmpl w:val="DC1FA5A8"/>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1306D"/>
    <w:rsid w:val="03FD2107"/>
    <w:rsid w:val="07C01DF3"/>
    <w:rsid w:val="09334D94"/>
    <w:rsid w:val="0BB42596"/>
    <w:rsid w:val="0C177A75"/>
    <w:rsid w:val="0CCA0C88"/>
    <w:rsid w:val="12A52727"/>
    <w:rsid w:val="171C0226"/>
    <w:rsid w:val="22585FFD"/>
    <w:rsid w:val="249A1502"/>
    <w:rsid w:val="292668BB"/>
    <w:rsid w:val="2A7A465C"/>
    <w:rsid w:val="2A8E7003"/>
    <w:rsid w:val="2CF614F9"/>
    <w:rsid w:val="2D2A6456"/>
    <w:rsid w:val="2D3B78E4"/>
    <w:rsid w:val="322F248B"/>
    <w:rsid w:val="38D710E1"/>
    <w:rsid w:val="3EAC1E23"/>
    <w:rsid w:val="44FB527D"/>
    <w:rsid w:val="46AC5393"/>
    <w:rsid w:val="4AE55E9B"/>
    <w:rsid w:val="4F9030FA"/>
    <w:rsid w:val="54C40C09"/>
    <w:rsid w:val="569C5784"/>
    <w:rsid w:val="57ED6EC9"/>
    <w:rsid w:val="5A4247C0"/>
    <w:rsid w:val="5C0C4242"/>
    <w:rsid w:val="5D076619"/>
    <w:rsid w:val="5D3E156F"/>
    <w:rsid w:val="5E992C89"/>
    <w:rsid w:val="5EA66D92"/>
    <w:rsid w:val="61382812"/>
    <w:rsid w:val="616C6EE0"/>
    <w:rsid w:val="64696634"/>
    <w:rsid w:val="664618DB"/>
    <w:rsid w:val="70BE5EE2"/>
    <w:rsid w:val="727065BE"/>
    <w:rsid w:val="7AF562F9"/>
    <w:rsid w:val="7E881D7A"/>
    <w:rsid w:val="7F192300"/>
    <w:rsid w:val="7F4C5F2A"/>
    <w:rsid w:val="7F5C7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4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错错错愛</cp:lastModifiedBy>
  <dcterms:modified xsi:type="dcterms:W3CDTF">2021-08-02T09:53:22Z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84AA4EA439D9433D876A9C904F2B7E51</vt:lpwstr>
  </property>
</Properties>
</file>