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lang w:val="en-US" w:eastAsia="zh-CN"/>
        </w:rPr>
        <w:t>中方县蒿吉坪瑶族乡2022年度其他支出</w:t>
      </w:r>
      <w:r>
        <w:rPr>
          <w:rFonts w:hint="eastAsia" w:ascii="宋体" w:hAnsi="宋体" w:eastAsia="宋体" w:cs="宋体"/>
          <w:b/>
          <w:bCs/>
          <w:sz w:val="44"/>
          <w:szCs w:val="44"/>
        </w:rPr>
        <w:t>项目支出绩效评价报告</w:t>
      </w:r>
    </w:p>
    <w:p>
      <w:pPr>
        <w:pStyle w:val="19"/>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44"/>
          <w:szCs w:val="44"/>
        </w:rPr>
      </w:pP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一、基本情况</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（一）项目概况。</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中财库指〔2022〕0059号：下达基层党建工作经费4.15万元用于基层党组织党建工作；中财库指〔2022〕0184号：下达党费支持党校建设工作经费0.13万元；中财库指〔2022〕0187号党费支持党建促乡村振兴7.5万元；中财库指〔2022〕0217号党费支持农村党员档案制作经费0.18万元；中财库指〔2022〕0219号党费支持村级服务中心维修经费2万元；中财库指〔2022〕0199号党费补助蒿吉坪基层党支部活动经费1.2万元中财库指［2021］0034党费支持疫情防控工作0.2万元。</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二</w:t>
      </w: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rPr>
        <w:t>项目绩效目标。</w:t>
      </w:r>
    </w:p>
    <w:p>
      <w:pPr>
        <w:pStyle w:val="19"/>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2022年度完成基层党组织的党建工作，</w:t>
      </w:r>
      <w:r>
        <w:rPr>
          <w:rFonts w:hint="eastAsia" w:ascii="仿宋_GB2312" w:hAnsi="仿宋_GB2312" w:eastAsia="仿宋_GB2312" w:cs="仿宋_GB2312"/>
          <w:kern w:val="2"/>
          <w:sz w:val="32"/>
          <w:szCs w:val="32"/>
          <w:lang w:val="en-US" w:eastAsia="zh-CN" w:bidi="ar-SA"/>
        </w:rPr>
        <w:t>党费支持党校建设工作，党费支持党建促乡村振兴，党费支持农村党员档案制作，党费支持村级服务中心维修，费补助蒿吉坪基层党支部活动，党费支持疫情防控工作，提升党组织凝聚力。</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二、绩效评价工作开展情况</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eastAsia="zh-CN"/>
        </w:rPr>
        <w:t>（一）绩效评价目的、对象和范围。</w:t>
      </w:r>
    </w:p>
    <w:p>
      <w:pPr>
        <w:spacing w:after="0"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通过</w:t>
      </w:r>
      <w:r>
        <w:rPr>
          <w:rFonts w:hint="eastAsia" w:ascii="仿宋_GB2312" w:hAnsi="仿宋_GB2312" w:eastAsia="仿宋_GB2312" w:cs="仿宋_GB2312"/>
          <w:sz w:val="32"/>
          <w:szCs w:val="32"/>
          <w:lang w:val="en-US" w:eastAsia="zh-CN"/>
        </w:rPr>
        <w:t>完成基层党组织的党建工作，</w:t>
      </w:r>
      <w:r>
        <w:rPr>
          <w:rFonts w:hint="eastAsia" w:ascii="仿宋_GB2312" w:hAnsi="仿宋_GB2312" w:eastAsia="仿宋_GB2312" w:cs="仿宋_GB2312"/>
          <w:kern w:val="2"/>
          <w:sz w:val="32"/>
          <w:szCs w:val="32"/>
          <w:lang w:val="en-US" w:eastAsia="zh-CN" w:bidi="ar-SA"/>
        </w:rPr>
        <w:t>党费支持党校建设工作，党费支持党建促乡村振兴，党费支持农村党员档案制作，党费支持村级服务中心维修，费补助蒿吉坪基层党支部活动，党费支持疫情防控工作，提升党组织凝聚力。对该项目前期预算，项目验收前基本建成全方位、全过程、全覆盖的预算绩效管理体系。财政资金绩效价是预算管理的重要环节，也是当前审计的前置环节。</w:t>
      </w:r>
    </w:p>
    <w:p>
      <w:pPr>
        <w:spacing w:after="0" w:line="360" w:lineRule="auto"/>
        <w:ind w:firstLine="640" w:firstLineChars="200"/>
        <w:rPr>
          <w:rFonts w:hint="eastAsia" w:ascii="宋体" w:hAnsi="宋体" w:cs="仿宋"/>
          <w:sz w:val="30"/>
          <w:szCs w:val="30"/>
        </w:rPr>
      </w:pPr>
      <w:r>
        <w:rPr>
          <w:rFonts w:hint="eastAsia" w:ascii="仿宋_GB2312" w:hAnsi="仿宋_GB2312" w:eastAsia="仿宋_GB2312" w:cs="仿宋_GB2312"/>
          <w:kern w:val="2"/>
          <w:sz w:val="32"/>
          <w:szCs w:val="32"/>
          <w:lang w:val="en-US" w:eastAsia="zh-CN" w:bidi="ar-SA"/>
        </w:rPr>
        <w:t xml:space="preserve">通过项目管理制度和流程、资金使用情况、受益群体的反馈情况，从而强化项目监督，完善项目管理，提高项目资金使用效益和支出透明度，对存在的问题进行原因分析并提出合理化建议。建立健全财务管理制度和约束机制，依法、有效的使用财政资金，为以后年度项目安排及资金管理提供重要依据。 </w:t>
      </w:r>
      <w:r>
        <w:rPr>
          <w:rFonts w:hint="eastAsia" w:ascii="宋体" w:hAnsi="宋体" w:cs="仿宋"/>
          <w:bCs/>
          <w:color w:val="000000"/>
          <w:sz w:val="30"/>
          <w:szCs w:val="30"/>
        </w:rPr>
        <w:t xml:space="preserve"> </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eastAsia="zh-CN"/>
        </w:rPr>
        <w:t>（二）绩效评价原则、评价指标体系、评价方法、评价标准等。</w:t>
      </w:r>
      <w:r>
        <w:rPr>
          <w:rFonts w:hint="eastAsia" w:ascii="方正楷体_GBK" w:hAnsi="方正楷体_GBK" w:eastAsia="方正楷体_GBK" w:cs="方正楷体_GBK"/>
          <w:b w:val="0"/>
          <w:bCs w:val="0"/>
          <w:sz w:val="32"/>
          <w:szCs w:val="32"/>
          <w:lang w:val="en-US" w:eastAsia="zh-CN"/>
        </w:rPr>
        <w:t>详见</w:t>
      </w:r>
      <w:r>
        <w:rPr>
          <w:rFonts w:hint="eastAsia" w:ascii="方正楷体_GBK" w:hAnsi="方正楷体_GBK" w:eastAsia="方正楷体_GBK" w:cs="方正楷体_GBK"/>
          <w:b w:val="0"/>
          <w:bCs w:val="0"/>
          <w:sz w:val="32"/>
          <w:szCs w:val="32"/>
          <w:lang w:eastAsia="zh-CN"/>
        </w:rPr>
        <w:t>附件2。</w:t>
      </w:r>
    </w:p>
    <w:p>
      <w:pPr>
        <w:pStyle w:val="19"/>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绩效评价原则：1、科学规范：注重财政支出的经济性、效率性和有效性， 运用科学合理的方法，按照规范的程序，对项目绩效进行客观、 公正的反映。 2、统筹兼顾：绩效评价应职责明确，各有侧重，相互衔接。 在单位自评的基础上，对项目资金进行绩效评价。 3、激励约束：绩效评价结果应与预算安排、政策调整、改 进管理实质性挂钩，体现奖优罚劣和激励相容导向。即：有效要保障、低效要压减、无效要问责。 4、公开透明：绩效评价结果应依法依规公开，并自觉接受社会监督。</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三</w:t>
      </w:r>
      <w:r>
        <w:rPr>
          <w:rFonts w:hint="eastAsia" w:ascii="方正楷体_GBK" w:hAnsi="方正楷体_GBK" w:eastAsia="方正楷体_GBK" w:cs="方正楷体_GBK"/>
          <w:b w:val="0"/>
          <w:bCs w:val="0"/>
          <w:sz w:val="32"/>
          <w:szCs w:val="32"/>
          <w:lang w:eastAsia="zh-CN"/>
        </w:rPr>
        <w:t>）绩效评价工作过程。</w:t>
      </w:r>
    </w:p>
    <w:p>
      <w:pPr>
        <w:pStyle w:val="19"/>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收集项目资料，在收集和审核项目资料的基础上，制定了绩效评价指标体系，并进一步修改和完善，最后根据评价标准和 资料依据，进行了分析，得出评价结论。</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eastAsia="zh-CN"/>
        </w:rPr>
        <w:t>三、综合评价情况及评价结论</w:t>
      </w:r>
    </w:p>
    <w:p>
      <w:pPr>
        <w:pStyle w:val="19"/>
        <w:spacing w:line="360" w:lineRule="auto"/>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根据《项目支出绩效评价共性指标表》得分100分，绩效价评等级为“优”。</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四、绩效评价指标分析</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eastAsia="zh-CN"/>
        </w:rPr>
        <w:t>（一）项目决策情况。</w:t>
      </w:r>
    </w:p>
    <w:p>
      <w:pPr>
        <w:spacing w:after="0" w:line="360" w:lineRule="auto"/>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kern w:val="2"/>
          <w:sz w:val="32"/>
          <w:szCs w:val="32"/>
          <w:lang w:val="en-US" w:eastAsia="zh-CN" w:bidi="ar-SA"/>
        </w:rPr>
        <w:t>中财库指〔2022〕0059号：下达基层党建工作经费4.15万元用于基层党组织党建工作；中财库指〔2022〕0184号：下达党费支持党校建设工作经费0.13万元；中财库指〔2022〕0187号党费支持党建促乡村振兴7.5万元；中财库指〔2022〕0217号党费支持农村党员档案制作经费0.18万元；中财库指〔2022〕0219号党费支持村级服务中心维修经费2万元；中财库指〔2022〕0199号党费补助蒿吉坪基层党支部活动经费1.2万元中财库指［2021］0034党费支持疫情防控工作0.2万元，</w:t>
      </w:r>
      <w:r>
        <w:rPr>
          <w:rFonts w:hint="eastAsia" w:ascii="仿宋_GB2312" w:hAnsi="仿宋_GB2312" w:eastAsia="仿宋_GB2312" w:cs="仿宋_GB2312"/>
          <w:sz w:val="32"/>
          <w:szCs w:val="32"/>
          <w:lang w:val="en-US" w:eastAsia="zh-CN"/>
        </w:rPr>
        <w:t>文件</w:t>
      </w:r>
      <w:r>
        <w:rPr>
          <w:rFonts w:hint="eastAsia" w:ascii="仿宋" w:hAnsi="仿宋" w:eastAsia="仿宋" w:cs="仿宋"/>
          <w:sz w:val="32"/>
          <w:szCs w:val="32"/>
        </w:rPr>
        <w:t>执行落实到位。</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二</w:t>
      </w:r>
      <w:r>
        <w:rPr>
          <w:rFonts w:hint="eastAsia" w:ascii="方正楷体_GBK" w:hAnsi="方正楷体_GBK" w:eastAsia="方正楷体_GBK" w:cs="方正楷体_GBK"/>
          <w:b w:val="0"/>
          <w:bCs w:val="0"/>
          <w:sz w:val="32"/>
          <w:szCs w:val="32"/>
          <w:lang w:eastAsia="zh-CN"/>
        </w:rPr>
        <w:t>）项目过程情况。</w:t>
      </w:r>
    </w:p>
    <w:p>
      <w:pPr>
        <w:spacing w:after="0" w:line="360" w:lineRule="auto"/>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主要体现项目按期完成时间业务管理、财务管理和会计信息管理几个面方。重点考核管理制度建立情况、过程监管情况。如管理制度健全性、制度执行有效性、项目质量可控性；资金使用合规性、项目资金安全性；会计信息能否全面范性和完整性。</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三</w:t>
      </w:r>
      <w:r>
        <w:rPr>
          <w:rFonts w:hint="eastAsia" w:ascii="方正楷体_GBK" w:hAnsi="方正楷体_GBK" w:eastAsia="方正楷体_GBK" w:cs="方正楷体_GBK"/>
          <w:b w:val="0"/>
          <w:bCs w:val="0"/>
          <w:sz w:val="32"/>
          <w:szCs w:val="32"/>
          <w:lang w:eastAsia="zh-CN"/>
        </w:rPr>
        <w:t>）项目产出情况。</w:t>
      </w:r>
    </w:p>
    <w:p>
      <w:pPr>
        <w:spacing w:after="0" w:line="360" w:lineRule="auto"/>
        <w:ind w:firstLine="640" w:firstLineChars="200"/>
        <w:outlineLvl w:val="0"/>
        <w:rPr>
          <w:rFonts w:ascii="仿宋" w:hAnsi="仿宋" w:eastAsia="仿宋" w:cs="仿宋"/>
          <w:sz w:val="32"/>
          <w:szCs w:val="32"/>
        </w:rPr>
      </w:pPr>
      <w:r>
        <w:rPr>
          <w:rFonts w:hint="eastAsia" w:ascii="仿宋" w:hAnsi="仿宋" w:eastAsia="仿宋" w:cs="仿宋"/>
          <w:sz w:val="32"/>
          <w:szCs w:val="32"/>
        </w:rPr>
        <w:t>主要体现项目实施过程产出数量、评审项目按实际实施项目为准，做好项目前期预算、按实际完成。截止</w:t>
      </w:r>
      <w:r>
        <w:rPr>
          <w:rFonts w:hint="eastAsia" w:ascii="仿宋" w:hAnsi="仿宋" w:eastAsia="仿宋" w:cs="仿宋"/>
          <w:sz w:val="32"/>
          <w:szCs w:val="32"/>
          <w:lang w:eastAsia="zh-CN"/>
        </w:rPr>
        <w:t>2022</w:t>
      </w:r>
      <w:r>
        <w:rPr>
          <w:rFonts w:hint="eastAsia" w:ascii="仿宋" w:hAnsi="仿宋" w:eastAsia="仿宋" w:cs="仿宋"/>
          <w:sz w:val="32"/>
          <w:szCs w:val="32"/>
        </w:rPr>
        <w:t>年12月，</w:t>
      </w:r>
      <w:r>
        <w:rPr>
          <w:rFonts w:hint="eastAsia" w:ascii="仿宋" w:hAnsi="仿宋" w:eastAsia="仿宋" w:cs="仿宋"/>
          <w:sz w:val="32"/>
          <w:szCs w:val="32"/>
          <w:lang w:val="en-US" w:eastAsia="zh-CN"/>
        </w:rPr>
        <w:t>其他支出15.36万元</w:t>
      </w:r>
      <w:r>
        <w:rPr>
          <w:rFonts w:hint="eastAsia" w:ascii="仿宋" w:hAnsi="仿宋" w:eastAsia="仿宋" w:cs="仿宋"/>
          <w:sz w:val="32"/>
          <w:szCs w:val="32"/>
        </w:rPr>
        <w:t>，支付率为100%。</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四</w:t>
      </w:r>
      <w:r>
        <w:rPr>
          <w:rFonts w:hint="eastAsia" w:ascii="方正楷体_GBK" w:hAnsi="方正楷体_GBK" w:eastAsia="方正楷体_GBK" w:cs="方正楷体_GBK"/>
          <w:b w:val="0"/>
          <w:bCs w:val="0"/>
          <w:sz w:val="32"/>
          <w:szCs w:val="32"/>
          <w:lang w:eastAsia="zh-CN"/>
        </w:rPr>
        <w:t>）项目效益情况。</w:t>
      </w:r>
    </w:p>
    <w:p>
      <w:pPr>
        <w:spacing w:after="0" w:line="360" w:lineRule="auto"/>
        <w:ind w:firstLine="640" w:firstLineChars="200"/>
        <w:outlineLvl w:val="0"/>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按照年初的绩效目标，提高政府投资效益，节约财政资金，项目建设中</w:t>
      </w:r>
      <w:r>
        <w:rPr>
          <w:rFonts w:hint="eastAsia" w:ascii="仿宋_GB2312" w:hAnsi="仿宋_GB2312" w:eastAsia="仿宋_GB2312" w:cs="仿宋_GB2312"/>
          <w:kern w:val="2"/>
          <w:sz w:val="32"/>
          <w:szCs w:val="32"/>
          <w:lang w:val="en-US" w:eastAsia="zh-CN" w:bidi="ar-SA"/>
        </w:rPr>
        <w:t>完善了罗洪村基础设施建设，美化了乡村风貌，以及满足了百姓文体活动需求。</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五、主要经验及做法、存在的问题及原因分析</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eastAsia="zh-CN"/>
        </w:rPr>
        <w:t>（一）主要经验及做法</w:t>
      </w:r>
    </w:p>
    <w:p>
      <w:pPr>
        <w:spacing w:after="0" w:line="360" w:lineRule="auto"/>
        <w:ind w:firstLine="640" w:firstLineChars="200"/>
        <w:rPr>
          <w:rFonts w:ascii="仿宋" w:hAnsi="仿宋" w:eastAsia="仿宋" w:cs="仿宋"/>
          <w:sz w:val="32"/>
          <w:szCs w:val="32"/>
        </w:rPr>
      </w:pPr>
      <w:r>
        <w:rPr>
          <w:rFonts w:hint="eastAsia" w:ascii="仿宋" w:hAnsi="仿宋" w:eastAsia="仿宋" w:cs="仿宋"/>
          <w:sz w:val="32"/>
          <w:szCs w:val="32"/>
        </w:rPr>
        <w:t>严格按照绩效评价要求进行年初绩效目标年初申报，并根据年初要求严格落实，确保顺利完成预期目标。</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lang w:val="en-US" w:eastAsia="zh-CN"/>
        </w:rPr>
        <w:t>（二）存在的问题及原因分析</w:t>
      </w:r>
      <w:r>
        <w:rPr>
          <w:rFonts w:hint="eastAsia" w:ascii="方正楷体_GBK" w:hAnsi="方正楷体_GBK" w:eastAsia="方正楷体_GBK" w:cs="方正楷体_GBK"/>
          <w:b w:val="0"/>
          <w:bCs w:val="0"/>
          <w:sz w:val="32"/>
          <w:szCs w:val="32"/>
          <w:lang w:eastAsia="zh-CN"/>
        </w:rPr>
        <w:tab/>
      </w:r>
    </w:p>
    <w:p>
      <w:pPr>
        <w:pStyle w:val="19"/>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 w:val="0"/>
          <w:bCs/>
          <w:sz w:val="32"/>
          <w:szCs w:val="32"/>
        </w:rPr>
        <w:tab/>
      </w:r>
      <w:r>
        <w:rPr>
          <w:rFonts w:hint="eastAsia" w:ascii="仿宋_GB2312" w:hAnsi="仿宋_GB2312" w:eastAsia="仿宋_GB2312" w:cs="仿宋_GB2312"/>
          <w:b/>
          <w:sz w:val="32"/>
          <w:szCs w:val="32"/>
        </w:rPr>
        <w:tab/>
      </w:r>
      <w:r>
        <w:rPr>
          <w:rFonts w:hint="eastAsia" w:ascii="仿宋_GB2312" w:hAnsi="仿宋_GB2312" w:eastAsia="仿宋_GB2312" w:cs="仿宋_GB2312"/>
          <w:b/>
          <w:sz w:val="32"/>
          <w:szCs w:val="32"/>
        </w:rPr>
        <w:tab/>
      </w:r>
      <w:r>
        <w:rPr>
          <w:rFonts w:hint="eastAsia" w:ascii="仿宋_GB2312" w:hAnsi="仿宋_GB2312" w:eastAsia="仿宋_GB2312" w:cs="仿宋_GB2312"/>
          <w:b/>
          <w:sz w:val="32"/>
          <w:szCs w:val="32"/>
        </w:rPr>
        <w:tab/>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val="en-US" w:eastAsia="zh-CN"/>
        </w:rPr>
        <w:t>六、</w:t>
      </w:r>
      <w:r>
        <w:rPr>
          <w:rFonts w:hint="eastAsia" w:ascii="方正黑体_GBK" w:hAnsi="方正黑体_GBK" w:eastAsia="方正黑体_GBK" w:cs="方正黑体_GBK"/>
          <w:b w:val="0"/>
          <w:bCs/>
          <w:sz w:val="32"/>
          <w:szCs w:val="32"/>
        </w:rPr>
        <w:t>有关建议</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sz w:val="32"/>
          <w:szCs w:val="32"/>
          <w:lang w:val="en-US" w:eastAsia="zh-CN"/>
        </w:rPr>
        <w:t>无</w:t>
      </w:r>
      <w:r>
        <w:rPr>
          <w:rFonts w:hint="eastAsia" w:ascii="仿宋_GB2312" w:hAnsi="仿宋_GB2312" w:eastAsia="仿宋_GB2312" w:cs="仿宋_GB2312"/>
          <w:b w:val="0"/>
          <w:bCs/>
          <w:sz w:val="32"/>
          <w:szCs w:val="32"/>
          <w:lang w:val="en-US" w:eastAsia="zh-CN"/>
        </w:rPr>
        <w:t>。</w:t>
      </w:r>
    </w:p>
    <w:p>
      <w:pPr>
        <w:pStyle w:val="19"/>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val="en-US" w:eastAsia="zh-CN"/>
        </w:rPr>
        <w:t>七、</w:t>
      </w:r>
      <w:r>
        <w:rPr>
          <w:rFonts w:hint="eastAsia" w:ascii="方正黑体_GBK" w:hAnsi="方正黑体_GBK" w:eastAsia="方正黑体_GBK" w:cs="方正黑体_GBK"/>
          <w:b w:val="0"/>
          <w:bCs/>
          <w:sz w:val="32"/>
          <w:szCs w:val="32"/>
        </w:rPr>
        <w:t>其他需要说明的问题</w:t>
      </w:r>
    </w:p>
    <w:p>
      <w:pPr>
        <w:pStyle w:val="19"/>
        <w:keepNext w:val="0"/>
        <w:keepLines w:val="0"/>
        <w:pageBreakBefore w:val="0"/>
        <w:numPr>
          <w:ilvl w:val="0"/>
          <w:numId w:val="0"/>
        </w:numPr>
        <w:kinsoku/>
        <w:wordWrap/>
        <w:overflowPunct/>
        <w:topLinePunct w:val="0"/>
        <w:autoSpaceDE/>
        <w:autoSpaceDN/>
        <w:bidi w:val="0"/>
        <w:adjustRightInd/>
        <w:snapToGrid/>
        <w:spacing w:line="360" w:lineRule="auto"/>
        <w:ind w:left="645" w:leftChars="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无。</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eastAsia="仿宋_GB2312"/>
          <w:sz w:val="32"/>
          <w:szCs w:val="32"/>
        </w:rPr>
      </w:pPr>
    </w:p>
    <w:p>
      <w:pPr>
        <w:keepNext w:val="0"/>
        <w:keepLines w:val="0"/>
        <w:pageBreakBefore w:val="0"/>
        <w:widowControl/>
        <w:kinsoku/>
        <w:wordWrap/>
        <w:overflowPunct/>
        <w:topLinePunct w:val="0"/>
        <w:autoSpaceDE/>
        <w:autoSpaceDN/>
        <w:bidi w:val="0"/>
        <w:adjustRightInd/>
        <w:snapToGrid/>
        <w:spacing w:line="360" w:lineRule="auto"/>
        <w:ind w:firstLine="645"/>
        <w:jc w:val="left"/>
        <w:textAlignment w:val="auto"/>
        <w:rPr>
          <w:rFonts w:ascii="Times New Roman" w:hAnsi="Times New Roman" w:eastAsia="仿宋_GB2312"/>
          <w:sz w:val="32"/>
          <w:szCs w:val="32"/>
        </w:rPr>
      </w:pPr>
      <w:r>
        <w:rPr>
          <w:rFonts w:ascii="Times New Roman" w:hAnsi="Times New Roman" w:eastAsia="仿宋_GB2312"/>
          <w:sz w:val="32"/>
          <w:szCs w:val="32"/>
        </w:rPr>
        <w:t>附件：</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.项目支出绩效自评表</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1600" w:firstLineChars="500"/>
        <w:jc w:val="left"/>
        <w:textAlignment w:val="auto"/>
        <w:rPr>
          <w:rFonts w:ascii="Times New Roman" w:hAnsi="Times New Roman" w:eastAsia="仿宋_GB2312"/>
          <w:bCs/>
          <w:color w:val="000000"/>
          <w:sz w:val="32"/>
          <w:szCs w:val="32"/>
        </w:rPr>
      </w:pP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项目支出绩效评价指标</w:t>
      </w:r>
      <w:r>
        <w:rPr>
          <w:rFonts w:ascii="Times New Roman" w:hAnsi="Times New Roman" w:eastAsia="仿宋_GB2312"/>
          <w:bCs/>
          <w:color w:val="000000"/>
          <w:kern w:val="0"/>
          <w:sz w:val="32"/>
          <w:szCs w:val="32"/>
        </w:rPr>
        <w:t>评分表</w:t>
      </w: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hint="eastAsia" w:ascii="Times New Roman" w:hAnsi="Times New Roman" w:eastAsia="仿宋_GB2312"/>
          <w:bCs/>
          <w:color w:val="000000"/>
          <w:sz w:val="32"/>
          <w:szCs w:val="32"/>
          <w:lang w:val="en-US" w:eastAsia="zh-CN"/>
        </w:rPr>
      </w:pPr>
      <w:r>
        <w:rPr>
          <w:rFonts w:hint="eastAsia" w:ascii="Times New Roman" w:hAnsi="Times New Roman" w:eastAsia="仿宋_GB2312"/>
          <w:bCs/>
          <w:color w:val="000000"/>
          <w:sz w:val="32"/>
          <w:szCs w:val="32"/>
          <w:lang w:eastAsia="zh-CN"/>
        </w:rPr>
        <w:t>附件1</w:t>
      </w:r>
    </w:p>
    <w:tbl>
      <w:tblPr>
        <w:tblStyle w:val="9"/>
        <w:tblW w:w="0" w:type="auto"/>
        <w:jc w:val="center"/>
        <w:tblLayout w:type="fixed"/>
        <w:tblCellMar>
          <w:top w:w="0" w:type="dxa"/>
          <w:left w:w="108" w:type="dxa"/>
          <w:bottom w:w="0" w:type="dxa"/>
          <w:right w:w="108" w:type="dxa"/>
        </w:tblCellMar>
      </w:tblPr>
      <w:tblGrid>
        <w:gridCol w:w="628"/>
        <w:gridCol w:w="1047"/>
        <w:gridCol w:w="1187"/>
        <w:gridCol w:w="688"/>
        <w:gridCol w:w="970"/>
        <w:gridCol w:w="255"/>
        <w:gridCol w:w="1219"/>
        <w:gridCol w:w="1358"/>
        <w:gridCol w:w="405"/>
        <w:gridCol w:w="691"/>
        <w:gridCol w:w="869"/>
        <w:gridCol w:w="1148"/>
      </w:tblGrid>
      <w:tr>
        <w:tblPrEx>
          <w:tblCellMar>
            <w:top w:w="0" w:type="dxa"/>
            <w:left w:w="108" w:type="dxa"/>
            <w:bottom w:w="0" w:type="dxa"/>
            <w:right w:w="108" w:type="dxa"/>
          </w:tblCellMar>
        </w:tblPrEx>
        <w:trPr>
          <w:trHeight w:val="349" w:hRule="exact"/>
          <w:jc w:val="center"/>
        </w:trPr>
        <w:tc>
          <w:tcPr>
            <w:tcW w:w="10465" w:type="dxa"/>
            <w:gridSpan w:val="12"/>
            <w:tcBorders>
              <w:top w:val="nil"/>
              <w:left w:val="nil"/>
              <w:bottom w:val="nil"/>
              <w:right w:val="nil"/>
            </w:tcBorders>
            <w:noWrap w:val="0"/>
            <w:vAlign w:val="center"/>
          </w:tcPr>
          <w:p>
            <w:pPr>
              <w:widowControl/>
              <w:spacing w:line="320" w:lineRule="exact"/>
              <w:jc w:val="center"/>
              <w:rPr>
                <w:rFonts w:ascii="Times New Roman" w:hAnsi="Times New Roman"/>
                <w:b/>
                <w:bCs/>
                <w:kern w:val="0"/>
                <w:sz w:val="32"/>
                <w:szCs w:val="32"/>
              </w:rPr>
            </w:pPr>
            <w:r>
              <w:rPr>
                <w:rFonts w:hint="eastAsia" w:ascii="Times New Roman" w:hAnsi="Times New Roman"/>
                <w:b/>
                <w:bCs/>
                <w:kern w:val="0"/>
                <w:sz w:val="32"/>
                <w:szCs w:val="32"/>
                <w:lang w:val="en-US" w:eastAsia="zh-CN"/>
              </w:rPr>
              <w:t>其他</w:t>
            </w:r>
            <w:r>
              <w:rPr>
                <w:rFonts w:ascii="Times New Roman" w:hAnsi="Times New Roman"/>
                <w:b/>
                <w:bCs/>
                <w:kern w:val="0"/>
                <w:sz w:val="32"/>
                <w:szCs w:val="32"/>
              </w:rPr>
              <w:t>支出绩效自评表</w:t>
            </w:r>
          </w:p>
        </w:tc>
      </w:tr>
      <w:tr>
        <w:tblPrEx>
          <w:tblCellMar>
            <w:top w:w="0" w:type="dxa"/>
            <w:left w:w="108" w:type="dxa"/>
            <w:bottom w:w="0" w:type="dxa"/>
            <w:right w:w="108" w:type="dxa"/>
          </w:tblCellMar>
        </w:tblPrEx>
        <w:trPr>
          <w:trHeight w:val="363" w:hRule="atLeast"/>
          <w:jc w:val="center"/>
        </w:trPr>
        <w:tc>
          <w:tcPr>
            <w:tcW w:w="10465" w:type="dxa"/>
            <w:gridSpan w:val="12"/>
            <w:tcBorders>
              <w:top w:val="nil"/>
              <w:left w:val="nil"/>
              <w:bottom w:val="nil"/>
              <w:right w:val="nil"/>
            </w:tcBorders>
            <w:noWrap w:val="0"/>
            <w:vAlign w:val="top"/>
          </w:tcPr>
          <w:p>
            <w:pPr>
              <w:widowControl/>
              <w:jc w:val="center"/>
              <w:rPr>
                <w:rFonts w:ascii="Times New Roman" w:hAnsi="Times New Roman"/>
                <w:kern w:val="0"/>
                <w:sz w:val="22"/>
                <w:szCs w:val="22"/>
              </w:rPr>
            </w:pPr>
            <w:r>
              <w:rPr>
                <w:rFonts w:ascii="Times New Roman" w:hAnsi="Times New Roman"/>
                <w:kern w:val="0"/>
                <w:sz w:val="22"/>
                <w:szCs w:val="22"/>
              </w:rPr>
              <w:t>（</w:t>
            </w:r>
            <w:r>
              <w:rPr>
                <w:rFonts w:hint="eastAsia" w:ascii="Times New Roman" w:hAnsi="Times New Roman"/>
                <w:kern w:val="0"/>
                <w:sz w:val="22"/>
                <w:szCs w:val="22"/>
                <w:lang w:eastAsia="zh-CN"/>
              </w:rPr>
              <w:t>2022</w:t>
            </w:r>
            <w:r>
              <w:rPr>
                <w:rFonts w:ascii="Times New Roman" w:hAnsi="Times New Roman"/>
                <w:kern w:val="0"/>
                <w:sz w:val="22"/>
                <w:szCs w:val="22"/>
              </w:rPr>
              <w:t>年度）</w:t>
            </w:r>
          </w:p>
        </w:tc>
      </w:tr>
      <w:tr>
        <w:tblPrEx>
          <w:tblCellMar>
            <w:top w:w="0" w:type="dxa"/>
            <w:left w:w="108" w:type="dxa"/>
            <w:bottom w:w="0" w:type="dxa"/>
            <w:right w:w="108" w:type="dxa"/>
          </w:tblCellMar>
        </w:tblPrEx>
        <w:trPr>
          <w:trHeight w:val="300"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项目名称</w:t>
            </w:r>
          </w:p>
        </w:tc>
        <w:tc>
          <w:tcPr>
            <w:tcW w:w="8790"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rPr>
              <w:t>中央专项彩票公益金支持地方社会公益事业发展资金（罗洪村群众体育场地建设）</w:t>
            </w:r>
          </w:p>
        </w:tc>
      </w:tr>
      <w:tr>
        <w:tblPrEx>
          <w:tblCellMar>
            <w:top w:w="0" w:type="dxa"/>
            <w:left w:w="108" w:type="dxa"/>
            <w:bottom w:w="0" w:type="dxa"/>
            <w:right w:w="108" w:type="dxa"/>
          </w:tblCellMar>
        </w:tblPrEx>
        <w:trPr>
          <w:trHeight w:val="300" w:hRule="exact"/>
          <w:jc w:val="center"/>
        </w:trPr>
        <w:tc>
          <w:tcPr>
            <w:tcW w:w="167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主管部门</w:t>
            </w:r>
          </w:p>
        </w:tc>
        <w:tc>
          <w:tcPr>
            <w:tcW w:w="43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中方县蒿吉坪瑶族乡人民政府</w:t>
            </w:r>
          </w:p>
        </w:tc>
        <w:tc>
          <w:tcPr>
            <w:tcW w:w="17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实施单位</w:t>
            </w:r>
          </w:p>
        </w:tc>
        <w:tc>
          <w:tcPr>
            <w:tcW w:w="270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中方县蒿吉坪瑶族乡罗洪村</w:t>
            </w:r>
          </w:p>
        </w:tc>
      </w:tr>
      <w:tr>
        <w:tblPrEx>
          <w:tblCellMar>
            <w:top w:w="0" w:type="dxa"/>
            <w:left w:w="108" w:type="dxa"/>
            <w:bottom w:w="0" w:type="dxa"/>
            <w:right w:w="108" w:type="dxa"/>
          </w:tblCellMar>
        </w:tblPrEx>
        <w:trPr>
          <w:trHeight w:val="436" w:hRule="exact"/>
          <w:jc w:val="center"/>
        </w:trPr>
        <w:tc>
          <w:tcPr>
            <w:tcW w:w="167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项目资金</w:t>
            </w:r>
            <w:r>
              <w:rPr>
                <w:rFonts w:ascii="Times New Roman" w:hAnsi="Times New Roman"/>
                <w:kern w:val="0"/>
                <w:sz w:val="18"/>
                <w:szCs w:val="18"/>
              </w:rPr>
              <w:br w:type="textWrapping"/>
            </w:r>
            <w:r>
              <w:rPr>
                <w:rFonts w:ascii="Times New Roman" w:hAnsi="Times New Roman"/>
                <w:kern w:val="0"/>
                <w:sz w:val="18"/>
                <w:szCs w:val="18"/>
              </w:rPr>
              <w:t>（万元）</w:t>
            </w: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年初预算数</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全年预算数</w:t>
            </w:r>
            <w:r>
              <w:rPr>
                <w:rFonts w:ascii="Times New Roman" w:hAnsi="Times New Roman"/>
                <w:color w:val="000000"/>
                <w:kern w:val="0"/>
                <w:sz w:val="20"/>
                <w:szCs w:val="20"/>
              </w:rPr>
              <w:t>（A）</w:t>
            </w:r>
          </w:p>
        </w:tc>
        <w:tc>
          <w:tcPr>
            <w:tcW w:w="17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全年执行数</w:t>
            </w:r>
            <w:r>
              <w:rPr>
                <w:rFonts w:ascii="Times New Roman" w:hAnsi="Times New Roman"/>
                <w:color w:val="000000"/>
                <w:kern w:val="0"/>
                <w:sz w:val="20"/>
                <w:szCs w:val="20"/>
              </w:rPr>
              <w:t>（B）</w:t>
            </w: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执行率</w:t>
            </w:r>
            <w:r>
              <w:rPr>
                <w:rFonts w:ascii="Times New Roman" w:hAnsi="Times New Roman"/>
                <w:color w:val="000000"/>
                <w:kern w:val="0"/>
                <w:sz w:val="20"/>
                <w:szCs w:val="20"/>
              </w:rPr>
              <w:t>（B/A)</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Times New Roman" w:hAnsi="Times New Roman"/>
                <w:kern w:val="0"/>
                <w:sz w:val="18"/>
                <w:szCs w:val="18"/>
              </w:rPr>
            </w:pPr>
            <w:r>
              <w:rPr>
                <w:rFonts w:ascii="Times New Roman" w:hAnsi="Times New Roman"/>
                <w:kern w:val="0"/>
                <w:sz w:val="18"/>
                <w:szCs w:val="18"/>
              </w:rPr>
              <w:t>年度资金总额</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kern w:val="0"/>
                <w:sz w:val="18"/>
                <w:szCs w:val="18"/>
                <w:lang w:val="en-US" w:eastAsia="zh-CN"/>
              </w:rPr>
              <w:t>15.36</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rPr>
            </w:pPr>
            <w:r>
              <w:rPr>
                <w:rFonts w:hint="eastAsia"/>
                <w:kern w:val="0"/>
                <w:sz w:val="18"/>
                <w:szCs w:val="18"/>
                <w:lang w:val="en-US" w:eastAsia="zh-CN"/>
              </w:rPr>
              <w:t>15.36</w:t>
            </w:r>
          </w:p>
        </w:tc>
        <w:tc>
          <w:tcPr>
            <w:tcW w:w="17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kern w:val="0"/>
                <w:sz w:val="18"/>
                <w:szCs w:val="18"/>
                <w:lang w:val="en-US" w:eastAsia="zh-CN"/>
              </w:rPr>
              <w:t>15.36</w:t>
            </w: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100%</w:t>
            </w: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其中：当年财政拨款</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kern w:val="0"/>
                <w:sz w:val="18"/>
                <w:szCs w:val="18"/>
                <w:lang w:val="en-US" w:eastAsia="zh-CN"/>
              </w:rPr>
              <w:t>15.36</w:t>
            </w: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kern w:val="0"/>
                <w:sz w:val="18"/>
                <w:szCs w:val="18"/>
                <w:lang w:val="en-US" w:eastAsia="zh-CN"/>
              </w:rPr>
              <w:t>15.36</w:t>
            </w:r>
          </w:p>
        </w:tc>
        <w:tc>
          <w:tcPr>
            <w:tcW w:w="17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kern w:val="0"/>
                <w:sz w:val="18"/>
                <w:szCs w:val="18"/>
                <w:lang w:val="en-US" w:eastAsia="zh-CN" w:bidi="ar-SA"/>
              </w:rPr>
            </w:pPr>
            <w:r>
              <w:rPr>
                <w:rFonts w:hint="eastAsia"/>
                <w:kern w:val="0"/>
                <w:sz w:val="18"/>
                <w:szCs w:val="18"/>
                <w:lang w:val="en-US" w:eastAsia="zh-CN"/>
              </w:rPr>
              <w:t>15.36</w:t>
            </w: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上年结转资金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7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16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87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 xml:space="preserve">  其他资金</w:t>
            </w:r>
          </w:p>
        </w:tc>
        <w:tc>
          <w:tcPr>
            <w:tcW w:w="12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219"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7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4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w:t>
            </w:r>
          </w:p>
        </w:tc>
      </w:tr>
      <w:tr>
        <w:tblPrEx>
          <w:tblCellMar>
            <w:top w:w="0" w:type="dxa"/>
            <w:left w:w="108" w:type="dxa"/>
            <w:bottom w:w="0" w:type="dxa"/>
            <w:right w:w="108" w:type="dxa"/>
          </w:tblCellMar>
        </w:tblPrEx>
        <w:trPr>
          <w:trHeight w:val="300" w:hRule="exact"/>
          <w:jc w:val="center"/>
        </w:trPr>
        <w:tc>
          <w:tcPr>
            <w:tcW w:w="62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年度总体目标</w:t>
            </w: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预期目标</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实际完成情况</w:t>
            </w:r>
          </w:p>
        </w:tc>
      </w:tr>
      <w:tr>
        <w:tblPrEx>
          <w:tblCellMar>
            <w:top w:w="0" w:type="dxa"/>
            <w:left w:w="108" w:type="dxa"/>
            <w:bottom w:w="0" w:type="dxa"/>
            <w:right w:w="108" w:type="dxa"/>
          </w:tblCellMar>
        </w:tblPrEx>
        <w:trPr>
          <w:trHeight w:val="720" w:hRule="exact"/>
          <w:jc w:val="center"/>
        </w:trPr>
        <w:tc>
          <w:tcPr>
            <w:tcW w:w="6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53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val="en-US" w:eastAsia="zh-CN"/>
              </w:rPr>
            </w:pPr>
            <w:r>
              <w:rPr>
                <w:rFonts w:hint="eastAsia"/>
                <w:sz w:val="18"/>
                <w:szCs w:val="18"/>
              </w:rPr>
              <w:t>完</w:t>
            </w:r>
            <w:r>
              <w:rPr>
                <w:rFonts w:hint="eastAsia"/>
                <w:sz w:val="18"/>
                <w:szCs w:val="18"/>
                <w:lang w:val="en-US" w:eastAsia="zh-CN"/>
              </w:rPr>
              <w:t>成</w:t>
            </w:r>
            <w:r>
              <w:rPr>
                <w:rFonts w:hint="eastAsia"/>
                <w:sz w:val="18"/>
                <w:szCs w:val="18"/>
              </w:rPr>
              <w:t>罗洪村群众体育场地建设</w:t>
            </w:r>
          </w:p>
        </w:tc>
        <w:tc>
          <w:tcPr>
            <w:tcW w:w="447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b w:val="0"/>
                <w:bCs w:val="0"/>
                <w:kern w:val="0"/>
                <w:sz w:val="18"/>
                <w:szCs w:val="18"/>
              </w:rPr>
            </w:pPr>
            <w:r>
              <w:rPr>
                <w:rFonts w:hint="eastAsia"/>
                <w:b w:val="0"/>
                <w:bCs w:val="0"/>
                <w:sz w:val="18"/>
                <w:szCs w:val="18"/>
              </w:rPr>
              <w:t>完成罗洪村群众体育场地建设</w:t>
            </w:r>
          </w:p>
        </w:tc>
      </w:tr>
      <w:tr>
        <w:tblPrEx>
          <w:tblCellMar>
            <w:top w:w="0" w:type="dxa"/>
            <w:left w:w="108" w:type="dxa"/>
            <w:bottom w:w="0" w:type="dxa"/>
            <w:right w:w="108" w:type="dxa"/>
          </w:tblCellMar>
        </w:tblPrEx>
        <w:trPr>
          <w:trHeight w:val="521" w:hRule="exact"/>
          <w:jc w:val="center"/>
        </w:trPr>
        <w:tc>
          <w:tcPr>
            <w:tcW w:w="628"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绩</w:t>
            </w:r>
            <w:r>
              <w:rPr>
                <w:rFonts w:ascii="Times New Roman" w:hAnsi="Times New Roman"/>
                <w:kern w:val="0"/>
                <w:sz w:val="18"/>
                <w:szCs w:val="18"/>
              </w:rPr>
              <w:br w:type="textWrapping"/>
            </w:r>
            <w:r>
              <w:rPr>
                <w:rFonts w:ascii="Times New Roman" w:hAnsi="Times New Roman"/>
                <w:kern w:val="0"/>
                <w:sz w:val="18"/>
                <w:szCs w:val="18"/>
              </w:rPr>
              <w:t>效</w:t>
            </w:r>
            <w:r>
              <w:rPr>
                <w:rFonts w:ascii="Times New Roman" w:hAnsi="Times New Roman"/>
                <w:kern w:val="0"/>
                <w:sz w:val="18"/>
                <w:szCs w:val="18"/>
              </w:rPr>
              <w:br w:type="textWrapping"/>
            </w:r>
            <w:r>
              <w:rPr>
                <w:rFonts w:ascii="Times New Roman" w:hAnsi="Times New Roman"/>
                <w:kern w:val="0"/>
                <w:sz w:val="18"/>
                <w:szCs w:val="18"/>
              </w:rPr>
              <w:t>指</w:t>
            </w:r>
            <w:r>
              <w:rPr>
                <w:rFonts w:ascii="Times New Roman" w:hAnsi="Times New Roman"/>
                <w:kern w:val="0"/>
                <w:sz w:val="18"/>
                <w:szCs w:val="18"/>
              </w:rPr>
              <w:br w:type="textWrapping"/>
            </w:r>
            <w:r>
              <w:rPr>
                <w:rFonts w:ascii="Times New Roman" w:hAnsi="Times New Roman"/>
                <w:kern w:val="0"/>
                <w:sz w:val="18"/>
                <w:szCs w:val="18"/>
              </w:rPr>
              <w:t>标</w:t>
            </w:r>
          </w:p>
        </w:tc>
        <w:tc>
          <w:tcPr>
            <w:tcW w:w="104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一级指标</w:t>
            </w:r>
          </w:p>
        </w:tc>
        <w:tc>
          <w:tcPr>
            <w:tcW w:w="1187"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二级指标</w:t>
            </w:r>
          </w:p>
        </w:tc>
        <w:tc>
          <w:tcPr>
            <w:tcW w:w="16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三级指标</w:t>
            </w:r>
          </w:p>
        </w:tc>
        <w:tc>
          <w:tcPr>
            <w:tcW w:w="147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年度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指标值</w:t>
            </w:r>
          </w:p>
        </w:tc>
        <w:tc>
          <w:tcPr>
            <w:tcW w:w="1358"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实际</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完成值</w:t>
            </w:r>
          </w:p>
        </w:tc>
        <w:tc>
          <w:tcPr>
            <w:tcW w:w="405"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分值</w:t>
            </w:r>
          </w:p>
        </w:tc>
        <w:tc>
          <w:tcPr>
            <w:tcW w:w="691" w:type="dxa"/>
            <w:tcBorders>
              <w:top w:val="nil"/>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得分</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偏差原因分析及改进措施</w:t>
            </w:r>
          </w:p>
        </w:tc>
      </w:tr>
      <w:tr>
        <w:tblPrEx>
          <w:tblCellMar>
            <w:top w:w="0" w:type="dxa"/>
            <w:left w:w="108" w:type="dxa"/>
            <w:bottom w:w="0" w:type="dxa"/>
            <w:right w:w="108" w:type="dxa"/>
          </w:tblCellMar>
        </w:tblPrEx>
        <w:trPr>
          <w:trHeight w:val="313"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nil"/>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产出指标</w:t>
            </w:r>
            <w:r>
              <w:rPr>
                <w:rFonts w:ascii="Times New Roman" w:hAnsi="Times New Roman"/>
                <w:kern w:val="0"/>
                <w:sz w:val="20"/>
                <w:szCs w:val="20"/>
              </w:rPr>
              <w:t>(50分)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数量指标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olor w:val="000000"/>
                <w:kern w:val="0"/>
                <w:sz w:val="18"/>
                <w:szCs w:val="18"/>
                <w:lang w:val="en-US" w:eastAsia="zh-CN"/>
              </w:rPr>
            </w:pPr>
            <w:r>
              <w:rPr>
                <w:rFonts w:hint="eastAsia" w:ascii="宋体" w:hAnsi="宋体" w:cs="宋体"/>
                <w:i w:val="0"/>
                <w:color w:val="000000"/>
                <w:kern w:val="0"/>
                <w:sz w:val="20"/>
                <w:szCs w:val="20"/>
                <w:u w:val="none"/>
                <w:lang w:val="en-US" w:eastAsia="zh-CN" w:bidi="ar"/>
              </w:rPr>
              <w:t>项目完成率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40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14</w:t>
            </w:r>
          </w:p>
        </w:tc>
        <w:tc>
          <w:tcPr>
            <w:tcW w:w="691"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14</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34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质量指标</w:t>
            </w:r>
          </w:p>
        </w:tc>
        <w:tc>
          <w:tcPr>
            <w:tcW w:w="1658"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20"/>
                <w:szCs w:val="20"/>
                <w:u w:val="none"/>
                <w:lang w:val="en-US" w:eastAsia="zh-CN" w:bidi="ar"/>
              </w:rPr>
              <w:t>项目完工率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3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时效指标</w:t>
            </w:r>
          </w:p>
        </w:tc>
        <w:tc>
          <w:tcPr>
            <w:tcW w:w="1658"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资金付讫率</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100%</w:t>
            </w: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p>
        </w:tc>
      </w:tr>
      <w:tr>
        <w:tblPrEx>
          <w:tblCellMar>
            <w:top w:w="0" w:type="dxa"/>
            <w:left w:w="108" w:type="dxa"/>
            <w:bottom w:w="0" w:type="dxa"/>
            <w:right w:w="108" w:type="dxa"/>
          </w:tblCellMar>
        </w:tblPrEx>
        <w:trPr>
          <w:trHeight w:val="4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成本指标</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olor w:val="000000"/>
                <w:kern w:val="0"/>
                <w:sz w:val="18"/>
                <w:szCs w:val="18"/>
                <w:lang w:val="en-US" w:eastAsia="zh-CN"/>
              </w:rPr>
            </w:pPr>
            <w:r>
              <w:rPr>
                <w:rFonts w:hint="eastAsia"/>
                <w:color w:val="000000"/>
                <w:kern w:val="0"/>
                <w:sz w:val="18"/>
                <w:szCs w:val="18"/>
                <w:lang w:val="en-US" w:eastAsia="zh-CN"/>
              </w:rPr>
              <w:t>其他支出</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cs="宋体"/>
                <w:i w:val="0"/>
                <w:color w:val="000000"/>
                <w:kern w:val="0"/>
                <w:sz w:val="20"/>
                <w:szCs w:val="20"/>
                <w:u w:val="none"/>
                <w:lang w:val="en-US" w:eastAsia="zh-CN" w:bidi="ar"/>
              </w:rPr>
              <w:t>15.36万元</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cs="宋体"/>
                <w:i w:val="0"/>
                <w:color w:val="000000"/>
                <w:kern w:val="0"/>
                <w:sz w:val="20"/>
                <w:szCs w:val="20"/>
                <w:u w:val="none"/>
                <w:lang w:val="en-US" w:eastAsia="zh-CN" w:bidi="ar"/>
              </w:rPr>
              <w:t>15.36万元</w:t>
            </w: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12</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0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效益指标</w:t>
            </w:r>
            <w:r>
              <w:rPr>
                <w:rFonts w:ascii="Times New Roman" w:hAnsi="Times New Roman"/>
                <w:kern w:val="0"/>
                <w:sz w:val="20"/>
                <w:szCs w:val="20"/>
              </w:rPr>
              <w:t>(</w:t>
            </w:r>
            <w:r>
              <w:rPr>
                <w:rFonts w:hint="eastAsia" w:ascii="Times New Roman" w:hAnsi="Times New Roman"/>
                <w:kern w:val="0"/>
                <w:sz w:val="20"/>
                <w:szCs w:val="20"/>
                <w:lang w:val="en-US" w:eastAsia="zh-CN"/>
              </w:rPr>
              <w:t>3</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经济效益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18"/>
                <w:szCs w:val="18"/>
                <w:u w:val="none"/>
                <w:lang w:val="en-US" w:eastAsia="zh-CN" w:bidi="ar"/>
              </w:rPr>
              <w:t>推动村级基础设施建设</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增加</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增加</w:t>
            </w: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7</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7</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imes New Roman" w:hAnsi="Times New Roman" w:eastAsia="宋体"/>
                <w:kern w:val="0"/>
                <w:sz w:val="18"/>
                <w:szCs w:val="18"/>
                <w:lang w:eastAsia="zh-CN"/>
              </w:rPr>
            </w:pPr>
          </w:p>
        </w:tc>
      </w:tr>
      <w:tr>
        <w:tblPrEx>
          <w:tblCellMar>
            <w:top w:w="0" w:type="dxa"/>
            <w:left w:w="108" w:type="dxa"/>
            <w:bottom w:w="0" w:type="dxa"/>
            <w:right w:w="108" w:type="dxa"/>
          </w:tblCellMar>
        </w:tblPrEx>
        <w:trPr>
          <w:trHeight w:val="51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社会效益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color w:val="000000"/>
                <w:kern w:val="0"/>
                <w:sz w:val="18"/>
                <w:szCs w:val="18"/>
              </w:rPr>
            </w:pPr>
            <w:r>
              <w:rPr>
                <w:rFonts w:hint="eastAsia" w:ascii="宋体" w:hAnsi="宋体" w:eastAsia="宋体" w:cs="宋体"/>
                <w:i w:val="0"/>
                <w:color w:val="000000"/>
                <w:kern w:val="0"/>
                <w:sz w:val="18"/>
                <w:szCs w:val="18"/>
                <w:u w:val="none"/>
                <w:lang w:val="en-US" w:eastAsia="zh-CN" w:bidi="ar"/>
              </w:rPr>
              <w:t>增加群众满意度</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bookmarkStart w:id="0" w:name="_GoBack"/>
            <w:bookmarkEnd w:id="0"/>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7</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7</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72" w:hRule="atLeas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生态效益</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18"/>
                <w:szCs w:val="18"/>
                <w:u w:val="none"/>
                <w:lang w:val="en-US" w:eastAsia="zh-CN" w:bidi="ar"/>
              </w:rPr>
              <w:t>提高村落美化程度</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kern w:val="0"/>
                <w:sz w:val="18"/>
                <w:szCs w:val="18"/>
                <w:lang w:val="en-US"/>
              </w:rPr>
            </w:pPr>
            <w:r>
              <w:rPr>
                <w:rFonts w:hint="eastAsia" w:ascii="宋体" w:hAnsi="宋体" w:eastAsia="宋体" w:cs="宋体"/>
                <w:i w:val="0"/>
                <w:color w:val="000000"/>
                <w:kern w:val="0"/>
                <w:sz w:val="20"/>
                <w:szCs w:val="20"/>
                <w:u w:val="none"/>
                <w:lang w:val="en-US" w:eastAsia="zh-CN" w:bidi="ar"/>
              </w:rPr>
              <w:t>10%</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lang w:val="en-US" w:eastAsia="zh-CN" w:bidi="ar-SA"/>
              </w:rPr>
            </w:pPr>
            <w:r>
              <w:rPr>
                <w:rFonts w:hint="eastAsia" w:ascii="宋体" w:hAnsi="宋体" w:eastAsia="宋体" w:cs="宋体"/>
                <w:i w:val="0"/>
                <w:color w:val="000000"/>
                <w:kern w:val="0"/>
                <w:sz w:val="20"/>
                <w:szCs w:val="20"/>
                <w:u w:val="none"/>
                <w:lang w:val="en-US" w:eastAsia="zh-CN" w:bidi="ar"/>
              </w:rPr>
              <w:t>10%</w:t>
            </w:r>
          </w:p>
        </w:tc>
        <w:tc>
          <w:tcPr>
            <w:tcW w:w="405"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691"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2017" w:type="dxa"/>
            <w:gridSpan w:val="2"/>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480"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可持续影响指标</w:t>
            </w:r>
          </w:p>
        </w:tc>
        <w:tc>
          <w:tcPr>
            <w:tcW w:w="165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18"/>
                <w:szCs w:val="18"/>
                <w:u w:val="none"/>
                <w:lang w:val="en-US" w:eastAsia="zh-CN" w:bidi="ar"/>
              </w:rPr>
              <w:t>推进开展文体活动</w:t>
            </w:r>
          </w:p>
        </w:tc>
        <w:tc>
          <w:tcPr>
            <w:tcW w:w="147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提高</w:t>
            </w:r>
          </w:p>
        </w:tc>
        <w:tc>
          <w:tcPr>
            <w:tcW w:w="13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提高</w:t>
            </w: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lang w:val="en-US" w:eastAsia="zh-CN" w:bidi="ar-SA"/>
              </w:rPr>
            </w:pPr>
            <w:r>
              <w:rPr>
                <w:rFonts w:hint="eastAsia" w:ascii="Times New Roman" w:hAnsi="Times New Roman"/>
                <w:kern w:val="0"/>
                <w:sz w:val="18"/>
                <w:szCs w:val="18"/>
                <w:lang w:val="en-US" w:eastAsia="zh-CN"/>
              </w:rPr>
              <w:t>8</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735" w:hRule="exact"/>
          <w:jc w:val="center"/>
        </w:trPr>
        <w:tc>
          <w:tcPr>
            <w:tcW w:w="628" w:type="dxa"/>
            <w:vMerge w:val="continue"/>
            <w:tcBorders>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c>
          <w:tcPr>
            <w:tcW w:w="1047"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满意度</w:t>
            </w:r>
          </w:p>
          <w:p>
            <w:pPr>
              <w:widowControl/>
              <w:spacing w:line="240" w:lineRule="exact"/>
              <w:jc w:val="center"/>
              <w:rPr>
                <w:rFonts w:ascii="Times New Roman" w:hAnsi="Times New Roman"/>
                <w:kern w:val="0"/>
                <w:sz w:val="18"/>
                <w:szCs w:val="18"/>
              </w:rPr>
            </w:pPr>
            <w:r>
              <w:rPr>
                <w:rFonts w:ascii="Times New Roman" w:hAnsi="Times New Roman"/>
                <w:kern w:val="0"/>
                <w:sz w:val="18"/>
                <w:szCs w:val="18"/>
              </w:rPr>
              <w:t>指标</w:t>
            </w:r>
            <w:r>
              <w:rPr>
                <w:rFonts w:ascii="Times New Roman" w:hAnsi="Times New Roman"/>
                <w:kern w:val="0"/>
                <w:sz w:val="20"/>
                <w:szCs w:val="20"/>
              </w:rPr>
              <w:t>(</w:t>
            </w:r>
            <w:r>
              <w:rPr>
                <w:rFonts w:hint="eastAsia" w:ascii="Times New Roman" w:hAnsi="Times New Roman"/>
                <w:kern w:val="0"/>
                <w:sz w:val="20"/>
                <w:szCs w:val="20"/>
                <w:lang w:val="en-US" w:eastAsia="zh-CN"/>
              </w:rPr>
              <w:t>1</w:t>
            </w:r>
            <w:r>
              <w:rPr>
                <w:rFonts w:ascii="Times New Roman" w:hAnsi="Times New Roman"/>
                <w:kern w:val="0"/>
                <w:sz w:val="20"/>
                <w:szCs w:val="20"/>
              </w:rPr>
              <w:t>0分)</w:t>
            </w:r>
          </w:p>
        </w:tc>
        <w:tc>
          <w:tcPr>
            <w:tcW w:w="118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ascii="Times New Roman" w:hAnsi="Times New Roman"/>
                <w:kern w:val="0"/>
                <w:sz w:val="18"/>
                <w:szCs w:val="18"/>
              </w:rPr>
              <w:t>服务对象满意度指标</w:t>
            </w:r>
          </w:p>
        </w:tc>
        <w:tc>
          <w:tcPr>
            <w:tcW w:w="1658"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color w:val="000000"/>
                <w:kern w:val="0"/>
                <w:sz w:val="18"/>
                <w:szCs w:val="18"/>
                <w:lang w:val="en-US"/>
              </w:rPr>
            </w:pPr>
            <w:r>
              <w:rPr>
                <w:rFonts w:hint="eastAsia" w:ascii="宋体" w:hAnsi="宋体" w:eastAsia="宋体" w:cs="宋体"/>
                <w:i w:val="0"/>
                <w:color w:val="000000"/>
                <w:kern w:val="0"/>
                <w:sz w:val="18"/>
                <w:szCs w:val="18"/>
                <w:u w:val="none"/>
                <w:lang w:val="en-US" w:eastAsia="zh-CN" w:bidi="ar"/>
              </w:rPr>
              <w:t>群众满意度</w:t>
            </w:r>
          </w:p>
        </w:tc>
        <w:tc>
          <w:tcPr>
            <w:tcW w:w="1474" w:type="dxa"/>
            <w:gridSpan w:val="2"/>
            <w:tcBorders>
              <w:top w:val="single" w:color="auto" w:sz="4" w:space="0"/>
              <w:left w:val="nil"/>
              <w:right w:val="single" w:color="auto" w:sz="4" w:space="0"/>
            </w:tcBorders>
            <w:noWrap w:val="0"/>
            <w:vAlign w:val="center"/>
          </w:tcPr>
          <w:p>
            <w:pPr>
              <w:keepNext w:val="0"/>
              <w:keepLines w:val="0"/>
              <w:widowControl/>
              <w:suppressLineNumbers w:val="0"/>
              <w:jc w:val="center"/>
              <w:textAlignment w:val="center"/>
              <w:rPr>
                <w:rFonts w:ascii="Times New Roman" w:hAnsi="Times New Roman"/>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1358" w:type="dxa"/>
            <w:tcBorders>
              <w:top w:val="single" w:color="auto" w:sz="4" w:space="0"/>
              <w:left w:val="nil"/>
              <w:right w:val="single" w:color="auto" w:sz="4" w:space="0"/>
            </w:tcBorders>
            <w:noWrap w:val="0"/>
            <w:vAlign w:val="center"/>
          </w:tcPr>
          <w:p>
            <w:pPr>
              <w:widowControl/>
              <w:spacing w:line="240" w:lineRule="exact"/>
              <w:jc w:val="center"/>
              <w:rPr>
                <w:rFonts w:ascii="Times New Roman" w:hAnsi="Times New Roman"/>
                <w:kern w:val="0"/>
                <w:sz w:val="18"/>
                <w:szCs w:val="18"/>
              </w:rPr>
            </w:pPr>
            <w:r>
              <w:rPr>
                <w:rFonts w:hint="eastAsia" w:ascii="Times New Roman" w:hAnsi="Times New Roman"/>
                <w:kern w:val="0"/>
                <w:sz w:val="18"/>
                <w:szCs w:val="18"/>
                <w:lang w:val="en-US" w:eastAsia="zh-CN"/>
              </w:rPr>
              <w:t>100</w:t>
            </w:r>
            <w:r>
              <w:rPr>
                <w:rFonts w:hint="eastAsia" w:ascii="Times New Roman" w:hAnsi="Times New Roman"/>
                <w:kern w:val="0"/>
                <w:sz w:val="18"/>
                <w:szCs w:val="18"/>
              </w:rPr>
              <w:t>%</w:t>
            </w: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kern w:val="0"/>
                <w:sz w:val="18"/>
                <w:szCs w:val="18"/>
                <w:lang w:val="en-US" w:eastAsia="zh-CN"/>
              </w:rPr>
            </w:pPr>
            <w:r>
              <w:rPr>
                <w:rFonts w:hint="eastAsia" w:ascii="Times New Roman" w:hAnsi="Times New Roman"/>
                <w:kern w:val="0"/>
                <w:sz w:val="18"/>
                <w:szCs w:val="18"/>
                <w:lang w:val="en-US" w:eastAsia="zh-CN"/>
              </w:rPr>
              <w:t>10</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300" w:hRule="exact"/>
          <w:jc w:val="center"/>
        </w:trPr>
        <w:tc>
          <w:tcPr>
            <w:tcW w:w="7352"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总分</w:t>
            </w: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69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宋体"/>
                <w:color w:val="000000"/>
                <w:kern w:val="0"/>
                <w:sz w:val="18"/>
                <w:szCs w:val="18"/>
                <w:lang w:val="en-US" w:eastAsia="zh-CN"/>
              </w:rPr>
            </w:pPr>
            <w:r>
              <w:rPr>
                <w:rFonts w:hint="eastAsia" w:ascii="Times New Roman" w:hAnsi="Times New Roman"/>
                <w:color w:val="000000"/>
                <w:kern w:val="0"/>
                <w:sz w:val="18"/>
                <w:szCs w:val="18"/>
                <w:lang w:val="en-US" w:eastAsia="zh-CN"/>
              </w:rPr>
              <w:t>100</w:t>
            </w:r>
          </w:p>
        </w:tc>
        <w:tc>
          <w:tcPr>
            <w:tcW w:w="20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Times New Roman" w:hAnsi="Times New Roman"/>
                <w:kern w:val="0"/>
                <w:sz w:val="18"/>
                <w:szCs w:val="18"/>
              </w:rPr>
            </w:pPr>
          </w:p>
        </w:tc>
      </w:tr>
      <w:tr>
        <w:tblPrEx>
          <w:tblCellMar>
            <w:top w:w="0" w:type="dxa"/>
            <w:left w:w="108" w:type="dxa"/>
            <w:bottom w:w="0" w:type="dxa"/>
            <w:right w:w="108" w:type="dxa"/>
          </w:tblCellMar>
        </w:tblPrEx>
        <w:trPr>
          <w:trHeight w:val="1005" w:hRule="atLeast"/>
          <w:jc w:val="center"/>
        </w:trPr>
        <w:tc>
          <w:tcPr>
            <w:tcW w:w="10465" w:type="dxa"/>
            <w:gridSpan w:val="12"/>
            <w:tcBorders>
              <w:top w:val="single" w:color="auto" w:sz="4" w:space="0"/>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tblPrEx>
          <w:tblCellMar>
            <w:top w:w="0" w:type="dxa"/>
            <w:left w:w="108" w:type="dxa"/>
            <w:bottom w:w="0" w:type="dxa"/>
            <w:right w:w="108" w:type="dxa"/>
          </w:tblCellMar>
        </w:tblPrEx>
        <w:trPr>
          <w:trHeight w:val="465" w:hRule="atLeast"/>
          <w:jc w:val="center"/>
        </w:trPr>
        <w:tc>
          <w:tcPr>
            <w:tcW w:w="10465" w:type="dxa"/>
            <w:gridSpan w:val="12"/>
            <w:tcBorders>
              <w:top w:val="nil"/>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tblPrEx>
          <w:tblCellMar>
            <w:top w:w="0" w:type="dxa"/>
            <w:left w:w="108" w:type="dxa"/>
            <w:bottom w:w="0" w:type="dxa"/>
            <w:right w:w="108" w:type="dxa"/>
          </w:tblCellMar>
        </w:tblPrEx>
        <w:trPr>
          <w:trHeight w:val="465" w:hRule="atLeast"/>
          <w:jc w:val="center"/>
        </w:trPr>
        <w:tc>
          <w:tcPr>
            <w:tcW w:w="10465" w:type="dxa"/>
            <w:gridSpan w:val="12"/>
            <w:tcBorders>
              <w:top w:val="nil"/>
              <w:left w:val="nil"/>
              <w:bottom w:val="nil"/>
              <w:right w:val="nil"/>
            </w:tcBorders>
            <w:noWrap w:val="0"/>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3.定量指标若为正向指标（即指标值为≥*），则得分计算方法应用全年实际值（B）/年度指标值（A）</w:t>
            </w:r>
            <w:r>
              <w:rPr>
                <w:rFonts w:ascii="Times New Roman" w:hAnsi="Times New Roman"/>
                <w:color w:val="000000"/>
                <w:kern w:val="0"/>
                <w:sz w:val="12"/>
                <w:szCs w:val="12"/>
              </w:rPr>
              <w:t>╳</w:t>
            </w:r>
            <w:r>
              <w:rPr>
                <w:rFonts w:ascii="Times New Roman" w:hAnsi="Times New Roman"/>
                <w:color w:val="000000"/>
                <w:kern w:val="0"/>
                <w:sz w:val="18"/>
                <w:szCs w:val="18"/>
              </w:rPr>
              <w:t>该指标分值；若定量指标为反向指标（即指标值为≤*），则得分计算方法应用年度指标值（A）/全年实际值（B）</w:t>
            </w:r>
            <w:r>
              <w:rPr>
                <w:rFonts w:ascii="Times New Roman" w:hAnsi="Times New Roman"/>
                <w:color w:val="000000"/>
                <w:kern w:val="0"/>
                <w:sz w:val="12"/>
                <w:szCs w:val="12"/>
              </w:rPr>
              <w:t>╳</w:t>
            </w:r>
            <w:r>
              <w:rPr>
                <w:rFonts w:ascii="Times New Roman" w:hAnsi="Times New Roman"/>
                <w:color w:val="000000"/>
                <w:kern w:val="0"/>
                <w:sz w:val="18"/>
                <w:szCs w:val="18"/>
              </w:rPr>
              <w:t>该指标分值。</w:t>
            </w:r>
          </w:p>
        </w:tc>
      </w:tr>
      <w:tr>
        <w:tblPrEx>
          <w:tblCellMar>
            <w:top w:w="0" w:type="dxa"/>
            <w:left w:w="108" w:type="dxa"/>
            <w:bottom w:w="0" w:type="dxa"/>
            <w:right w:w="108" w:type="dxa"/>
          </w:tblCellMar>
        </w:tblPrEx>
        <w:trPr>
          <w:trHeight w:val="210" w:hRule="atLeast"/>
          <w:jc w:val="center"/>
        </w:trPr>
        <w:tc>
          <w:tcPr>
            <w:tcW w:w="10465" w:type="dxa"/>
            <w:gridSpan w:val="12"/>
            <w:tcBorders>
              <w:top w:val="nil"/>
              <w:left w:val="nil"/>
              <w:bottom w:val="nil"/>
              <w:right w:val="nil"/>
            </w:tcBorders>
            <w:noWrap/>
            <w:vAlign w:val="center"/>
          </w:tcPr>
          <w:p>
            <w:pPr>
              <w:widowControl/>
              <w:spacing w:line="400" w:lineRule="exact"/>
              <w:jc w:val="left"/>
              <w:rPr>
                <w:rFonts w:ascii="Times New Roman" w:hAnsi="Times New Roman"/>
                <w:color w:val="000000"/>
                <w:kern w:val="0"/>
                <w:sz w:val="18"/>
                <w:szCs w:val="18"/>
              </w:rPr>
            </w:pPr>
            <w:r>
              <w:rPr>
                <w:rFonts w:ascii="Times New Roman" w:hAnsi="Times New Roman"/>
                <w:color w:val="000000"/>
                <w:kern w:val="0"/>
                <w:sz w:val="18"/>
                <w:szCs w:val="18"/>
              </w:rPr>
              <w:t xml:space="preserve">    4.请在“</w:t>
            </w:r>
            <w:r>
              <w:rPr>
                <w:rFonts w:ascii="Times New Roman" w:hAnsi="Times New Roman"/>
                <w:kern w:val="0"/>
                <w:sz w:val="18"/>
                <w:szCs w:val="18"/>
              </w:rPr>
              <w:t>偏差原因分析及改进措施</w:t>
            </w:r>
            <w:r>
              <w:rPr>
                <w:rFonts w:ascii="Times New Roman" w:hAnsi="Times New Roman"/>
                <w:color w:val="000000"/>
                <w:kern w:val="0"/>
                <w:sz w:val="18"/>
                <w:szCs w:val="18"/>
              </w:rPr>
              <w:t>”中说明偏离目标、不能完成目标的原因及拟采取的措施。</w:t>
            </w:r>
          </w:p>
        </w:tc>
      </w:tr>
    </w:tbl>
    <w:p>
      <w:pPr>
        <w:rPr>
          <w:rFonts w:ascii="Times New Roman" w:hAnsi="Times New Roman" w:eastAsia="黑体"/>
        </w:rPr>
        <w:sectPr>
          <w:footerReference r:id="rId3" w:type="default"/>
          <w:pgSz w:w="11906" w:h="16838"/>
          <w:pgMar w:top="1587" w:right="1587" w:bottom="1587" w:left="1587" w:header="737" w:footer="850" w:gutter="0"/>
          <w:pgBorders>
            <w:top w:val="none" w:sz="0" w:space="0"/>
            <w:left w:val="none" w:sz="0" w:space="0"/>
            <w:bottom w:val="none" w:sz="0" w:space="0"/>
            <w:right w:val="none" w:sz="0" w:space="0"/>
          </w:pgBorders>
          <w:cols w:space="720" w:num="1"/>
          <w:docGrid w:type="lines" w:linePitch="408" w:charSpace="0"/>
        </w:sectPr>
      </w:pPr>
    </w:p>
    <w:p>
      <w:pPr>
        <w:spacing w:line="560" w:lineRule="exact"/>
        <w:rPr>
          <w:rFonts w:hint="eastAsia" w:ascii="Times New Roman" w:hAnsi="Times New Roman" w:eastAsia="仿宋_GB2312"/>
          <w:bCs/>
          <w:color w:val="000000"/>
          <w:sz w:val="32"/>
          <w:szCs w:val="32"/>
          <w:lang w:val="en-US" w:eastAsia="zh-CN"/>
        </w:rPr>
      </w:pPr>
      <w:r>
        <w:rPr>
          <w:rFonts w:hint="eastAsia" w:ascii="Times New Roman" w:hAnsi="Times New Roman" w:eastAsia="仿宋_GB2312"/>
          <w:bCs/>
          <w:color w:val="000000"/>
          <w:sz w:val="32"/>
          <w:szCs w:val="32"/>
          <w:lang w:eastAsia="zh-CN"/>
        </w:rPr>
        <w:t>附件2</w:t>
      </w:r>
    </w:p>
    <w:p>
      <w:pPr>
        <w:pStyle w:val="2"/>
        <w:spacing w:before="0" w:after="0" w:line="240" w:lineRule="auto"/>
        <w:jc w:val="center"/>
        <w:rPr>
          <w:rFonts w:ascii="Times New Roman" w:hAnsi="Times New Roman" w:eastAsia="宋体"/>
          <w:bCs/>
          <w:color w:val="000000"/>
          <w:sz w:val="36"/>
          <w:szCs w:val="28"/>
        </w:rPr>
      </w:pPr>
      <w:r>
        <w:rPr>
          <w:rFonts w:hint="eastAsia" w:ascii="Times New Roman" w:hAnsi="Times New Roman" w:eastAsia="宋体" w:cs="Times New Roman"/>
          <w:b/>
          <w:bCs/>
          <w:color w:val="000000"/>
          <w:sz w:val="36"/>
          <w:szCs w:val="28"/>
          <w:lang w:val="en-US" w:eastAsia="zh-CN"/>
        </w:rPr>
        <w:t>其他</w:t>
      </w:r>
      <w:r>
        <w:rPr>
          <w:rFonts w:ascii="Times New Roman" w:hAnsi="Times New Roman" w:eastAsia="宋体"/>
          <w:bCs/>
          <w:color w:val="000000"/>
          <w:sz w:val="36"/>
          <w:szCs w:val="28"/>
        </w:rPr>
        <w:t>项目支出绩效评价共性指标表</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835"/>
        <w:gridCol w:w="5916"/>
        <w:gridCol w:w="74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709"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1134"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567" w:type="dxa"/>
            <w:shd w:val="clear" w:color="auto" w:fill="FFFFFF"/>
            <w:noWrap w:val="0"/>
            <w:vAlign w:val="top"/>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分</w:t>
            </w:r>
          </w:p>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值</w:t>
            </w:r>
          </w:p>
        </w:tc>
        <w:tc>
          <w:tcPr>
            <w:tcW w:w="2835"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591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746" w:type="dxa"/>
            <w:shd w:val="clear" w:color="auto" w:fill="FFFFFF"/>
            <w:noWrap w:val="0"/>
            <w:vAlign w:val="center"/>
          </w:tcPr>
          <w:p>
            <w:pPr>
              <w:widowControl/>
              <w:spacing w:line="0" w:lineRule="atLeast"/>
              <w:jc w:val="center"/>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立项依据</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591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①项目立项是否符合国家法律法规、国民经济发展规划和相关政策；</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②项目立项是否符合行业发展规划和政策要求；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③项目立项是否与部门职责范围相符，属于部门履职所需；</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④项目是否属于公共财政支持范围，是否符合中央、地方事权支出责任划分原则；</w:t>
            </w:r>
            <w:r>
              <w:rPr>
                <w:rFonts w:ascii="Times New Roman" w:hAnsi="Times New Roman"/>
                <w:color w:val="000000"/>
                <w:kern w:val="0"/>
                <w:sz w:val="22"/>
                <w:szCs w:val="22"/>
              </w:rPr>
              <w:br w:type="textWrapping"/>
            </w:r>
            <w:r>
              <w:rPr>
                <w:rFonts w:ascii="Times New Roman" w:hAnsi="Times New Roman"/>
                <w:color w:val="000000"/>
                <w:kern w:val="0"/>
                <w:sz w:val="22"/>
                <w:szCs w:val="22"/>
              </w:rPr>
              <w:t>⑤项目是否与相关部门同类项目或部门内部相关项目重复。</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立项程序</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591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①项目是否按照规定的程序申请设立；</w:t>
            </w:r>
            <w:r>
              <w:rPr>
                <w:rFonts w:ascii="Times New Roman" w:hAnsi="Times New Roman"/>
                <w:color w:val="000000"/>
                <w:kern w:val="0"/>
                <w:sz w:val="22"/>
                <w:szCs w:val="22"/>
              </w:rPr>
              <w:br w:type="textWrapping"/>
            </w:r>
            <w:r>
              <w:rPr>
                <w:rFonts w:ascii="Times New Roman" w:hAnsi="Times New Roman"/>
                <w:color w:val="000000"/>
                <w:kern w:val="0"/>
                <w:sz w:val="22"/>
                <w:szCs w:val="22"/>
              </w:rPr>
              <w:t>②审批文件、材料是否符合相关要求；</w:t>
            </w:r>
            <w:r>
              <w:rPr>
                <w:rFonts w:ascii="Times New Roman" w:hAnsi="Times New Roman"/>
                <w:color w:val="000000"/>
                <w:kern w:val="0"/>
                <w:sz w:val="22"/>
                <w:szCs w:val="22"/>
              </w:rPr>
              <w:br w:type="textWrapping"/>
            </w:r>
            <w:r>
              <w:rPr>
                <w:rFonts w:ascii="Times New Roman" w:hAnsi="Times New Roman"/>
                <w:color w:val="000000"/>
                <w:kern w:val="0"/>
                <w:sz w:val="22"/>
                <w:szCs w:val="22"/>
              </w:rPr>
              <w:t>③事前是否已经过必要的可行性研究、专家论证、风险评估、绩效评估、集体决策。</w:t>
            </w:r>
          </w:p>
        </w:tc>
        <w:tc>
          <w:tcPr>
            <w:tcW w:w="74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5916"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（如未设定预算绩效目标，也可考核其他工作任务目标）</w:t>
            </w:r>
            <w:r>
              <w:rPr>
                <w:rFonts w:ascii="Times New Roman" w:hAnsi="Times New Roman"/>
                <w:color w:val="000000"/>
                <w:kern w:val="0"/>
                <w:sz w:val="22"/>
                <w:szCs w:val="22"/>
              </w:rPr>
              <w:br w:type="textWrapping"/>
            </w:r>
            <w:r>
              <w:rPr>
                <w:rFonts w:ascii="Times New Roman" w:hAnsi="Times New Roman"/>
                <w:color w:val="000000"/>
                <w:kern w:val="0"/>
                <w:sz w:val="22"/>
                <w:szCs w:val="22"/>
              </w:rPr>
              <w:t>①项目是否有绩效目标；</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②项目绩效目标与实际工作内容是否具有相关性；</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③项目预期产出效益和效果是否符合正常的业绩水平；</w:t>
            </w:r>
          </w:p>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绩效目标</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绩效指标</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①是否将项目绩效目标细化分解为具体的绩效指标；</w:t>
            </w:r>
            <w:r>
              <w:rPr>
                <w:rFonts w:ascii="Times New Roman" w:hAnsi="Times New Roman"/>
                <w:color w:val="000000"/>
                <w:kern w:val="0"/>
                <w:sz w:val="22"/>
                <w:szCs w:val="22"/>
              </w:rPr>
              <w:br w:type="textWrapping"/>
            </w:r>
            <w:r>
              <w:rPr>
                <w:rFonts w:ascii="Times New Roman" w:hAnsi="Times New Roman"/>
                <w:color w:val="000000"/>
                <w:kern w:val="0"/>
                <w:sz w:val="22"/>
                <w:szCs w:val="22"/>
              </w:rPr>
              <w:t>②是否通过清晰、可衡量的指标值予以体现；</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③是否与项目目标任务数或计划数相对应。</w:t>
            </w:r>
            <w:r>
              <w:rPr>
                <w:rFonts w:ascii="Times New Roman" w:hAnsi="Times New Roman"/>
                <w:color w:val="000000"/>
                <w:kern w:val="0"/>
                <w:sz w:val="22"/>
                <w:szCs w:val="22"/>
              </w:rPr>
              <w:br w:type="textWrapping"/>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资金投入</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预算编制</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①预算编制是否经过科学论证；</w:t>
            </w:r>
            <w:r>
              <w:rPr>
                <w:rFonts w:ascii="Times New Roman" w:hAnsi="Times New Roman"/>
                <w:color w:val="000000"/>
                <w:kern w:val="0"/>
                <w:sz w:val="22"/>
                <w:szCs w:val="22"/>
              </w:rPr>
              <w:br w:type="textWrapping"/>
            </w:r>
            <w:r>
              <w:rPr>
                <w:rFonts w:ascii="Times New Roman" w:hAnsi="Times New Roman"/>
                <w:color w:val="000000"/>
                <w:kern w:val="0"/>
                <w:sz w:val="22"/>
                <w:szCs w:val="22"/>
              </w:rPr>
              <w:t>②预算内容与项目内容是否匹配；</w:t>
            </w:r>
            <w:r>
              <w:rPr>
                <w:rFonts w:ascii="Times New Roman" w:hAnsi="Times New Roman"/>
                <w:color w:val="000000"/>
                <w:kern w:val="0"/>
                <w:sz w:val="22"/>
                <w:szCs w:val="22"/>
              </w:rPr>
              <w:br w:type="textWrapping"/>
            </w:r>
            <w:r>
              <w:rPr>
                <w:rFonts w:ascii="Times New Roman" w:hAnsi="Times New Roman"/>
                <w:color w:val="000000"/>
                <w:kern w:val="0"/>
                <w:sz w:val="22"/>
                <w:szCs w:val="22"/>
              </w:rPr>
              <w:t>③预算额度测算依据是否充分，是否按照标准编制；</w:t>
            </w:r>
            <w:r>
              <w:rPr>
                <w:rFonts w:ascii="Times New Roman" w:hAnsi="Times New Roman"/>
                <w:color w:val="000000"/>
                <w:kern w:val="0"/>
                <w:sz w:val="22"/>
                <w:szCs w:val="22"/>
              </w:rPr>
              <w:br w:type="textWrapping"/>
            </w:r>
            <w:r>
              <w:rPr>
                <w:rFonts w:ascii="Times New Roman" w:hAnsi="Times New Roman"/>
                <w:color w:val="000000"/>
                <w:kern w:val="0"/>
                <w:sz w:val="22"/>
                <w:szCs w:val="22"/>
              </w:rPr>
              <w:t>④预算确定的项目投资额或资金量是否与工作任务相匹配。</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资金分配</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①预算资金分配依据是否充分；</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②资金分配额度是否合理，与项目单位或地方实际是否相适应。</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3</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预算执行率=（实际支出资金/实际到位资金）×100%。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实际支出资金：一定时期（本年度或项目期）内项目实际拨付的资金。</w:t>
            </w:r>
          </w:p>
        </w:tc>
        <w:tc>
          <w:tcPr>
            <w:tcW w:w="74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过程　</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资金使用</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①是否符合国家财经法规和财务管理制度以及有关专项资金管理办法的规定；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②资金的拨付是否有完整的审批程序和手续；</w:t>
            </w:r>
            <w:r>
              <w:rPr>
                <w:rFonts w:ascii="Times New Roman" w:hAnsi="Times New Roman"/>
                <w:color w:val="000000"/>
                <w:kern w:val="0"/>
                <w:sz w:val="22"/>
                <w:szCs w:val="22"/>
              </w:rPr>
              <w:br w:type="textWrapping"/>
            </w:r>
            <w:r>
              <w:rPr>
                <w:rFonts w:ascii="Times New Roman" w:hAnsi="Times New Roman"/>
                <w:color w:val="000000"/>
                <w:kern w:val="0"/>
                <w:sz w:val="22"/>
                <w:szCs w:val="22"/>
              </w:rPr>
              <w:t>③是否符合项目预算批复或合同规定的用途；</w:t>
            </w:r>
            <w:r>
              <w:rPr>
                <w:rFonts w:ascii="Times New Roman" w:hAnsi="Times New Roman"/>
                <w:color w:val="000000"/>
                <w:kern w:val="0"/>
                <w:sz w:val="22"/>
                <w:szCs w:val="22"/>
              </w:rPr>
              <w:br w:type="textWrapping"/>
            </w:r>
            <w:r>
              <w:rPr>
                <w:rFonts w:ascii="Times New Roman" w:hAnsi="Times New Roman"/>
                <w:color w:val="000000"/>
                <w:kern w:val="0"/>
                <w:sz w:val="22"/>
                <w:szCs w:val="22"/>
              </w:rPr>
              <w:t>④是否存在截留、挤占、挪用、虚列支出等情况。</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组织实施</w:t>
            </w:r>
          </w:p>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管理制度</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①是否已制定或具有相应的财务和业务管理制度；</w:t>
            </w:r>
            <w:r>
              <w:rPr>
                <w:rFonts w:ascii="Times New Roman" w:hAnsi="Times New Roman"/>
                <w:color w:val="000000"/>
                <w:kern w:val="0"/>
                <w:sz w:val="22"/>
                <w:szCs w:val="22"/>
              </w:rPr>
              <w:br w:type="textWrapping"/>
            </w:r>
            <w:r>
              <w:rPr>
                <w:rFonts w:ascii="Times New Roman" w:hAnsi="Times New Roman"/>
                <w:color w:val="000000"/>
                <w:kern w:val="0"/>
                <w:sz w:val="22"/>
                <w:szCs w:val="22"/>
              </w:rPr>
              <w:t>②财务和业务管理制度是否合法、合规、完整。</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制度执行</w:t>
            </w:r>
          </w:p>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有效性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4</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评价要点：</w:t>
            </w:r>
            <w:r>
              <w:rPr>
                <w:rFonts w:ascii="Times New Roman" w:hAnsi="Times New Roman"/>
                <w:color w:val="000000"/>
                <w:kern w:val="0"/>
                <w:sz w:val="22"/>
                <w:szCs w:val="22"/>
              </w:rPr>
              <w:br w:type="textWrapping"/>
            </w:r>
            <w:r>
              <w:rPr>
                <w:rFonts w:ascii="Times New Roman" w:hAnsi="Times New Roman"/>
                <w:color w:val="000000"/>
                <w:kern w:val="0"/>
                <w:sz w:val="22"/>
                <w:szCs w:val="22"/>
              </w:rPr>
              <w:t>①是否遵守相关法律法规和相关管理规定；</w:t>
            </w:r>
            <w:r>
              <w:rPr>
                <w:rFonts w:ascii="Times New Roman" w:hAnsi="Times New Roman"/>
                <w:color w:val="000000"/>
                <w:kern w:val="0"/>
                <w:sz w:val="22"/>
                <w:szCs w:val="22"/>
              </w:rPr>
              <w:br w:type="textWrapping"/>
            </w:r>
            <w:r>
              <w:rPr>
                <w:rFonts w:ascii="Times New Roman" w:hAnsi="Times New Roman"/>
                <w:color w:val="000000"/>
                <w:kern w:val="0"/>
                <w:sz w:val="22"/>
                <w:szCs w:val="22"/>
              </w:rPr>
              <w:t>②项目调整及支出调整手续是否完备；</w:t>
            </w:r>
            <w:r>
              <w:rPr>
                <w:rFonts w:ascii="Times New Roman" w:hAnsi="Times New Roman"/>
                <w:color w:val="000000"/>
                <w:kern w:val="0"/>
                <w:sz w:val="22"/>
                <w:szCs w:val="22"/>
              </w:rPr>
              <w:br w:type="textWrapping"/>
            </w:r>
            <w:r>
              <w:rPr>
                <w:rFonts w:ascii="Times New Roman" w:hAnsi="Times New Roman"/>
                <w:color w:val="000000"/>
                <w:kern w:val="0"/>
                <w:sz w:val="22"/>
                <w:szCs w:val="22"/>
              </w:rPr>
              <w:t>③项目合同书、验收报告、技术鉴定等资料是否齐全并及时归档；</w:t>
            </w:r>
            <w:r>
              <w:rPr>
                <w:rFonts w:ascii="Times New Roman" w:hAnsi="Times New Roman"/>
                <w:color w:val="000000"/>
                <w:kern w:val="0"/>
                <w:sz w:val="22"/>
                <w:szCs w:val="22"/>
              </w:rPr>
              <w:br w:type="textWrapping"/>
            </w:r>
            <w:r>
              <w:rPr>
                <w:rFonts w:ascii="Times New Roman" w:hAnsi="Times New Roman"/>
                <w:color w:val="000000"/>
                <w:kern w:val="0"/>
                <w:sz w:val="22"/>
                <w:szCs w:val="22"/>
              </w:rPr>
              <w:t>④项目实施的人员条件、场地设备、信息支撑等是否落实到位。</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实际完成率=（实际产出数/计划产出数）×100%。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实际产出数：一定时期（本年度或项目期）内项目实际产出的产品或提供的服务数量。</w:t>
            </w:r>
            <w:r>
              <w:rPr>
                <w:rFonts w:ascii="Times New Roman" w:hAnsi="Times New Roman"/>
                <w:color w:val="000000"/>
                <w:kern w:val="0"/>
                <w:sz w:val="22"/>
                <w:szCs w:val="22"/>
              </w:rPr>
              <w:br w:type="textWrapping"/>
            </w:r>
            <w:r>
              <w:rPr>
                <w:rFonts w:ascii="Times New Roman" w:hAnsi="Times New Roman"/>
                <w:color w:val="000000"/>
                <w:kern w:val="0"/>
                <w:sz w:val="22"/>
                <w:szCs w:val="22"/>
              </w:rPr>
              <w:t>计划产出数：项目绩效目标确定的在一定时期（本年度或项目期）内计划产出的产品或提供的服务数量。</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w:t>
            </w: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noWrap w:val="0"/>
            <w:vAlign w:val="center"/>
          </w:tcPr>
          <w:p>
            <w:pPr>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实际完成时间：项目实施单位完成该项目实际所耗用的时间。</w:t>
            </w:r>
            <w:r>
              <w:rPr>
                <w:rFonts w:ascii="Times New Roman" w:hAnsi="Times New Roman"/>
                <w:color w:val="000000"/>
                <w:kern w:val="0"/>
                <w:sz w:val="22"/>
                <w:szCs w:val="22"/>
              </w:rPr>
              <w:br w:type="textWrapping"/>
            </w:r>
            <w:r>
              <w:rPr>
                <w:rFonts w:ascii="Times New Roman" w:hAnsi="Times New Roman"/>
                <w:color w:val="000000"/>
                <w:kern w:val="0"/>
                <w:sz w:val="22"/>
                <w:szCs w:val="22"/>
              </w:rPr>
              <w:t>计划完成时间：按照项目实施计划或相关规定完成该项目所需的时间。</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br w:type="textWrapping"/>
            </w:r>
            <w:r>
              <w:rPr>
                <w:rFonts w:ascii="Times New Roman" w:hAnsi="Times New Roman"/>
                <w:color w:val="000000"/>
                <w:kern w:val="0"/>
                <w:sz w:val="22"/>
                <w:szCs w:val="22"/>
              </w:rPr>
              <w:t>成本节约率=[（计划成本-实际成本）/计划成本]×100%。</w:t>
            </w:r>
            <w:r>
              <w:rPr>
                <w:rFonts w:ascii="Times New Roman" w:hAnsi="Times New Roman"/>
                <w:color w:val="000000"/>
                <w:kern w:val="0"/>
                <w:sz w:val="22"/>
                <w:szCs w:val="22"/>
              </w:rPr>
              <w:br w:type="textWrapping"/>
            </w:r>
            <w:r>
              <w:rPr>
                <w:rFonts w:ascii="Times New Roman" w:hAnsi="Times New Roman"/>
                <w:color w:val="000000"/>
                <w:kern w:val="0"/>
                <w:sz w:val="22"/>
                <w:szCs w:val="22"/>
              </w:rPr>
              <w:t>实际成本：项目实施单位如期、保质、保量完成既定工作目标实际所耗费的支出。</w:t>
            </w:r>
            <w:r>
              <w:rPr>
                <w:rFonts w:ascii="Times New Roman" w:hAnsi="Times New Roman"/>
                <w:color w:val="000000"/>
                <w:kern w:val="0"/>
                <w:sz w:val="22"/>
                <w:szCs w:val="22"/>
              </w:rPr>
              <w:br w:type="textWrapping"/>
            </w:r>
            <w:r>
              <w:rPr>
                <w:rFonts w:ascii="Times New Roman" w:hAnsi="Times New Roman"/>
                <w:color w:val="000000"/>
                <w:kern w:val="0"/>
                <w:sz w:val="22"/>
                <w:szCs w:val="22"/>
              </w:rPr>
              <w:t>计划成本：项目实施单位为完成工作目标计划安排的支出，一般以项目预算为参考。</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709" w:type="dxa"/>
            <w:vMerge w:val="restart"/>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20</w:t>
            </w:r>
          </w:p>
        </w:tc>
        <w:tc>
          <w:tcPr>
            <w:tcW w:w="2835" w:type="dxa"/>
            <w:shd w:val="clear" w:color="auto" w:fill="FFFFFF"/>
            <w:noWrap w:val="0"/>
            <w:vAlign w:val="center"/>
          </w:tcPr>
          <w:p>
            <w:pPr>
              <w:widowControl/>
              <w:spacing w:line="0" w:lineRule="atLeast"/>
              <w:jc w:val="left"/>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74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709" w:type="dxa"/>
            <w:vMerge w:val="continue"/>
            <w:shd w:val="clear" w:color="auto" w:fill="FFFFFF"/>
            <w:noWrap w:val="0"/>
            <w:vAlign w:val="center"/>
          </w:tcPr>
          <w:p>
            <w:pPr>
              <w:widowControl/>
              <w:spacing w:line="0" w:lineRule="atLeast"/>
              <w:jc w:val="center"/>
              <w:rPr>
                <w:rFonts w:ascii="Times New Roman" w:hAnsi="Times New Roman"/>
                <w:color w:val="000000"/>
                <w:kern w:val="0"/>
                <w:sz w:val="22"/>
                <w:szCs w:val="22"/>
              </w:rPr>
            </w:pPr>
          </w:p>
        </w:tc>
        <w:tc>
          <w:tcPr>
            <w:tcW w:w="1134"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8</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746"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总分</w:t>
            </w:r>
          </w:p>
        </w:tc>
        <w:tc>
          <w:tcPr>
            <w:tcW w:w="567" w:type="dxa"/>
            <w:shd w:val="clear" w:color="auto" w:fill="FFFFFF"/>
            <w:noWrap w:val="0"/>
            <w:vAlign w:val="center"/>
          </w:tcPr>
          <w:p>
            <w:pPr>
              <w:widowControl/>
              <w:spacing w:line="0" w:lineRule="atLeast"/>
              <w:jc w:val="center"/>
              <w:rPr>
                <w:rFonts w:ascii="Times New Roman" w:hAnsi="Times New Roman"/>
                <w:color w:val="000000"/>
                <w:kern w:val="0"/>
                <w:sz w:val="22"/>
                <w:szCs w:val="22"/>
              </w:rPr>
            </w:pPr>
            <w:r>
              <w:rPr>
                <w:rFonts w:ascii="Times New Roman" w:hAnsi="Times New Roman"/>
                <w:color w:val="000000"/>
                <w:kern w:val="0"/>
                <w:sz w:val="22"/>
                <w:szCs w:val="22"/>
              </w:rPr>
              <w:t>100</w:t>
            </w:r>
          </w:p>
        </w:tc>
        <w:tc>
          <w:tcPr>
            <w:tcW w:w="2835"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5916" w:type="dxa"/>
            <w:shd w:val="clear" w:color="auto" w:fill="FFFFFF"/>
            <w:noWrap w:val="0"/>
            <w:vAlign w:val="center"/>
          </w:tcPr>
          <w:p>
            <w:pPr>
              <w:widowControl/>
              <w:spacing w:line="0" w:lineRule="atLeast"/>
              <w:rPr>
                <w:rFonts w:ascii="Times New Roman" w:hAnsi="Times New Roman"/>
                <w:color w:val="000000"/>
                <w:kern w:val="0"/>
                <w:sz w:val="22"/>
                <w:szCs w:val="22"/>
              </w:rPr>
            </w:pPr>
          </w:p>
        </w:tc>
        <w:tc>
          <w:tcPr>
            <w:tcW w:w="746" w:type="dxa"/>
            <w:shd w:val="clear" w:color="auto" w:fill="FFFFFF"/>
            <w:noWrap w:val="0"/>
            <w:vAlign w:val="center"/>
          </w:tcPr>
          <w:p>
            <w:pPr>
              <w:widowControl/>
              <w:spacing w:line="0" w:lineRule="atLeast"/>
              <w:jc w:val="center"/>
              <w:rPr>
                <w:rFonts w:hint="default" w:ascii="Times New Roman" w:hAnsi="Times New Roman" w:eastAsia="宋体"/>
                <w:color w:val="000000"/>
                <w:kern w:val="0"/>
                <w:sz w:val="22"/>
                <w:szCs w:val="22"/>
                <w:lang w:val="en-US" w:eastAsia="zh-CN"/>
              </w:rPr>
            </w:pPr>
            <w:r>
              <w:rPr>
                <w:rFonts w:hint="eastAsia" w:ascii="Times New Roman" w:hAnsi="Times New Roman"/>
                <w:color w:val="000000"/>
                <w:kern w:val="0"/>
                <w:sz w:val="22"/>
                <w:szCs w:val="22"/>
                <w:lang w:val="en-US" w:eastAsia="zh-CN"/>
              </w:rPr>
              <w:t>100</w:t>
            </w:r>
          </w:p>
        </w:tc>
      </w:tr>
    </w:tbl>
    <w:p>
      <w:pPr>
        <w:spacing w:line="560" w:lineRule="exact"/>
        <w:ind w:firstLine="200" w:firstLineChars="100"/>
        <w:rPr>
          <w:rFonts w:hint="eastAsia" w:ascii="Times New Roman" w:hAnsi="Times New Roman" w:eastAsia="仿宋_GB2312"/>
          <w:sz w:val="20"/>
          <w:szCs w:val="20"/>
        </w:rPr>
      </w:pPr>
      <w:r>
        <w:rPr>
          <w:rFonts w:ascii="Times New Roman" w:hAnsi="Times New Roman" w:eastAsia="仿宋_GB2312"/>
          <w:sz w:val="20"/>
          <w:szCs w:val="20"/>
        </w:rPr>
        <w:t>注：单位可以根据专项资金的管理要求和绩效要求增设个性指标。</w:t>
      </w:r>
    </w:p>
    <w:sectPr>
      <w:pgSz w:w="16838" w:h="11906" w:orient="landscape"/>
      <w:pgMar w:top="1474" w:right="1474" w:bottom="1474" w:left="1474" w:header="851" w:footer="1361" w:gutter="0"/>
      <w:pgBorders>
        <w:top w:val="none" w:sz="0" w:space="0"/>
        <w:left w:val="none" w:sz="0" w:space="0"/>
        <w:bottom w:val="none" w:sz="0" w:space="0"/>
        <w:right w:val="none" w:sz="0" w:space="0"/>
      </w:pgBorders>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17</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61"/>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kMDNiMTk5ZTk5OTg0YWJlZGQ0NzU4OWM5YTFmZDAifQ=="/>
  </w:docVars>
  <w:rsids>
    <w:rsidRoot w:val="00663096"/>
    <w:rsid w:val="00011E8D"/>
    <w:rsid w:val="00013F5B"/>
    <w:rsid w:val="00014C4B"/>
    <w:rsid w:val="00027C60"/>
    <w:rsid w:val="00032BC2"/>
    <w:rsid w:val="0003440C"/>
    <w:rsid w:val="00045DC5"/>
    <w:rsid w:val="0004691E"/>
    <w:rsid w:val="0007010F"/>
    <w:rsid w:val="00076523"/>
    <w:rsid w:val="00077B07"/>
    <w:rsid w:val="00092FF5"/>
    <w:rsid w:val="00093B5C"/>
    <w:rsid w:val="00096B2A"/>
    <w:rsid w:val="00097A15"/>
    <w:rsid w:val="000A3E17"/>
    <w:rsid w:val="000C004B"/>
    <w:rsid w:val="000D560D"/>
    <w:rsid w:val="000F29E7"/>
    <w:rsid w:val="000F304D"/>
    <w:rsid w:val="000F4A99"/>
    <w:rsid w:val="000F5299"/>
    <w:rsid w:val="000F7BD1"/>
    <w:rsid w:val="001026AF"/>
    <w:rsid w:val="00104B9D"/>
    <w:rsid w:val="00105506"/>
    <w:rsid w:val="001055B2"/>
    <w:rsid w:val="00114BE9"/>
    <w:rsid w:val="001238F1"/>
    <w:rsid w:val="001251B7"/>
    <w:rsid w:val="0013513B"/>
    <w:rsid w:val="001377F5"/>
    <w:rsid w:val="00144110"/>
    <w:rsid w:val="0014619D"/>
    <w:rsid w:val="00153CC8"/>
    <w:rsid w:val="00171A7E"/>
    <w:rsid w:val="001774B3"/>
    <w:rsid w:val="00180F7A"/>
    <w:rsid w:val="00181331"/>
    <w:rsid w:val="001873F3"/>
    <w:rsid w:val="00195F48"/>
    <w:rsid w:val="001A2C08"/>
    <w:rsid w:val="001D0159"/>
    <w:rsid w:val="001D0FD5"/>
    <w:rsid w:val="001D4238"/>
    <w:rsid w:val="001F35D8"/>
    <w:rsid w:val="00225AFC"/>
    <w:rsid w:val="00231CFD"/>
    <w:rsid w:val="00237056"/>
    <w:rsid w:val="00237842"/>
    <w:rsid w:val="002379AB"/>
    <w:rsid w:val="0025117C"/>
    <w:rsid w:val="00264C9C"/>
    <w:rsid w:val="00275169"/>
    <w:rsid w:val="00277440"/>
    <w:rsid w:val="0027748D"/>
    <w:rsid w:val="002868F5"/>
    <w:rsid w:val="00290E8C"/>
    <w:rsid w:val="00291F0A"/>
    <w:rsid w:val="002A0462"/>
    <w:rsid w:val="002C0CAA"/>
    <w:rsid w:val="002D1B25"/>
    <w:rsid w:val="002D7FB5"/>
    <w:rsid w:val="002F2252"/>
    <w:rsid w:val="002F33C5"/>
    <w:rsid w:val="00304926"/>
    <w:rsid w:val="00323569"/>
    <w:rsid w:val="00325442"/>
    <w:rsid w:val="00347CCE"/>
    <w:rsid w:val="00351850"/>
    <w:rsid w:val="0035656D"/>
    <w:rsid w:val="0039225B"/>
    <w:rsid w:val="003A04D3"/>
    <w:rsid w:val="003A0728"/>
    <w:rsid w:val="003A46CD"/>
    <w:rsid w:val="003A7638"/>
    <w:rsid w:val="003B1C59"/>
    <w:rsid w:val="003B2E79"/>
    <w:rsid w:val="003B39D9"/>
    <w:rsid w:val="003B4B67"/>
    <w:rsid w:val="003B7E74"/>
    <w:rsid w:val="003C0B12"/>
    <w:rsid w:val="003C4827"/>
    <w:rsid w:val="003C6DA7"/>
    <w:rsid w:val="003D023B"/>
    <w:rsid w:val="003E4EAE"/>
    <w:rsid w:val="003F4B1B"/>
    <w:rsid w:val="003F64CB"/>
    <w:rsid w:val="003F7F22"/>
    <w:rsid w:val="00402852"/>
    <w:rsid w:val="0040398B"/>
    <w:rsid w:val="00405818"/>
    <w:rsid w:val="00413A9F"/>
    <w:rsid w:val="00413D4D"/>
    <w:rsid w:val="00424CD5"/>
    <w:rsid w:val="004325F0"/>
    <w:rsid w:val="00433E99"/>
    <w:rsid w:val="0043611E"/>
    <w:rsid w:val="004446BE"/>
    <w:rsid w:val="00445F3B"/>
    <w:rsid w:val="004535C6"/>
    <w:rsid w:val="00460B5E"/>
    <w:rsid w:val="004737C5"/>
    <w:rsid w:val="004746AA"/>
    <w:rsid w:val="00477859"/>
    <w:rsid w:val="00481D45"/>
    <w:rsid w:val="004A1F65"/>
    <w:rsid w:val="004A25C7"/>
    <w:rsid w:val="004A3101"/>
    <w:rsid w:val="004A4593"/>
    <w:rsid w:val="004C30CB"/>
    <w:rsid w:val="004D139D"/>
    <w:rsid w:val="004D1FE7"/>
    <w:rsid w:val="004E6F61"/>
    <w:rsid w:val="00505E15"/>
    <w:rsid w:val="00507AE8"/>
    <w:rsid w:val="00525039"/>
    <w:rsid w:val="00525C18"/>
    <w:rsid w:val="00531F19"/>
    <w:rsid w:val="00540B1E"/>
    <w:rsid w:val="00543C06"/>
    <w:rsid w:val="00546563"/>
    <w:rsid w:val="00547CA8"/>
    <w:rsid w:val="00556097"/>
    <w:rsid w:val="005619DE"/>
    <w:rsid w:val="00576518"/>
    <w:rsid w:val="005906D8"/>
    <w:rsid w:val="0059320D"/>
    <w:rsid w:val="005A3A5F"/>
    <w:rsid w:val="005A68F5"/>
    <w:rsid w:val="005E1F68"/>
    <w:rsid w:val="005E296A"/>
    <w:rsid w:val="006059BB"/>
    <w:rsid w:val="006059F3"/>
    <w:rsid w:val="00614707"/>
    <w:rsid w:val="00614B78"/>
    <w:rsid w:val="006240BC"/>
    <w:rsid w:val="00632304"/>
    <w:rsid w:val="00632C75"/>
    <w:rsid w:val="00637088"/>
    <w:rsid w:val="006465E0"/>
    <w:rsid w:val="00657E57"/>
    <w:rsid w:val="0066068E"/>
    <w:rsid w:val="00662936"/>
    <w:rsid w:val="00663096"/>
    <w:rsid w:val="00665AE2"/>
    <w:rsid w:val="00685147"/>
    <w:rsid w:val="00691015"/>
    <w:rsid w:val="0069337D"/>
    <w:rsid w:val="00694334"/>
    <w:rsid w:val="006A059F"/>
    <w:rsid w:val="006B02A7"/>
    <w:rsid w:val="006B0A63"/>
    <w:rsid w:val="006B4109"/>
    <w:rsid w:val="006B52B1"/>
    <w:rsid w:val="006B575C"/>
    <w:rsid w:val="006C3CDE"/>
    <w:rsid w:val="006D3AF4"/>
    <w:rsid w:val="006E5166"/>
    <w:rsid w:val="006E6D0D"/>
    <w:rsid w:val="006E6D2C"/>
    <w:rsid w:val="007059A4"/>
    <w:rsid w:val="0071368F"/>
    <w:rsid w:val="00713840"/>
    <w:rsid w:val="00725D66"/>
    <w:rsid w:val="00730F3B"/>
    <w:rsid w:val="00740992"/>
    <w:rsid w:val="0074693A"/>
    <w:rsid w:val="00750895"/>
    <w:rsid w:val="00757099"/>
    <w:rsid w:val="007573F8"/>
    <w:rsid w:val="0077711E"/>
    <w:rsid w:val="0078171F"/>
    <w:rsid w:val="00786BD6"/>
    <w:rsid w:val="007938FD"/>
    <w:rsid w:val="007C42A7"/>
    <w:rsid w:val="007D0D6E"/>
    <w:rsid w:val="007D73DF"/>
    <w:rsid w:val="007E24E5"/>
    <w:rsid w:val="007E6804"/>
    <w:rsid w:val="007E6866"/>
    <w:rsid w:val="007F791F"/>
    <w:rsid w:val="00803F0E"/>
    <w:rsid w:val="0080771B"/>
    <w:rsid w:val="008102CF"/>
    <w:rsid w:val="00822140"/>
    <w:rsid w:val="008324DD"/>
    <w:rsid w:val="0083289D"/>
    <w:rsid w:val="0083632D"/>
    <w:rsid w:val="00837DEC"/>
    <w:rsid w:val="00842D04"/>
    <w:rsid w:val="00857CBC"/>
    <w:rsid w:val="00861BCC"/>
    <w:rsid w:val="00871265"/>
    <w:rsid w:val="00880629"/>
    <w:rsid w:val="00887813"/>
    <w:rsid w:val="00891785"/>
    <w:rsid w:val="00891B9A"/>
    <w:rsid w:val="00892D85"/>
    <w:rsid w:val="00893F51"/>
    <w:rsid w:val="008A6313"/>
    <w:rsid w:val="008B7A3C"/>
    <w:rsid w:val="008C626C"/>
    <w:rsid w:val="008E42DA"/>
    <w:rsid w:val="008F3FBE"/>
    <w:rsid w:val="00900E48"/>
    <w:rsid w:val="00901302"/>
    <w:rsid w:val="00910CA9"/>
    <w:rsid w:val="00912B0F"/>
    <w:rsid w:val="00913BB8"/>
    <w:rsid w:val="009144AE"/>
    <w:rsid w:val="009209D4"/>
    <w:rsid w:val="009273C9"/>
    <w:rsid w:val="00930831"/>
    <w:rsid w:val="009324E6"/>
    <w:rsid w:val="00935427"/>
    <w:rsid w:val="0094207F"/>
    <w:rsid w:val="00956A1C"/>
    <w:rsid w:val="009579CB"/>
    <w:rsid w:val="0096213E"/>
    <w:rsid w:val="00974383"/>
    <w:rsid w:val="00975E21"/>
    <w:rsid w:val="0097613E"/>
    <w:rsid w:val="00980062"/>
    <w:rsid w:val="009A0FD7"/>
    <w:rsid w:val="009A4FA9"/>
    <w:rsid w:val="009A643E"/>
    <w:rsid w:val="009A7E6C"/>
    <w:rsid w:val="009B6439"/>
    <w:rsid w:val="009B7B60"/>
    <w:rsid w:val="009C4E90"/>
    <w:rsid w:val="009D19AF"/>
    <w:rsid w:val="009E46ED"/>
    <w:rsid w:val="00A01900"/>
    <w:rsid w:val="00A06B2B"/>
    <w:rsid w:val="00A26964"/>
    <w:rsid w:val="00A274B7"/>
    <w:rsid w:val="00A33332"/>
    <w:rsid w:val="00A36E14"/>
    <w:rsid w:val="00A46720"/>
    <w:rsid w:val="00A63352"/>
    <w:rsid w:val="00A73D42"/>
    <w:rsid w:val="00A77010"/>
    <w:rsid w:val="00A77FA3"/>
    <w:rsid w:val="00A81679"/>
    <w:rsid w:val="00A83FA9"/>
    <w:rsid w:val="00A8457E"/>
    <w:rsid w:val="00A8466B"/>
    <w:rsid w:val="00A937CA"/>
    <w:rsid w:val="00AA1948"/>
    <w:rsid w:val="00AA62DD"/>
    <w:rsid w:val="00AC7954"/>
    <w:rsid w:val="00AD6C7A"/>
    <w:rsid w:val="00AE1856"/>
    <w:rsid w:val="00B2098F"/>
    <w:rsid w:val="00B25368"/>
    <w:rsid w:val="00B338B9"/>
    <w:rsid w:val="00B55CBC"/>
    <w:rsid w:val="00B56D12"/>
    <w:rsid w:val="00B83832"/>
    <w:rsid w:val="00B90154"/>
    <w:rsid w:val="00B91670"/>
    <w:rsid w:val="00B93B9B"/>
    <w:rsid w:val="00B96FEC"/>
    <w:rsid w:val="00BC774E"/>
    <w:rsid w:val="00BD2C4F"/>
    <w:rsid w:val="00BD3BB0"/>
    <w:rsid w:val="00BD63F9"/>
    <w:rsid w:val="00BE11F8"/>
    <w:rsid w:val="00C00360"/>
    <w:rsid w:val="00C0142A"/>
    <w:rsid w:val="00C1396E"/>
    <w:rsid w:val="00C16074"/>
    <w:rsid w:val="00C4149F"/>
    <w:rsid w:val="00C44606"/>
    <w:rsid w:val="00C47BEA"/>
    <w:rsid w:val="00C6223C"/>
    <w:rsid w:val="00C6234F"/>
    <w:rsid w:val="00C71393"/>
    <w:rsid w:val="00C81B01"/>
    <w:rsid w:val="00C82DE3"/>
    <w:rsid w:val="00C906EA"/>
    <w:rsid w:val="00C9410E"/>
    <w:rsid w:val="00CB0B09"/>
    <w:rsid w:val="00CB1C5A"/>
    <w:rsid w:val="00CB3D51"/>
    <w:rsid w:val="00CC5B7A"/>
    <w:rsid w:val="00CC61EA"/>
    <w:rsid w:val="00CE33E3"/>
    <w:rsid w:val="00CE3F90"/>
    <w:rsid w:val="00CF454B"/>
    <w:rsid w:val="00CF6F77"/>
    <w:rsid w:val="00CF76FD"/>
    <w:rsid w:val="00D01FA5"/>
    <w:rsid w:val="00D03B6F"/>
    <w:rsid w:val="00D0600E"/>
    <w:rsid w:val="00D064B9"/>
    <w:rsid w:val="00D0773A"/>
    <w:rsid w:val="00D12CA6"/>
    <w:rsid w:val="00D131E0"/>
    <w:rsid w:val="00D21D67"/>
    <w:rsid w:val="00D36A17"/>
    <w:rsid w:val="00D55FBD"/>
    <w:rsid w:val="00D601FA"/>
    <w:rsid w:val="00D612D1"/>
    <w:rsid w:val="00D74B30"/>
    <w:rsid w:val="00D76CBD"/>
    <w:rsid w:val="00D839FB"/>
    <w:rsid w:val="00D96744"/>
    <w:rsid w:val="00DA7830"/>
    <w:rsid w:val="00DB5130"/>
    <w:rsid w:val="00DB6558"/>
    <w:rsid w:val="00DC1A93"/>
    <w:rsid w:val="00DC41E7"/>
    <w:rsid w:val="00DC652D"/>
    <w:rsid w:val="00DC6B0A"/>
    <w:rsid w:val="00DE26AC"/>
    <w:rsid w:val="00DF449F"/>
    <w:rsid w:val="00DF5985"/>
    <w:rsid w:val="00DF7921"/>
    <w:rsid w:val="00E112F0"/>
    <w:rsid w:val="00E127FB"/>
    <w:rsid w:val="00E138CA"/>
    <w:rsid w:val="00E32D34"/>
    <w:rsid w:val="00E3452D"/>
    <w:rsid w:val="00E34A08"/>
    <w:rsid w:val="00E440CA"/>
    <w:rsid w:val="00E4698C"/>
    <w:rsid w:val="00E53512"/>
    <w:rsid w:val="00E62426"/>
    <w:rsid w:val="00E713DC"/>
    <w:rsid w:val="00E73B60"/>
    <w:rsid w:val="00E90922"/>
    <w:rsid w:val="00E90BA2"/>
    <w:rsid w:val="00E92D4B"/>
    <w:rsid w:val="00E93C50"/>
    <w:rsid w:val="00E9785E"/>
    <w:rsid w:val="00EA37A5"/>
    <w:rsid w:val="00EA41F7"/>
    <w:rsid w:val="00EC6E86"/>
    <w:rsid w:val="00ED0359"/>
    <w:rsid w:val="00EF1DAA"/>
    <w:rsid w:val="00F02090"/>
    <w:rsid w:val="00F1159C"/>
    <w:rsid w:val="00F2054E"/>
    <w:rsid w:val="00F215C0"/>
    <w:rsid w:val="00F25BDB"/>
    <w:rsid w:val="00F2745D"/>
    <w:rsid w:val="00F274B4"/>
    <w:rsid w:val="00F30EB5"/>
    <w:rsid w:val="00F41882"/>
    <w:rsid w:val="00F54091"/>
    <w:rsid w:val="00F551FE"/>
    <w:rsid w:val="00F6044F"/>
    <w:rsid w:val="00F6155E"/>
    <w:rsid w:val="00F767CC"/>
    <w:rsid w:val="00F8144D"/>
    <w:rsid w:val="00F84A54"/>
    <w:rsid w:val="00F90DC9"/>
    <w:rsid w:val="00FB1F3F"/>
    <w:rsid w:val="00FB4CD7"/>
    <w:rsid w:val="00FD423E"/>
    <w:rsid w:val="00FD7A7D"/>
    <w:rsid w:val="00FE0DBD"/>
    <w:rsid w:val="00FF0F04"/>
    <w:rsid w:val="015B3B47"/>
    <w:rsid w:val="02FB1F32"/>
    <w:rsid w:val="030C121C"/>
    <w:rsid w:val="034B72B9"/>
    <w:rsid w:val="03611645"/>
    <w:rsid w:val="037B4F47"/>
    <w:rsid w:val="04965669"/>
    <w:rsid w:val="04AF283A"/>
    <w:rsid w:val="08C5055C"/>
    <w:rsid w:val="08FC46CB"/>
    <w:rsid w:val="09681B06"/>
    <w:rsid w:val="09AE2415"/>
    <w:rsid w:val="0B1D4E2B"/>
    <w:rsid w:val="0BAE3AB7"/>
    <w:rsid w:val="0C7E1984"/>
    <w:rsid w:val="0D043F55"/>
    <w:rsid w:val="0D3A6AC1"/>
    <w:rsid w:val="0DE846D6"/>
    <w:rsid w:val="0EBF7479"/>
    <w:rsid w:val="0ECE361B"/>
    <w:rsid w:val="0FE74EF0"/>
    <w:rsid w:val="11234168"/>
    <w:rsid w:val="1156267A"/>
    <w:rsid w:val="121857CD"/>
    <w:rsid w:val="124203E4"/>
    <w:rsid w:val="12B85AA0"/>
    <w:rsid w:val="12D24542"/>
    <w:rsid w:val="13090193"/>
    <w:rsid w:val="156A59C8"/>
    <w:rsid w:val="166127C6"/>
    <w:rsid w:val="16D92212"/>
    <w:rsid w:val="174E07A4"/>
    <w:rsid w:val="17721B43"/>
    <w:rsid w:val="1A1B5DE5"/>
    <w:rsid w:val="1A293A76"/>
    <w:rsid w:val="1A9E5AE7"/>
    <w:rsid w:val="1A9F1388"/>
    <w:rsid w:val="1B5C07CF"/>
    <w:rsid w:val="1C581B6B"/>
    <w:rsid w:val="1D5D08D9"/>
    <w:rsid w:val="1DED3227"/>
    <w:rsid w:val="1F305458"/>
    <w:rsid w:val="201A26A2"/>
    <w:rsid w:val="20E55A0C"/>
    <w:rsid w:val="21095FAF"/>
    <w:rsid w:val="22292013"/>
    <w:rsid w:val="23877005"/>
    <w:rsid w:val="23E8229E"/>
    <w:rsid w:val="24355E8F"/>
    <w:rsid w:val="25690AF2"/>
    <w:rsid w:val="25C746CC"/>
    <w:rsid w:val="262C1EAE"/>
    <w:rsid w:val="26861517"/>
    <w:rsid w:val="26FD1886"/>
    <w:rsid w:val="27C5325F"/>
    <w:rsid w:val="28191B3F"/>
    <w:rsid w:val="29D457AB"/>
    <w:rsid w:val="2B586C2C"/>
    <w:rsid w:val="2D0556A0"/>
    <w:rsid w:val="2D155A97"/>
    <w:rsid w:val="2E1C591C"/>
    <w:rsid w:val="2E3D7877"/>
    <w:rsid w:val="2EA472BB"/>
    <w:rsid w:val="2F404823"/>
    <w:rsid w:val="2F9579F3"/>
    <w:rsid w:val="302F29BD"/>
    <w:rsid w:val="30630DA6"/>
    <w:rsid w:val="30923E6E"/>
    <w:rsid w:val="30EC1797"/>
    <w:rsid w:val="31A36EC9"/>
    <w:rsid w:val="324B6ECD"/>
    <w:rsid w:val="33407682"/>
    <w:rsid w:val="35123EE2"/>
    <w:rsid w:val="3588074B"/>
    <w:rsid w:val="358D4D4D"/>
    <w:rsid w:val="35D15A5F"/>
    <w:rsid w:val="36077713"/>
    <w:rsid w:val="363E7E6B"/>
    <w:rsid w:val="36A87B69"/>
    <w:rsid w:val="37553354"/>
    <w:rsid w:val="38862427"/>
    <w:rsid w:val="38EA4A6F"/>
    <w:rsid w:val="3A3954B3"/>
    <w:rsid w:val="3AE14B0D"/>
    <w:rsid w:val="3B3C7600"/>
    <w:rsid w:val="3C5431C5"/>
    <w:rsid w:val="3C7B77C5"/>
    <w:rsid w:val="3C956779"/>
    <w:rsid w:val="3D117A67"/>
    <w:rsid w:val="3D1A6318"/>
    <w:rsid w:val="3DB6491D"/>
    <w:rsid w:val="3DEF0CDB"/>
    <w:rsid w:val="3E271F03"/>
    <w:rsid w:val="3E505A3D"/>
    <w:rsid w:val="3E830A12"/>
    <w:rsid w:val="3F495988"/>
    <w:rsid w:val="3F885145"/>
    <w:rsid w:val="3F8D7DE5"/>
    <w:rsid w:val="3F947393"/>
    <w:rsid w:val="41D36F22"/>
    <w:rsid w:val="434D79D5"/>
    <w:rsid w:val="43792E6F"/>
    <w:rsid w:val="43BB0764"/>
    <w:rsid w:val="43BB402D"/>
    <w:rsid w:val="443A4358"/>
    <w:rsid w:val="461D4003"/>
    <w:rsid w:val="46C526E4"/>
    <w:rsid w:val="48F53D5F"/>
    <w:rsid w:val="49115F6C"/>
    <w:rsid w:val="496F2909"/>
    <w:rsid w:val="4990663D"/>
    <w:rsid w:val="49CB024B"/>
    <w:rsid w:val="4A2026A9"/>
    <w:rsid w:val="4AAB6553"/>
    <w:rsid w:val="4BEF628C"/>
    <w:rsid w:val="4D1A7C26"/>
    <w:rsid w:val="4DF41D2E"/>
    <w:rsid w:val="4EFC04E3"/>
    <w:rsid w:val="4F193669"/>
    <w:rsid w:val="4F3C0682"/>
    <w:rsid w:val="4F5B30A6"/>
    <w:rsid w:val="4F6443F0"/>
    <w:rsid w:val="4FD45159"/>
    <w:rsid w:val="50575F86"/>
    <w:rsid w:val="52715451"/>
    <w:rsid w:val="53FA0B54"/>
    <w:rsid w:val="548F19EA"/>
    <w:rsid w:val="54EB6887"/>
    <w:rsid w:val="565035BD"/>
    <w:rsid w:val="56DE1148"/>
    <w:rsid w:val="583D57C2"/>
    <w:rsid w:val="586052EB"/>
    <w:rsid w:val="5891108E"/>
    <w:rsid w:val="58A11F0E"/>
    <w:rsid w:val="59122F14"/>
    <w:rsid w:val="5B651C6E"/>
    <w:rsid w:val="5C1E7FED"/>
    <w:rsid w:val="5CA7310D"/>
    <w:rsid w:val="5CD1776F"/>
    <w:rsid w:val="5DE5479E"/>
    <w:rsid w:val="5E510690"/>
    <w:rsid w:val="5EA94901"/>
    <w:rsid w:val="60B6016E"/>
    <w:rsid w:val="61CA7685"/>
    <w:rsid w:val="64F97045"/>
    <w:rsid w:val="65AD511D"/>
    <w:rsid w:val="66F05FF5"/>
    <w:rsid w:val="67820410"/>
    <w:rsid w:val="682A63F6"/>
    <w:rsid w:val="686E6C4E"/>
    <w:rsid w:val="68D963DF"/>
    <w:rsid w:val="694C4495"/>
    <w:rsid w:val="69510FBB"/>
    <w:rsid w:val="69E80A58"/>
    <w:rsid w:val="69FA5115"/>
    <w:rsid w:val="6B345871"/>
    <w:rsid w:val="6B7C7E26"/>
    <w:rsid w:val="6BCB27A3"/>
    <w:rsid w:val="6BE868A0"/>
    <w:rsid w:val="6C7E0F5A"/>
    <w:rsid w:val="6CD81C31"/>
    <w:rsid w:val="6E4E0CD5"/>
    <w:rsid w:val="6EB27A7C"/>
    <w:rsid w:val="6FC72A60"/>
    <w:rsid w:val="706E67DC"/>
    <w:rsid w:val="7077196A"/>
    <w:rsid w:val="7124406D"/>
    <w:rsid w:val="71446530"/>
    <w:rsid w:val="736B56E0"/>
    <w:rsid w:val="7373478A"/>
    <w:rsid w:val="737E18B7"/>
    <w:rsid w:val="74297851"/>
    <w:rsid w:val="74B56827"/>
    <w:rsid w:val="751D4AD9"/>
    <w:rsid w:val="76573DB4"/>
    <w:rsid w:val="766357FE"/>
    <w:rsid w:val="773E4A3C"/>
    <w:rsid w:val="78617612"/>
    <w:rsid w:val="78B15D4A"/>
    <w:rsid w:val="78D95A29"/>
    <w:rsid w:val="7A5B0B77"/>
    <w:rsid w:val="7B6E7563"/>
    <w:rsid w:val="7C0362E2"/>
    <w:rsid w:val="7C530586"/>
    <w:rsid w:val="7C705C80"/>
    <w:rsid w:val="7CD00FE7"/>
    <w:rsid w:val="7CEA4534"/>
    <w:rsid w:val="7F5805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unhideWhenUsed/>
    <w:uiPriority w:val="1"/>
  </w:style>
  <w:style w:type="table" w:default="1" w:styleId="9">
    <w:name w:val="Normal Table"/>
    <w:unhideWhenUsed/>
    <w:uiPriority w:val="99"/>
    <w:tblPr>
      <w:tblCellMar>
        <w:top w:w="0" w:type="dxa"/>
        <w:left w:w="108" w:type="dxa"/>
        <w:bottom w:w="0" w:type="dxa"/>
        <w:right w:w="108" w:type="dxa"/>
      </w:tblCellMar>
    </w:tblPr>
  </w:style>
  <w:style w:type="paragraph" w:styleId="3">
    <w:name w:val="Body Text Indent"/>
    <w:basedOn w:val="1"/>
    <w:unhideWhenUsed/>
    <w:uiPriority w:val="99"/>
    <w:pPr>
      <w:ind w:left="640"/>
    </w:pPr>
    <w:rPr>
      <w:rFonts w:ascii="仿宋_GB2312" w:eastAsia="仿宋_GB2312"/>
      <w:sz w:val="32"/>
    </w:rPr>
  </w:style>
  <w:style w:type="paragraph" w:styleId="4">
    <w:name w:val="Date"/>
    <w:basedOn w:val="1"/>
    <w:next w:val="1"/>
    <w:link w:val="13"/>
    <w:unhideWhenUsed/>
    <w:uiPriority w:val="99"/>
    <w:pPr>
      <w:ind w:left="100" w:leftChars="2500"/>
    </w:pPr>
    <w:rPr>
      <w:rFonts w:ascii="Times New Roman" w:hAnsi="Times New Roman"/>
    </w:rPr>
  </w:style>
  <w:style w:type="paragraph" w:styleId="5">
    <w:name w:val="Balloon Text"/>
    <w:basedOn w:val="1"/>
    <w:link w:val="14"/>
    <w:unhideWhenUsed/>
    <w:qFormat/>
    <w:uiPriority w:val="99"/>
    <w:rPr>
      <w:rFonts w:ascii="Times New Roman" w:hAnsi="Times New Roman"/>
      <w:kern w:val="0"/>
      <w:sz w:val="18"/>
      <w:szCs w:val="18"/>
    </w:rPr>
  </w:style>
  <w:style w:type="paragraph" w:styleId="6">
    <w:name w:val="footer"/>
    <w:basedOn w:val="1"/>
    <w:link w:val="15"/>
    <w:unhideWhenUsed/>
    <w:qFormat/>
    <w:uiPriority w:val="0"/>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uiPriority w:val="0"/>
    <w:pPr>
      <w:widowControl/>
      <w:spacing w:before="100" w:beforeAutospacing="1" w:after="119"/>
      <w:jc w:val="left"/>
    </w:pPr>
    <w:rPr>
      <w:rFonts w:ascii="宋体" w:hAnsi="宋体" w:cs="宋体"/>
      <w:kern w:val="0"/>
      <w:sz w:val="24"/>
    </w:rPr>
  </w:style>
  <w:style w:type="character" w:styleId="11">
    <w:name w:val="page number"/>
    <w:basedOn w:val="10"/>
    <w:uiPriority w:val="0"/>
  </w:style>
  <w:style w:type="character" w:customStyle="1" w:styleId="12">
    <w:name w:val="标题 2 Char"/>
    <w:basedOn w:val="10"/>
    <w:link w:val="2"/>
    <w:uiPriority w:val="0"/>
    <w:rPr>
      <w:rFonts w:ascii="Arial" w:hAnsi="Arial" w:eastAsia="黑体"/>
      <w:b/>
      <w:kern w:val="2"/>
      <w:sz w:val="32"/>
      <w:szCs w:val="24"/>
    </w:rPr>
  </w:style>
  <w:style w:type="character" w:customStyle="1" w:styleId="13">
    <w:name w:val="日期 Char"/>
    <w:link w:val="4"/>
    <w:semiHidden/>
    <w:uiPriority w:val="99"/>
    <w:rPr>
      <w:rFonts w:ascii="Times New Roman" w:hAnsi="Times New Roman" w:eastAsia="宋体" w:cs="Times New Roman"/>
      <w:kern w:val="2"/>
      <w:sz w:val="21"/>
      <w:szCs w:val="24"/>
    </w:rPr>
  </w:style>
  <w:style w:type="character" w:customStyle="1" w:styleId="14">
    <w:name w:val="批注框文本 Char"/>
    <w:link w:val="5"/>
    <w:semiHidden/>
    <w:qFormat/>
    <w:uiPriority w:val="99"/>
    <w:rPr>
      <w:rFonts w:ascii="Times New Roman" w:hAnsi="Times New Roman" w:eastAsia="宋体" w:cs="Times New Roman"/>
      <w:sz w:val="18"/>
      <w:szCs w:val="18"/>
    </w:rPr>
  </w:style>
  <w:style w:type="character" w:customStyle="1" w:styleId="15">
    <w:name w:val="页脚 Char"/>
    <w:link w:val="6"/>
    <w:qFormat/>
    <w:uiPriority w:val="0"/>
    <w:rPr>
      <w:sz w:val="18"/>
      <w:szCs w:val="18"/>
    </w:rPr>
  </w:style>
  <w:style w:type="character" w:customStyle="1" w:styleId="16">
    <w:name w:val="页眉 Char"/>
    <w:link w:val="7"/>
    <w:semiHidden/>
    <w:uiPriority w:val="99"/>
    <w:rPr>
      <w:sz w:val="18"/>
      <w:szCs w:val="18"/>
    </w:rPr>
  </w:style>
  <w:style w:type="character" w:customStyle="1" w:styleId="17">
    <w:name w:val="占位符文本1"/>
    <w:semiHidden/>
    <w:qFormat/>
    <w:uiPriority w:val="99"/>
    <w:rPr>
      <w:color w:val="808080"/>
    </w:rPr>
  </w:style>
  <w:style w:type="paragraph" w:customStyle="1" w:styleId="18">
    <w:name w:val="p15"/>
    <w:basedOn w:val="1"/>
    <w:qFormat/>
    <w:uiPriority w:val="0"/>
    <w:pPr>
      <w:widowControl/>
      <w:jc w:val="left"/>
    </w:pPr>
    <w:rPr>
      <w:rFonts w:ascii="宋体" w:hAnsi="宋体" w:cs="宋体"/>
      <w:kern w:val="0"/>
      <w:sz w:val="24"/>
    </w:rPr>
  </w:style>
  <w:style w:type="paragraph" w:styleId="19">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列出段落1"/>
    <w:basedOn w:val="1"/>
    <w:qFormat/>
    <w:uiPriority w:val="34"/>
    <w:pPr>
      <w:ind w:firstLine="420" w:firstLineChars="200"/>
    </w:pPr>
  </w:style>
  <w:style w:type="paragraph" w:styleId="21">
    <w:name w:val="List Paragraph"/>
    <w:basedOn w:val="1"/>
    <w:qFormat/>
    <w:uiPriority w:val="99"/>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4806</Words>
  <Characters>5078</Characters>
  <Lines>66</Lines>
  <Paragraphs>18</Paragraphs>
  <TotalTime>0</TotalTime>
  <ScaleCrop>false</ScaleCrop>
  <LinksUpToDate>false</LinksUpToDate>
  <CharactersWithSpaces>5140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2021-07-08T03:33:00Z</dcterms:created>
  <dc:creator>lrson1</dc:creator>
  <cp:lastModifiedBy>♉️长辫子精灵</cp:lastModifiedBy>
  <cp:lastPrinted>2021-06-21T08:34:00Z</cp:lastPrinted>
  <dcterms:modified xsi:type="dcterms:W3CDTF">2023-08-24T05:23:40Z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9C6EFED380264EE0ACC3921CAFB1EFBE_13</vt:lpwstr>
  </property>
</Properties>
</file>