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中方县</w:t>
      </w:r>
      <w:r>
        <w:rPr>
          <w:rFonts w:hint="eastAsia" w:ascii="方正小标宋简体" w:hAnsi="方正小标宋简体" w:eastAsia="方正小标宋简体" w:cs="方正小标宋简体"/>
          <w:bCs/>
          <w:sz w:val="44"/>
          <w:szCs w:val="44"/>
          <w:lang w:val="en-US" w:eastAsia="zh-CN"/>
        </w:rPr>
        <w:t>蒿吉坪瑶族乡</w:t>
      </w:r>
      <w:r>
        <w:rPr>
          <w:rFonts w:hint="eastAsia" w:ascii="方正小标宋简体" w:hAnsi="方正小标宋简体" w:eastAsia="方正小标宋简体" w:cs="方正小标宋简体"/>
          <w:bCs/>
          <w:sz w:val="44"/>
          <w:szCs w:val="44"/>
        </w:rPr>
        <w:t>人民政府</w:t>
      </w:r>
      <w:r>
        <w:rPr>
          <w:rFonts w:hint="eastAsia" w:ascii="方正小标宋简体" w:hAnsi="方正小标宋简体" w:eastAsia="方正小标宋简体" w:cs="方正小标宋简体"/>
          <w:bCs/>
          <w:sz w:val="44"/>
          <w:szCs w:val="44"/>
          <w:lang w:eastAsia="zh-CN"/>
        </w:rPr>
        <w:t>2022</w:t>
      </w:r>
      <w:r>
        <w:rPr>
          <w:rFonts w:hint="eastAsia" w:ascii="方正小标宋简体" w:hAnsi="方正小标宋简体" w:eastAsia="方正小标宋简体" w:cs="方正小标宋简体"/>
          <w:bCs/>
          <w:sz w:val="44"/>
          <w:szCs w:val="44"/>
        </w:rPr>
        <w:t>年度</w:t>
      </w:r>
      <w:r>
        <w:rPr>
          <w:rFonts w:hint="eastAsia" w:ascii="方正小标宋简体" w:hAnsi="方正小标宋简体" w:eastAsia="方正小标宋简体" w:cs="方正小标宋简体"/>
          <w:bCs/>
          <w:sz w:val="44"/>
          <w:szCs w:val="44"/>
          <w:lang w:val="en-US" w:eastAsia="zh-CN"/>
        </w:rPr>
        <w:t>位文化旅游体育与传媒项目</w:t>
      </w:r>
      <w:r>
        <w:rPr>
          <w:rFonts w:hint="eastAsia" w:ascii="方正小标宋简体" w:hAnsi="方正小标宋简体" w:eastAsia="方正小标宋简体" w:cs="方正小标宋简体"/>
          <w:bCs/>
          <w:sz w:val="44"/>
          <w:szCs w:val="44"/>
          <w:lang w:eastAsia="zh-CN"/>
        </w:rPr>
        <w:t>绩效奖励</w:t>
      </w:r>
      <w:r>
        <w:rPr>
          <w:rFonts w:hint="eastAsia" w:ascii="方正小标宋简体" w:hAnsi="方正小标宋简体" w:eastAsia="方正小标宋简体" w:cs="方正小标宋简体"/>
          <w:bCs/>
          <w:sz w:val="44"/>
          <w:szCs w:val="44"/>
        </w:rPr>
        <w:t>补助资金绩效自评报告</w:t>
      </w:r>
    </w:p>
    <w:p>
      <w:pPr>
        <w:widowControl w:val="0"/>
        <w:spacing w:after="0" w:line="700" w:lineRule="exact"/>
        <w:jc w:val="center"/>
        <w:rPr>
          <w:rFonts w:ascii="方正小标宋简体" w:hAnsi="方正小标宋简体" w:eastAsia="方正小标宋简体" w:cs="方正小标宋简体"/>
          <w:bCs/>
          <w:sz w:val="44"/>
          <w:szCs w:val="44"/>
        </w:rPr>
      </w:pPr>
    </w:p>
    <w:p>
      <w:pPr>
        <w:jc w:val="center"/>
        <w:rPr>
          <w:rFonts w:ascii="仿宋_GB2312"/>
          <w:szCs w:val="30"/>
        </w:rPr>
      </w:pP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（一）项目概况。</w:t>
      </w:r>
    </w:p>
    <w:p>
      <w:pPr>
        <w:spacing w:after="0"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val="en-US" w:eastAsia="zh-CN"/>
        </w:rPr>
        <w:t>湘湘财预【2020】322号：关于提前下达2021年中央支持地方公共文化服务体系建设绩效奖励补助资金政府文体设备购置2万元；湘财预〔2021〕261号：提前下达2022年中央支持地方公共文化服务体系建设绩效奖励补助资金（市县）助溪村文化广场设备购置2万元。</w:t>
      </w:r>
    </w:p>
    <w:p>
      <w:pPr>
        <w:spacing w:after="0"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项目资金投入情况。全年公共文化项目资金</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万元，实际使用</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万元。</w:t>
      </w:r>
    </w:p>
    <w:p>
      <w:pPr>
        <w:spacing w:after="0"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2、项目资金使用情况。资金使用方面，做到了专款专用，支付范围、标准、进度、依据符合规定，与预算基本一致。</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（二）项目绩效目标。</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1.项目绩效总目标：不断</w:t>
      </w:r>
      <w:r>
        <w:rPr>
          <w:rFonts w:hint="eastAsia" w:ascii="仿宋" w:hAnsi="仿宋" w:eastAsia="仿宋" w:cs="仿宋"/>
          <w:sz w:val="32"/>
          <w:szCs w:val="32"/>
          <w:lang w:val="en-US" w:eastAsia="zh-CN"/>
        </w:rPr>
        <w:t>加强我乡少数民族文化建设</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开展少数民族运动活动，丰富群众精神生活，改善群众生活水平和农村经济发展</w:t>
      </w:r>
      <w:r>
        <w:rPr>
          <w:rFonts w:hint="eastAsia" w:ascii="仿宋" w:hAnsi="仿宋" w:eastAsia="仿宋" w:cs="仿宋"/>
          <w:sz w:val="32"/>
          <w:szCs w:val="32"/>
        </w:rPr>
        <w:t>。</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2.项目绩效阶段性目标：</w:t>
      </w:r>
      <w:r>
        <w:rPr>
          <w:rFonts w:hint="eastAsia" w:ascii="仿宋" w:hAnsi="仿宋" w:eastAsia="仿宋" w:cs="仿宋"/>
          <w:sz w:val="32"/>
          <w:szCs w:val="32"/>
          <w:lang w:val="en-US" w:eastAsia="zh-CN"/>
        </w:rPr>
        <w:t>完成</w:t>
      </w:r>
      <w:r>
        <w:rPr>
          <w:rFonts w:hint="eastAsia" w:ascii="仿宋_GB2312" w:hAnsi="仿宋_GB2312" w:eastAsia="仿宋_GB2312" w:cs="仿宋_GB2312"/>
          <w:sz w:val="32"/>
          <w:szCs w:val="32"/>
          <w:lang w:val="en-US" w:eastAsia="zh-CN"/>
        </w:rPr>
        <w:t>蒿吉坪瑶族乡少数民族运动会、各类宣传资料以及助溪村文化广场路灯安装项目</w:t>
      </w:r>
      <w:r>
        <w:rPr>
          <w:rFonts w:hint="eastAsia" w:ascii="仿宋" w:hAnsi="仿宋" w:eastAsia="仿宋" w:cs="仿宋"/>
          <w:sz w:val="32"/>
          <w:szCs w:val="32"/>
        </w:rPr>
        <w:t>。</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（一）绩效评价目的、对象和范围。</w:t>
      </w:r>
    </w:p>
    <w:p>
      <w:pPr>
        <w:spacing w:after="0" w:line="60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2022年度</w:t>
      </w:r>
      <w:r>
        <w:rPr>
          <w:rFonts w:hint="eastAsia" w:ascii="仿宋_GB2312" w:hAnsi="仿宋_GB2312" w:eastAsia="仿宋_GB2312" w:cs="仿宋_GB2312"/>
          <w:sz w:val="32"/>
          <w:szCs w:val="32"/>
          <w:lang w:val="en-US" w:eastAsia="zh-CN"/>
        </w:rPr>
        <w:t>蒿吉坪瑶族乡少数民族运动会、各类宣传资料以及助溪村文化广场路灯安装项目</w:t>
      </w:r>
      <w:r>
        <w:rPr>
          <w:rFonts w:hint="eastAsia" w:ascii="仿宋_GB2312" w:hAnsi="仿宋_GB2312" w:eastAsia="仿宋_GB2312" w:cs="仿宋_GB2312"/>
          <w:kern w:val="2"/>
          <w:sz w:val="32"/>
          <w:szCs w:val="32"/>
          <w:lang w:val="en-US" w:eastAsia="zh-CN" w:bidi="ar-SA"/>
        </w:rPr>
        <w:t>，项目验收前基本建成全方位、全过程、全覆盖的预算绩效管理体系。财政资金绩效价是预算管理的重要环节，也是当前审计的前置环节。</w:t>
      </w:r>
    </w:p>
    <w:p>
      <w:pPr>
        <w:spacing w:after="0" w:line="60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通过对</w:t>
      </w:r>
      <w:r>
        <w:rPr>
          <w:rFonts w:hint="eastAsia" w:ascii="仿宋_GB2312" w:hAnsi="仿宋_GB2312" w:eastAsia="仿宋_GB2312" w:cs="仿宋_GB2312"/>
          <w:sz w:val="32"/>
          <w:szCs w:val="32"/>
          <w:lang w:val="en-US" w:eastAsia="zh-CN"/>
        </w:rPr>
        <w:t>蒿吉坪瑶族乡少数民族运动会、各类宣传资料以及助溪村文化广场路灯安装</w:t>
      </w:r>
      <w:r>
        <w:rPr>
          <w:rFonts w:hint="eastAsia" w:ascii="仿宋_GB2312" w:hAnsi="仿宋_GB2312" w:eastAsia="仿宋_GB2312" w:cs="仿宋_GB2312"/>
          <w:kern w:val="2"/>
          <w:sz w:val="32"/>
          <w:szCs w:val="32"/>
          <w:lang w:val="en-US" w:eastAsia="zh-CN" w:bidi="ar-SA"/>
        </w:rPr>
        <w:t xml:space="preserve">项目管理制度和流程、资金使用情况、受益群体的反馈情况，从而强化项目监督，完善项目管理，提高项目资金使用效益和支出透明度，对存在的问题进行原因分析并提出合理化建议。建立健全财务管理制度和约束机制，依法、有效的使用财政资金，为以后年度项目安排及资金管理提供重要依据。 </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（二）绩效评价原则、评价指标体系（附表说明）、评价方法、评价标准等。</w:t>
      </w:r>
    </w:p>
    <w:p>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1、部门整体支出绩效评价原则：遵循客观公正，操作简便高效，尊重客观实际、实事求是的原则。</w:t>
      </w:r>
    </w:p>
    <w:p>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2、整体支出绩效评价体系：指标体系包括共性指标和个性指标两部分，本次主要参照了财政部门制定《部门整体支出绩效评价指标体系》的相关内容，根据部门具体情况对个性指标进行里调整细化。</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3、整体支出绩效评价方法：主要采用投入产出效益分析法、比较法等方法。</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（三）绩效评价工作过程。</w:t>
      </w:r>
    </w:p>
    <w:p>
      <w:pPr>
        <w:spacing w:after="0"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收集项目资料，在收集和审核项目资料的基础上，制定了绩效评价指标体系，并进一步修改和完善，最后根据评价标准和资料依据，进行了分析，得出评价结论。</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三、综合评价情况及评价结论（附相关评分表）</w:t>
      </w:r>
    </w:p>
    <w:p>
      <w:pPr>
        <w:pStyle w:val="6"/>
        <w:spacing w:line="520" w:lineRule="exact"/>
        <w:ind w:firstLine="640" w:firstLineChars="200"/>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根据《项目支出绩效评价共性指标表》得分96分，绩效价评等级为“优”。</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（一）项目决策情况。</w:t>
      </w:r>
    </w:p>
    <w:p>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根据</w:t>
      </w:r>
      <w:r>
        <w:rPr>
          <w:rFonts w:hint="eastAsia" w:ascii="仿宋_GB2312" w:hAnsi="仿宋_GB2312" w:eastAsia="仿宋_GB2312" w:cs="仿宋_GB2312"/>
          <w:sz w:val="32"/>
          <w:szCs w:val="32"/>
          <w:lang w:val="en-US" w:eastAsia="zh-CN"/>
        </w:rPr>
        <w:t>湘湘财预【2020】322号、湘财预〔2021〕261号文</w:t>
      </w:r>
      <w:r>
        <w:rPr>
          <w:rFonts w:hint="eastAsia" w:ascii="仿宋" w:hAnsi="仿宋" w:eastAsia="仿宋" w:cs="仿宋"/>
          <w:sz w:val="32"/>
          <w:szCs w:val="32"/>
        </w:rPr>
        <w:t>件</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资金</w:t>
      </w:r>
      <w:r>
        <w:rPr>
          <w:rFonts w:hint="eastAsia" w:ascii="仿宋" w:hAnsi="仿宋" w:eastAsia="仿宋" w:cs="仿宋"/>
          <w:sz w:val="32"/>
          <w:szCs w:val="32"/>
        </w:rPr>
        <w:t>执行落实到位。</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（二）项目过程情况。</w:t>
      </w:r>
    </w:p>
    <w:p>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主要体现项目按期完成时间业务管理、财务管理和会计信息管理几个面方。重点考核管理制度建立情况、过程监管情况。如管理制度健全性、制度执行有效性、项目质量可控性；资金使用合规性、项目资金安全性；会计信息能否全面范性和完整性。</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（三）项目产出情况。</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主要体现项目实施过程产出数量、评审项目按实际实施项目为准，做好项目前期预算、按实际完成。截止</w:t>
      </w:r>
      <w:r>
        <w:rPr>
          <w:rFonts w:hint="eastAsia" w:ascii="仿宋" w:hAnsi="仿宋" w:eastAsia="仿宋" w:cs="仿宋"/>
          <w:sz w:val="32"/>
          <w:szCs w:val="32"/>
          <w:lang w:eastAsia="zh-CN"/>
        </w:rPr>
        <w:t>2022</w:t>
      </w:r>
      <w:r>
        <w:rPr>
          <w:rFonts w:hint="eastAsia" w:ascii="仿宋" w:hAnsi="仿宋" w:eastAsia="仿宋" w:cs="仿宋"/>
          <w:sz w:val="32"/>
          <w:szCs w:val="32"/>
        </w:rPr>
        <w:t>年12月，</w:t>
      </w:r>
      <w:r>
        <w:rPr>
          <w:rFonts w:hint="eastAsia" w:ascii="仿宋" w:hAnsi="仿宋" w:eastAsia="仿宋" w:cs="仿宋"/>
          <w:sz w:val="32"/>
          <w:szCs w:val="32"/>
          <w:lang w:val="en-US" w:eastAsia="zh-CN"/>
        </w:rPr>
        <w:t>文化旅游体育与传媒支出</w:t>
      </w:r>
      <w:r>
        <w:rPr>
          <w:rFonts w:hint="eastAsia" w:ascii="仿宋" w:hAnsi="仿宋" w:eastAsia="仿宋" w:cs="仿宋"/>
          <w:sz w:val="32"/>
          <w:szCs w:val="32"/>
        </w:rPr>
        <w:t>经费</w:t>
      </w:r>
      <w:r>
        <w:rPr>
          <w:rFonts w:hint="eastAsia" w:ascii="仿宋" w:hAnsi="仿宋" w:eastAsia="仿宋" w:cs="仿宋"/>
          <w:sz w:val="32"/>
          <w:szCs w:val="32"/>
          <w:lang w:val="en-US" w:eastAsia="zh-CN"/>
        </w:rPr>
        <w:t>4</w:t>
      </w:r>
      <w:r>
        <w:rPr>
          <w:rFonts w:hint="eastAsia" w:ascii="仿宋" w:hAnsi="仿宋" w:eastAsia="仿宋" w:cs="仿宋"/>
          <w:sz w:val="32"/>
          <w:szCs w:val="32"/>
        </w:rPr>
        <w:t>万元，支付率为</w:t>
      </w:r>
      <w:r>
        <w:rPr>
          <w:rFonts w:hint="eastAsia" w:ascii="仿宋" w:hAnsi="仿宋" w:eastAsia="仿宋" w:cs="仿宋"/>
          <w:sz w:val="32"/>
          <w:szCs w:val="32"/>
          <w:lang w:val="en-US" w:eastAsia="zh-CN"/>
        </w:rPr>
        <w:t>100</w:t>
      </w:r>
      <w:r>
        <w:rPr>
          <w:rFonts w:hint="eastAsia" w:ascii="仿宋" w:hAnsi="仿宋" w:eastAsia="仿宋" w:cs="仿宋"/>
          <w:sz w:val="32"/>
          <w:szCs w:val="32"/>
        </w:rPr>
        <w:t>%。</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（四）项目效益情况。</w:t>
      </w:r>
    </w:p>
    <w:p>
      <w:pPr>
        <w:spacing w:after="0" w:line="600" w:lineRule="exact"/>
        <w:ind w:firstLine="640" w:firstLineChars="200"/>
        <w:outlineLvl w:val="0"/>
        <w:rPr>
          <w:rFonts w:hint="eastAsia" w:ascii="仿宋" w:hAnsi="仿宋" w:eastAsia="仿宋" w:cs="仿宋"/>
          <w:sz w:val="32"/>
          <w:szCs w:val="32"/>
          <w:lang w:eastAsia="zh-CN"/>
        </w:rPr>
      </w:pPr>
      <w:r>
        <w:rPr>
          <w:rFonts w:hint="eastAsia" w:ascii="仿宋" w:hAnsi="仿宋" w:eastAsia="仿宋" w:cs="仿宋"/>
          <w:sz w:val="32"/>
          <w:szCs w:val="32"/>
        </w:rPr>
        <w:t>按照年初的绩效目标，提高政府投资效益，节约财政资金，项目建设中对</w:t>
      </w:r>
      <w:r>
        <w:rPr>
          <w:rFonts w:hint="eastAsia" w:ascii="仿宋" w:hAnsi="仿宋" w:eastAsia="仿宋" w:cs="仿宋"/>
          <w:sz w:val="32"/>
          <w:szCs w:val="32"/>
          <w:lang w:val="en-US" w:eastAsia="zh-CN"/>
        </w:rPr>
        <w:t>基础设施建设</w:t>
      </w:r>
      <w:r>
        <w:rPr>
          <w:rFonts w:hint="eastAsia" w:ascii="仿宋" w:hAnsi="仿宋" w:eastAsia="仿宋" w:cs="仿宋"/>
          <w:sz w:val="32"/>
          <w:szCs w:val="32"/>
        </w:rPr>
        <w:t>得到群众满意度100%。有效推进了我</w:t>
      </w:r>
      <w:r>
        <w:rPr>
          <w:rFonts w:hint="eastAsia" w:ascii="仿宋" w:hAnsi="仿宋" w:eastAsia="仿宋" w:cs="仿宋"/>
          <w:sz w:val="32"/>
          <w:szCs w:val="32"/>
          <w:lang w:val="en-US" w:eastAsia="zh-CN"/>
        </w:rPr>
        <w:t>乡</w:t>
      </w:r>
      <w:r>
        <w:rPr>
          <w:rFonts w:hint="eastAsia" w:ascii="仿宋" w:hAnsi="仿宋" w:eastAsia="仿宋" w:cs="仿宋"/>
          <w:sz w:val="32"/>
          <w:szCs w:val="32"/>
        </w:rPr>
        <w:t>的经济社会发展，促进了社会的安全平稳</w:t>
      </w:r>
      <w:r>
        <w:rPr>
          <w:rFonts w:hint="eastAsia" w:ascii="仿宋" w:hAnsi="仿宋" w:eastAsia="仿宋" w:cs="仿宋"/>
          <w:sz w:val="32"/>
          <w:szCs w:val="32"/>
          <w:lang w:eastAsia="zh-CN"/>
        </w:rPr>
        <w:t>。</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五、主要经验及做法、存在的问题及原因分析</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严格按照绩效评价要求进行年初绩效目标年初申报，并根据年初要求严格落实，确保顺利完成预期目标。</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六、有关建议。</w:t>
      </w:r>
    </w:p>
    <w:p>
      <w:pPr>
        <w:spacing w:after="0"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无</w:t>
      </w:r>
      <w:r>
        <w:rPr>
          <w:rFonts w:hint="eastAsia" w:ascii="仿宋" w:hAnsi="仿宋" w:eastAsia="仿宋" w:cs="仿宋"/>
          <w:sz w:val="32"/>
          <w:szCs w:val="32"/>
          <w:lang w:eastAsia="zh-CN"/>
        </w:rPr>
        <w:t>。</w:t>
      </w:r>
    </w:p>
    <w:p>
      <w:pPr>
        <w:ind w:firstLine="640" w:firstLineChars="200"/>
        <w:rPr>
          <w:rFonts w:ascii="黑体" w:hAnsi="黑体" w:eastAsia="黑体" w:cs="黑体"/>
          <w:sz w:val="32"/>
          <w:szCs w:val="32"/>
        </w:rPr>
      </w:pPr>
      <w:r>
        <w:rPr>
          <w:rFonts w:hint="eastAsia" w:ascii="黑体" w:hAnsi="黑体" w:eastAsia="黑体" w:cs="黑体"/>
          <w:sz w:val="32"/>
          <w:szCs w:val="32"/>
        </w:rPr>
        <w:t>七、其他需要说明的问题</w:t>
      </w:r>
    </w:p>
    <w:p>
      <w:pPr>
        <w:spacing w:after="0"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无</w:t>
      </w:r>
      <w:r>
        <w:rPr>
          <w:rFonts w:hint="eastAsia" w:ascii="仿宋" w:hAnsi="仿宋" w:eastAsia="仿宋" w:cs="仿宋"/>
          <w:sz w:val="32"/>
          <w:szCs w:val="32"/>
          <w:lang w:eastAsia="zh-CN"/>
        </w:rPr>
        <w:t>。</w:t>
      </w:r>
    </w:p>
    <w:p>
      <w:pPr>
        <w:spacing w:after="0" w:line="600" w:lineRule="exact"/>
        <w:ind w:firstLine="640" w:firstLineChars="200"/>
        <w:rPr>
          <w:rFonts w:hint="eastAsia" w:ascii="仿宋" w:hAnsi="仿宋" w:eastAsia="仿宋" w:cs="仿宋"/>
          <w:sz w:val="32"/>
          <w:szCs w:val="32"/>
        </w:rPr>
      </w:pPr>
    </w:p>
    <w:p>
      <w:pPr>
        <w:keepNext w:val="0"/>
        <w:keepLines w:val="0"/>
        <w:pageBreakBefore w:val="0"/>
        <w:widowControl/>
        <w:kinsoku/>
        <w:wordWrap/>
        <w:overflowPunct/>
        <w:topLinePunct w:val="0"/>
        <w:autoSpaceDE/>
        <w:autoSpaceDN/>
        <w:bidi w:val="0"/>
        <w:adjustRightInd/>
        <w:snapToGrid/>
        <w:spacing w:line="460" w:lineRule="exact"/>
        <w:ind w:firstLine="645"/>
        <w:jc w:val="left"/>
        <w:textAlignment w:val="auto"/>
        <w:rPr>
          <w:rFonts w:ascii="Times New Roman" w:hAnsi="Times New Roman" w:eastAsia="仿宋_GB2312"/>
          <w:sz w:val="32"/>
          <w:szCs w:val="32"/>
        </w:rPr>
      </w:pPr>
      <w:r>
        <w:rPr>
          <w:rFonts w:ascii="Times New Roman" w:hAnsi="Times New Roman" w:eastAsia="仿宋_GB2312"/>
          <w:sz w:val="32"/>
          <w:szCs w:val="32"/>
        </w:rPr>
        <w:t>附件：</w:t>
      </w:r>
      <w:r>
        <w:rPr>
          <w:rFonts w:hint="eastAsia" w:ascii="Times New Roman" w:hAnsi="Times New Roman" w:eastAsia="仿宋_GB2312"/>
          <w:sz w:val="32"/>
          <w:szCs w:val="32"/>
          <w:lang w:val="en-US" w:eastAsia="zh-CN"/>
        </w:rPr>
        <w:t>1</w:t>
      </w:r>
      <w:r>
        <w:rPr>
          <w:rFonts w:ascii="Times New Roman" w:hAnsi="Times New Roman" w:eastAsia="仿宋_GB2312"/>
          <w:sz w:val="32"/>
          <w:szCs w:val="32"/>
        </w:rPr>
        <w:t>.项目支出绩效自评表</w:t>
      </w:r>
    </w:p>
    <w:p>
      <w:pPr>
        <w:keepNext w:val="0"/>
        <w:keepLines w:val="0"/>
        <w:pageBreakBefore w:val="0"/>
        <w:widowControl/>
        <w:numPr>
          <w:ilvl w:val="0"/>
          <w:numId w:val="0"/>
        </w:numPr>
        <w:kinsoku/>
        <w:wordWrap/>
        <w:overflowPunct/>
        <w:topLinePunct w:val="0"/>
        <w:autoSpaceDE/>
        <w:autoSpaceDN/>
        <w:bidi w:val="0"/>
        <w:adjustRightInd/>
        <w:snapToGrid/>
        <w:spacing w:line="460" w:lineRule="exact"/>
        <w:ind w:firstLine="1600" w:firstLineChars="500"/>
        <w:jc w:val="left"/>
        <w:textAlignment w:val="auto"/>
        <w:rPr>
          <w:rFonts w:ascii="Times New Roman" w:hAnsi="Times New Roman" w:eastAsia="仿宋_GB2312"/>
          <w:bCs/>
          <w:color w:val="000000"/>
          <w:sz w:val="32"/>
          <w:szCs w:val="32"/>
        </w:rPr>
      </w:pPr>
      <w:r>
        <w:rPr>
          <w:rFonts w:hint="eastAsia" w:ascii="Times New Roman" w:hAnsi="Times New Roman" w:eastAsia="仿宋_GB2312"/>
          <w:sz w:val="32"/>
          <w:szCs w:val="32"/>
          <w:lang w:val="en-US" w:eastAsia="zh-CN"/>
        </w:rPr>
        <w:t>2.</w:t>
      </w:r>
      <w:r>
        <w:rPr>
          <w:rFonts w:ascii="Times New Roman" w:hAnsi="Times New Roman" w:eastAsia="仿宋_GB2312"/>
          <w:sz w:val="32"/>
          <w:szCs w:val="32"/>
        </w:rPr>
        <w:t>项目支出绩效评价指标</w:t>
      </w:r>
      <w:r>
        <w:rPr>
          <w:rFonts w:ascii="Times New Roman" w:hAnsi="Times New Roman" w:eastAsia="仿宋_GB2312"/>
          <w:bCs/>
          <w:color w:val="000000"/>
          <w:kern w:val="0"/>
          <w:sz w:val="32"/>
          <w:szCs w:val="32"/>
        </w:rPr>
        <w:t>评分表</w:t>
      </w: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rPr>
          <w:rFonts w:hint="eastAsia" w:ascii="仿宋" w:hAnsi="仿宋" w:eastAsia="仿宋" w:cs="仿宋"/>
          <w:sz w:val="32"/>
          <w:szCs w:val="32"/>
        </w:rPr>
      </w:pPr>
    </w:p>
    <w:p>
      <w:pPr>
        <w:spacing w:line="400" w:lineRule="exact"/>
        <w:rPr>
          <w:rFonts w:hint="eastAsia" w:ascii="Times New Roman" w:hAnsi="Times New Roman" w:eastAsia="仿宋_GB2312"/>
          <w:bCs/>
          <w:color w:val="000000"/>
          <w:sz w:val="32"/>
          <w:szCs w:val="32"/>
          <w:lang w:val="en-US" w:eastAsia="zh-CN"/>
        </w:rPr>
      </w:pPr>
      <w:r>
        <w:rPr>
          <w:rFonts w:hint="eastAsia" w:ascii="Times New Roman" w:hAnsi="Times New Roman" w:eastAsia="仿宋_GB2312"/>
          <w:bCs/>
          <w:color w:val="000000"/>
          <w:sz w:val="32"/>
          <w:szCs w:val="32"/>
          <w:lang w:eastAsia="zh-CN"/>
        </w:rPr>
        <w:t>附件1</w:t>
      </w:r>
    </w:p>
    <w:tbl>
      <w:tblPr>
        <w:tblStyle w:val="4"/>
        <w:tblW w:w="10465" w:type="dxa"/>
        <w:jc w:val="center"/>
        <w:tblLayout w:type="fixed"/>
        <w:tblCellMar>
          <w:top w:w="0" w:type="dxa"/>
          <w:left w:w="108" w:type="dxa"/>
          <w:bottom w:w="0" w:type="dxa"/>
          <w:right w:w="108" w:type="dxa"/>
        </w:tblCellMar>
      </w:tblPr>
      <w:tblGrid>
        <w:gridCol w:w="628"/>
        <w:gridCol w:w="1047"/>
        <w:gridCol w:w="1187"/>
        <w:gridCol w:w="688"/>
        <w:gridCol w:w="970"/>
        <w:gridCol w:w="255"/>
        <w:gridCol w:w="1219"/>
        <w:gridCol w:w="1358"/>
        <w:gridCol w:w="552"/>
        <w:gridCol w:w="544"/>
        <w:gridCol w:w="869"/>
        <w:gridCol w:w="1148"/>
      </w:tblGrid>
      <w:tr>
        <w:tblPrEx>
          <w:tblCellMar>
            <w:top w:w="0" w:type="dxa"/>
            <w:left w:w="108" w:type="dxa"/>
            <w:bottom w:w="0" w:type="dxa"/>
            <w:right w:w="108" w:type="dxa"/>
          </w:tblCellMar>
        </w:tblPrEx>
        <w:trPr>
          <w:trHeight w:val="514" w:hRule="exact"/>
          <w:jc w:val="center"/>
        </w:trPr>
        <w:tc>
          <w:tcPr>
            <w:tcW w:w="10465" w:type="dxa"/>
            <w:gridSpan w:val="12"/>
            <w:tcBorders>
              <w:top w:val="nil"/>
              <w:left w:val="nil"/>
              <w:bottom w:val="nil"/>
              <w:right w:val="nil"/>
            </w:tcBorders>
            <w:noWrap w:val="0"/>
            <w:vAlign w:val="center"/>
          </w:tcPr>
          <w:p>
            <w:pPr>
              <w:widowControl/>
              <w:spacing w:line="320" w:lineRule="exact"/>
              <w:jc w:val="center"/>
              <w:rPr>
                <w:rFonts w:ascii="Times New Roman" w:hAnsi="Times New Roman"/>
                <w:b/>
                <w:bCs/>
                <w:kern w:val="0"/>
                <w:sz w:val="32"/>
                <w:szCs w:val="32"/>
              </w:rPr>
            </w:pPr>
            <w:r>
              <w:rPr>
                <w:rFonts w:hint="eastAsia" w:ascii="Times New Roman" w:hAnsi="Times New Roman"/>
                <w:b/>
                <w:bCs/>
                <w:kern w:val="0"/>
                <w:sz w:val="32"/>
                <w:szCs w:val="32"/>
                <w:lang w:val="en-US" w:eastAsia="zh-CN"/>
              </w:rPr>
              <w:t>文化旅游与传媒</w:t>
            </w:r>
            <w:r>
              <w:rPr>
                <w:rFonts w:ascii="Times New Roman" w:hAnsi="Times New Roman"/>
                <w:b/>
                <w:bCs/>
                <w:kern w:val="0"/>
                <w:sz w:val="32"/>
                <w:szCs w:val="32"/>
              </w:rPr>
              <w:t>项目支出绩效自评表</w:t>
            </w:r>
          </w:p>
        </w:tc>
      </w:tr>
      <w:tr>
        <w:tblPrEx>
          <w:tblCellMar>
            <w:top w:w="0" w:type="dxa"/>
            <w:left w:w="108" w:type="dxa"/>
            <w:bottom w:w="0" w:type="dxa"/>
            <w:right w:w="108" w:type="dxa"/>
          </w:tblCellMar>
        </w:tblPrEx>
        <w:trPr>
          <w:trHeight w:val="307" w:hRule="atLeast"/>
          <w:jc w:val="center"/>
        </w:trPr>
        <w:tc>
          <w:tcPr>
            <w:tcW w:w="10465" w:type="dxa"/>
            <w:gridSpan w:val="12"/>
            <w:tcBorders>
              <w:top w:val="nil"/>
              <w:left w:val="nil"/>
              <w:bottom w:val="nil"/>
              <w:right w:val="nil"/>
            </w:tcBorders>
            <w:noWrap w:val="0"/>
            <w:vAlign w:val="top"/>
          </w:tcPr>
          <w:p>
            <w:pPr>
              <w:widowControl/>
              <w:jc w:val="center"/>
              <w:rPr>
                <w:rFonts w:ascii="Times New Roman" w:hAnsi="Times New Roman"/>
                <w:kern w:val="0"/>
                <w:sz w:val="22"/>
                <w:szCs w:val="22"/>
              </w:rPr>
            </w:pPr>
            <w:r>
              <w:rPr>
                <w:rFonts w:ascii="Times New Roman" w:hAnsi="Times New Roman"/>
                <w:kern w:val="0"/>
                <w:sz w:val="22"/>
                <w:szCs w:val="22"/>
              </w:rPr>
              <w:t>（</w:t>
            </w:r>
            <w:r>
              <w:rPr>
                <w:rFonts w:hint="eastAsia" w:ascii="Times New Roman" w:hAnsi="Times New Roman"/>
                <w:kern w:val="0"/>
                <w:sz w:val="22"/>
                <w:szCs w:val="22"/>
                <w:lang w:eastAsia="zh-CN"/>
              </w:rPr>
              <w:t>2022</w:t>
            </w:r>
            <w:r>
              <w:rPr>
                <w:rFonts w:ascii="Times New Roman" w:hAnsi="Times New Roman"/>
                <w:kern w:val="0"/>
                <w:sz w:val="22"/>
                <w:szCs w:val="22"/>
              </w:rPr>
              <w:t>年度）</w:t>
            </w:r>
          </w:p>
        </w:tc>
      </w:tr>
      <w:tr>
        <w:tblPrEx>
          <w:tblCellMar>
            <w:top w:w="0" w:type="dxa"/>
            <w:left w:w="108" w:type="dxa"/>
            <w:bottom w:w="0" w:type="dxa"/>
            <w:right w:w="108" w:type="dxa"/>
          </w:tblCellMar>
        </w:tblPrEx>
        <w:trPr>
          <w:trHeight w:val="345" w:hRule="exact"/>
          <w:jc w:val="center"/>
        </w:trPr>
        <w:tc>
          <w:tcPr>
            <w:tcW w:w="167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项目名称</w:t>
            </w:r>
          </w:p>
        </w:tc>
        <w:tc>
          <w:tcPr>
            <w:tcW w:w="8790" w:type="dxa"/>
            <w:gridSpan w:val="10"/>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微软雅黑"/>
                <w:kern w:val="0"/>
                <w:sz w:val="18"/>
                <w:szCs w:val="18"/>
                <w:lang w:val="en-US" w:eastAsia="zh-CN"/>
              </w:rPr>
            </w:pPr>
            <w:r>
              <w:rPr>
                <w:rFonts w:hint="eastAsia" w:ascii="Times New Roman" w:hAnsi="Times New Roman"/>
                <w:kern w:val="0"/>
                <w:sz w:val="18"/>
                <w:szCs w:val="18"/>
                <w:lang w:val="en-US" w:eastAsia="zh-CN"/>
              </w:rPr>
              <w:t>蒿吉坪瑶族乡人民政府</w:t>
            </w:r>
            <w:r>
              <w:rPr>
                <w:rFonts w:hint="eastAsia" w:ascii="Times New Roman" w:hAnsi="Times New Roman"/>
                <w:kern w:val="0"/>
                <w:sz w:val="18"/>
                <w:szCs w:val="18"/>
              </w:rPr>
              <w:t>公共文化服务体系建设</w:t>
            </w:r>
            <w:r>
              <w:rPr>
                <w:rFonts w:hint="eastAsia" w:ascii="Times New Roman" w:hAnsi="Times New Roman"/>
                <w:kern w:val="0"/>
                <w:sz w:val="18"/>
                <w:szCs w:val="18"/>
                <w:lang w:val="en-US" w:eastAsia="zh-CN"/>
              </w:rPr>
              <w:t>项目</w:t>
            </w:r>
          </w:p>
        </w:tc>
      </w:tr>
      <w:tr>
        <w:tblPrEx>
          <w:tblCellMar>
            <w:top w:w="0" w:type="dxa"/>
            <w:left w:w="108" w:type="dxa"/>
            <w:bottom w:w="0" w:type="dxa"/>
            <w:right w:w="108" w:type="dxa"/>
          </w:tblCellMar>
        </w:tblPrEx>
        <w:trPr>
          <w:trHeight w:val="500" w:hRule="exact"/>
          <w:jc w:val="center"/>
        </w:trPr>
        <w:tc>
          <w:tcPr>
            <w:tcW w:w="167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主管部门</w:t>
            </w:r>
          </w:p>
        </w:tc>
        <w:tc>
          <w:tcPr>
            <w:tcW w:w="431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6"/>
                <w:szCs w:val="16"/>
                <w:lang w:val="en-US" w:eastAsia="zh-CN"/>
              </w:rPr>
              <w:t>蒿吉坪瑶族乡人民政府</w:t>
            </w:r>
          </w:p>
        </w:tc>
        <w:tc>
          <w:tcPr>
            <w:tcW w:w="191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实施单位</w:t>
            </w:r>
          </w:p>
        </w:tc>
        <w:tc>
          <w:tcPr>
            <w:tcW w:w="256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微软雅黑"/>
                <w:kern w:val="0"/>
                <w:sz w:val="18"/>
                <w:szCs w:val="18"/>
                <w:lang w:val="en-US" w:eastAsia="zh-CN"/>
              </w:rPr>
            </w:pPr>
            <w:r>
              <w:rPr>
                <w:rFonts w:hint="eastAsia" w:ascii="Times New Roman" w:hAnsi="Times New Roman"/>
                <w:kern w:val="0"/>
                <w:sz w:val="16"/>
                <w:szCs w:val="16"/>
                <w:lang w:val="en-US" w:eastAsia="zh-CN"/>
              </w:rPr>
              <w:t>蒿吉坪瑶族乡人民政府</w:t>
            </w:r>
          </w:p>
        </w:tc>
      </w:tr>
      <w:tr>
        <w:tblPrEx>
          <w:tblCellMar>
            <w:top w:w="0" w:type="dxa"/>
            <w:left w:w="108" w:type="dxa"/>
            <w:bottom w:w="0" w:type="dxa"/>
            <w:right w:w="108" w:type="dxa"/>
          </w:tblCellMar>
        </w:tblPrEx>
        <w:trPr>
          <w:trHeight w:val="561" w:hRule="exact"/>
          <w:jc w:val="center"/>
        </w:trPr>
        <w:tc>
          <w:tcPr>
            <w:tcW w:w="1675"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项目资金</w:t>
            </w:r>
            <w:r>
              <w:rPr>
                <w:rFonts w:ascii="Times New Roman" w:hAnsi="Times New Roman"/>
                <w:kern w:val="0"/>
                <w:sz w:val="18"/>
                <w:szCs w:val="18"/>
              </w:rPr>
              <w:br w:type="textWrapping"/>
            </w:r>
            <w:r>
              <w:rPr>
                <w:rFonts w:ascii="Times New Roman" w:hAnsi="Times New Roman"/>
                <w:kern w:val="0"/>
                <w:sz w:val="18"/>
                <w:szCs w:val="18"/>
              </w:rPr>
              <w:t>（万元）</w:t>
            </w:r>
          </w:p>
        </w:tc>
        <w:tc>
          <w:tcPr>
            <w:tcW w:w="1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2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年初预算数</w:t>
            </w:r>
          </w:p>
        </w:tc>
        <w:tc>
          <w:tcPr>
            <w:tcW w:w="1219"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全年预算数</w:t>
            </w:r>
            <w:r>
              <w:rPr>
                <w:rFonts w:ascii="Times New Roman" w:hAnsi="Times New Roman"/>
                <w:color w:val="000000"/>
                <w:kern w:val="0"/>
                <w:sz w:val="20"/>
                <w:szCs w:val="20"/>
              </w:rPr>
              <w:t>（A）</w:t>
            </w:r>
          </w:p>
        </w:tc>
        <w:tc>
          <w:tcPr>
            <w:tcW w:w="191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全年执行数</w:t>
            </w:r>
            <w:r>
              <w:rPr>
                <w:rFonts w:ascii="Times New Roman" w:hAnsi="Times New Roman"/>
                <w:color w:val="000000"/>
                <w:kern w:val="0"/>
                <w:sz w:val="20"/>
                <w:szCs w:val="20"/>
              </w:rPr>
              <w:t>（B）</w:t>
            </w:r>
          </w:p>
        </w:tc>
        <w:tc>
          <w:tcPr>
            <w:tcW w:w="54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执行率</w:t>
            </w:r>
            <w:r>
              <w:rPr>
                <w:rFonts w:ascii="Times New Roman" w:hAnsi="Times New Roman"/>
                <w:color w:val="000000"/>
                <w:kern w:val="0"/>
                <w:sz w:val="20"/>
                <w:szCs w:val="20"/>
              </w:rPr>
              <w:t>（B/A)</w:t>
            </w:r>
          </w:p>
        </w:tc>
        <w:tc>
          <w:tcPr>
            <w:tcW w:w="114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Times New Roman" w:hAnsi="Times New Roman"/>
                <w:kern w:val="0"/>
                <w:sz w:val="18"/>
                <w:szCs w:val="18"/>
              </w:rPr>
            </w:pPr>
            <w:r>
              <w:rPr>
                <w:rFonts w:ascii="Times New Roman" w:hAnsi="Times New Roman"/>
                <w:kern w:val="0"/>
                <w:sz w:val="18"/>
                <w:szCs w:val="18"/>
              </w:rPr>
              <w:t>年度资金总额</w:t>
            </w:r>
          </w:p>
        </w:tc>
        <w:tc>
          <w:tcPr>
            <w:tcW w:w="12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4</w:t>
            </w:r>
          </w:p>
        </w:tc>
        <w:tc>
          <w:tcPr>
            <w:tcW w:w="12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4</w:t>
            </w:r>
          </w:p>
        </w:tc>
        <w:tc>
          <w:tcPr>
            <w:tcW w:w="191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ascii="Times New Roman" w:hAnsi="Times New Roman"/>
                <w:kern w:val="0"/>
                <w:sz w:val="18"/>
                <w:szCs w:val="18"/>
                <w:lang w:val="en-US" w:eastAsia="zh-CN"/>
              </w:rPr>
              <w:t>4</w:t>
            </w:r>
          </w:p>
        </w:tc>
        <w:tc>
          <w:tcPr>
            <w:tcW w:w="54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lang w:val="en-US" w:eastAsia="zh-CN" w:bidi="ar-SA"/>
              </w:rPr>
            </w:pPr>
            <w:r>
              <w:rPr>
                <w:rFonts w:hint="eastAsia" w:ascii="Times New Roman" w:hAnsi="Times New Roman"/>
                <w:kern w:val="0"/>
                <w:sz w:val="18"/>
                <w:szCs w:val="18"/>
                <w:lang w:val="en-US" w:eastAsia="zh-CN"/>
              </w:rPr>
              <w:t>10</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100%</w:t>
            </w:r>
          </w:p>
        </w:tc>
        <w:tc>
          <w:tcPr>
            <w:tcW w:w="11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其中：当年财政拨款</w:t>
            </w:r>
          </w:p>
        </w:tc>
        <w:tc>
          <w:tcPr>
            <w:tcW w:w="12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ascii="Times New Roman" w:hAnsi="Times New Roman"/>
                <w:kern w:val="0"/>
                <w:sz w:val="18"/>
                <w:szCs w:val="18"/>
                <w:lang w:val="en-US" w:eastAsia="zh-CN"/>
              </w:rPr>
              <w:t>4</w:t>
            </w:r>
          </w:p>
        </w:tc>
        <w:tc>
          <w:tcPr>
            <w:tcW w:w="12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ascii="Times New Roman" w:hAnsi="Times New Roman"/>
                <w:kern w:val="0"/>
                <w:sz w:val="18"/>
                <w:szCs w:val="18"/>
                <w:lang w:val="en-US" w:eastAsia="zh-CN"/>
              </w:rPr>
              <w:t>4</w:t>
            </w:r>
          </w:p>
        </w:tc>
        <w:tc>
          <w:tcPr>
            <w:tcW w:w="191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ascii="Times New Roman" w:hAnsi="Times New Roman"/>
                <w:kern w:val="0"/>
                <w:sz w:val="18"/>
                <w:szCs w:val="18"/>
                <w:lang w:val="en-US" w:eastAsia="zh-CN"/>
              </w:rPr>
              <w:t>4</w:t>
            </w:r>
          </w:p>
        </w:tc>
        <w:tc>
          <w:tcPr>
            <w:tcW w:w="54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4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上年结转资金</w:t>
            </w:r>
          </w:p>
        </w:tc>
        <w:tc>
          <w:tcPr>
            <w:tcW w:w="12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219"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91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54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4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其他资金</w:t>
            </w:r>
          </w:p>
        </w:tc>
        <w:tc>
          <w:tcPr>
            <w:tcW w:w="12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219"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91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54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4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tblPrEx>
          <w:tblCellMar>
            <w:top w:w="0" w:type="dxa"/>
            <w:left w:w="108" w:type="dxa"/>
            <w:bottom w:w="0" w:type="dxa"/>
            <w:right w:w="108" w:type="dxa"/>
          </w:tblCellMar>
        </w:tblPrEx>
        <w:trPr>
          <w:trHeight w:val="300" w:hRule="exact"/>
          <w:jc w:val="center"/>
        </w:trPr>
        <w:tc>
          <w:tcPr>
            <w:tcW w:w="62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年度总体目标</w:t>
            </w:r>
          </w:p>
        </w:tc>
        <w:tc>
          <w:tcPr>
            <w:tcW w:w="53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预期目标</w:t>
            </w:r>
          </w:p>
        </w:tc>
        <w:tc>
          <w:tcPr>
            <w:tcW w:w="447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实际完成情况</w:t>
            </w:r>
          </w:p>
        </w:tc>
      </w:tr>
      <w:tr>
        <w:tblPrEx>
          <w:tblCellMar>
            <w:top w:w="0" w:type="dxa"/>
            <w:left w:w="108" w:type="dxa"/>
            <w:bottom w:w="0" w:type="dxa"/>
            <w:right w:w="108" w:type="dxa"/>
          </w:tblCellMar>
        </w:tblPrEx>
        <w:trPr>
          <w:trHeight w:val="720" w:hRule="exact"/>
          <w:jc w:val="center"/>
        </w:trPr>
        <w:tc>
          <w:tcPr>
            <w:tcW w:w="62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53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val="en-US" w:eastAsia="zh-CN"/>
              </w:rPr>
            </w:pPr>
            <w:r>
              <w:rPr>
                <w:rFonts w:hint="eastAsia" w:ascii="Times New Roman" w:hAnsi="Times New Roman"/>
                <w:kern w:val="0"/>
                <w:sz w:val="15"/>
                <w:szCs w:val="15"/>
                <w:lang w:val="en-US" w:eastAsia="zh-CN"/>
              </w:rPr>
              <w:t>蒿吉坪瑶族乡少数民族运动会、各类宣传资料以及助溪村文化广场路灯安装项目</w:t>
            </w:r>
          </w:p>
        </w:tc>
        <w:tc>
          <w:tcPr>
            <w:tcW w:w="447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5"/>
                <w:szCs w:val="15"/>
                <w:lang w:val="en-US" w:eastAsia="zh-CN"/>
              </w:rPr>
              <w:t>蒿吉坪瑶族乡少数民族运动会、各类宣传资料以及助溪村文化广场路灯安装项目</w:t>
            </w:r>
          </w:p>
        </w:tc>
      </w:tr>
      <w:tr>
        <w:tblPrEx>
          <w:tblCellMar>
            <w:top w:w="0" w:type="dxa"/>
            <w:left w:w="108" w:type="dxa"/>
            <w:bottom w:w="0" w:type="dxa"/>
            <w:right w:w="108" w:type="dxa"/>
          </w:tblCellMar>
        </w:tblPrEx>
        <w:trPr>
          <w:trHeight w:val="716" w:hRule="exact"/>
          <w:jc w:val="center"/>
        </w:trPr>
        <w:tc>
          <w:tcPr>
            <w:tcW w:w="628" w:type="dxa"/>
            <w:vMerge w:val="restart"/>
            <w:tcBorders>
              <w:top w:val="nil"/>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绩</w:t>
            </w:r>
            <w:r>
              <w:rPr>
                <w:rFonts w:ascii="Times New Roman" w:hAnsi="Times New Roman"/>
                <w:kern w:val="0"/>
                <w:sz w:val="18"/>
                <w:szCs w:val="18"/>
              </w:rPr>
              <w:br w:type="textWrapping"/>
            </w:r>
            <w:r>
              <w:rPr>
                <w:rFonts w:ascii="Times New Roman" w:hAnsi="Times New Roman"/>
                <w:kern w:val="0"/>
                <w:sz w:val="18"/>
                <w:szCs w:val="18"/>
              </w:rPr>
              <w:t>效</w:t>
            </w:r>
            <w:r>
              <w:rPr>
                <w:rFonts w:ascii="Times New Roman" w:hAnsi="Times New Roman"/>
                <w:kern w:val="0"/>
                <w:sz w:val="18"/>
                <w:szCs w:val="18"/>
              </w:rPr>
              <w:br w:type="textWrapping"/>
            </w:r>
            <w:r>
              <w:rPr>
                <w:rFonts w:ascii="Times New Roman" w:hAnsi="Times New Roman"/>
                <w:kern w:val="0"/>
                <w:sz w:val="18"/>
                <w:szCs w:val="18"/>
              </w:rPr>
              <w:t>指</w:t>
            </w:r>
            <w:r>
              <w:rPr>
                <w:rFonts w:ascii="Times New Roman" w:hAnsi="Times New Roman"/>
                <w:kern w:val="0"/>
                <w:sz w:val="18"/>
                <w:szCs w:val="18"/>
              </w:rPr>
              <w:br w:type="textWrapping"/>
            </w:r>
            <w:r>
              <w:rPr>
                <w:rFonts w:ascii="Times New Roman" w:hAnsi="Times New Roman"/>
                <w:kern w:val="0"/>
                <w:sz w:val="18"/>
                <w:szCs w:val="18"/>
              </w:rPr>
              <w:t>标</w:t>
            </w:r>
          </w:p>
        </w:tc>
        <w:tc>
          <w:tcPr>
            <w:tcW w:w="1047"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一级指标</w:t>
            </w:r>
          </w:p>
        </w:tc>
        <w:tc>
          <w:tcPr>
            <w:tcW w:w="1187"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二级指标</w:t>
            </w:r>
          </w:p>
        </w:tc>
        <w:tc>
          <w:tcPr>
            <w:tcW w:w="165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三级指标</w:t>
            </w:r>
          </w:p>
        </w:tc>
        <w:tc>
          <w:tcPr>
            <w:tcW w:w="147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指标值</w:t>
            </w:r>
          </w:p>
        </w:tc>
        <w:tc>
          <w:tcPr>
            <w:tcW w:w="135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完成值</w:t>
            </w:r>
          </w:p>
        </w:tc>
        <w:tc>
          <w:tcPr>
            <w:tcW w:w="552"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54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c>
          <w:tcPr>
            <w:tcW w:w="20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偏差原因分析及改进措施</w:t>
            </w:r>
          </w:p>
        </w:tc>
      </w:tr>
      <w:tr>
        <w:tblPrEx>
          <w:tblCellMar>
            <w:top w:w="0" w:type="dxa"/>
            <w:left w:w="108" w:type="dxa"/>
            <w:bottom w:w="0" w:type="dxa"/>
            <w:right w:w="108" w:type="dxa"/>
          </w:tblCellMar>
        </w:tblPrEx>
        <w:trPr>
          <w:trHeight w:val="313" w:hRule="atLeas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restart"/>
            <w:tcBorders>
              <w:top w:val="nil"/>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产出指标</w:t>
            </w:r>
            <w:r>
              <w:rPr>
                <w:rFonts w:ascii="Times New Roman" w:hAnsi="Times New Roman"/>
                <w:kern w:val="0"/>
                <w:sz w:val="20"/>
                <w:szCs w:val="20"/>
              </w:rPr>
              <w:t>(50分)</w:t>
            </w: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数量指标</w:t>
            </w:r>
          </w:p>
        </w:tc>
        <w:tc>
          <w:tcPr>
            <w:tcW w:w="165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服务人数</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微软雅黑"/>
                <w:kern w:val="0"/>
                <w:sz w:val="18"/>
                <w:szCs w:val="18"/>
                <w:lang w:val="en-US" w:eastAsia="zh-CN"/>
              </w:rPr>
            </w:pPr>
            <w:r>
              <w:rPr>
                <w:rFonts w:hint="eastAsia" w:ascii="Times New Roman" w:hAnsi="Times New Roman"/>
                <w:kern w:val="0"/>
                <w:sz w:val="18"/>
                <w:szCs w:val="18"/>
                <w:lang w:val="en-US" w:eastAsia="zh-CN"/>
              </w:rPr>
              <w:t>1000人</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微软雅黑"/>
                <w:kern w:val="0"/>
                <w:sz w:val="18"/>
                <w:szCs w:val="18"/>
                <w:lang w:val="en-US" w:eastAsia="zh-CN"/>
              </w:rPr>
            </w:pPr>
            <w:r>
              <w:rPr>
                <w:rFonts w:hint="eastAsia" w:ascii="Times New Roman" w:hAnsi="Times New Roman"/>
                <w:kern w:val="0"/>
                <w:sz w:val="18"/>
                <w:szCs w:val="18"/>
                <w:lang w:val="en-US" w:eastAsia="zh-CN"/>
              </w:rPr>
              <w:t>1000人</w:t>
            </w:r>
          </w:p>
        </w:tc>
        <w:tc>
          <w:tcPr>
            <w:tcW w:w="552"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14</w:t>
            </w:r>
          </w:p>
        </w:tc>
        <w:tc>
          <w:tcPr>
            <w:tcW w:w="544"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14</w:t>
            </w:r>
          </w:p>
        </w:tc>
        <w:tc>
          <w:tcPr>
            <w:tcW w:w="2017" w:type="dxa"/>
            <w:gridSpan w:val="2"/>
            <w:tcBorders>
              <w:top w:val="single" w:color="auto" w:sz="4" w:space="0"/>
              <w:left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p>
        </w:tc>
      </w:tr>
      <w:tr>
        <w:tblPrEx>
          <w:tblCellMar>
            <w:top w:w="0" w:type="dxa"/>
            <w:left w:w="108" w:type="dxa"/>
            <w:bottom w:w="0" w:type="dxa"/>
            <w:right w:w="108" w:type="dxa"/>
          </w:tblCellMar>
        </w:tblPrEx>
        <w:trPr>
          <w:trHeight w:val="420"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质量指标</w:t>
            </w:r>
          </w:p>
        </w:tc>
        <w:tc>
          <w:tcPr>
            <w:tcW w:w="1658" w:type="dxa"/>
            <w:gridSpan w:val="2"/>
            <w:tcBorders>
              <w:top w:val="single" w:color="auto" w:sz="4" w:space="0"/>
              <w:left w:val="nil"/>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项目完成率</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12</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12</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750"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时效指标</w:t>
            </w:r>
          </w:p>
        </w:tc>
        <w:tc>
          <w:tcPr>
            <w:tcW w:w="1658" w:type="dxa"/>
            <w:gridSpan w:val="2"/>
            <w:tcBorders>
              <w:top w:val="single" w:color="auto" w:sz="4" w:space="0"/>
              <w:left w:val="nil"/>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项目验收前及时、有效率</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100%</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12</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11</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p>
        </w:tc>
      </w:tr>
      <w:tr>
        <w:tblPrEx>
          <w:tblCellMar>
            <w:top w:w="0" w:type="dxa"/>
            <w:left w:w="108" w:type="dxa"/>
            <w:bottom w:w="0" w:type="dxa"/>
            <w:right w:w="108" w:type="dxa"/>
          </w:tblCellMar>
        </w:tblPrEx>
        <w:trPr>
          <w:trHeight w:val="405"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成本指标</w:t>
            </w:r>
          </w:p>
        </w:tc>
        <w:tc>
          <w:tcPr>
            <w:tcW w:w="165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项目各项成本</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kern w:val="0"/>
                <w:sz w:val="18"/>
                <w:szCs w:val="18"/>
                <w:lang w:val="en-US"/>
              </w:rPr>
            </w:pPr>
            <w:r>
              <w:rPr>
                <w:rFonts w:hint="eastAsia" w:ascii="宋体" w:hAnsi="宋体" w:eastAsia="宋体" w:cs="宋体"/>
                <w:i w:val="0"/>
                <w:color w:val="000000"/>
                <w:kern w:val="0"/>
                <w:sz w:val="20"/>
                <w:szCs w:val="20"/>
                <w:u w:val="none"/>
                <w:lang w:val="en-US" w:eastAsia="zh-CN" w:bidi="ar"/>
              </w:rPr>
              <w:t>4万元</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kern w:val="0"/>
                <w:sz w:val="18"/>
                <w:szCs w:val="18"/>
                <w:lang w:val="en-US"/>
              </w:rPr>
            </w:pPr>
            <w:r>
              <w:rPr>
                <w:rFonts w:hint="eastAsia" w:ascii="宋体" w:hAnsi="宋体" w:eastAsia="宋体" w:cs="宋体"/>
                <w:i w:val="0"/>
                <w:color w:val="000000"/>
                <w:kern w:val="0"/>
                <w:sz w:val="20"/>
                <w:szCs w:val="20"/>
                <w:u w:val="none"/>
                <w:lang w:val="en-US" w:eastAsia="zh-CN" w:bidi="ar"/>
              </w:rPr>
              <w:t>4万元</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12</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12</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705"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效益指标</w:t>
            </w:r>
            <w:r>
              <w:rPr>
                <w:rFonts w:hint="eastAsia" w:ascii="Times New Roman" w:hAnsi="Times New Roman"/>
                <w:kern w:val="0"/>
                <w:sz w:val="18"/>
                <w:szCs w:val="18"/>
                <w:lang w:eastAsia="zh-CN"/>
              </w:rPr>
              <w:t>（</w:t>
            </w:r>
            <w:r>
              <w:rPr>
                <w:rFonts w:hint="eastAsia" w:ascii="Times New Roman" w:hAnsi="Times New Roman"/>
                <w:kern w:val="0"/>
                <w:sz w:val="20"/>
                <w:szCs w:val="20"/>
                <w:lang w:val="en-US" w:eastAsia="zh-CN"/>
              </w:rPr>
              <w:t>3</w:t>
            </w:r>
            <w:r>
              <w:rPr>
                <w:rFonts w:ascii="Times New Roman" w:hAnsi="Times New Roman"/>
                <w:kern w:val="0"/>
                <w:sz w:val="20"/>
                <w:szCs w:val="20"/>
              </w:rPr>
              <w:t>0分)</w:t>
            </w: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经济效益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165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经济效益情况</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效果明显</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效果明显</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7</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6</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eastAsia="zh-CN"/>
              </w:rPr>
            </w:pPr>
          </w:p>
        </w:tc>
      </w:tr>
      <w:tr>
        <w:tblPrEx>
          <w:tblCellMar>
            <w:top w:w="0" w:type="dxa"/>
            <w:left w:w="108" w:type="dxa"/>
            <w:bottom w:w="0" w:type="dxa"/>
            <w:right w:w="108" w:type="dxa"/>
          </w:tblCellMar>
        </w:tblPrEx>
        <w:trPr>
          <w:trHeight w:val="705"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社会效益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165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增加群众满意度</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7</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7</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372" w:hRule="atLeas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生态效益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165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color w:val="000000"/>
                <w:kern w:val="0"/>
                <w:sz w:val="18"/>
                <w:szCs w:val="18"/>
              </w:rPr>
            </w:pPr>
            <w:r>
              <w:rPr>
                <w:rFonts w:hint="eastAsia" w:ascii="Times New Roman" w:hAnsi="Times New Roman"/>
                <w:color w:val="000000"/>
                <w:kern w:val="0"/>
                <w:sz w:val="18"/>
                <w:szCs w:val="18"/>
              </w:rPr>
              <w:t>项目建设中对环境的保护率</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Times New Roman" w:hAnsi="Times New Roman"/>
                <w:kern w:val="0"/>
                <w:sz w:val="18"/>
                <w:szCs w:val="18"/>
              </w:rPr>
              <w:t>≥90</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lang w:val="en-US" w:eastAsia="zh-CN" w:bidi="ar-SA"/>
              </w:rPr>
            </w:pPr>
            <w:r>
              <w:rPr>
                <w:rFonts w:hint="eastAsia" w:ascii="Times New Roman" w:hAnsi="Times New Roman"/>
                <w:kern w:val="0"/>
                <w:sz w:val="18"/>
                <w:szCs w:val="18"/>
                <w:lang w:val="en-US" w:eastAsia="zh-CN"/>
              </w:rPr>
              <w:t>97</w:t>
            </w:r>
            <w:r>
              <w:rPr>
                <w:rFonts w:hint="eastAsia" w:ascii="Times New Roman" w:hAnsi="Times New Roman"/>
                <w:kern w:val="0"/>
                <w:sz w:val="18"/>
                <w:szCs w:val="18"/>
              </w:rPr>
              <w:t>%</w:t>
            </w:r>
          </w:p>
        </w:tc>
        <w:tc>
          <w:tcPr>
            <w:tcW w:w="552"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ascii="Times New Roman" w:hAnsi="Times New Roman"/>
                <w:kern w:val="0"/>
                <w:sz w:val="18"/>
                <w:szCs w:val="18"/>
                <w:lang w:val="en-US" w:eastAsia="zh-CN"/>
              </w:rPr>
              <w:t>8</w:t>
            </w:r>
          </w:p>
        </w:tc>
        <w:tc>
          <w:tcPr>
            <w:tcW w:w="544"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lang w:val="en-US" w:eastAsia="zh-CN" w:bidi="ar-SA"/>
              </w:rPr>
            </w:pPr>
            <w:r>
              <w:rPr>
                <w:rFonts w:hint="eastAsia" w:ascii="Times New Roman" w:hAnsi="Times New Roman"/>
                <w:kern w:val="0"/>
                <w:sz w:val="18"/>
                <w:szCs w:val="18"/>
                <w:lang w:val="en-US" w:eastAsia="zh-CN"/>
              </w:rPr>
              <w:t>7</w:t>
            </w:r>
          </w:p>
        </w:tc>
        <w:tc>
          <w:tcPr>
            <w:tcW w:w="2017" w:type="dxa"/>
            <w:gridSpan w:val="2"/>
            <w:tcBorders>
              <w:top w:val="single" w:color="auto" w:sz="4" w:space="0"/>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480"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可持续影响指标</w:t>
            </w:r>
          </w:p>
        </w:tc>
        <w:tc>
          <w:tcPr>
            <w:tcW w:w="165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color w:val="000000"/>
                <w:kern w:val="0"/>
                <w:sz w:val="18"/>
                <w:szCs w:val="18"/>
                <w:lang w:val="en-US"/>
              </w:rPr>
            </w:pPr>
            <w:r>
              <w:rPr>
                <w:rFonts w:hint="eastAsia" w:ascii="宋体" w:hAnsi="宋体" w:eastAsia="宋体" w:cs="宋体"/>
                <w:i w:val="0"/>
                <w:color w:val="000000"/>
                <w:kern w:val="0"/>
                <w:sz w:val="20"/>
                <w:szCs w:val="20"/>
                <w:u w:val="none"/>
                <w:lang w:val="en-US" w:eastAsia="zh-CN" w:bidi="ar"/>
              </w:rPr>
              <w:t>完善农村文化建设</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持续</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持续</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ascii="Times New Roman" w:hAnsi="Times New Roman"/>
                <w:kern w:val="0"/>
                <w:sz w:val="18"/>
                <w:szCs w:val="18"/>
                <w:lang w:val="en-US" w:eastAsia="zh-CN"/>
              </w:rPr>
              <w:t>8</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ascii="Times New Roman" w:hAnsi="Times New Roman"/>
                <w:kern w:val="0"/>
                <w:sz w:val="18"/>
                <w:szCs w:val="18"/>
                <w:lang w:val="en-US" w:eastAsia="zh-CN"/>
              </w:rPr>
              <w:t>8</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1020"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满意度</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r>
              <w:rPr>
                <w:rFonts w:ascii="Times New Roman" w:hAnsi="Times New Roman"/>
                <w:kern w:val="0"/>
                <w:sz w:val="20"/>
                <w:szCs w:val="20"/>
              </w:rPr>
              <w:t>(</w:t>
            </w:r>
            <w:r>
              <w:rPr>
                <w:rFonts w:hint="eastAsia" w:ascii="Times New Roman" w:hAnsi="Times New Roman"/>
                <w:kern w:val="0"/>
                <w:sz w:val="20"/>
                <w:szCs w:val="20"/>
                <w:lang w:val="en-US" w:eastAsia="zh-CN"/>
              </w:rPr>
              <w:t>1</w:t>
            </w:r>
            <w:r>
              <w:rPr>
                <w:rFonts w:ascii="Times New Roman" w:hAnsi="Times New Roman"/>
                <w:kern w:val="0"/>
                <w:sz w:val="20"/>
                <w:szCs w:val="20"/>
              </w:rPr>
              <w:t>0分)</w:t>
            </w: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服务对象满意度指标</w:t>
            </w:r>
          </w:p>
        </w:tc>
        <w:tc>
          <w:tcPr>
            <w:tcW w:w="1658" w:type="dxa"/>
            <w:gridSpan w:val="2"/>
            <w:tcBorders>
              <w:top w:val="single" w:color="auto" w:sz="4" w:space="0"/>
              <w:left w:val="nil"/>
              <w:right w:val="single" w:color="auto" w:sz="4" w:space="0"/>
            </w:tcBorders>
            <w:noWrap w:val="0"/>
            <w:vAlign w:val="center"/>
          </w:tcPr>
          <w:p>
            <w:pPr>
              <w:keepNext w:val="0"/>
              <w:keepLines w:val="0"/>
              <w:widowControl/>
              <w:suppressLineNumbers w:val="0"/>
              <w:jc w:val="center"/>
              <w:textAlignment w:val="center"/>
              <w:rPr>
                <w:rFonts w:ascii="Times New Roman" w:hAnsi="Times New Roman"/>
                <w:color w:val="000000"/>
                <w:kern w:val="0"/>
                <w:sz w:val="18"/>
                <w:szCs w:val="18"/>
              </w:rPr>
            </w:pPr>
            <w:r>
              <w:rPr>
                <w:rFonts w:hint="eastAsia" w:ascii="宋体" w:hAnsi="宋体" w:eastAsia="宋体" w:cs="宋体"/>
                <w:i w:val="0"/>
                <w:color w:val="000000"/>
                <w:kern w:val="0"/>
                <w:sz w:val="20"/>
                <w:szCs w:val="20"/>
                <w:u w:val="none"/>
                <w:lang w:val="en-US" w:eastAsia="zh-CN" w:bidi="ar"/>
              </w:rPr>
              <w:t>群众满意</w:t>
            </w:r>
          </w:p>
        </w:tc>
        <w:tc>
          <w:tcPr>
            <w:tcW w:w="1474" w:type="dxa"/>
            <w:gridSpan w:val="2"/>
            <w:tcBorders>
              <w:top w:val="single" w:color="auto" w:sz="4" w:space="0"/>
              <w:left w:val="nil"/>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1358" w:type="dxa"/>
            <w:tcBorders>
              <w:top w:val="single" w:color="auto" w:sz="4" w:space="0"/>
              <w:left w:val="nil"/>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100</w:t>
            </w:r>
            <w:r>
              <w:rPr>
                <w:rFonts w:hint="eastAsia" w:ascii="Times New Roman" w:hAnsi="Times New Roman"/>
                <w:kern w:val="0"/>
                <w:sz w:val="18"/>
                <w:szCs w:val="18"/>
              </w:rPr>
              <w:t>%</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20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300" w:hRule="exact"/>
          <w:jc w:val="center"/>
        </w:trPr>
        <w:tc>
          <w:tcPr>
            <w:tcW w:w="7352"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总分</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10</w:t>
            </w:r>
            <w:r>
              <w:rPr>
                <w:rFonts w:hint="eastAsia" w:ascii="Times New Roman" w:hAnsi="Times New Roman"/>
                <w:color w:val="000000"/>
                <w:kern w:val="0"/>
                <w:sz w:val="18"/>
                <w:szCs w:val="18"/>
                <w:lang w:val="en-US" w:eastAsia="zh-CN"/>
              </w:rPr>
              <w:t>0</w:t>
            </w:r>
            <w:r>
              <w:rPr>
                <w:rFonts w:ascii="Times New Roman" w:hAnsi="Times New Roman"/>
                <w:color w:val="000000"/>
                <w:kern w:val="0"/>
                <w:sz w:val="18"/>
                <w:szCs w:val="18"/>
              </w:rPr>
              <w:t>0</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color w:val="000000"/>
                <w:kern w:val="0"/>
                <w:sz w:val="18"/>
                <w:szCs w:val="18"/>
                <w:lang w:val="en-US" w:eastAsia="zh-CN"/>
              </w:rPr>
            </w:pPr>
            <w:r>
              <w:rPr>
                <w:rFonts w:hint="eastAsia" w:ascii="Times New Roman" w:hAnsi="Times New Roman"/>
                <w:color w:val="000000"/>
                <w:kern w:val="0"/>
                <w:sz w:val="18"/>
                <w:szCs w:val="18"/>
                <w:lang w:val="en-US" w:eastAsia="zh-CN"/>
              </w:rPr>
              <w:t>97</w:t>
            </w:r>
          </w:p>
        </w:tc>
        <w:tc>
          <w:tcPr>
            <w:tcW w:w="20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bl>
    <w:p>
      <w:pPr>
        <w:rPr>
          <w:rFonts w:ascii="Times New Roman" w:hAnsi="Times New Roman" w:eastAsia="黑体"/>
        </w:rPr>
        <w:sectPr>
          <w:footerReference r:id="rId4" w:type="default"/>
          <w:pgSz w:w="11906" w:h="16838"/>
          <w:pgMar w:top="1587" w:right="1587" w:bottom="1587" w:left="1587" w:header="737" w:footer="850" w:gutter="0"/>
          <w:pgBorders>
            <w:top w:val="none" w:sz="0" w:space="0"/>
            <w:left w:val="none" w:sz="0" w:space="0"/>
            <w:bottom w:val="none" w:sz="0" w:space="0"/>
            <w:right w:val="none" w:sz="0" w:space="0"/>
          </w:pgBorders>
          <w:cols w:space="720" w:num="1"/>
          <w:docGrid w:type="lines" w:linePitch="408" w:charSpace="0"/>
        </w:sectPr>
      </w:pPr>
    </w:p>
    <w:p>
      <w:pPr>
        <w:spacing w:line="560" w:lineRule="exact"/>
        <w:rPr>
          <w:rFonts w:ascii="Times New Roman" w:hAnsi="Times New Roman" w:eastAsia="仿宋_GB2312"/>
          <w:bCs/>
          <w:color w:val="000000"/>
          <w:sz w:val="32"/>
          <w:szCs w:val="32"/>
        </w:rPr>
      </w:pPr>
      <w:r>
        <w:rPr>
          <w:rFonts w:ascii="Times New Roman" w:hAnsi="Times New Roman" w:eastAsia="仿宋_GB2312"/>
          <w:bCs/>
          <w:color w:val="000000"/>
          <w:sz w:val="32"/>
          <w:szCs w:val="32"/>
        </w:rPr>
        <w:t>附件</w:t>
      </w:r>
      <w:r>
        <w:rPr>
          <w:rFonts w:hint="eastAsia" w:ascii="Times New Roman" w:hAnsi="Times New Roman" w:eastAsia="仿宋_GB2312"/>
          <w:bCs/>
          <w:color w:val="000000"/>
          <w:sz w:val="32"/>
          <w:szCs w:val="32"/>
        </w:rPr>
        <w:t>3</w:t>
      </w:r>
    </w:p>
    <w:p>
      <w:pPr>
        <w:pStyle w:val="2"/>
        <w:spacing w:before="0" w:after="0" w:line="240" w:lineRule="auto"/>
        <w:jc w:val="center"/>
        <w:rPr>
          <w:rFonts w:ascii="Times New Roman" w:hAnsi="Times New Roman" w:eastAsia="宋体"/>
          <w:bCs/>
          <w:color w:val="000000"/>
          <w:sz w:val="36"/>
          <w:szCs w:val="28"/>
        </w:rPr>
      </w:pPr>
      <w:r>
        <w:rPr>
          <w:rFonts w:hint="eastAsia" w:ascii="Times New Roman" w:hAnsi="Times New Roman" w:eastAsia="宋体"/>
          <w:bCs/>
          <w:color w:val="000000"/>
          <w:sz w:val="36"/>
          <w:szCs w:val="28"/>
          <w:lang w:val="en-US" w:eastAsia="zh-CN"/>
        </w:rPr>
        <w:t>文化旅游体育与传媒</w:t>
      </w:r>
      <w:r>
        <w:rPr>
          <w:rFonts w:ascii="Times New Roman" w:hAnsi="Times New Roman" w:eastAsia="宋体"/>
          <w:bCs/>
          <w:color w:val="000000"/>
          <w:sz w:val="36"/>
          <w:szCs w:val="28"/>
        </w:rPr>
        <w:t>支出绩效评价</w:t>
      </w:r>
      <w:r>
        <w:rPr>
          <w:rFonts w:hint="eastAsia" w:ascii="Times New Roman" w:hAnsi="Times New Roman" w:eastAsia="宋体"/>
          <w:bCs/>
          <w:color w:val="000000"/>
          <w:sz w:val="36"/>
          <w:szCs w:val="28"/>
        </w:rPr>
        <w:t>共性</w:t>
      </w:r>
      <w:r>
        <w:rPr>
          <w:rFonts w:ascii="Times New Roman" w:hAnsi="Times New Roman" w:eastAsia="宋体"/>
          <w:bCs/>
          <w:color w:val="000000"/>
          <w:sz w:val="36"/>
          <w:szCs w:val="28"/>
        </w:rPr>
        <w:t>指标</w:t>
      </w:r>
      <w:r>
        <w:rPr>
          <w:rFonts w:hint="eastAsia" w:ascii="Times New Roman" w:hAnsi="Times New Roman" w:eastAsia="宋体"/>
          <w:bCs/>
          <w:color w:val="000000"/>
          <w:sz w:val="36"/>
          <w:szCs w:val="28"/>
        </w:rPr>
        <w:t>表</w:t>
      </w:r>
    </w:p>
    <w:tbl>
      <w:tblPr>
        <w:tblStyle w:val="4"/>
        <w:tblW w:w="1258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567"/>
        <w:gridCol w:w="2835"/>
        <w:gridCol w:w="6096"/>
        <w:gridCol w:w="5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一级指标</w:t>
            </w:r>
          </w:p>
        </w:tc>
        <w:tc>
          <w:tcPr>
            <w:tcW w:w="709"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二级指标</w:t>
            </w:r>
          </w:p>
        </w:tc>
        <w:tc>
          <w:tcPr>
            <w:tcW w:w="1134"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三级指标</w:t>
            </w:r>
          </w:p>
        </w:tc>
        <w:tc>
          <w:tcPr>
            <w:tcW w:w="567" w:type="dxa"/>
            <w:shd w:val="clear" w:color="auto" w:fill="FFFFFF"/>
            <w:noWrap w:val="0"/>
            <w:vAlign w:val="top"/>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分</w:t>
            </w:r>
          </w:p>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值</w:t>
            </w:r>
          </w:p>
        </w:tc>
        <w:tc>
          <w:tcPr>
            <w:tcW w:w="2835"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指标解释</w:t>
            </w:r>
          </w:p>
        </w:tc>
        <w:tc>
          <w:tcPr>
            <w:tcW w:w="6096"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指标说明</w:t>
            </w:r>
          </w:p>
        </w:tc>
        <w:tc>
          <w:tcPr>
            <w:tcW w:w="566"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项目立项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立项依据</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充分性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项目立项是否符合法律法规、相关政策、发展规划以及部门职责，用以反映和考核项目立项依据情况。</w:t>
            </w:r>
          </w:p>
        </w:tc>
        <w:tc>
          <w:tcPr>
            <w:tcW w:w="6096"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项目立项是否符合国家法律法规、国民经济发展规划和相关政策；</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项目立项是否符合行业发展规划和政策要求；</w:t>
            </w:r>
            <w:r>
              <w:rPr>
                <w:rFonts w:ascii="Times New Roman" w:hAnsi="Times New Roman"/>
                <w:color w:val="000000"/>
                <w:kern w:val="0"/>
                <w:sz w:val="22"/>
                <w:szCs w:val="22"/>
              </w:rPr>
              <w:br w:type="textWrapping"/>
            </w:r>
            <w:r>
              <w:rPr>
                <w:rFonts w:hint="eastAsia" w:ascii="宋体" w:hAnsi="宋体" w:cs="宋体"/>
                <w:color w:val="000000"/>
                <w:kern w:val="0"/>
                <w:sz w:val="22"/>
                <w:szCs w:val="22"/>
              </w:rPr>
              <w:t>③</w:t>
            </w:r>
            <w:r>
              <w:rPr>
                <w:rFonts w:ascii="Times New Roman" w:hAnsi="Times New Roman"/>
                <w:color w:val="000000"/>
                <w:kern w:val="0"/>
                <w:sz w:val="22"/>
                <w:szCs w:val="22"/>
              </w:rPr>
              <w:t>项目立项是否与部门职责范围相符，属于部门履职所需；</w:t>
            </w:r>
            <w:r>
              <w:rPr>
                <w:rFonts w:ascii="Times New Roman" w:hAnsi="Times New Roman"/>
                <w:color w:val="000000"/>
                <w:kern w:val="0"/>
                <w:sz w:val="22"/>
                <w:szCs w:val="22"/>
              </w:rPr>
              <w:br w:type="textWrapping"/>
            </w:r>
            <w:r>
              <w:rPr>
                <w:rFonts w:hint="eastAsia" w:ascii="宋体" w:hAnsi="宋体" w:cs="宋体"/>
                <w:color w:val="000000"/>
                <w:kern w:val="0"/>
                <w:sz w:val="22"/>
                <w:szCs w:val="22"/>
              </w:rPr>
              <w:t>④</w:t>
            </w:r>
            <w:r>
              <w:rPr>
                <w:rFonts w:ascii="Times New Roman" w:hAnsi="Times New Roman"/>
                <w:color w:val="000000"/>
                <w:kern w:val="0"/>
                <w:sz w:val="22"/>
                <w:szCs w:val="22"/>
              </w:rPr>
              <w:t>项目是否属于公共财政支持范围，是否符合中央、地方事权支出责任划分原则；</w:t>
            </w:r>
            <w:r>
              <w:rPr>
                <w:rFonts w:ascii="Times New Roman" w:hAnsi="Times New Roman"/>
                <w:color w:val="000000"/>
                <w:kern w:val="0"/>
                <w:sz w:val="22"/>
                <w:szCs w:val="22"/>
              </w:rPr>
              <w:br w:type="textWrapping"/>
            </w:r>
            <w:r>
              <w:rPr>
                <w:rFonts w:hint="eastAsia" w:ascii="宋体" w:hAnsi="宋体" w:cs="宋体"/>
                <w:color w:val="000000"/>
                <w:kern w:val="0"/>
                <w:sz w:val="22"/>
                <w:szCs w:val="22"/>
              </w:rPr>
              <w:t>⑤</w:t>
            </w:r>
            <w:r>
              <w:rPr>
                <w:rFonts w:ascii="Times New Roman" w:hAnsi="Times New Roman"/>
                <w:color w:val="000000"/>
                <w:kern w:val="0"/>
                <w:sz w:val="22"/>
                <w:szCs w:val="22"/>
              </w:rPr>
              <w:t>项目是否与相关部门同类项目或部门内部相关项目重复。</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立项程序</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规范性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项目申请、设立过程是否符合相关要求，用以反映和考核项目立项的规范情况。</w:t>
            </w:r>
          </w:p>
        </w:tc>
        <w:tc>
          <w:tcPr>
            <w:tcW w:w="6096"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项目是否按照规定的程序申请设立；</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审批文件、材料是否符合相关要求；</w:t>
            </w:r>
            <w:r>
              <w:rPr>
                <w:rFonts w:ascii="Times New Roman" w:hAnsi="Times New Roman"/>
                <w:color w:val="000000"/>
                <w:kern w:val="0"/>
                <w:sz w:val="22"/>
                <w:szCs w:val="22"/>
              </w:rPr>
              <w:br w:type="textWrapping"/>
            </w:r>
            <w:r>
              <w:rPr>
                <w:rFonts w:hint="eastAsia" w:ascii="宋体" w:hAnsi="宋体" w:cs="宋体"/>
                <w:color w:val="000000"/>
                <w:kern w:val="0"/>
                <w:sz w:val="22"/>
                <w:szCs w:val="22"/>
              </w:rPr>
              <w:t>③</w:t>
            </w:r>
            <w:r>
              <w:rPr>
                <w:rFonts w:ascii="Times New Roman" w:hAnsi="Times New Roman"/>
                <w:color w:val="000000"/>
                <w:kern w:val="0"/>
                <w:sz w:val="22"/>
                <w:szCs w:val="22"/>
              </w:rPr>
              <w:t>事前是否已经过必要的可行性研究、专家论证、风险评估、绩效评估、集体决策。</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项目所设定的绩效目标是否依据充分，是否符合客观实际，用以反映和考核项目绩效目标与项目实施的相符情况。</w:t>
            </w:r>
          </w:p>
        </w:tc>
        <w:tc>
          <w:tcPr>
            <w:tcW w:w="6096"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（如未设定预算绩效目标，也可考核其他工作任务目标）</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项目是否有绩效目标；</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项目绩效目标与实际工作内容是否具有相关性；</w:t>
            </w:r>
            <w:r>
              <w:rPr>
                <w:rFonts w:ascii="Times New Roman" w:hAnsi="Times New Roman"/>
                <w:color w:val="000000"/>
                <w:kern w:val="0"/>
                <w:sz w:val="22"/>
                <w:szCs w:val="22"/>
              </w:rPr>
              <w:br w:type="textWrapping"/>
            </w:r>
            <w:r>
              <w:rPr>
                <w:rFonts w:hint="eastAsia" w:ascii="宋体" w:hAnsi="宋体" w:cs="宋体"/>
                <w:color w:val="000000"/>
                <w:kern w:val="0"/>
                <w:sz w:val="22"/>
                <w:szCs w:val="22"/>
              </w:rPr>
              <w:t>③</w:t>
            </w:r>
            <w:r>
              <w:rPr>
                <w:rFonts w:ascii="Times New Roman" w:hAnsi="Times New Roman"/>
                <w:color w:val="000000"/>
                <w:kern w:val="0"/>
                <w:sz w:val="22"/>
                <w:szCs w:val="22"/>
              </w:rPr>
              <w:t>项目预期产出效益和效果是否符合正常的业绩水平；</w:t>
            </w:r>
          </w:p>
          <w:p>
            <w:pPr>
              <w:widowControl/>
              <w:spacing w:line="0" w:lineRule="atLeast"/>
              <w:jc w:val="left"/>
              <w:rPr>
                <w:rFonts w:ascii="Times New Roman" w:hAnsi="Times New Roman"/>
                <w:color w:val="000000"/>
                <w:kern w:val="0"/>
                <w:sz w:val="22"/>
                <w:szCs w:val="22"/>
              </w:rPr>
            </w:pPr>
            <w:r>
              <w:rPr>
                <w:rFonts w:hint="eastAsia" w:ascii="宋体" w:hAnsi="宋体" w:cs="宋体"/>
                <w:color w:val="000000"/>
                <w:kern w:val="0"/>
                <w:sz w:val="22"/>
                <w:szCs w:val="22"/>
              </w:rPr>
              <w:t>④</w:t>
            </w:r>
            <w:r>
              <w:rPr>
                <w:rFonts w:ascii="Times New Roman" w:hAnsi="Times New Roman"/>
                <w:color w:val="000000"/>
                <w:kern w:val="0"/>
                <w:sz w:val="22"/>
                <w:szCs w:val="22"/>
              </w:rPr>
              <w:t>是否与预算确定的项目投资额或资金量相匹配。</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绩效指标</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明确性</w:t>
            </w:r>
          </w:p>
        </w:tc>
        <w:tc>
          <w:tcPr>
            <w:tcW w:w="567"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依据绩效目标设定的绩效指标是否清晰、细化、可衡量等，用以反映和考核项目绩效目标的明细化情况。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是否将项目绩效目标细化分解为具体的绩效指标；</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是否通过清晰、可衡量的指标值予以体现；</w:t>
            </w:r>
            <w:r>
              <w:rPr>
                <w:rFonts w:ascii="Times New Roman" w:hAnsi="Times New Roman"/>
                <w:color w:val="000000"/>
                <w:kern w:val="0"/>
                <w:sz w:val="22"/>
                <w:szCs w:val="22"/>
              </w:rPr>
              <w:br w:type="textWrapping"/>
            </w:r>
            <w:r>
              <w:rPr>
                <w:rFonts w:hint="eastAsia" w:ascii="宋体" w:hAnsi="宋体" w:cs="宋体"/>
                <w:color w:val="000000"/>
                <w:kern w:val="0"/>
                <w:sz w:val="22"/>
                <w:szCs w:val="22"/>
              </w:rPr>
              <w:t>③</w:t>
            </w:r>
            <w:r>
              <w:rPr>
                <w:rFonts w:ascii="Times New Roman" w:hAnsi="Times New Roman"/>
                <w:color w:val="000000"/>
                <w:kern w:val="0"/>
                <w:sz w:val="22"/>
                <w:szCs w:val="22"/>
              </w:rPr>
              <w:t>是否与项目目标任务数或计划数相对应。</w:t>
            </w:r>
            <w:r>
              <w:rPr>
                <w:rFonts w:ascii="Times New Roman" w:hAnsi="Times New Roman"/>
                <w:color w:val="000000"/>
                <w:kern w:val="0"/>
                <w:sz w:val="22"/>
                <w:szCs w:val="22"/>
              </w:rPr>
              <w:br w:type="textWrapping"/>
            </w:r>
          </w:p>
        </w:tc>
        <w:tc>
          <w:tcPr>
            <w:tcW w:w="566"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资金投入</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预算编制</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科学性</w:t>
            </w:r>
          </w:p>
        </w:tc>
        <w:tc>
          <w:tcPr>
            <w:tcW w:w="567"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项目预算编制是否经过科学论证、有明确标准，资金额度与年度目标是否相适应，用以反映和考核项目预算编制的科学性、合理性情况。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预算编制是否经过科学论证；</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预算内容与项目内容是否匹配；</w:t>
            </w:r>
            <w:r>
              <w:rPr>
                <w:rFonts w:ascii="Times New Roman" w:hAnsi="Times New Roman"/>
                <w:color w:val="000000"/>
                <w:kern w:val="0"/>
                <w:sz w:val="22"/>
                <w:szCs w:val="22"/>
              </w:rPr>
              <w:br w:type="textWrapping"/>
            </w:r>
            <w:r>
              <w:rPr>
                <w:rFonts w:hint="eastAsia" w:ascii="宋体" w:hAnsi="宋体" w:cs="宋体"/>
                <w:color w:val="000000"/>
                <w:kern w:val="0"/>
                <w:sz w:val="22"/>
                <w:szCs w:val="22"/>
              </w:rPr>
              <w:t>③</w:t>
            </w:r>
            <w:r>
              <w:rPr>
                <w:rFonts w:ascii="Times New Roman" w:hAnsi="Times New Roman"/>
                <w:color w:val="000000"/>
                <w:kern w:val="0"/>
                <w:sz w:val="22"/>
                <w:szCs w:val="22"/>
              </w:rPr>
              <w:t>预算额度测算依据是否充分，是否按照标准编制；</w:t>
            </w:r>
            <w:r>
              <w:rPr>
                <w:rFonts w:ascii="Times New Roman" w:hAnsi="Times New Roman"/>
                <w:color w:val="000000"/>
                <w:kern w:val="0"/>
                <w:sz w:val="22"/>
                <w:szCs w:val="22"/>
              </w:rPr>
              <w:br w:type="textWrapping"/>
            </w:r>
            <w:r>
              <w:rPr>
                <w:rFonts w:hint="eastAsia" w:ascii="宋体" w:hAnsi="宋体" w:cs="宋体"/>
                <w:color w:val="000000"/>
                <w:kern w:val="0"/>
                <w:sz w:val="22"/>
                <w:szCs w:val="22"/>
              </w:rPr>
              <w:t>④</w:t>
            </w:r>
            <w:r>
              <w:rPr>
                <w:rFonts w:ascii="Times New Roman" w:hAnsi="Times New Roman"/>
                <w:color w:val="000000"/>
                <w:kern w:val="0"/>
                <w:sz w:val="22"/>
                <w:szCs w:val="22"/>
              </w:rPr>
              <w:t>预算确定的项目投资额或资金量是否与工作任务相匹配。</w:t>
            </w:r>
          </w:p>
        </w:tc>
        <w:tc>
          <w:tcPr>
            <w:tcW w:w="566"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资金分配</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567"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项目预算资金分配是否有测算依据，与补助单位或地方实际是否相适应，用以反映和考核项目预算资金分配的科学性、合理性情况。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预算资金分配依据是否充分；</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资金分配额度是否合理，与项目单位或地方实际是否相适应。</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noWrap w:val="0"/>
            <w:vAlign w:val="center"/>
          </w:tcPr>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w:t>
            </w: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资金到位率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实际到位资金与预算资金的比率，用以反映和考核资金落实情况对项目实施的总体保障程度。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资金到位率=（实际到位资金/预算资金）×100%。</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实际到位资金：一定时期（本年度或项目期）内落实到具体项目的资金。</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预算资金：一定时期（本年度或项目期）内预算安排到具体项目的资金。</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预算执行率</w:t>
            </w:r>
          </w:p>
        </w:tc>
        <w:tc>
          <w:tcPr>
            <w:tcW w:w="567"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项目预算资金是否按照计划执行，用以反映或考核项目预算执行情况。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预算执行率=（实际支出资金/实际到位资金）×100%。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实际支出资金：一定时期（本年度或项目期）内项目实际拨付的资金。</w:t>
            </w:r>
          </w:p>
        </w:tc>
        <w:tc>
          <w:tcPr>
            <w:tcW w:w="566"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　</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资金使用</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合规性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项目资金使用是否符合相关的财务管理制度规定，用以反映和考核项目资金的规范运行情况。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是否符合国家财经法规和财务管理制度以及有关专项资金管理办法的规定；</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资金的拨付是否有完整的审批程序和手续；</w:t>
            </w:r>
            <w:r>
              <w:rPr>
                <w:rFonts w:ascii="Times New Roman" w:hAnsi="Times New Roman"/>
                <w:color w:val="000000"/>
                <w:kern w:val="0"/>
                <w:sz w:val="22"/>
                <w:szCs w:val="22"/>
              </w:rPr>
              <w:br w:type="textWrapping"/>
            </w:r>
            <w:r>
              <w:rPr>
                <w:rFonts w:hint="eastAsia" w:ascii="宋体" w:hAnsi="宋体" w:cs="宋体"/>
                <w:color w:val="000000"/>
                <w:kern w:val="0"/>
                <w:sz w:val="22"/>
                <w:szCs w:val="22"/>
              </w:rPr>
              <w:t>③</w:t>
            </w:r>
            <w:r>
              <w:rPr>
                <w:rFonts w:ascii="Times New Roman" w:hAnsi="Times New Roman"/>
                <w:color w:val="000000"/>
                <w:kern w:val="0"/>
                <w:sz w:val="22"/>
                <w:szCs w:val="22"/>
              </w:rPr>
              <w:t>是否符合项目预算批复或合同规定的用途；</w:t>
            </w:r>
            <w:r>
              <w:rPr>
                <w:rFonts w:ascii="Times New Roman" w:hAnsi="Times New Roman"/>
                <w:color w:val="000000"/>
                <w:kern w:val="0"/>
                <w:sz w:val="22"/>
                <w:szCs w:val="22"/>
              </w:rPr>
              <w:br w:type="textWrapping"/>
            </w:r>
            <w:r>
              <w:rPr>
                <w:rFonts w:hint="eastAsia" w:ascii="宋体" w:hAnsi="宋体" w:cs="宋体"/>
                <w:color w:val="000000"/>
                <w:kern w:val="0"/>
                <w:sz w:val="22"/>
                <w:szCs w:val="22"/>
              </w:rPr>
              <w:t>④</w:t>
            </w:r>
            <w:r>
              <w:rPr>
                <w:rFonts w:ascii="Times New Roman" w:hAnsi="Times New Roman"/>
                <w:color w:val="000000"/>
                <w:kern w:val="0"/>
                <w:sz w:val="22"/>
                <w:szCs w:val="22"/>
              </w:rPr>
              <w:t>是否存在截留、挤占、挪用、虚列支出等情况。</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组织实施</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管理制度</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健全性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项目实施单位的财务和业务管理制度是否健全，用以反映和考核财务和业务管理制度对项目顺利实施的保障情况。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是否已制定或具有相应的财务和业务管理制度；</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财务和业务管理制度是否合法、合规、完整。</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制度执行</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有效性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项目实施是否符合相关管理规定，用以反映和考核相关管理制度的有效执行情况。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是否遵守相关法律法规和相关管理规定；</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项目调整及支出调整手续是否完备；</w:t>
            </w:r>
            <w:r>
              <w:rPr>
                <w:rFonts w:ascii="Times New Roman" w:hAnsi="Times New Roman"/>
                <w:color w:val="000000"/>
                <w:kern w:val="0"/>
                <w:sz w:val="22"/>
                <w:szCs w:val="22"/>
              </w:rPr>
              <w:br w:type="textWrapping"/>
            </w:r>
            <w:r>
              <w:rPr>
                <w:rFonts w:hint="eastAsia" w:ascii="宋体" w:hAnsi="宋体" w:cs="宋体"/>
                <w:color w:val="000000"/>
                <w:kern w:val="0"/>
                <w:sz w:val="22"/>
                <w:szCs w:val="22"/>
              </w:rPr>
              <w:t>③</w:t>
            </w:r>
            <w:r>
              <w:rPr>
                <w:rFonts w:ascii="Times New Roman" w:hAnsi="Times New Roman"/>
                <w:color w:val="000000"/>
                <w:kern w:val="0"/>
                <w:sz w:val="22"/>
                <w:szCs w:val="22"/>
              </w:rPr>
              <w:t>项目合同书、验收报告、技术鉴定等资料是否齐全并及时归档；</w:t>
            </w:r>
            <w:r>
              <w:rPr>
                <w:rFonts w:ascii="Times New Roman" w:hAnsi="Times New Roman"/>
                <w:color w:val="000000"/>
                <w:kern w:val="0"/>
                <w:sz w:val="22"/>
                <w:szCs w:val="22"/>
              </w:rPr>
              <w:br w:type="textWrapping"/>
            </w:r>
            <w:r>
              <w:rPr>
                <w:rFonts w:hint="eastAsia" w:ascii="宋体" w:hAnsi="宋体" w:cs="宋体"/>
                <w:color w:val="000000"/>
                <w:kern w:val="0"/>
                <w:sz w:val="22"/>
                <w:szCs w:val="22"/>
              </w:rPr>
              <w:t>④</w:t>
            </w:r>
            <w:r>
              <w:rPr>
                <w:rFonts w:ascii="Times New Roman" w:hAnsi="Times New Roman"/>
                <w:color w:val="000000"/>
                <w:kern w:val="0"/>
                <w:sz w:val="22"/>
                <w:szCs w:val="22"/>
              </w:rPr>
              <w:t>项目实施的人员条件、场地设备、信息支撑等是否落实到位。</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8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产出数量</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实际完成率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项目实施的实际产出数与计划产出数的比率，用以反映和考核项目产出数量目标的实现程度。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实际完成率=（实际产出数/计划产出数）×100%。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实际产出数：一定时期（本年度或项目期）内项目实际产出的产品或提供的服务数量。</w:t>
            </w:r>
            <w:r>
              <w:rPr>
                <w:rFonts w:ascii="Times New Roman" w:hAnsi="Times New Roman"/>
                <w:color w:val="000000"/>
                <w:kern w:val="0"/>
                <w:sz w:val="22"/>
                <w:szCs w:val="22"/>
              </w:rPr>
              <w:br w:type="textWrapping"/>
            </w:r>
            <w:r>
              <w:rPr>
                <w:rFonts w:ascii="Times New Roman" w:hAnsi="Times New Roman"/>
                <w:color w:val="000000"/>
                <w:kern w:val="0"/>
                <w:sz w:val="22"/>
                <w:szCs w:val="22"/>
              </w:rPr>
              <w:t>计划产出数：项目绩效目标确定的在一定时期（本年度或项目期）内计划产出的产品或提供的服务数量。</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产出质量</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质量达标率</w:t>
            </w:r>
          </w:p>
        </w:tc>
        <w:tc>
          <w:tcPr>
            <w:tcW w:w="567" w:type="dxa"/>
            <w:shd w:val="clear" w:color="auto" w:fill="FFFFFF"/>
            <w:noWrap w:val="0"/>
            <w:vAlign w:val="center"/>
          </w:tcPr>
          <w:p>
            <w:pPr>
              <w:widowControl/>
              <w:spacing w:line="0" w:lineRule="atLeast"/>
              <w:jc w:val="center"/>
              <w:rPr>
                <w:rFonts w:hint="default" w:ascii="Times New Roman" w:hAnsi="Times New Roman" w:eastAsia="微软雅黑"/>
                <w:color w:val="000000"/>
                <w:kern w:val="0"/>
                <w:sz w:val="22"/>
                <w:szCs w:val="22"/>
                <w:lang w:val="en-US" w:eastAsia="zh-CN"/>
              </w:rPr>
            </w:pPr>
            <w:r>
              <w:rPr>
                <w:rFonts w:hint="eastAsia" w:ascii="Times New Roman" w:hAnsi="Times New Roman"/>
                <w:color w:val="000000"/>
                <w:kern w:val="0"/>
                <w:sz w:val="22"/>
                <w:szCs w:val="22"/>
                <w:lang w:val="en-US" w:eastAsia="zh-CN"/>
              </w:rPr>
              <w:t>10</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项目完成的质量达标产出数与实际产出数的比率，用以反映和考核项目产出质量目标的实现程度。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质量达标率=（质量达标产出数/实际产出数）×100%。</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6" w:type="dxa"/>
            <w:shd w:val="clear" w:color="auto" w:fill="FFFFFF"/>
            <w:noWrap w:val="0"/>
            <w:vAlign w:val="center"/>
          </w:tcPr>
          <w:p>
            <w:pPr>
              <w:widowControl/>
              <w:spacing w:line="0" w:lineRule="atLeast"/>
              <w:jc w:val="center"/>
              <w:rPr>
                <w:rFonts w:hint="default" w:ascii="Times New Roman" w:hAnsi="Times New Roman" w:eastAsia="微软雅黑"/>
                <w:color w:val="000000"/>
                <w:kern w:val="0"/>
                <w:sz w:val="22"/>
                <w:szCs w:val="22"/>
                <w:lang w:val="en-US" w:eastAsia="zh-CN"/>
              </w:rPr>
            </w:pPr>
            <w:r>
              <w:rPr>
                <w:rFonts w:hint="eastAsia" w:ascii="Times New Roman" w:hAnsi="Times New Roman"/>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产出时效</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完成及时性</w:t>
            </w:r>
          </w:p>
        </w:tc>
        <w:tc>
          <w:tcPr>
            <w:tcW w:w="567"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9</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项目实际完成时间与计划完成时间的比较，用以反映和考核项目产出时效目标的实现程度。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实际完成时间：项目实施单位完成该项目实际所耗用的时间。</w:t>
            </w:r>
            <w:r>
              <w:rPr>
                <w:rFonts w:ascii="Times New Roman" w:hAnsi="Times New Roman"/>
                <w:color w:val="000000"/>
                <w:kern w:val="0"/>
                <w:sz w:val="22"/>
                <w:szCs w:val="22"/>
              </w:rPr>
              <w:br w:type="textWrapping"/>
            </w:r>
            <w:r>
              <w:rPr>
                <w:rFonts w:ascii="Times New Roman" w:hAnsi="Times New Roman"/>
                <w:color w:val="000000"/>
                <w:kern w:val="0"/>
                <w:sz w:val="22"/>
                <w:szCs w:val="22"/>
              </w:rPr>
              <w:t>计划完成时间：按照项目实施计划或相关规定完成该项目所需的时间。</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产出成本</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成本节约率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完成项目计划工作目标的实际节约成本与计划成本的比率，用以反映和考核项目的成本节约程度。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br w:type="textWrapping"/>
            </w:r>
            <w:r>
              <w:rPr>
                <w:rFonts w:ascii="Times New Roman" w:hAnsi="Times New Roman"/>
                <w:color w:val="000000"/>
                <w:kern w:val="0"/>
                <w:sz w:val="22"/>
                <w:szCs w:val="22"/>
              </w:rPr>
              <w:t>成本节约率=[（计划成本-实际成本）/计划成本]×100%。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实际成本：项目实施单位如期、保质、保量完成既定工作目标实际所耗费的支出。</w:t>
            </w:r>
            <w:r>
              <w:rPr>
                <w:rFonts w:ascii="Times New Roman" w:hAnsi="Times New Roman"/>
                <w:color w:val="000000"/>
                <w:kern w:val="0"/>
                <w:sz w:val="22"/>
                <w:szCs w:val="22"/>
              </w:rPr>
              <w:br w:type="textWrapping"/>
            </w:r>
            <w:r>
              <w:rPr>
                <w:rFonts w:ascii="Times New Roman" w:hAnsi="Times New Roman"/>
                <w:color w:val="000000"/>
                <w:kern w:val="0"/>
                <w:sz w:val="22"/>
                <w:szCs w:val="22"/>
              </w:rPr>
              <w:t>计划成本：项目实施单位为完成工作目标计划安排的支出，一般以项目预算为参考。</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效益　</w:t>
            </w: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项目效益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实施效益</w:t>
            </w:r>
          </w:p>
        </w:tc>
        <w:tc>
          <w:tcPr>
            <w:tcW w:w="567" w:type="dxa"/>
            <w:shd w:val="clear" w:color="auto" w:fill="FFFFFF"/>
            <w:noWrap w:val="0"/>
            <w:vAlign w:val="center"/>
          </w:tcPr>
          <w:p>
            <w:pPr>
              <w:widowControl/>
              <w:spacing w:line="0" w:lineRule="atLeast"/>
              <w:jc w:val="center"/>
              <w:rPr>
                <w:rFonts w:hint="default" w:ascii="Times New Roman" w:hAnsi="Times New Roman" w:eastAsia="微软雅黑"/>
                <w:color w:val="000000"/>
                <w:kern w:val="0"/>
                <w:sz w:val="22"/>
                <w:szCs w:val="22"/>
                <w:lang w:val="en-US" w:eastAsia="zh-CN"/>
              </w:rPr>
            </w:pPr>
            <w:r>
              <w:rPr>
                <w:rFonts w:hint="eastAsia" w:ascii="Times New Roman" w:hAnsi="Times New Roman"/>
                <w:color w:val="000000"/>
                <w:kern w:val="0"/>
                <w:sz w:val="22"/>
                <w:szCs w:val="22"/>
                <w:lang w:val="en-US" w:eastAsia="zh-CN"/>
              </w:rPr>
              <w:t>15</w:t>
            </w:r>
          </w:p>
        </w:tc>
        <w:tc>
          <w:tcPr>
            <w:tcW w:w="2835"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项目实施所产生的效益。</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项目实施所产生的社会效益、经济效益、生态效益、可持续影响等。可根据项目实际情况有选择地设置和细化。</w:t>
            </w:r>
          </w:p>
        </w:tc>
        <w:tc>
          <w:tcPr>
            <w:tcW w:w="566" w:type="dxa"/>
            <w:shd w:val="clear" w:color="auto" w:fill="FFFFFF"/>
            <w:noWrap w:val="0"/>
            <w:vAlign w:val="center"/>
          </w:tcPr>
          <w:p>
            <w:pPr>
              <w:widowControl/>
              <w:spacing w:line="0" w:lineRule="atLeast"/>
              <w:jc w:val="center"/>
              <w:rPr>
                <w:rFonts w:hint="default" w:ascii="Times New Roman" w:hAnsi="Times New Roman" w:eastAsia="微软雅黑"/>
                <w:color w:val="000000"/>
                <w:kern w:val="0"/>
                <w:sz w:val="22"/>
                <w:szCs w:val="22"/>
                <w:lang w:val="en-US" w:eastAsia="zh-CN"/>
              </w:rPr>
            </w:pPr>
            <w:r>
              <w:rPr>
                <w:rFonts w:hint="eastAsia" w:ascii="Times New Roman" w:hAnsi="Times New Roman"/>
                <w:color w:val="000000"/>
                <w:kern w:val="0"/>
                <w:sz w:val="22"/>
                <w:szCs w:val="22"/>
                <w:lang w:val="en-US" w:eastAsia="zh-CN"/>
              </w:rPr>
              <w:t>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满意度</w:t>
            </w:r>
          </w:p>
        </w:tc>
        <w:tc>
          <w:tcPr>
            <w:tcW w:w="567" w:type="dxa"/>
            <w:shd w:val="clear" w:color="auto" w:fill="FFFFFF"/>
            <w:noWrap w:val="0"/>
            <w:vAlign w:val="center"/>
          </w:tcPr>
          <w:p>
            <w:pPr>
              <w:widowControl/>
              <w:spacing w:line="0" w:lineRule="atLeast"/>
              <w:jc w:val="center"/>
              <w:rPr>
                <w:rFonts w:hint="default" w:ascii="Times New Roman" w:hAnsi="Times New Roman" w:eastAsia="微软雅黑"/>
                <w:color w:val="000000"/>
                <w:kern w:val="0"/>
                <w:sz w:val="22"/>
                <w:szCs w:val="22"/>
                <w:lang w:val="en-US" w:eastAsia="zh-CN"/>
              </w:rPr>
            </w:pPr>
            <w:r>
              <w:rPr>
                <w:rFonts w:hint="eastAsia" w:ascii="Times New Roman" w:hAnsi="Times New Roman"/>
                <w:color w:val="000000"/>
                <w:kern w:val="0"/>
                <w:sz w:val="22"/>
                <w:szCs w:val="22"/>
                <w:lang w:val="en-US" w:eastAsia="zh-CN"/>
              </w:rPr>
              <w:t>10</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社会公众或服务对象对项目实施效果的满意程度。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社会公众或服务对象是指因该项目实施而受到影响的部门（单位）、群体或个人。一般采取社会调查的方式。</w:t>
            </w:r>
          </w:p>
        </w:tc>
        <w:tc>
          <w:tcPr>
            <w:tcW w:w="566" w:type="dxa"/>
            <w:shd w:val="clear" w:color="auto" w:fill="FFFFFF"/>
            <w:noWrap w:val="0"/>
            <w:vAlign w:val="center"/>
          </w:tcPr>
          <w:p>
            <w:pPr>
              <w:widowControl/>
              <w:spacing w:line="0" w:lineRule="atLeast"/>
              <w:jc w:val="center"/>
              <w:rPr>
                <w:rFonts w:hint="default" w:ascii="Times New Roman" w:hAnsi="Times New Roman" w:eastAsia="微软雅黑"/>
                <w:color w:val="000000"/>
                <w:kern w:val="0"/>
                <w:sz w:val="22"/>
                <w:szCs w:val="22"/>
                <w:lang w:val="en-US" w:eastAsia="zh-CN"/>
              </w:rPr>
            </w:pPr>
            <w:r>
              <w:rPr>
                <w:rFonts w:hint="eastAsia" w:ascii="Times New Roman" w:hAnsi="Times New Roman"/>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总分</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100</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p>
        </w:tc>
        <w:tc>
          <w:tcPr>
            <w:tcW w:w="566"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val="en-US" w:eastAsia="zh-CN"/>
              </w:rPr>
            </w:pPr>
            <w:r>
              <w:rPr>
                <w:rFonts w:hint="eastAsia" w:ascii="Times New Roman" w:hAnsi="Times New Roman"/>
                <w:color w:val="000000"/>
                <w:kern w:val="0"/>
                <w:sz w:val="22"/>
                <w:szCs w:val="22"/>
              </w:rPr>
              <w:t>9</w:t>
            </w:r>
            <w:r>
              <w:rPr>
                <w:rFonts w:hint="eastAsia" w:ascii="Times New Roman" w:hAnsi="Times New Roman"/>
                <w:color w:val="000000"/>
                <w:kern w:val="0"/>
                <w:sz w:val="22"/>
                <w:szCs w:val="22"/>
                <w:lang w:val="en-US" w:eastAsia="zh-CN"/>
              </w:rPr>
              <w:t>6</w:t>
            </w:r>
            <w:bookmarkStart w:id="0" w:name="_GoBack"/>
            <w:bookmarkEnd w:id="0"/>
          </w:p>
        </w:tc>
      </w:tr>
    </w:tbl>
    <w:p>
      <w:pPr>
        <w:spacing w:line="560" w:lineRule="exact"/>
        <w:ind w:firstLine="200" w:firstLineChars="100"/>
        <w:rPr>
          <w:rFonts w:ascii="Times New Roman" w:hAnsi="Times New Roman"/>
          <w:bCs/>
          <w:sz w:val="32"/>
          <w:szCs w:val="32"/>
        </w:rPr>
        <w:sectPr>
          <w:pgSz w:w="16838" w:h="11906" w:orient="landscape"/>
          <w:pgMar w:top="1531" w:right="1928" w:bottom="1531" w:left="1701" w:header="737" w:footer="851" w:gutter="0"/>
          <w:pgBorders>
            <w:top w:val="none" w:sz="0" w:space="0"/>
            <w:left w:val="none" w:sz="0" w:space="0"/>
            <w:bottom w:val="none" w:sz="0" w:space="0"/>
            <w:right w:val="none" w:sz="0" w:space="0"/>
          </w:pgBorders>
          <w:cols w:space="720" w:num="1"/>
          <w:docGrid w:type="lines" w:linePitch="408" w:charSpace="0"/>
        </w:sectPr>
      </w:pPr>
      <w:r>
        <w:rPr>
          <w:rFonts w:ascii="Times New Roman" w:hAnsi="Times New Roman" w:eastAsia="仿宋_GB2312"/>
          <w:sz w:val="20"/>
          <w:szCs w:val="20"/>
        </w:rPr>
        <w:t>注：单位可以根据专项资金的管理要求和绩效要求增设个性指</w:t>
      </w:r>
    </w:p>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altName w:val="Microsoft YaHei UI"/>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17</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3"/>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17</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VkMDNiMTk5ZTk5OTg0YWJlZGQ0NzU4OWM5YTFmZDAifQ=="/>
  </w:docVars>
  <w:rsids>
    <w:rsidRoot w:val="0E2C3A95"/>
    <w:rsid w:val="044A0C60"/>
    <w:rsid w:val="0E2C3A95"/>
    <w:rsid w:val="1230729D"/>
    <w:rsid w:val="1A6278A2"/>
    <w:rsid w:val="34C77705"/>
    <w:rsid w:val="38F06979"/>
    <w:rsid w:val="4D613B15"/>
    <w:rsid w:val="60A416C4"/>
    <w:rsid w:val="734F32D6"/>
    <w:rsid w:val="76525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kern w:val="0"/>
      <w:sz w:val="22"/>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kern w:val="0"/>
      <w:sz w:val="18"/>
      <w:szCs w:val="18"/>
    </w:rPr>
  </w:style>
  <w:style w:type="paragraph" w:styleId="6">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4301</Words>
  <Characters>4468</Characters>
  <Lines>0</Lines>
  <Paragraphs>0</Paragraphs>
  <TotalTime>3</TotalTime>
  <ScaleCrop>false</ScaleCrop>
  <LinksUpToDate>false</LinksUpToDate>
  <CharactersWithSpaces>4489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2022-07-13T08:14:00Z</dcterms:created>
  <dc:creator>xh</dc:creator>
  <cp:lastModifiedBy>♉️长辫子精灵</cp:lastModifiedBy>
  <dcterms:modified xsi:type="dcterms:W3CDTF">2023-08-24T02:12:42Z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CF8DF2AAA86A405B8BF41889B3C9F5E6_13</vt:lpwstr>
  </property>
</Properties>
</file>