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中方县</w:t>
      </w:r>
      <w:r>
        <w:rPr>
          <w:rFonts w:hint="eastAsia" w:ascii="方正小标宋简体" w:hAnsi="方正小标宋简体" w:eastAsia="方正小标宋简体" w:cs="方正小标宋简体"/>
          <w:bCs/>
          <w:sz w:val="44"/>
          <w:szCs w:val="44"/>
          <w:lang w:val="en-US" w:eastAsia="zh-CN"/>
        </w:rPr>
        <w:t>蒿吉坪瑶族乡</w:t>
      </w:r>
      <w:r>
        <w:rPr>
          <w:rFonts w:hint="eastAsia" w:ascii="方正小标宋简体" w:hAnsi="方正小标宋简体" w:eastAsia="方正小标宋简体" w:cs="方正小标宋简体"/>
          <w:bCs/>
          <w:sz w:val="44"/>
          <w:szCs w:val="44"/>
        </w:rPr>
        <w:t>人民政府</w:t>
      </w:r>
      <w:r>
        <w:rPr>
          <w:rFonts w:hint="eastAsia" w:ascii="方正小标宋简体" w:hAnsi="方正小标宋简体" w:eastAsia="方正小标宋简体" w:cs="方正小标宋简体"/>
          <w:bCs/>
          <w:sz w:val="44"/>
          <w:szCs w:val="44"/>
          <w:lang w:eastAsia="zh-CN"/>
        </w:rPr>
        <w:t>2022</w:t>
      </w:r>
      <w:r>
        <w:rPr>
          <w:rFonts w:hint="eastAsia" w:ascii="方正小标宋简体" w:hAnsi="方正小标宋简体" w:eastAsia="方正小标宋简体" w:cs="方正小标宋简体"/>
          <w:bCs/>
          <w:sz w:val="44"/>
          <w:szCs w:val="44"/>
        </w:rPr>
        <w:t>年度</w:t>
      </w:r>
      <w:r>
        <w:rPr>
          <w:rFonts w:hint="eastAsia" w:ascii="方正小标宋简体" w:hAnsi="方正小标宋简体" w:eastAsia="方正小标宋简体" w:cs="方正小标宋简体"/>
          <w:bCs/>
          <w:sz w:val="44"/>
          <w:szCs w:val="44"/>
          <w:lang w:val="en-US" w:eastAsia="zh-CN"/>
        </w:rPr>
        <w:t>城乡社区支出</w:t>
      </w:r>
      <w:r>
        <w:rPr>
          <w:rFonts w:hint="eastAsia" w:ascii="方正小标宋简体" w:hAnsi="方正小标宋简体" w:eastAsia="方正小标宋简体" w:cs="方正小标宋简体"/>
          <w:bCs/>
          <w:sz w:val="44"/>
          <w:szCs w:val="44"/>
        </w:rPr>
        <w:t>项目支出绩效自评报告</w:t>
      </w:r>
    </w:p>
    <w:p>
      <w:pPr>
        <w:jc w:val="center"/>
        <w:rPr>
          <w:rFonts w:ascii="仿宋_GB2312"/>
          <w:szCs w:val="30"/>
        </w:rPr>
      </w:pP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（一）项目概况。</w:t>
      </w:r>
    </w:p>
    <w:p>
      <w:pPr>
        <w:spacing w:after="0"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2022年根据怀财预基〔2022〕3号：下达2022年度财政专项资金（蒿吉坪乡桃江村人居环境2万元）；湘财建指【2021】139号：下达2021年第二批专项补助（中财建【2021】71号蒿吉坪罗红村洪灾毁坏基础设施建设资金5万元）；上级下达</w:t>
      </w:r>
      <w:r>
        <w:rPr>
          <w:rFonts w:hint="eastAsia" w:ascii="仿宋_GB2312" w:hAnsi="仿宋_GB2312" w:eastAsia="仿宋_GB2312" w:cs="仿宋_GB2312"/>
          <w:sz w:val="32"/>
          <w:szCs w:val="32"/>
        </w:rPr>
        <w:t>给我</w:t>
      </w:r>
      <w:r>
        <w:rPr>
          <w:rFonts w:hint="eastAsia" w:ascii="仿宋_GB2312" w:hAnsi="仿宋_GB2312" w:eastAsia="仿宋_GB2312" w:cs="仿宋_GB2312"/>
          <w:sz w:val="32"/>
          <w:szCs w:val="32"/>
          <w:lang w:val="en-US" w:eastAsia="zh-CN"/>
        </w:rPr>
        <w:t>乡增减挂钩项目</w:t>
      </w:r>
      <w:r>
        <w:rPr>
          <w:rFonts w:hint="eastAsia" w:ascii="仿宋_GB2312" w:hAnsi="仿宋_GB2312" w:eastAsia="仿宋_GB2312" w:cs="仿宋_GB2312"/>
          <w:sz w:val="32"/>
          <w:szCs w:val="32"/>
        </w:rPr>
        <w:t>资金（</w:t>
      </w:r>
      <w:r>
        <w:rPr>
          <w:rFonts w:hint="eastAsia" w:ascii="仿宋_GB2312" w:hAnsi="仿宋_GB2312" w:eastAsia="仿宋_GB2312" w:cs="仿宋_GB2312"/>
          <w:sz w:val="32"/>
          <w:szCs w:val="32"/>
          <w:lang w:val="en-US" w:eastAsia="zh-CN"/>
        </w:rPr>
        <w:t>2018、2019年度增减挂钩项目农担保贷款复垦施工费（周方）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共36</w:t>
      </w:r>
      <w:r>
        <w:rPr>
          <w:rFonts w:hint="eastAsia" w:ascii="仿宋_GB2312" w:hAnsi="仿宋_GB2312" w:eastAsia="仿宋_GB2312" w:cs="仿宋_GB2312"/>
          <w:sz w:val="32"/>
          <w:szCs w:val="32"/>
        </w:rPr>
        <w:t>万</w:t>
      </w:r>
      <w:r>
        <w:rPr>
          <w:rFonts w:hint="eastAsia" w:ascii="仿宋_GB2312" w:hAnsi="仿宋_GB2312" w:eastAsia="仿宋_GB2312" w:cs="仿宋_GB2312"/>
          <w:sz w:val="32"/>
          <w:szCs w:val="32"/>
          <w:lang w:val="en-US" w:eastAsia="zh-CN"/>
        </w:rPr>
        <w:t>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 xml:space="preserve">                            </w:t>
      </w:r>
    </w:p>
    <w:p>
      <w:pPr>
        <w:spacing w:after="0"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项目资金投入情况。全年</w:t>
      </w:r>
      <w:r>
        <w:rPr>
          <w:rFonts w:hint="eastAsia" w:ascii="仿宋_GB2312" w:hAnsi="仿宋_GB2312" w:eastAsia="仿宋_GB2312" w:cs="仿宋_GB2312"/>
          <w:sz w:val="32"/>
          <w:szCs w:val="32"/>
          <w:lang w:val="en-US" w:eastAsia="zh-CN"/>
        </w:rPr>
        <w:t>增减挂钩</w:t>
      </w:r>
      <w:r>
        <w:rPr>
          <w:rFonts w:hint="eastAsia" w:ascii="仿宋_GB2312" w:hAnsi="仿宋_GB2312" w:eastAsia="仿宋_GB2312" w:cs="仿宋_GB2312"/>
          <w:sz w:val="32"/>
          <w:szCs w:val="32"/>
        </w:rPr>
        <w:t>项目资金</w:t>
      </w:r>
      <w:r>
        <w:rPr>
          <w:rFonts w:hint="eastAsia" w:ascii="仿宋_GB2312" w:hAnsi="仿宋_GB2312" w:eastAsia="仿宋_GB2312" w:cs="仿宋_GB2312"/>
          <w:sz w:val="32"/>
          <w:szCs w:val="32"/>
          <w:lang w:val="en-US" w:eastAsia="zh-CN"/>
        </w:rPr>
        <w:t>36</w:t>
      </w:r>
      <w:r>
        <w:rPr>
          <w:rFonts w:hint="eastAsia" w:ascii="仿宋_GB2312" w:hAnsi="仿宋_GB2312" w:eastAsia="仿宋_GB2312" w:cs="仿宋_GB2312"/>
          <w:sz w:val="32"/>
          <w:szCs w:val="32"/>
        </w:rPr>
        <w:t>万元，实际使用</w:t>
      </w:r>
      <w:r>
        <w:rPr>
          <w:rFonts w:hint="eastAsia" w:ascii="仿宋_GB2312" w:hAnsi="仿宋_GB2312" w:eastAsia="仿宋_GB2312" w:cs="仿宋_GB2312"/>
          <w:sz w:val="32"/>
          <w:szCs w:val="32"/>
          <w:lang w:val="en-US" w:eastAsia="zh-CN"/>
        </w:rPr>
        <w:t>36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；蒿吉坪乡桃江村人居环境2万元，实际使用2万元；蒿吉坪罗红村洪灾毁坏基础设施建设资金5万元，实际使用5万元。</w:t>
      </w:r>
    </w:p>
    <w:p>
      <w:pPr>
        <w:spacing w:after="0"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2、项目资金使用情况。资金使用方面，做到了专款专用，支付范围、标准、进度、依据符合规定，与预算基本一致。</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（二）项目绩效目标。</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不断</w:t>
      </w:r>
      <w:r>
        <w:rPr>
          <w:rFonts w:hint="eastAsia" w:ascii="仿宋" w:hAnsi="仿宋" w:eastAsia="仿宋" w:cs="仿宋"/>
          <w:sz w:val="32"/>
          <w:szCs w:val="32"/>
          <w:lang w:val="en-US" w:eastAsia="zh-CN"/>
        </w:rPr>
        <w:t>落实农担保贷款复垦施工费，加强乡村基本农田建设</w:t>
      </w:r>
      <w:r>
        <w:rPr>
          <w:rFonts w:hint="eastAsia" w:ascii="仿宋" w:hAnsi="仿宋" w:eastAsia="仿宋" w:cs="仿宋"/>
          <w:sz w:val="32"/>
          <w:szCs w:val="32"/>
          <w:lang w:eastAsia="zh-CN"/>
        </w:rPr>
        <w:t>，实现建设用地总量不增加，耕地面积不减少、质量不降低，城乡用地布局更合理的目标，</w:t>
      </w:r>
      <w:r>
        <w:rPr>
          <w:rFonts w:hint="eastAsia" w:ascii="仿宋" w:hAnsi="仿宋" w:eastAsia="仿宋" w:cs="仿宋"/>
          <w:sz w:val="32"/>
          <w:szCs w:val="32"/>
          <w:lang w:val="en-US" w:eastAsia="zh-CN"/>
        </w:rPr>
        <w:t>提高改善群众生活水平和农村经济发展</w:t>
      </w:r>
      <w:r>
        <w:rPr>
          <w:rFonts w:hint="eastAsia" w:ascii="仿宋" w:hAnsi="仿宋" w:eastAsia="仿宋" w:cs="仿宋"/>
          <w:sz w:val="32"/>
          <w:szCs w:val="32"/>
        </w:rPr>
        <w:t>。</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（一）绩效评价目的、对象和范围。</w:t>
      </w:r>
    </w:p>
    <w:p>
      <w:pPr>
        <w:spacing w:after="0" w:line="60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2022年度对</w:t>
      </w:r>
      <w:r>
        <w:rPr>
          <w:rFonts w:hint="eastAsia" w:ascii="仿宋" w:hAnsi="仿宋" w:eastAsia="仿宋" w:cs="仿宋"/>
          <w:sz w:val="32"/>
          <w:szCs w:val="32"/>
          <w:lang w:val="en-US" w:eastAsia="zh-CN"/>
        </w:rPr>
        <w:t>农担保贷款复垦施工费</w:t>
      </w:r>
      <w:r>
        <w:rPr>
          <w:rFonts w:hint="eastAsia" w:ascii="仿宋_GB2312" w:hAnsi="仿宋_GB2312" w:eastAsia="仿宋_GB2312" w:cs="仿宋_GB2312"/>
          <w:kern w:val="2"/>
          <w:sz w:val="32"/>
          <w:szCs w:val="32"/>
          <w:lang w:val="en-US" w:eastAsia="zh-CN" w:bidi="ar-SA"/>
        </w:rPr>
        <w:t>增减挂钩项目、</w:t>
      </w:r>
      <w:r>
        <w:rPr>
          <w:rFonts w:hint="eastAsia" w:ascii="仿宋_GB2312" w:hAnsi="仿宋_GB2312" w:eastAsia="仿宋_GB2312" w:cs="仿宋_GB2312"/>
          <w:sz w:val="32"/>
          <w:szCs w:val="32"/>
          <w:lang w:val="en-US" w:eastAsia="zh-CN"/>
        </w:rPr>
        <w:t>蒿吉坪乡桃江村人居环境项目、蒿吉坪罗红村洪灾毁坏基础设施建设资金项目</w:t>
      </w:r>
      <w:r>
        <w:rPr>
          <w:rFonts w:hint="eastAsia" w:ascii="仿宋_GB2312" w:hAnsi="仿宋_GB2312" w:eastAsia="仿宋_GB2312" w:cs="仿宋_GB2312"/>
          <w:kern w:val="2"/>
          <w:sz w:val="32"/>
          <w:szCs w:val="32"/>
          <w:lang w:val="en-US" w:eastAsia="zh-CN" w:bidi="ar-SA"/>
        </w:rPr>
        <w:t>前期预算，项目验收前基本建成全方位、全过程、全覆盖的预算绩效管理体系。</w:t>
      </w:r>
    </w:p>
    <w:p>
      <w:pPr>
        <w:spacing w:after="0" w:line="60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通过对</w:t>
      </w:r>
      <w:r>
        <w:rPr>
          <w:rFonts w:hint="eastAsia" w:ascii="仿宋" w:hAnsi="仿宋" w:eastAsia="仿宋" w:cs="仿宋"/>
          <w:sz w:val="32"/>
          <w:szCs w:val="32"/>
          <w:lang w:val="en-US" w:eastAsia="zh-CN"/>
        </w:rPr>
        <w:t>农担保贷款复垦施工费</w:t>
      </w:r>
      <w:r>
        <w:rPr>
          <w:rFonts w:hint="eastAsia" w:ascii="仿宋_GB2312" w:hAnsi="仿宋_GB2312" w:eastAsia="仿宋_GB2312" w:cs="仿宋_GB2312"/>
          <w:kern w:val="2"/>
          <w:sz w:val="32"/>
          <w:szCs w:val="32"/>
          <w:lang w:val="en-US" w:eastAsia="zh-CN" w:bidi="ar-SA"/>
        </w:rPr>
        <w:t>增减挂钩项目、</w:t>
      </w:r>
      <w:r>
        <w:rPr>
          <w:rFonts w:hint="eastAsia" w:ascii="仿宋_GB2312" w:hAnsi="仿宋_GB2312" w:eastAsia="仿宋_GB2312" w:cs="仿宋_GB2312"/>
          <w:sz w:val="32"/>
          <w:szCs w:val="32"/>
          <w:lang w:val="en-US" w:eastAsia="zh-CN"/>
        </w:rPr>
        <w:t>蒿吉坪乡桃江村人居环境项目、蒿吉坪罗红村洪灾毁坏基础设施建设资金项目</w:t>
      </w:r>
      <w:r>
        <w:rPr>
          <w:rFonts w:hint="eastAsia" w:ascii="仿宋_GB2312" w:hAnsi="仿宋_GB2312" w:eastAsia="仿宋_GB2312" w:cs="仿宋_GB2312"/>
          <w:kern w:val="2"/>
          <w:sz w:val="32"/>
          <w:szCs w:val="32"/>
          <w:lang w:val="en-US" w:eastAsia="zh-CN" w:bidi="ar-SA"/>
        </w:rPr>
        <w:t xml:space="preserve">管理制度和流程、资金使用情况、受益群体的反馈情况，从而强化项目监督，完善项目管理，提高项目资金使用效益和支出透明度，对存在的问题进行原因分析并提出合理化建议。建立健全财务管理制度和约束机制，依法、有效的使用财政资金，为以后年度项目安排及资金管理提供重要依据。 </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（二）绩效评价原则、评价指标体系（附表说明）、评价方法、评价标准等。</w:t>
      </w:r>
    </w:p>
    <w:p>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1、部门整体支出绩效评价原则：遵循客观公正，操作简便高效，尊重客观实际、实事求是的原则。</w:t>
      </w:r>
    </w:p>
    <w:p>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2、整体支出绩效评价体系：指标体系包括共性指标和个性指标两部分，本次主要参照了财政部门制定《部门整体支出绩效评价指标体系》的相关内容，根据部门具体情况对个性指标进行里调整细化。</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3、整体支出绩效评价方法：主要采用投入产出效益分析法、比较法等方法。</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（三）绩效评价工作过程。</w:t>
      </w:r>
    </w:p>
    <w:p>
      <w:pPr>
        <w:spacing w:after="0"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收集项目资料，在收集和审核项目资料的基础上，制定了绩效评价指标体系，并进一步修改和完善，最后根据评价标准和资料依据，进行了分析，得出评价结论。</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三、综合评价情况及评价结论（附相关评分表）</w:t>
      </w:r>
    </w:p>
    <w:p>
      <w:pPr>
        <w:pStyle w:val="6"/>
        <w:spacing w:line="520" w:lineRule="exact"/>
        <w:ind w:firstLine="640" w:firstLineChars="200"/>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根据《项目支出绩效评价共性指标表》得分95分，绩效价评等级为“优”。</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（一）项目决策情况。</w:t>
      </w:r>
    </w:p>
    <w:p>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部门整体支出绩效评价原则：遵循客观公正，操作简便高效，尊重客观实际、实事求是的原则。</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（二）项目过程情况。</w:t>
      </w:r>
    </w:p>
    <w:p>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主要体现项目按期完成时间业务管理、财务管理和会计信息管理几个面方。重点考核管理制度建立情况、过程监管情况。如管理制度健全性、制度执行有效性、项目质量可控性；资金使用合规性、项目资金安全性；会计信息能否全面范性和完整性。</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（三）项目产出情况。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主要体现项目实施过程产出数量、评审项目按实际实施项目为准，做好项目前期预算、按实际完成。截止</w:t>
      </w:r>
      <w:r>
        <w:rPr>
          <w:rFonts w:hint="eastAsia" w:ascii="仿宋" w:hAnsi="仿宋" w:eastAsia="仿宋" w:cs="仿宋"/>
          <w:sz w:val="32"/>
          <w:szCs w:val="32"/>
          <w:lang w:eastAsia="zh-CN"/>
        </w:rPr>
        <w:t>2022</w:t>
      </w:r>
      <w:r>
        <w:rPr>
          <w:rFonts w:hint="eastAsia" w:ascii="仿宋" w:hAnsi="仿宋" w:eastAsia="仿宋" w:cs="仿宋"/>
          <w:sz w:val="32"/>
          <w:szCs w:val="32"/>
        </w:rPr>
        <w:t>年12月，</w:t>
      </w:r>
      <w:r>
        <w:rPr>
          <w:rFonts w:hint="eastAsia" w:ascii="仿宋" w:hAnsi="仿宋" w:eastAsia="仿宋" w:cs="仿宋"/>
          <w:sz w:val="32"/>
          <w:szCs w:val="32"/>
          <w:lang w:val="en-US" w:eastAsia="zh-CN"/>
        </w:rPr>
        <w:t>增减挂钩项目</w:t>
      </w:r>
      <w:r>
        <w:rPr>
          <w:rFonts w:hint="eastAsia" w:ascii="仿宋" w:hAnsi="仿宋" w:eastAsia="仿宋" w:cs="仿宋"/>
          <w:sz w:val="32"/>
          <w:szCs w:val="32"/>
        </w:rPr>
        <w:t>经费</w:t>
      </w:r>
      <w:r>
        <w:rPr>
          <w:rFonts w:hint="eastAsia" w:ascii="仿宋" w:hAnsi="仿宋" w:eastAsia="仿宋" w:cs="仿宋"/>
          <w:sz w:val="32"/>
          <w:szCs w:val="32"/>
          <w:lang w:val="en-US" w:eastAsia="zh-CN"/>
        </w:rPr>
        <w:t>36</w:t>
      </w:r>
      <w:r>
        <w:rPr>
          <w:rFonts w:hint="eastAsia" w:ascii="仿宋" w:hAnsi="仿宋" w:eastAsia="仿宋" w:cs="仿宋"/>
          <w:sz w:val="32"/>
          <w:szCs w:val="32"/>
        </w:rPr>
        <w:t>万元，支付率</w:t>
      </w:r>
      <w:r>
        <w:rPr>
          <w:rFonts w:hint="eastAsia" w:ascii="仿宋" w:hAnsi="仿宋" w:eastAsia="仿宋" w:cs="仿宋"/>
          <w:sz w:val="32"/>
          <w:szCs w:val="32"/>
          <w:lang w:val="en-US" w:eastAsia="zh-CN"/>
        </w:rPr>
        <w:t>100</w:t>
      </w:r>
      <w:r>
        <w:rPr>
          <w:rFonts w:hint="eastAsia" w:ascii="仿宋" w:hAnsi="仿宋" w:eastAsia="仿宋" w:cs="仿宋"/>
          <w:sz w:val="32"/>
          <w:szCs w:val="32"/>
        </w:rPr>
        <w:t>%。</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（四）项目效益情况。</w:t>
      </w:r>
    </w:p>
    <w:p>
      <w:pPr>
        <w:spacing w:after="0" w:line="600" w:lineRule="exact"/>
        <w:ind w:firstLine="640" w:firstLineChars="200"/>
        <w:outlineLvl w:val="0"/>
        <w:rPr>
          <w:rFonts w:hint="eastAsia" w:ascii="仿宋" w:hAnsi="仿宋" w:eastAsia="仿宋" w:cs="仿宋"/>
          <w:sz w:val="32"/>
          <w:szCs w:val="32"/>
          <w:lang w:eastAsia="zh-CN"/>
        </w:rPr>
      </w:pPr>
      <w:r>
        <w:rPr>
          <w:rFonts w:hint="eastAsia" w:ascii="仿宋" w:hAnsi="仿宋" w:eastAsia="仿宋" w:cs="仿宋"/>
          <w:sz w:val="32"/>
          <w:szCs w:val="32"/>
        </w:rPr>
        <w:t>按照年初的绩效目标，提高政府投资效益，节约财政资金，项目建设中对</w:t>
      </w:r>
      <w:r>
        <w:rPr>
          <w:rFonts w:hint="eastAsia" w:ascii="仿宋" w:hAnsi="仿宋" w:eastAsia="仿宋" w:cs="仿宋"/>
          <w:sz w:val="32"/>
          <w:szCs w:val="32"/>
          <w:lang w:val="en-US" w:eastAsia="zh-CN"/>
        </w:rPr>
        <w:t>增减挂钩建设</w:t>
      </w:r>
      <w:r>
        <w:rPr>
          <w:rFonts w:hint="eastAsia" w:ascii="仿宋" w:hAnsi="仿宋" w:eastAsia="仿宋" w:cs="仿宋"/>
          <w:sz w:val="32"/>
          <w:szCs w:val="32"/>
        </w:rPr>
        <w:t>得到群众满意度100%。有效推进了我</w:t>
      </w:r>
      <w:r>
        <w:rPr>
          <w:rFonts w:hint="eastAsia" w:ascii="仿宋" w:hAnsi="仿宋" w:eastAsia="仿宋" w:cs="仿宋"/>
          <w:sz w:val="32"/>
          <w:szCs w:val="32"/>
          <w:lang w:val="en-US" w:eastAsia="zh-CN"/>
        </w:rPr>
        <w:t>乡</w:t>
      </w:r>
      <w:r>
        <w:rPr>
          <w:rFonts w:hint="eastAsia" w:ascii="仿宋" w:hAnsi="仿宋" w:eastAsia="仿宋" w:cs="仿宋"/>
          <w:sz w:val="32"/>
          <w:szCs w:val="32"/>
        </w:rPr>
        <w:t>的经济社会发展</w:t>
      </w:r>
      <w:r>
        <w:rPr>
          <w:rFonts w:hint="eastAsia" w:ascii="仿宋" w:hAnsi="仿宋" w:eastAsia="仿宋" w:cs="仿宋"/>
          <w:sz w:val="32"/>
          <w:szCs w:val="32"/>
          <w:lang w:eastAsia="zh-CN"/>
        </w:rPr>
        <w:t>。</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五、主要经验及做法、存在的问题及原因分析</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严格按照绩效评价要求进行年初绩效目标年初申报，并根据年初要求严格落实，确保顺利完成预期目标。</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六、有关建议。</w:t>
      </w:r>
    </w:p>
    <w:p>
      <w:pPr>
        <w:spacing w:after="0"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无</w:t>
      </w:r>
      <w:r>
        <w:rPr>
          <w:rFonts w:hint="eastAsia" w:ascii="仿宋" w:hAnsi="仿宋" w:eastAsia="仿宋" w:cs="仿宋"/>
          <w:sz w:val="32"/>
          <w:szCs w:val="32"/>
          <w:lang w:eastAsia="zh-CN"/>
        </w:rPr>
        <w:t>。</w:t>
      </w:r>
    </w:p>
    <w:p>
      <w:pPr>
        <w:ind w:firstLine="640" w:firstLineChars="200"/>
        <w:rPr>
          <w:rFonts w:ascii="黑体" w:hAnsi="黑体" w:eastAsia="黑体" w:cs="黑体"/>
          <w:sz w:val="32"/>
          <w:szCs w:val="32"/>
        </w:rPr>
      </w:pPr>
      <w:r>
        <w:rPr>
          <w:rFonts w:hint="eastAsia" w:ascii="黑体" w:hAnsi="黑体" w:eastAsia="黑体" w:cs="黑体"/>
          <w:sz w:val="32"/>
          <w:szCs w:val="32"/>
        </w:rPr>
        <w:t>七、其他需要说明的问题</w:t>
      </w:r>
    </w:p>
    <w:p>
      <w:pPr>
        <w:spacing w:after="0"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无</w:t>
      </w:r>
      <w:r>
        <w:rPr>
          <w:rFonts w:hint="eastAsia" w:ascii="仿宋" w:hAnsi="仿宋" w:eastAsia="仿宋" w:cs="仿宋"/>
          <w:sz w:val="32"/>
          <w:szCs w:val="32"/>
          <w:lang w:eastAsia="zh-CN"/>
        </w:rPr>
        <w:t>。</w:t>
      </w:r>
    </w:p>
    <w:p>
      <w:pPr>
        <w:spacing w:after="0" w:line="600" w:lineRule="exact"/>
        <w:ind w:firstLine="640" w:firstLineChars="200"/>
        <w:rPr>
          <w:rFonts w:hint="eastAsia" w:ascii="仿宋" w:hAnsi="仿宋" w:eastAsia="仿宋" w:cs="仿宋"/>
          <w:sz w:val="32"/>
          <w:szCs w:val="32"/>
        </w:rPr>
      </w:pPr>
    </w:p>
    <w:p>
      <w:pPr>
        <w:keepNext w:val="0"/>
        <w:keepLines w:val="0"/>
        <w:pageBreakBefore w:val="0"/>
        <w:widowControl/>
        <w:kinsoku/>
        <w:wordWrap/>
        <w:overflowPunct/>
        <w:topLinePunct w:val="0"/>
        <w:autoSpaceDE/>
        <w:autoSpaceDN/>
        <w:bidi w:val="0"/>
        <w:adjustRightInd/>
        <w:snapToGrid/>
        <w:spacing w:line="460" w:lineRule="exact"/>
        <w:ind w:firstLine="645"/>
        <w:jc w:val="left"/>
        <w:textAlignment w:val="auto"/>
        <w:rPr>
          <w:rFonts w:ascii="Times New Roman" w:hAnsi="Times New Roman" w:eastAsia="仿宋_GB2312"/>
          <w:sz w:val="32"/>
          <w:szCs w:val="32"/>
        </w:rPr>
      </w:pPr>
      <w:r>
        <w:rPr>
          <w:rFonts w:ascii="Times New Roman" w:hAnsi="Times New Roman" w:eastAsia="仿宋_GB2312"/>
          <w:sz w:val="32"/>
          <w:szCs w:val="32"/>
        </w:rPr>
        <w:t>附件：</w:t>
      </w:r>
      <w:r>
        <w:rPr>
          <w:rFonts w:hint="eastAsia" w:ascii="Times New Roman" w:hAnsi="Times New Roman" w:eastAsia="仿宋_GB2312"/>
          <w:sz w:val="32"/>
          <w:szCs w:val="32"/>
          <w:lang w:val="en-US" w:eastAsia="zh-CN"/>
        </w:rPr>
        <w:t>1</w:t>
      </w:r>
      <w:r>
        <w:rPr>
          <w:rFonts w:ascii="Times New Roman" w:hAnsi="Times New Roman" w:eastAsia="仿宋_GB2312"/>
          <w:sz w:val="32"/>
          <w:szCs w:val="32"/>
        </w:rPr>
        <w:t>.项目支出绩效自评表</w:t>
      </w:r>
    </w:p>
    <w:p>
      <w:pPr>
        <w:keepNext w:val="0"/>
        <w:keepLines w:val="0"/>
        <w:pageBreakBefore w:val="0"/>
        <w:widowControl/>
        <w:numPr>
          <w:ilvl w:val="0"/>
          <w:numId w:val="0"/>
        </w:numPr>
        <w:kinsoku/>
        <w:wordWrap/>
        <w:overflowPunct/>
        <w:topLinePunct w:val="0"/>
        <w:autoSpaceDE/>
        <w:autoSpaceDN/>
        <w:bidi w:val="0"/>
        <w:adjustRightInd/>
        <w:snapToGrid/>
        <w:spacing w:line="460" w:lineRule="exact"/>
        <w:ind w:firstLine="1600" w:firstLineChars="500"/>
        <w:jc w:val="left"/>
        <w:textAlignment w:val="auto"/>
        <w:rPr>
          <w:rFonts w:ascii="Times New Roman" w:hAnsi="Times New Roman" w:eastAsia="仿宋_GB2312"/>
          <w:bCs/>
          <w:color w:val="000000"/>
          <w:sz w:val="32"/>
          <w:szCs w:val="32"/>
        </w:rPr>
      </w:pPr>
      <w:r>
        <w:rPr>
          <w:rFonts w:hint="eastAsia" w:ascii="Times New Roman" w:hAnsi="Times New Roman" w:eastAsia="仿宋_GB2312"/>
          <w:sz w:val="32"/>
          <w:szCs w:val="32"/>
          <w:lang w:val="en-US" w:eastAsia="zh-CN"/>
        </w:rPr>
        <w:t>2.</w:t>
      </w:r>
      <w:r>
        <w:rPr>
          <w:rFonts w:ascii="Times New Roman" w:hAnsi="Times New Roman" w:eastAsia="仿宋_GB2312"/>
          <w:sz w:val="32"/>
          <w:szCs w:val="32"/>
        </w:rPr>
        <w:t>项目支出绩效评价指标</w:t>
      </w:r>
      <w:r>
        <w:rPr>
          <w:rFonts w:ascii="Times New Roman" w:hAnsi="Times New Roman" w:eastAsia="仿宋_GB2312"/>
          <w:bCs/>
          <w:color w:val="000000"/>
          <w:kern w:val="0"/>
          <w:sz w:val="32"/>
          <w:szCs w:val="32"/>
        </w:rPr>
        <w:t>评分表</w:t>
      </w: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rPr>
          <w:rFonts w:hint="eastAsia" w:ascii="仿宋" w:hAnsi="仿宋" w:eastAsia="仿宋" w:cs="仿宋"/>
          <w:sz w:val="32"/>
          <w:szCs w:val="32"/>
        </w:rPr>
      </w:pPr>
    </w:p>
    <w:p>
      <w:pPr>
        <w:spacing w:line="400" w:lineRule="exact"/>
        <w:rPr>
          <w:rFonts w:hint="eastAsia" w:ascii="Times New Roman" w:hAnsi="Times New Roman" w:eastAsia="仿宋_GB2312"/>
          <w:bCs/>
          <w:color w:val="000000"/>
          <w:sz w:val="32"/>
          <w:szCs w:val="32"/>
          <w:lang w:val="en-US" w:eastAsia="zh-CN"/>
        </w:rPr>
      </w:pPr>
      <w:r>
        <w:rPr>
          <w:rFonts w:hint="eastAsia" w:ascii="Times New Roman" w:hAnsi="Times New Roman" w:eastAsia="仿宋_GB2312"/>
          <w:bCs/>
          <w:color w:val="000000"/>
          <w:sz w:val="32"/>
          <w:szCs w:val="32"/>
          <w:lang w:eastAsia="zh-CN"/>
        </w:rPr>
        <w:t>附件1</w:t>
      </w:r>
    </w:p>
    <w:tbl>
      <w:tblPr>
        <w:tblStyle w:val="4"/>
        <w:tblW w:w="10465" w:type="dxa"/>
        <w:jc w:val="center"/>
        <w:tblLayout w:type="fixed"/>
        <w:tblCellMar>
          <w:top w:w="0" w:type="dxa"/>
          <w:left w:w="108" w:type="dxa"/>
          <w:bottom w:w="0" w:type="dxa"/>
          <w:right w:w="108" w:type="dxa"/>
        </w:tblCellMar>
      </w:tblPr>
      <w:tblGrid>
        <w:gridCol w:w="628"/>
        <w:gridCol w:w="1047"/>
        <w:gridCol w:w="1187"/>
        <w:gridCol w:w="688"/>
        <w:gridCol w:w="970"/>
        <w:gridCol w:w="255"/>
        <w:gridCol w:w="1219"/>
        <w:gridCol w:w="1358"/>
        <w:gridCol w:w="552"/>
        <w:gridCol w:w="544"/>
        <w:gridCol w:w="869"/>
        <w:gridCol w:w="1148"/>
      </w:tblGrid>
      <w:tr>
        <w:tblPrEx>
          <w:tblCellMar>
            <w:top w:w="0" w:type="dxa"/>
            <w:left w:w="108" w:type="dxa"/>
            <w:bottom w:w="0" w:type="dxa"/>
            <w:right w:w="108" w:type="dxa"/>
          </w:tblCellMar>
        </w:tblPrEx>
        <w:trPr>
          <w:trHeight w:val="514" w:hRule="exact"/>
          <w:jc w:val="center"/>
        </w:trPr>
        <w:tc>
          <w:tcPr>
            <w:tcW w:w="10465" w:type="dxa"/>
            <w:gridSpan w:val="12"/>
            <w:tcBorders>
              <w:top w:val="nil"/>
              <w:left w:val="nil"/>
              <w:bottom w:val="nil"/>
              <w:right w:val="nil"/>
            </w:tcBorders>
            <w:noWrap w:val="0"/>
            <w:vAlign w:val="center"/>
          </w:tcPr>
          <w:p>
            <w:pPr>
              <w:widowControl/>
              <w:spacing w:line="320" w:lineRule="exact"/>
              <w:jc w:val="center"/>
              <w:rPr>
                <w:rFonts w:ascii="Times New Roman" w:hAnsi="Times New Roman"/>
                <w:b/>
                <w:bCs/>
                <w:kern w:val="0"/>
                <w:sz w:val="32"/>
                <w:szCs w:val="32"/>
              </w:rPr>
            </w:pPr>
            <w:r>
              <w:rPr>
                <w:rFonts w:hint="eastAsia" w:ascii="Times New Roman" w:hAnsi="Times New Roman"/>
                <w:b/>
                <w:bCs/>
                <w:kern w:val="0"/>
                <w:sz w:val="32"/>
                <w:szCs w:val="32"/>
                <w:lang w:val="en-US" w:eastAsia="zh-CN"/>
              </w:rPr>
              <w:t>城乡社区项目</w:t>
            </w:r>
            <w:r>
              <w:rPr>
                <w:rFonts w:ascii="Times New Roman" w:hAnsi="Times New Roman"/>
                <w:b/>
                <w:bCs/>
                <w:kern w:val="0"/>
                <w:sz w:val="32"/>
                <w:szCs w:val="32"/>
              </w:rPr>
              <w:t>支出绩效自评表</w:t>
            </w:r>
          </w:p>
        </w:tc>
      </w:tr>
      <w:tr>
        <w:tblPrEx>
          <w:tblCellMar>
            <w:top w:w="0" w:type="dxa"/>
            <w:left w:w="108" w:type="dxa"/>
            <w:bottom w:w="0" w:type="dxa"/>
            <w:right w:w="108" w:type="dxa"/>
          </w:tblCellMar>
        </w:tblPrEx>
        <w:trPr>
          <w:trHeight w:val="307" w:hRule="atLeast"/>
          <w:jc w:val="center"/>
        </w:trPr>
        <w:tc>
          <w:tcPr>
            <w:tcW w:w="10465" w:type="dxa"/>
            <w:gridSpan w:val="12"/>
            <w:tcBorders>
              <w:top w:val="nil"/>
              <w:left w:val="nil"/>
              <w:bottom w:val="nil"/>
              <w:right w:val="nil"/>
            </w:tcBorders>
            <w:noWrap w:val="0"/>
            <w:vAlign w:val="top"/>
          </w:tcPr>
          <w:p>
            <w:pPr>
              <w:widowControl/>
              <w:jc w:val="center"/>
              <w:rPr>
                <w:rFonts w:ascii="Times New Roman" w:hAnsi="Times New Roman"/>
                <w:kern w:val="0"/>
                <w:sz w:val="22"/>
                <w:szCs w:val="22"/>
              </w:rPr>
            </w:pPr>
            <w:r>
              <w:rPr>
                <w:rFonts w:ascii="Times New Roman" w:hAnsi="Times New Roman"/>
                <w:kern w:val="0"/>
                <w:sz w:val="22"/>
                <w:szCs w:val="22"/>
              </w:rPr>
              <w:t>（</w:t>
            </w:r>
            <w:r>
              <w:rPr>
                <w:rFonts w:hint="eastAsia" w:ascii="Times New Roman" w:hAnsi="Times New Roman"/>
                <w:kern w:val="0"/>
                <w:sz w:val="22"/>
                <w:szCs w:val="22"/>
                <w:lang w:eastAsia="zh-CN"/>
              </w:rPr>
              <w:t>2022</w:t>
            </w:r>
            <w:r>
              <w:rPr>
                <w:rFonts w:ascii="Times New Roman" w:hAnsi="Times New Roman"/>
                <w:kern w:val="0"/>
                <w:sz w:val="22"/>
                <w:szCs w:val="22"/>
              </w:rPr>
              <w:t>年度）</w:t>
            </w:r>
          </w:p>
        </w:tc>
      </w:tr>
      <w:tr>
        <w:tblPrEx>
          <w:tblCellMar>
            <w:top w:w="0" w:type="dxa"/>
            <w:left w:w="108" w:type="dxa"/>
            <w:bottom w:w="0" w:type="dxa"/>
            <w:right w:w="108" w:type="dxa"/>
          </w:tblCellMar>
        </w:tblPrEx>
        <w:trPr>
          <w:trHeight w:val="345" w:hRule="exact"/>
          <w:jc w:val="center"/>
        </w:trPr>
        <w:tc>
          <w:tcPr>
            <w:tcW w:w="167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项目名称</w:t>
            </w:r>
          </w:p>
        </w:tc>
        <w:tc>
          <w:tcPr>
            <w:tcW w:w="8790" w:type="dxa"/>
            <w:gridSpan w:val="10"/>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增减挂钩项目</w:t>
            </w:r>
            <w:r>
              <w:rPr>
                <w:rFonts w:hint="eastAsia" w:ascii="Times New Roman" w:hAnsi="Times New Roman"/>
                <w:kern w:val="0"/>
                <w:sz w:val="18"/>
                <w:szCs w:val="18"/>
                <w:lang w:eastAsia="zh-CN"/>
              </w:rPr>
              <w:t>资金</w:t>
            </w:r>
          </w:p>
        </w:tc>
      </w:tr>
      <w:tr>
        <w:tblPrEx>
          <w:tblCellMar>
            <w:top w:w="0" w:type="dxa"/>
            <w:left w:w="108" w:type="dxa"/>
            <w:bottom w:w="0" w:type="dxa"/>
            <w:right w:w="108" w:type="dxa"/>
          </w:tblCellMar>
        </w:tblPrEx>
        <w:trPr>
          <w:trHeight w:val="410" w:hRule="exact"/>
          <w:jc w:val="center"/>
        </w:trPr>
        <w:tc>
          <w:tcPr>
            <w:tcW w:w="167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主管部门</w:t>
            </w:r>
          </w:p>
        </w:tc>
        <w:tc>
          <w:tcPr>
            <w:tcW w:w="4319" w:type="dxa"/>
            <w:gridSpan w:val="5"/>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中方县蒿吉坪瑶族乡人民政府</w:t>
            </w:r>
          </w:p>
        </w:tc>
        <w:tc>
          <w:tcPr>
            <w:tcW w:w="19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实施单位</w:t>
            </w:r>
          </w:p>
        </w:tc>
        <w:tc>
          <w:tcPr>
            <w:tcW w:w="256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微软雅黑"/>
                <w:kern w:val="0"/>
                <w:sz w:val="18"/>
                <w:szCs w:val="18"/>
                <w:lang w:val="en-US" w:eastAsia="zh-CN"/>
              </w:rPr>
            </w:pPr>
            <w:r>
              <w:rPr>
                <w:rFonts w:hint="eastAsia" w:ascii="Times New Roman" w:hAnsi="Times New Roman"/>
                <w:kern w:val="0"/>
                <w:sz w:val="18"/>
                <w:szCs w:val="18"/>
                <w:lang w:val="en-US" w:eastAsia="zh-CN"/>
              </w:rPr>
              <w:t>中方县蒿吉坪瑶族乡人民政府</w:t>
            </w:r>
          </w:p>
        </w:tc>
      </w:tr>
      <w:tr>
        <w:tblPrEx>
          <w:tblCellMar>
            <w:top w:w="0" w:type="dxa"/>
            <w:left w:w="108" w:type="dxa"/>
            <w:bottom w:w="0" w:type="dxa"/>
            <w:right w:w="108" w:type="dxa"/>
          </w:tblCellMar>
        </w:tblPrEx>
        <w:trPr>
          <w:trHeight w:val="561" w:hRule="exact"/>
          <w:jc w:val="center"/>
        </w:trPr>
        <w:tc>
          <w:tcPr>
            <w:tcW w:w="1675"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项目资金</w:t>
            </w:r>
            <w:r>
              <w:rPr>
                <w:rFonts w:ascii="Times New Roman" w:hAnsi="Times New Roman"/>
                <w:kern w:val="0"/>
                <w:sz w:val="18"/>
                <w:szCs w:val="18"/>
              </w:rPr>
              <w:br w:type="textWrapping"/>
            </w:r>
            <w:r>
              <w:rPr>
                <w:rFonts w:ascii="Times New Roman" w:hAnsi="Times New Roman"/>
                <w:kern w:val="0"/>
                <w:sz w:val="18"/>
                <w:szCs w:val="18"/>
              </w:rPr>
              <w:t>（万元）</w:t>
            </w: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22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年初预算数</w:t>
            </w:r>
          </w:p>
        </w:tc>
        <w:tc>
          <w:tcPr>
            <w:tcW w:w="12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全年预算数</w:t>
            </w:r>
            <w:r>
              <w:rPr>
                <w:rFonts w:ascii="Times New Roman" w:hAnsi="Times New Roman"/>
                <w:color w:val="000000"/>
                <w:kern w:val="0"/>
                <w:sz w:val="20"/>
                <w:szCs w:val="20"/>
              </w:rPr>
              <w:t>（A）</w:t>
            </w:r>
          </w:p>
        </w:tc>
        <w:tc>
          <w:tcPr>
            <w:tcW w:w="19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全年执行数</w:t>
            </w:r>
            <w:r>
              <w:rPr>
                <w:rFonts w:ascii="Times New Roman" w:hAnsi="Times New Roman"/>
                <w:color w:val="000000"/>
                <w:kern w:val="0"/>
                <w:sz w:val="20"/>
                <w:szCs w:val="20"/>
              </w:rPr>
              <w:t>（B）</w:t>
            </w:r>
          </w:p>
        </w:tc>
        <w:tc>
          <w:tcPr>
            <w:tcW w:w="54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执行率</w:t>
            </w:r>
            <w:r>
              <w:rPr>
                <w:rFonts w:ascii="Times New Roman" w:hAnsi="Times New Roman"/>
                <w:color w:val="000000"/>
                <w:kern w:val="0"/>
                <w:sz w:val="20"/>
                <w:szCs w:val="20"/>
              </w:rPr>
              <w:t>（B/A)</w:t>
            </w: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Times New Roman" w:hAnsi="Times New Roman"/>
                <w:kern w:val="0"/>
                <w:sz w:val="18"/>
                <w:szCs w:val="18"/>
              </w:rPr>
            </w:pPr>
            <w:r>
              <w:rPr>
                <w:rFonts w:ascii="Times New Roman" w:hAnsi="Times New Roman"/>
                <w:kern w:val="0"/>
                <w:sz w:val="18"/>
                <w:szCs w:val="18"/>
              </w:rPr>
              <w:t>年度资金总额</w:t>
            </w:r>
          </w:p>
        </w:tc>
        <w:tc>
          <w:tcPr>
            <w:tcW w:w="12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43</w:t>
            </w:r>
          </w:p>
        </w:tc>
        <w:tc>
          <w:tcPr>
            <w:tcW w:w="12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43</w:t>
            </w:r>
          </w:p>
        </w:tc>
        <w:tc>
          <w:tcPr>
            <w:tcW w:w="19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43</w:t>
            </w:r>
          </w:p>
        </w:tc>
        <w:tc>
          <w:tcPr>
            <w:tcW w:w="54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lang w:val="en-US" w:eastAsia="zh-CN" w:bidi="ar-SA"/>
              </w:rPr>
            </w:pPr>
            <w:r>
              <w:rPr>
                <w:rFonts w:hint="eastAsia" w:ascii="Times New Roman" w:hAnsi="Times New Roman"/>
                <w:kern w:val="0"/>
                <w:sz w:val="18"/>
                <w:szCs w:val="18"/>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100%</w:t>
            </w: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其中：当年财政拨款</w:t>
            </w:r>
          </w:p>
        </w:tc>
        <w:tc>
          <w:tcPr>
            <w:tcW w:w="12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43</w:t>
            </w:r>
          </w:p>
        </w:tc>
        <w:tc>
          <w:tcPr>
            <w:tcW w:w="12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43</w:t>
            </w:r>
          </w:p>
        </w:tc>
        <w:tc>
          <w:tcPr>
            <w:tcW w:w="19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43</w:t>
            </w:r>
          </w:p>
        </w:tc>
        <w:tc>
          <w:tcPr>
            <w:tcW w:w="54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上年结转资金</w:t>
            </w:r>
          </w:p>
        </w:tc>
        <w:tc>
          <w:tcPr>
            <w:tcW w:w="12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219"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9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54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其他资金</w:t>
            </w:r>
          </w:p>
        </w:tc>
        <w:tc>
          <w:tcPr>
            <w:tcW w:w="12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219"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9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54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00" w:hRule="exact"/>
          <w:jc w:val="center"/>
        </w:trPr>
        <w:tc>
          <w:tcPr>
            <w:tcW w:w="62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年度总体目标</w:t>
            </w:r>
          </w:p>
        </w:tc>
        <w:tc>
          <w:tcPr>
            <w:tcW w:w="53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预期目标</w:t>
            </w:r>
          </w:p>
        </w:tc>
        <w:tc>
          <w:tcPr>
            <w:tcW w:w="447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实际完成情况</w:t>
            </w:r>
          </w:p>
        </w:tc>
      </w:tr>
      <w:tr>
        <w:tblPrEx>
          <w:tblCellMar>
            <w:top w:w="0" w:type="dxa"/>
            <w:left w:w="108" w:type="dxa"/>
            <w:bottom w:w="0" w:type="dxa"/>
            <w:right w:w="108" w:type="dxa"/>
          </w:tblCellMar>
        </w:tblPrEx>
        <w:trPr>
          <w:trHeight w:val="720" w:hRule="exact"/>
          <w:jc w:val="center"/>
        </w:trPr>
        <w:tc>
          <w:tcPr>
            <w:tcW w:w="6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53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实施蒿吉坪瑶族乡增减挂钩项目</w:t>
            </w:r>
          </w:p>
        </w:tc>
        <w:tc>
          <w:tcPr>
            <w:tcW w:w="447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sz w:val="18"/>
                <w:szCs w:val="18"/>
              </w:rPr>
              <w:t>完成</w:t>
            </w:r>
            <w:r>
              <w:rPr>
                <w:rFonts w:hint="eastAsia" w:ascii="Times New Roman" w:hAnsi="Times New Roman"/>
                <w:kern w:val="0"/>
                <w:sz w:val="18"/>
                <w:szCs w:val="18"/>
                <w:lang w:val="en-US" w:eastAsia="zh-CN"/>
              </w:rPr>
              <w:t>蒿吉坪瑶族乡增减挂钩项目</w:t>
            </w:r>
          </w:p>
        </w:tc>
      </w:tr>
      <w:tr>
        <w:tblPrEx>
          <w:tblCellMar>
            <w:top w:w="0" w:type="dxa"/>
            <w:left w:w="108" w:type="dxa"/>
            <w:bottom w:w="0" w:type="dxa"/>
            <w:right w:w="108" w:type="dxa"/>
          </w:tblCellMar>
        </w:tblPrEx>
        <w:trPr>
          <w:trHeight w:val="716" w:hRule="exact"/>
          <w:jc w:val="center"/>
        </w:trPr>
        <w:tc>
          <w:tcPr>
            <w:tcW w:w="628" w:type="dxa"/>
            <w:vMerge w:val="restart"/>
            <w:tcBorders>
              <w:top w:val="nil"/>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绩</w:t>
            </w:r>
            <w:r>
              <w:rPr>
                <w:rFonts w:ascii="Times New Roman" w:hAnsi="Times New Roman"/>
                <w:kern w:val="0"/>
                <w:sz w:val="18"/>
                <w:szCs w:val="18"/>
              </w:rPr>
              <w:br w:type="textWrapping"/>
            </w:r>
            <w:r>
              <w:rPr>
                <w:rFonts w:ascii="Times New Roman" w:hAnsi="Times New Roman"/>
                <w:kern w:val="0"/>
                <w:sz w:val="18"/>
                <w:szCs w:val="18"/>
              </w:rPr>
              <w:t>效</w:t>
            </w:r>
            <w:r>
              <w:rPr>
                <w:rFonts w:ascii="Times New Roman" w:hAnsi="Times New Roman"/>
                <w:kern w:val="0"/>
                <w:sz w:val="18"/>
                <w:szCs w:val="18"/>
              </w:rPr>
              <w:br w:type="textWrapping"/>
            </w:r>
            <w:r>
              <w:rPr>
                <w:rFonts w:ascii="Times New Roman" w:hAnsi="Times New Roman"/>
                <w:kern w:val="0"/>
                <w:sz w:val="18"/>
                <w:szCs w:val="18"/>
              </w:rPr>
              <w:t>指</w:t>
            </w:r>
            <w:r>
              <w:rPr>
                <w:rFonts w:ascii="Times New Roman" w:hAnsi="Times New Roman"/>
                <w:kern w:val="0"/>
                <w:sz w:val="18"/>
                <w:szCs w:val="18"/>
              </w:rPr>
              <w:br w:type="textWrapping"/>
            </w:r>
            <w:r>
              <w:rPr>
                <w:rFonts w:ascii="Times New Roman" w:hAnsi="Times New Roman"/>
                <w:kern w:val="0"/>
                <w:sz w:val="18"/>
                <w:szCs w:val="18"/>
              </w:rPr>
              <w:t>标</w:t>
            </w:r>
          </w:p>
        </w:tc>
        <w:tc>
          <w:tcPr>
            <w:tcW w:w="1047"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一级指标</w:t>
            </w:r>
          </w:p>
        </w:tc>
        <w:tc>
          <w:tcPr>
            <w:tcW w:w="1187"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二级指标</w:t>
            </w:r>
          </w:p>
        </w:tc>
        <w:tc>
          <w:tcPr>
            <w:tcW w:w="165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三级指标</w:t>
            </w:r>
          </w:p>
        </w:tc>
        <w:tc>
          <w:tcPr>
            <w:tcW w:w="147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指标值</w:t>
            </w:r>
          </w:p>
        </w:tc>
        <w:tc>
          <w:tcPr>
            <w:tcW w:w="135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完成值</w:t>
            </w:r>
          </w:p>
        </w:tc>
        <w:tc>
          <w:tcPr>
            <w:tcW w:w="552"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54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c>
          <w:tcPr>
            <w:tcW w:w="20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偏差原因分析及改进措施</w:t>
            </w:r>
          </w:p>
        </w:tc>
      </w:tr>
      <w:tr>
        <w:tblPrEx>
          <w:tblCellMar>
            <w:top w:w="0" w:type="dxa"/>
            <w:left w:w="108" w:type="dxa"/>
            <w:bottom w:w="0" w:type="dxa"/>
            <w:right w:w="108" w:type="dxa"/>
          </w:tblCellMar>
        </w:tblPrEx>
        <w:trPr>
          <w:trHeight w:val="313" w:hRule="atLeas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restart"/>
            <w:tcBorders>
              <w:top w:val="nil"/>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产出指标</w:t>
            </w:r>
            <w:r>
              <w:rPr>
                <w:rFonts w:ascii="Times New Roman" w:hAnsi="Times New Roman"/>
                <w:kern w:val="0"/>
                <w:sz w:val="20"/>
                <w:szCs w:val="20"/>
              </w:rPr>
              <w:t>(50分)</w:t>
            </w: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数量指标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服务人数</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微软雅黑"/>
                <w:kern w:val="0"/>
                <w:sz w:val="18"/>
                <w:szCs w:val="18"/>
                <w:lang w:val="en-US" w:eastAsia="zh-CN"/>
              </w:rPr>
            </w:pPr>
            <w:r>
              <w:rPr>
                <w:rFonts w:hint="eastAsia" w:ascii="Times New Roman" w:hAnsi="Times New Roman"/>
                <w:kern w:val="0"/>
                <w:sz w:val="18"/>
                <w:szCs w:val="18"/>
                <w:lang w:val="en-US" w:eastAsia="zh-CN"/>
              </w:rPr>
              <w:t>1900人</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微软雅黑"/>
                <w:kern w:val="0"/>
                <w:sz w:val="18"/>
                <w:szCs w:val="18"/>
                <w:lang w:val="en-US" w:eastAsia="zh-CN"/>
              </w:rPr>
            </w:pPr>
            <w:r>
              <w:rPr>
                <w:rFonts w:hint="eastAsia" w:ascii="Times New Roman" w:hAnsi="Times New Roman"/>
                <w:kern w:val="0"/>
                <w:sz w:val="18"/>
                <w:szCs w:val="18"/>
                <w:lang w:val="en-US" w:eastAsia="zh-CN"/>
              </w:rPr>
              <w:t>1900人</w:t>
            </w:r>
          </w:p>
        </w:tc>
        <w:tc>
          <w:tcPr>
            <w:tcW w:w="552"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14</w:t>
            </w:r>
          </w:p>
        </w:tc>
        <w:tc>
          <w:tcPr>
            <w:tcW w:w="544"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14</w:t>
            </w:r>
          </w:p>
        </w:tc>
        <w:tc>
          <w:tcPr>
            <w:tcW w:w="2017" w:type="dxa"/>
            <w:gridSpan w:val="2"/>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p>
        </w:tc>
      </w:tr>
      <w:tr>
        <w:tblPrEx>
          <w:tblCellMar>
            <w:top w:w="0" w:type="dxa"/>
            <w:left w:w="108" w:type="dxa"/>
            <w:bottom w:w="0" w:type="dxa"/>
            <w:right w:w="108" w:type="dxa"/>
          </w:tblCellMar>
        </w:tblPrEx>
        <w:trPr>
          <w:trHeight w:val="420"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质量指标</w:t>
            </w:r>
          </w:p>
        </w:tc>
        <w:tc>
          <w:tcPr>
            <w:tcW w:w="1658" w:type="dxa"/>
            <w:gridSpan w:val="2"/>
            <w:tcBorders>
              <w:top w:val="single" w:color="auto" w:sz="4" w:space="0"/>
              <w:left w:val="nil"/>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项目完成率</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12</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12</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750"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时效指标</w:t>
            </w:r>
          </w:p>
        </w:tc>
        <w:tc>
          <w:tcPr>
            <w:tcW w:w="1658" w:type="dxa"/>
            <w:gridSpan w:val="2"/>
            <w:tcBorders>
              <w:top w:val="single" w:color="auto" w:sz="4" w:space="0"/>
              <w:left w:val="nil"/>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项目验收前及时、有效率</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100%</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12</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12</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p>
        </w:tc>
      </w:tr>
      <w:tr>
        <w:tblPrEx>
          <w:tblCellMar>
            <w:top w:w="0" w:type="dxa"/>
            <w:left w:w="108" w:type="dxa"/>
            <w:bottom w:w="0" w:type="dxa"/>
            <w:right w:w="108" w:type="dxa"/>
          </w:tblCellMar>
        </w:tblPrEx>
        <w:trPr>
          <w:trHeight w:val="817"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成本指标</w:t>
            </w:r>
          </w:p>
        </w:tc>
        <w:tc>
          <w:tcPr>
            <w:tcW w:w="165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增减挂钩灾后重建及居住环境支出</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kern w:val="0"/>
                <w:sz w:val="18"/>
                <w:szCs w:val="18"/>
                <w:lang w:val="en-US"/>
              </w:rPr>
            </w:pPr>
            <w:r>
              <w:rPr>
                <w:rFonts w:hint="eastAsia" w:ascii="宋体" w:hAnsi="宋体" w:eastAsia="宋体" w:cs="宋体"/>
                <w:i w:val="0"/>
                <w:color w:val="000000"/>
                <w:kern w:val="0"/>
                <w:sz w:val="20"/>
                <w:szCs w:val="20"/>
                <w:u w:val="none"/>
                <w:lang w:val="en-US" w:eastAsia="zh-CN" w:bidi="ar"/>
              </w:rPr>
              <w:t>43万元</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kern w:val="0"/>
                <w:sz w:val="18"/>
                <w:szCs w:val="18"/>
                <w:lang w:val="en-US"/>
              </w:rPr>
            </w:pPr>
            <w:r>
              <w:rPr>
                <w:rFonts w:hint="eastAsia" w:ascii="宋体" w:hAnsi="宋体" w:eastAsia="宋体" w:cs="宋体"/>
                <w:i w:val="0"/>
                <w:color w:val="000000"/>
                <w:kern w:val="0"/>
                <w:sz w:val="20"/>
                <w:szCs w:val="20"/>
                <w:u w:val="none"/>
                <w:lang w:val="en-US" w:eastAsia="zh-CN" w:bidi="ar"/>
              </w:rPr>
              <w:t>43万元</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12</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12</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705"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效益指标</w:t>
            </w:r>
            <w:r>
              <w:rPr>
                <w:rFonts w:hint="eastAsia" w:ascii="Times New Roman" w:hAnsi="Times New Roman"/>
                <w:kern w:val="0"/>
                <w:sz w:val="18"/>
                <w:szCs w:val="18"/>
                <w:lang w:eastAsia="zh-CN"/>
              </w:rPr>
              <w:t>（</w:t>
            </w:r>
            <w:r>
              <w:rPr>
                <w:rFonts w:hint="eastAsia" w:ascii="Times New Roman" w:hAnsi="Times New Roman"/>
                <w:kern w:val="0"/>
                <w:sz w:val="20"/>
                <w:szCs w:val="20"/>
                <w:lang w:val="en-US" w:eastAsia="zh-CN"/>
              </w:rPr>
              <w:t>3</w:t>
            </w:r>
            <w:r>
              <w:rPr>
                <w:rFonts w:ascii="Times New Roman" w:hAnsi="Times New Roman"/>
                <w:kern w:val="0"/>
                <w:sz w:val="20"/>
                <w:szCs w:val="20"/>
              </w:rPr>
              <w:t>0分)</w:t>
            </w: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经济效益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经济效益情况</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效果明显</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效果明显</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7</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6</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eastAsia="zh-CN"/>
              </w:rPr>
            </w:pPr>
          </w:p>
        </w:tc>
      </w:tr>
      <w:tr>
        <w:tblPrEx>
          <w:tblCellMar>
            <w:top w:w="0" w:type="dxa"/>
            <w:left w:w="108" w:type="dxa"/>
            <w:bottom w:w="0" w:type="dxa"/>
            <w:right w:w="108" w:type="dxa"/>
          </w:tblCellMar>
        </w:tblPrEx>
        <w:trPr>
          <w:trHeight w:val="705"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社会效益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增加群众满意度</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7</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7</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372" w:hRule="atLeas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生态效益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color w:val="000000"/>
                <w:kern w:val="0"/>
                <w:sz w:val="18"/>
                <w:szCs w:val="18"/>
              </w:rPr>
            </w:pPr>
            <w:r>
              <w:rPr>
                <w:rFonts w:hint="eastAsia" w:ascii="Times New Roman" w:hAnsi="Times New Roman"/>
                <w:color w:val="000000"/>
                <w:kern w:val="0"/>
                <w:sz w:val="18"/>
                <w:szCs w:val="18"/>
              </w:rPr>
              <w:t>项目建设中对环境的保护率</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Times New Roman" w:hAnsi="Times New Roman"/>
                <w:kern w:val="0"/>
                <w:sz w:val="18"/>
                <w:szCs w:val="18"/>
              </w:rPr>
              <w:t>≥90</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lang w:val="en-US" w:eastAsia="zh-CN" w:bidi="ar-SA"/>
              </w:rPr>
            </w:pPr>
            <w:r>
              <w:rPr>
                <w:rFonts w:hint="eastAsia" w:ascii="Times New Roman" w:hAnsi="Times New Roman"/>
                <w:kern w:val="0"/>
                <w:sz w:val="18"/>
                <w:szCs w:val="18"/>
                <w:lang w:val="en-US" w:eastAsia="zh-CN"/>
              </w:rPr>
              <w:t>97</w:t>
            </w:r>
            <w:r>
              <w:rPr>
                <w:rFonts w:hint="eastAsia" w:ascii="Times New Roman" w:hAnsi="Times New Roman"/>
                <w:kern w:val="0"/>
                <w:sz w:val="18"/>
                <w:szCs w:val="18"/>
              </w:rPr>
              <w:t>%</w:t>
            </w:r>
          </w:p>
        </w:tc>
        <w:tc>
          <w:tcPr>
            <w:tcW w:w="552"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8</w:t>
            </w:r>
          </w:p>
        </w:tc>
        <w:tc>
          <w:tcPr>
            <w:tcW w:w="544"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lang w:val="en-US" w:eastAsia="zh-CN" w:bidi="ar-SA"/>
              </w:rPr>
            </w:pPr>
            <w:r>
              <w:rPr>
                <w:rFonts w:hint="eastAsia" w:ascii="Times New Roman" w:hAnsi="Times New Roman"/>
                <w:kern w:val="0"/>
                <w:sz w:val="18"/>
                <w:szCs w:val="18"/>
                <w:lang w:val="en-US" w:eastAsia="zh-CN"/>
              </w:rPr>
              <w:t>8</w:t>
            </w:r>
          </w:p>
        </w:tc>
        <w:tc>
          <w:tcPr>
            <w:tcW w:w="2017" w:type="dxa"/>
            <w:gridSpan w:val="2"/>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480"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可持续影响指标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color w:val="000000"/>
                <w:kern w:val="0"/>
                <w:sz w:val="18"/>
                <w:szCs w:val="18"/>
                <w:lang w:val="en-US"/>
              </w:rPr>
            </w:pPr>
            <w:r>
              <w:rPr>
                <w:rFonts w:hint="eastAsia" w:ascii="宋体" w:hAnsi="宋体" w:eastAsia="宋体" w:cs="宋体"/>
                <w:i w:val="0"/>
                <w:color w:val="000000"/>
                <w:kern w:val="0"/>
                <w:sz w:val="20"/>
                <w:szCs w:val="20"/>
                <w:u w:val="none"/>
                <w:lang w:val="en-US" w:eastAsia="zh-CN" w:bidi="ar"/>
              </w:rPr>
              <w:t>完善农村基础设施建设</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持续</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持续</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8</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8</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1020"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满意度</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r>
              <w:rPr>
                <w:rFonts w:ascii="Times New Roman" w:hAnsi="Times New Roman"/>
                <w:kern w:val="0"/>
                <w:sz w:val="20"/>
                <w:szCs w:val="20"/>
              </w:rPr>
              <w:t>(</w:t>
            </w:r>
            <w:r>
              <w:rPr>
                <w:rFonts w:hint="eastAsia" w:ascii="Times New Roman" w:hAnsi="Times New Roman"/>
                <w:kern w:val="0"/>
                <w:sz w:val="20"/>
                <w:szCs w:val="20"/>
                <w:lang w:val="en-US" w:eastAsia="zh-CN"/>
              </w:rPr>
              <w:t>1</w:t>
            </w:r>
            <w:r>
              <w:rPr>
                <w:rFonts w:ascii="Times New Roman" w:hAnsi="Times New Roman"/>
                <w:kern w:val="0"/>
                <w:sz w:val="20"/>
                <w:szCs w:val="20"/>
              </w:rPr>
              <w:t>0分)</w:t>
            </w: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服务对象满意度指标</w:t>
            </w:r>
          </w:p>
        </w:tc>
        <w:tc>
          <w:tcPr>
            <w:tcW w:w="1658" w:type="dxa"/>
            <w:gridSpan w:val="2"/>
            <w:tcBorders>
              <w:top w:val="single" w:color="auto" w:sz="4" w:space="0"/>
              <w:left w:val="nil"/>
              <w:right w:val="single" w:color="auto" w:sz="4" w:space="0"/>
            </w:tcBorders>
            <w:noWrap w:val="0"/>
            <w:vAlign w:val="center"/>
          </w:tcPr>
          <w:p>
            <w:pPr>
              <w:keepNext w:val="0"/>
              <w:keepLines w:val="0"/>
              <w:widowControl/>
              <w:suppressLineNumbers w:val="0"/>
              <w:jc w:val="center"/>
              <w:textAlignment w:val="center"/>
              <w:rPr>
                <w:rFonts w:ascii="Times New Roman" w:hAnsi="Times New Roman"/>
                <w:color w:val="000000"/>
                <w:kern w:val="0"/>
                <w:sz w:val="18"/>
                <w:szCs w:val="18"/>
              </w:rPr>
            </w:pPr>
            <w:r>
              <w:rPr>
                <w:rFonts w:hint="eastAsia" w:ascii="宋体" w:hAnsi="宋体" w:eastAsia="宋体" w:cs="宋体"/>
                <w:i w:val="0"/>
                <w:color w:val="000000"/>
                <w:kern w:val="0"/>
                <w:sz w:val="20"/>
                <w:szCs w:val="20"/>
                <w:u w:val="none"/>
                <w:lang w:val="en-US" w:eastAsia="zh-CN" w:bidi="ar"/>
              </w:rPr>
              <w:t>群众满意</w:t>
            </w:r>
          </w:p>
        </w:tc>
        <w:tc>
          <w:tcPr>
            <w:tcW w:w="1474" w:type="dxa"/>
            <w:gridSpan w:val="2"/>
            <w:tcBorders>
              <w:top w:val="single" w:color="auto" w:sz="4" w:space="0"/>
              <w:left w:val="nil"/>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1358" w:type="dxa"/>
            <w:tcBorders>
              <w:top w:val="single" w:color="auto" w:sz="4" w:space="0"/>
              <w:left w:val="nil"/>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98</w:t>
            </w:r>
            <w:r>
              <w:rPr>
                <w:rFonts w:hint="eastAsia" w:ascii="Times New Roman" w:hAnsi="Times New Roman"/>
                <w:kern w:val="0"/>
                <w:sz w:val="18"/>
                <w:szCs w:val="18"/>
              </w:rPr>
              <w:t>%</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9</w:t>
            </w:r>
          </w:p>
        </w:tc>
        <w:tc>
          <w:tcPr>
            <w:tcW w:w="20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300" w:hRule="exact"/>
          <w:jc w:val="center"/>
        </w:trPr>
        <w:tc>
          <w:tcPr>
            <w:tcW w:w="7352"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总分</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10</w:t>
            </w:r>
            <w:r>
              <w:rPr>
                <w:rFonts w:hint="eastAsia" w:ascii="Times New Roman" w:hAnsi="Times New Roman"/>
                <w:color w:val="000000"/>
                <w:kern w:val="0"/>
                <w:sz w:val="18"/>
                <w:szCs w:val="18"/>
                <w:lang w:val="en-US" w:eastAsia="zh-CN"/>
              </w:rPr>
              <w:t>0</w:t>
            </w:r>
            <w:r>
              <w:rPr>
                <w:rFonts w:ascii="Times New Roman" w:hAnsi="Times New Roman"/>
                <w:color w:val="000000"/>
                <w:kern w:val="0"/>
                <w:sz w:val="18"/>
                <w:szCs w:val="18"/>
              </w:rPr>
              <w:t>0</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color w:val="000000"/>
                <w:kern w:val="0"/>
                <w:sz w:val="18"/>
                <w:szCs w:val="18"/>
                <w:lang w:val="en-US" w:eastAsia="zh-CN"/>
              </w:rPr>
            </w:pPr>
            <w:r>
              <w:rPr>
                <w:rFonts w:hint="eastAsia" w:ascii="Times New Roman" w:hAnsi="Times New Roman"/>
                <w:color w:val="000000"/>
                <w:kern w:val="0"/>
                <w:sz w:val="18"/>
                <w:szCs w:val="18"/>
                <w:lang w:val="en-US" w:eastAsia="zh-CN"/>
              </w:rPr>
              <w:t>98</w:t>
            </w:r>
          </w:p>
        </w:tc>
        <w:tc>
          <w:tcPr>
            <w:tcW w:w="20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bl>
    <w:p>
      <w:pPr>
        <w:rPr>
          <w:rFonts w:ascii="Times New Roman" w:hAnsi="Times New Roman" w:eastAsia="黑体"/>
        </w:rPr>
        <w:sectPr>
          <w:footerReference r:id="rId4" w:type="default"/>
          <w:pgSz w:w="11906" w:h="16838"/>
          <w:pgMar w:top="1587" w:right="1587" w:bottom="1587" w:left="1587" w:header="737" w:footer="850" w:gutter="0"/>
          <w:pgBorders>
            <w:top w:val="none" w:sz="0" w:space="0"/>
            <w:left w:val="none" w:sz="0" w:space="0"/>
            <w:bottom w:val="none" w:sz="0" w:space="0"/>
            <w:right w:val="none" w:sz="0" w:space="0"/>
          </w:pgBorders>
          <w:cols w:space="720" w:num="1"/>
          <w:docGrid w:type="lines" w:linePitch="408" w:charSpace="0"/>
        </w:sectPr>
      </w:pPr>
    </w:p>
    <w:p>
      <w:pPr>
        <w:spacing w:line="560" w:lineRule="exact"/>
        <w:rPr>
          <w:rFonts w:ascii="Times New Roman" w:hAnsi="Times New Roman" w:eastAsia="仿宋_GB2312"/>
          <w:bCs/>
          <w:color w:val="000000"/>
          <w:sz w:val="32"/>
          <w:szCs w:val="32"/>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rPr>
        <w:t>3</w:t>
      </w:r>
    </w:p>
    <w:p>
      <w:pPr>
        <w:pStyle w:val="2"/>
        <w:spacing w:before="0" w:after="0" w:line="240" w:lineRule="auto"/>
        <w:jc w:val="center"/>
        <w:rPr>
          <w:rFonts w:ascii="Times New Roman" w:hAnsi="Times New Roman" w:eastAsia="宋体"/>
          <w:bCs/>
          <w:color w:val="000000"/>
          <w:sz w:val="36"/>
          <w:szCs w:val="28"/>
        </w:rPr>
      </w:pPr>
      <w:r>
        <w:rPr>
          <w:rFonts w:hint="eastAsia" w:ascii="Times New Roman" w:hAnsi="Times New Roman" w:eastAsia="宋体"/>
          <w:bCs/>
          <w:color w:val="000000"/>
          <w:sz w:val="36"/>
          <w:szCs w:val="28"/>
          <w:lang w:val="en-US" w:eastAsia="zh-CN"/>
        </w:rPr>
        <w:t>城乡社区</w:t>
      </w:r>
      <w:r>
        <w:rPr>
          <w:rFonts w:ascii="Times New Roman" w:hAnsi="Times New Roman" w:eastAsia="宋体"/>
          <w:bCs/>
          <w:color w:val="000000"/>
          <w:sz w:val="36"/>
          <w:szCs w:val="28"/>
        </w:rPr>
        <w:t>项目支出绩效评价</w:t>
      </w:r>
      <w:r>
        <w:rPr>
          <w:rFonts w:hint="eastAsia" w:ascii="Times New Roman" w:hAnsi="Times New Roman" w:eastAsia="宋体"/>
          <w:bCs/>
          <w:color w:val="000000"/>
          <w:sz w:val="36"/>
          <w:szCs w:val="28"/>
        </w:rPr>
        <w:t>共性</w:t>
      </w:r>
      <w:r>
        <w:rPr>
          <w:rFonts w:ascii="Times New Roman" w:hAnsi="Times New Roman" w:eastAsia="宋体"/>
          <w:bCs/>
          <w:color w:val="000000"/>
          <w:sz w:val="36"/>
          <w:szCs w:val="28"/>
        </w:rPr>
        <w:t>指标</w:t>
      </w:r>
      <w:r>
        <w:rPr>
          <w:rFonts w:hint="eastAsia" w:ascii="Times New Roman" w:hAnsi="Times New Roman" w:eastAsia="宋体"/>
          <w:bCs/>
          <w:color w:val="000000"/>
          <w:sz w:val="36"/>
          <w:szCs w:val="28"/>
        </w:rPr>
        <w:t>表</w:t>
      </w:r>
    </w:p>
    <w:tbl>
      <w:tblPr>
        <w:tblStyle w:val="4"/>
        <w:tblW w:w="1258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835"/>
        <w:gridCol w:w="6096"/>
        <w:gridCol w:w="5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709"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1134"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567" w:type="dxa"/>
            <w:shd w:val="clear" w:color="auto" w:fill="FFFFFF"/>
            <w:noWrap w:val="0"/>
            <w:vAlign w:val="top"/>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2835"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6096"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566"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6096"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项目立项是否符合国家法律法规、国民经济发展规划和相关政策；</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项目立项是否符合行业发展规划和政策要求；</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项目立项是否与部门职责范围相符，属于部门履职所需；</w:t>
            </w:r>
            <w:r>
              <w:rPr>
                <w:rFonts w:ascii="Times New Roman" w:hAnsi="Times New Roman"/>
                <w:color w:val="000000"/>
                <w:kern w:val="0"/>
                <w:sz w:val="22"/>
                <w:szCs w:val="22"/>
              </w:rPr>
              <w:br w:type="textWrapping"/>
            </w:r>
            <w:r>
              <w:rPr>
                <w:rFonts w:hint="eastAsia" w:ascii="宋体" w:hAnsi="宋体" w:cs="宋体"/>
                <w:color w:val="000000"/>
                <w:kern w:val="0"/>
                <w:sz w:val="22"/>
                <w:szCs w:val="22"/>
              </w:rPr>
              <w:t>④</w:t>
            </w:r>
            <w:r>
              <w:rPr>
                <w:rFonts w:ascii="Times New Roman" w:hAnsi="Times New Roman"/>
                <w:color w:val="000000"/>
                <w:kern w:val="0"/>
                <w:sz w:val="22"/>
                <w:szCs w:val="22"/>
              </w:rPr>
              <w:t>项目是否属于公共财政支持范围，是否符合中央、地方事权支出责任划分原则；</w:t>
            </w:r>
            <w:r>
              <w:rPr>
                <w:rFonts w:ascii="Times New Roman" w:hAnsi="Times New Roman"/>
                <w:color w:val="000000"/>
                <w:kern w:val="0"/>
                <w:sz w:val="22"/>
                <w:szCs w:val="22"/>
              </w:rPr>
              <w:br w:type="textWrapping"/>
            </w:r>
            <w:r>
              <w:rPr>
                <w:rFonts w:hint="eastAsia" w:ascii="宋体" w:hAnsi="宋体" w:cs="宋体"/>
                <w:color w:val="000000"/>
                <w:kern w:val="0"/>
                <w:sz w:val="22"/>
                <w:szCs w:val="22"/>
              </w:rPr>
              <w:t>⑤</w:t>
            </w:r>
            <w:r>
              <w:rPr>
                <w:rFonts w:ascii="Times New Roman" w:hAnsi="Times New Roman"/>
                <w:color w:val="000000"/>
                <w:kern w:val="0"/>
                <w:sz w:val="22"/>
                <w:szCs w:val="22"/>
              </w:rPr>
              <w:t>项目是否与相关部门同类项目或部门内部相关项目重复。</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6096"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项目是否按照规定的程序申请设立；</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审批文件、材料是否符合相关要求；</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事前是否已经过必要的可行性研究、专家论证、风险评估、绩效评估、集体决策。</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6096"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（如未设定预算绩效目标，也可考核其他工作任务目标）</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项目是否有绩效目标；</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项目绩效目标与实际工作内容是否具有相关性；</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项目预期产出效益和效果是否符合正常的业绩水平；</w:t>
            </w:r>
          </w:p>
          <w:p>
            <w:pPr>
              <w:widowControl/>
              <w:spacing w:line="0" w:lineRule="atLeast"/>
              <w:jc w:val="left"/>
              <w:rPr>
                <w:rFonts w:ascii="Times New Roman" w:hAnsi="Times New Roman"/>
                <w:color w:val="000000"/>
                <w:kern w:val="0"/>
                <w:sz w:val="22"/>
                <w:szCs w:val="22"/>
              </w:rPr>
            </w:pPr>
            <w:r>
              <w:rPr>
                <w:rFonts w:hint="eastAsia" w:ascii="宋体" w:hAnsi="宋体" w:cs="宋体"/>
                <w:color w:val="000000"/>
                <w:kern w:val="0"/>
                <w:sz w:val="22"/>
                <w:szCs w:val="22"/>
              </w:rPr>
              <w:t>④</w:t>
            </w:r>
            <w:r>
              <w:rPr>
                <w:rFonts w:ascii="Times New Roman" w:hAnsi="Times New Roman"/>
                <w:color w:val="000000"/>
                <w:kern w:val="0"/>
                <w:sz w:val="22"/>
                <w:szCs w:val="22"/>
              </w:rPr>
              <w:t>是否与预算确定的项目投资额或资金量相匹配。</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567"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是否将项目绩效目标细化分解为具体的绩效指标；</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是否通过清晰、可衡量的指标值予以体现；</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是否与项目目标任务数或计划数相对应。</w:t>
            </w:r>
            <w:r>
              <w:rPr>
                <w:rFonts w:ascii="Times New Roman" w:hAnsi="Times New Roman"/>
                <w:color w:val="000000"/>
                <w:kern w:val="0"/>
                <w:sz w:val="22"/>
                <w:szCs w:val="22"/>
              </w:rPr>
              <w:br w:type="textWrapping"/>
            </w:r>
          </w:p>
        </w:tc>
        <w:tc>
          <w:tcPr>
            <w:tcW w:w="566"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567"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预算编制是否经过科学论证；</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预算内容与项目内容是否匹配；</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预算额度测算依据是否充分，是否按照标准编制；</w:t>
            </w:r>
            <w:r>
              <w:rPr>
                <w:rFonts w:ascii="Times New Roman" w:hAnsi="Times New Roman"/>
                <w:color w:val="000000"/>
                <w:kern w:val="0"/>
                <w:sz w:val="22"/>
                <w:szCs w:val="22"/>
              </w:rPr>
              <w:br w:type="textWrapping"/>
            </w:r>
            <w:r>
              <w:rPr>
                <w:rFonts w:hint="eastAsia" w:ascii="宋体" w:hAnsi="宋体" w:cs="宋体"/>
                <w:color w:val="000000"/>
                <w:kern w:val="0"/>
                <w:sz w:val="22"/>
                <w:szCs w:val="22"/>
              </w:rPr>
              <w:t>④</w:t>
            </w:r>
            <w:r>
              <w:rPr>
                <w:rFonts w:ascii="Times New Roman" w:hAnsi="Times New Roman"/>
                <w:color w:val="000000"/>
                <w:kern w:val="0"/>
                <w:sz w:val="22"/>
                <w:szCs w:val="22"/>
              </w:rPr>
              <w:t>预算确定的项目投资额或资金量是否与工作任务相匹配。</w:t>
            </w:r>
          </w:p>
        </w:tc>
        <w:tc>
          <w:tcPr>
            <w:tcW w:w="566"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预算资金分配依据是否充分；</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资金分配额度是否合理，与项目单位或地方实际是否相适应。</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noWrap w:val="0"/>
            <w:vAlign w:val="center"/>
          </w:tcPr>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567"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预算执行率=（实际支出资金/实际到位资金）×100%。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实际支出资金：一定时期（本年度或项目期）内项目实际拨付的资金。</w:t>
            </w:r>
          </w:p>
        </w:tc>
        <w:tc>
          <w:tcPr>
            <w:tcW w:w="566"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是否符合国家财经法规和财务管理制度以及有关专项资金管理办法的规定；</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资金的拨付是否有完整的审批程序和手续；</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是否符合项目预算批复或合同规定的用途；</w:t>
            </w:r>
            <w:r>
              <w:rPr>
                <w:rFonts w:ascii="Times New Roman" w:hAnsi="Times New Roman"/>
                <w:color w:val="000000"/>
                <w:kern w:val="0"/>
                <w:sz w:val="22"/>
                <w:szCs w:val="22"/>
              </w:rPr>
              <w:br w:type="textWrapping"/>
            </w:r>
            <w:r>
              <w:rPr>
                <w:rFonts w:hint="eastAsia" w:ascii="宋体" w:hAnsi="宋体" w:cs="宋体"/>
                <w:color w:val="000000"/>
                <w:kern w:val="0"/>
                <w:sz w:val="22"/>
                <w:szCs w:val="22"/>
              </w:rPr>
              <w:t>④</w:t>
            </w:r>
            <w:r>
              <w:rPr>
                <w:rFonts w:ascii="Times New Roman" w:hAnsi="Times New Roman"/>
                <w:color w:val="000000"/>
                <w:kern w:val="0"/>
                <w:sz w:val="22"/>
                <w:szCs w:val="22"/>
              </w:rPr>
              <w:t>是否存在截留、挤占、挪用、虚列支出等情况。</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是否已制定或具有相应的财务和业务管理制度；</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财务和业务管理制度是否合法、合规、完整。</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是否遵守相关法律法规和相关管理规定；</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项目调整及支出调整手续是否完备；</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项目合同书、验收报告、技术鉴定等资料是否齐全并及时归档；</w:t>
            </w:r>
            <w:r>
              <w:rPr>
                <w:rFonts w:ascii="Times New Roman" w:hAnsi="Times New Roman"/>
                <w:color w:val="000000"/>
                <w:kern w:val="0"/>
                <w:sz w:val="22"/>
                <w:szCs w:val="22"/>
              </w:rPr>
              <w:br w:type="textWrapping"/>
            </w:r>
            <w:r>
              <w:rPr>
                <w:rFonts w:hint="eastAsia" w:ascii="宋体" w:hAnsi="宋体" w:cs="宋体"/>
                <w:color w:val="000000"/>
                <w:kern w:val="0"/>
                <w:sz w:val="22"/>
                <w:szCs w:val="22"/>
              </w:rPr>
              <w:t>④</w:t>
            </w:r>
            <w:r>
              <w:rPr>
                <w:rFonts w:ascii="Times New Roman" w:hAnsi="Times New Roman"/>
                <w:color w:val="000000"/>
                <w:kern w:val="0"/>
                <w:sz w:val="22"/>
                <w:szCs w:val="22"/>
              </w:rPr>
              <w:t>项目实施的人员条件、场地设备、信息支撑等是否落实到位。</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实际完成率=（实际产出数/计划产出数）×100%。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实际产出数：一定时期（本年度或项目期）内项目实际产出的产品或提供的服务数量。</w:t>
            </w:r>
            <w:r>
              <w:rPr>
                <w:rFonts w:ascii="Times New Roman" w:hAnsi="Times New Roman"/>
                <w:color w:val="000000"/>
                <w:kern w:val="0"/>
                <w:sz w:val="22"/>
                <w:szCs w:val="22"/>
              </w:rPr>
              <w:br w:type="textWrapping"/>
            </w:r>
            <w:r>
              <w:rPr>
                <w:rFonts w:ascii="Times New Roman" w:hAnsi="Times New Roman"/>
                <w:color w:val="000000"/>
                <w:kern w:val="0"/>
                <w:sz w:val="22"/>
                <w:szCs w:val="22"/>
              </w:rPr>
              <w:t>计划产出数：项目绩效目标确定的在一定时期（本年度或项目期）内计划产出的产品或提供的服务数量。</w:t>
            </w:r>
          </w:p>
        </w:tc>
        <w:tc>
          <w:tcPr>
            <w:tcW w:w="566"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567" w:type="dxa"/>
            <w:shd w:val="clear" w:color="auto" w:fill="FFFFFF"/>
            <w:noWrap w:val="0"/>
            <w:vAlign w:val="center"/>
          </w:tcPr>
          <w:p>
            <w:pPr>
              <w:widowControl/>
              <w:spacing w:line="0" w:lineRule="atLeast"/>
              <w:jc w:val="center"/>
              <w:rPr>
                <w:rFonts w:hint="default"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lang w:val="en-US" w:eastAsia="zh-CN"/>
              </w:rPr>
              <w:t>10</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6" w:type="dxa"/>
            <w:shd w:val="clear" w:color="auto" w:fill="FFFFFF"/>
            <w:noWrap w:val="0"/>
            <w:vAlign w:val="center"/>
          </w:tcPr>
          <w:p>
            <w:pPr>
              <w:widowControl/>
              <w:spacing w:line="0" w:lineRule="atLeast"/>
              <w:jc w:val="center"/>
              <w:rPr>
                <w:rFonts w:hint="default"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567"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9</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实际完成时间：项目实施单位完成该项目实际所耗用的时间。</w:t>
            </w:r>
            <w:r>
              <w:rPr>
                <w:rFonts w:ascii="Times New Roman" w:hAnsi="Times New Roman"/>
                <w:color w:val="000000"/>
                <w:kern w:val="0"/>
                <w:sz w:val="22"/>
                <w:szCs w:val="22"/>
              </w:rPr>
              <w:br w:type="textWrapping"/>
            </w:r>
            <w:r>
              <w:rPr>
                <w:rFonts w:ascii="Times New Roman" w:hAnsi="Times New Roman"/>
                <w:color w:val="000000"/>
                <w:kern w:val="0"/>
                <w:sz w:val="22"/>
                <w:szCs w:val="22"/>
              </w:rPr>
              <w:t>计划完成时间：按照项目实施计划或相关规定完成该项目所需的时间。</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br w:type="textWrapping"/>
            </w:r>
            <w:r>
              <w:rPr>
                <w:rFonts w:ascii="Times New Roman" w:hAnsi="Times New Roman"/>
                <w:color w:val="000000"/>
                <w:kern w:val="0"/>
                <w:sz w:val="22"/>
                <w:szCs w:val="22"/>
              </w:rPr>
              <w:t>成本节约率=[（计划成本-实际成本）/计划成本]×100%。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实际成本：项目实施单位如期、保质、保量完成既定工作目标实际所耗费的支出。</w:t>
            </w:r>
            <w:r>
              <w:rPr>
                <w:rFonts w:ascii="Times New Roman" w:hAnsi="Times New Roman"/>
                <w:color w:val="000000"/>
                <w:kern w:val="0"/>
                <w:sz w:val="22"/>
                <w:szCs w:val="22"/>
              </w:rPr>
              <w:br w:type="textWrapping"/>
            </w:r>
            <w:r>
              <w:rPr>
                <w:rFonts w:ascii="Times New Roman" w:hAnsi="Times New Roman"/>
                <w:color w:val="000000"/>
                <w:kern w:val="0"/>
                <w:sz w:val="22"/>
                <w:szCs w:val="22"/>
              </w:rPr>
              <w:t>计划成本：项目实施单位为完成工作目标计划安排的支出，一般以项目预算为参考。</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567" w:type="dxa"/>
            <w:shd w:val="clear" w:color="auto" w:fill="FFFFFF"/>
            <w:noWrap w:val="0"/>
            <w:vAlign w:val="center"/>
          </w:tcPr>
          <w:p>
            <w:pPr>
              <w:widowControl/>
              <w:spacing w:line="0" w:lineRule="atLeast"/>
              <w:jc w:val="center"/>
              <w:rPr>
                <w:rFonts w:hint="default"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lang w:val="en-US" w:eastAsia="zh-CN"/>
              </w:rPr>
              <w:t>15</w:t>
            </w:r>
          </w:p>
        </w:tc>
        <w:tc>
          <w:tcPr>
            <w:tcW w:w="2835"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566" w:type="dxa"/>
            <w:shd w:val="clear" w:color="auto" w:fill="FFFFFF"/>
            <w:noWrap w:val="0"/>
            <w:vAlign w:val="center"/>
          </w:tcPr>
          <w:p>
            <w:pPr>
              <w:widowControl/>
              <w:spacing w:line="0" w:lineRule="atLeast"/>
              <w:jc w:val="center"/>
              <w:rPr>
                <w:rFonts w:hint="default"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lang w:val="en-US" w:eastAsia="zh-CN"/>
              </w:rPr>
              <w:t>14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567" w:type="dxa"/>
            <w:shd w:val="clear" w:color="auto" w:fill="FFFFFF"/>
            <w:noWrap w:val="0"/>
            <w:vAlign w:val="center"/>
          </w:tcPr>
          <w:p>
            <w:pPr>
              <w:widowControl/>
              <w:spacing w:line="0" w:lineRule="atLeast"/>
              <w:jc w:val="center"/>
              <w:rPr>
                <w:rFonts w:hint="default"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lang w:val="en-US" w:eastAsia="zh-CN"/>
              </w:rPr>
              <w:t>10</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566" w:type="dxa"/>
            <w:shd w:val="clear" w:color="auto" w:fill="FFFFFF"/>
            <w:noWrap w:val="0"/>
            <w:vAlign w:val="center"/>
          </w:tcPr>
          <w:p>
            <w:pPr>
              <w:widowControl/>
              <w:spacing w:line="0" w:lineRule="atLeast"/>
              <w:jc w:val="center"/>
              <w:rPr>
                <w:rFonts w:hint="default"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p>
        </w:tc>
        <w:tc>
          <w:tcPr>
            <w:tcW w:w="566"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rPr>
              <w:t>9</w:t>
            </w:r>
            <w:r>
              <w:rPr>
                <w:rFonts w:hint="eastAsia" w:ascii="Times New Roman" w:hAnsi="Times New Roman"/>
                <w:color w:val="000000"/>
                <w:kern w:val="0"/>
                <w:sz w:val="22"/>
                <w:szCs w:val="22"/>
                <w:lang w:val="en-US" w:eastAsia="zh-CN"/>
              </w:rPr>
              <w:t>5</w:t>
            </w:r>
            <w:bookmarkStart w:id="0" w:name="_GoBack"/>
            <w:bookmarkEnd w:id="0"/>
          </w:p>
        </w:tc>
      </w:tr>
    </w:tbl>
    <w:p>
      <w:pPr>
        <w:spacing w:line="560" w:lineRule="exact"/>
        <w:ind w:firstLine="200" w:firstLineChars="100"/>
        <w:rPr>
          <w:rFonts w:ascii="Times New Roman" w:hAnsi="Times New Roman"/>
          <w:bCs/>
          <w:sz w:val="32"/>
          <w:szCs w:val="32"/>
        </w:rPr>
        <w:sectPr>
          <w:pgSz w:w="16838" w:h="11906" w:orient="landscape"/>
          <w:pgMar w:top="1531" w:right="1928" w:bottom="1531" w:left="1701" w:header="737" w:footer="851" w:gutter="0"/>
          <w:pgBorders>
            <w:top w:val="none" w:sz="0" w:space="0"/>
            <w:left w:val="none" w:sz="0" w:space="0"/>
            <w:bottom w:val="none" w:sz="0" w:space="0"/>
            <w:right w:val="none" w:sz="0" w:space="0"/>
          </w:pgBorders>
          <w:cols w:space="720" w:num="1"/>
          <w:docGrid w:type="lines" w:linePitch="408" w:charSpace="0"/>
        </w:sectPr>
      </w:pPr>
      <w:r>
        <w:rPr>
          <w:rFonts w:ascii="Times New Roman" w:hAnsi="Times New Roman" w:eastAsia="仿宋_GB2312"/>
          <w:sz w:val="20"/>
          <w:szCs w:val="20"/>
        </w:rPr>
        <w:t>注：单位可以根据专项资金的管理要求和绩效要求增设个性指</w:t>
      </w: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rPr>
          <w:rFonts w:ascii="Times New Roman" w:hAnsi="Times New Roman" w:eastAsia="黑体"/>
        </w:rPr>
        <w:sectPr>
          <w:footerReference r:id="rId5" w:type="default"/>
          <w:pgSz w:w="11906" w:h="16838"/>
          <w:pgMar w:top="1587" w:right="1587" w:bottom="1587" w:left="1587" w:header="737" w:footer="850" w:gutter="0"/>
          <w:pgBorders>
            <w:top w:val="none" w:sz="0" w:space="0"/>
            <w:left w:val="none" w:sz="0" w:space="0"/>
            <w:bottom w:val="none" w:sz="0" w:space="0"/>
            <w:right w:val="none" w:sz="0" w:space="0"/>
          </w:pgBorders>
          <w:cols w:space="720" w:num="1"/>
          <w:docGrid w:type="lines" w:linePitch="408"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17</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3"/>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17</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17</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3"/>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17</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VkMDNiMTk5ZTk5OTg0YWJlZGQ0NzU4OWM5YTFmZDAifQ=="/>
  </w:docVars>
  <w:rsids>
    <w:rsidRoot w:val="31666F9F"/>
    <w:rsid w:val="0A9351AB"/>
    <w:rsid w:val="17C555A9"/>
    <w:rsid w:val="19FA0B33"/>
    <w:rsid w:val="1AE40F8A"/>
    <w:rsid w:val="209D487B"/>
    <w:rsid w:val="30081F46"/>
    <w:rsid w:val="30B803F1"/>
    <w:rsid w:val="31666F9F"/>
    <w:rsid w:val="483C57EF"/>
    <w:rsid w:val="4D402162"/>
    <w:rsid w:val="55274FBD"/>
    <w:rsid w:val="632171A7"/>
    <w:rsid w:val="6562740E"/>
    <w:rsid w:val="67122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kern w:val="0"/>
      <w:sz w:val="22"/>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kern w:val="0"/>
      <w:sz w:val="18"/>
      <w:szCs w:val="18"/>
    </w:rPr>
  </w:style>
  <w:style w:type="paragraph" w:styleId="6">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4284</Words>
  <Characters>4434</Characters>
  <Lines>0</Lines>
  <Paragraphs>0</Paragraphs>
  <TotalTime>6</TotalTime>
  <ScaleCrop>false</ScaleCrop>
  <LinksUpToDate>false</LinksUpToDate>
  <CharactersWithSpaces>4483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2022-07-14T05:26:00Z</dcterms:created>
  <dc:creator>xh</dc:creator>
  <cp:lastModifiedBy>♉️长辫子精灵</cp:lastModifiedBy>
  <dcterms:modified xsi:type="dcterms:W3CDTF">2023-08-23T13:09:20Z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E1BA0451D8464745A72FA1B0898302E4_13</vt:lpwstr>
  </property>
</Properties>
</file>