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val="en-US" w:eastAsia="zh-CN"/>
        </w:rPr>
        <w:t>蒿吉坪瑶族乡</w:t>
      </w:r>
      <w:r>
        <w:rPr>
          <w:rFonts w:hint="eastAsia" w:ascii="方正小标宋简体" w:hAnsi="方正小标宋简体" w:eastAsia="方正小标宋简体" w:cs="方正小标宋简体"/>
          <w:bCs/>
          <w:sz w:val="44"/>
          <w:szCs w:val="44"/>
        </w:rPr>
        <w:t>人民政府202</w:t>
      </w:r>
      <w:r>
        <w:rPr>
          <w:rFonts w:hint="eastAsia" w:ascii="方正小标宋简体" w:hAnsi="方正小标宋简体" w:eastAsia="方正小标宋简体" w:cs="方正小标宋简体"/>
          <w:bCs/>
          <w:sz w:val="44"/>
          <w:szCs w:val="44"/>
          <w:lang w:val="en-US" w:eastAsia="zh-CN"/>
        </w:rPr>
        <w:t>2</w:t>
      </w:r>
      <w:r>
        <w:rPr>
          <w:rFonts w:hint="eastAsia" w:ascii="方正小标宋简体" w:hAnsi="方正小标宋简体" w:eastAsia="方正小标宋简体" w:cs="方正小标宋简体"/>
          <w:bCs/>
          <w:sz w:val="44"/>
          <w:szCs w:val="44"/>
        </w:rPr>
        <w:t>年度一般公共服务项目支出绩效自评报告</w:t>
      </w:r>
    </w:p>
    <w:p>
      <w:pPr>
        <w:jc w:val="center"/>
        <w:rPr>
          <w:rFonts w:ascii="仿宋_GB2312"/>
          <w:szCs w:val="30"/>
        </w:rPr>
      </w:pP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w:t>
      </w:r>
    </w:p>
    <w:p>
      <w:pPr>
        <w:pStyle w:val="7"/>
        <w:spacing w:line="500" w:lineRule="exact"/>
        <w:ind w:firstLine="640" w:firstLineChars="200"/>
        <w:rPr>
          <w:rFonts w:ascii="宋体" w:hAnsi="宋体"/>
          <w:sz w:val="30"/>
          <w:szCs w:val="30"/>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年我</w:t>
      </w:r>
      <w:r>
        <w:rPr>
          <w:rFonts w:hint="eastAsia" w:ascii="仿宋" w:hAnsi="仿宋" w:eastAsia="仿宋" w:cs="仿宋"/>
          <w:sz w:val="32"/>
          <w:szCs w:val="32"/>
          <w:lang w:eastAsia="zh-CN"/>
        </w:rPr>
        <w:t>乡</w:t>
      </w:r>
      <w:r>
        <w:rPr>
          <w:rFonts w:hint="eastAsia" w:ascii="仿宋" w:hAnsi="仿宋" w:eastAsia="仿宋" w:cs="仿宋"/>
          <w:sz w:val="32"/>
          <w:szCs w:val="32"/>
        </w:rPr>
        <w:t>收到一般公共服务项目资金共</w:t>
      </w:r>
      <w:r>
        <w:rPr>
          <w:rFonts w:hint="eastAsia" w:ascii="仿宋" w:hAnsi="仿宋" w:eastAsia="仿宋" w:cs="仿宋"/>
          <w:sz w:val="32"/>
          <w:szCs w:val="32"/>
          <w:lang w:val="en-US" w:eastAsia="zh-CN"/>
        </w:rPr>
        <w:t>22.52</w:t>
      </w:r>
      <w:r>
        <w:rPr>
          <w:rFonts w:hint="eastAsia" w:ascii="仿宋" w:hAnsi="仿宋" w:eastAsia="仿宋" w:cs="仿宋"/>
          <w:sz w:val="32"/>
          <w:szCs w:val="32"/>
        </w:rPr>
        <w:t>万元，分别是</w:t>
      </w:r>
      <w:r>
        <w:rPr>
          <w:rFonts w:hint="eastAsia" w:ascii="仿宋" w:hAnsi="仿宋" w:eastAsia="仿宋" w:cs="仿宋"/>
          <w:sz w:val="32"/>
          <w:szCs w:val="32"/>
          <w:lang w:eastAsia="zh-CN"/>
        </w:rPr>
        <w:t>：省市代表调研考察费</w:t>
      </w:r>
      <w:r>
        <w:rPr>
          <w:rFonts w:hint="eastAsia" w:ascii="仿宋" w:hAnsi="仿宋" w:eastAsia="仿宋" w:cs="仿宋"/>
          <w:sz w:val="32"/>
          <w:szCs w:val="32"/>
          <w:lang w:val="en-US" w:eastAsia="zh-CN"/>
        </w:rPr>
        <w:t>0.3万元；2021年度重点工作绩效评估优秀单位奖励资金2万元；全县宗教登记场所“五进五好”阵地建设补助经费0.05万元；</w:t>
      </w:r>
      <w:r>
        <w:rPr>
          <w:rFonts w:hint="eastAsia" w:ascii="仿宋" w:hAnsi="仿宋" w:eastAsia="仿宋" w:cs="仿宋"/>
          <w:sz w:val="32"/>
          <w:szCs w:val="32"/>
        </w:rPr>
        <w:t>蒿吉坪乡罗洪村乡村振兴工作队工作经费</w:t>
      </w:r>
      <w:r>
        <w:rPr>
          <w:rFonts w:hint="eastAsia" w:ascii="仿宋" w:hAnsi="仿宋" w:eastAsia="仿宋" w:cs="仿宋"/>
          <w:sz w:val="32"/>
          <w:szCs w:val="32"/>
          <w:lang w:val="en-US" w:eastAsia="zh-CN"/>
        </w:rPr>
        <w:t>2万元；增收节支：2021年度协税护税奖励（车船税0.27万元；县铁路建设协调指挥部付高铁遗留问题经费9.15万元；解决蒿吉坪乡基层统计规范化建设资金0.45万元；农村税费改革转移支付（蒿吉坪乡财政所）5.99万元；10+X平安创建工作经费（含乡镇平安专干绩效补贴10万元）：乡镇平安综治专干考核绩效0.31万元；罗洪村党建工作经费2万元；</w:t>
      </w:r>
      <w:r>
        <w:rPr>
          <w:rFonts w:hint="eastAsia" w:ascii="仿宋" w:hAnsi="仿宋" w:eastAsia="仿宋" w:cs="仿宋"/>
          <w:sz w:val="32"/>
          <w:szCs w:val="32"/>
        </w:rPr>
        <w:t>用于一般行政管理事务</w:t>
      </w:r>
      <w:r>
        <w:rPr>
          <w:rFonts w:hint="eastAsia" w:ascii="仿宋" w:hAnsi="仿宋" w:eastAsia="仿宋" w:cs="仿宋"/>
          <w:sz w:val="32"/>
          <w:szCs w:val="32"/>
          <w:lang w:eastAsia="zh-CN"/>
        </w:rPr>
        <w:t>、</w:t>
      </w:r>
      <w:r>
        <w:rPr>
          <w:rFonts w:hint="eastAsia" w:ascii="仿宋" w:hAnsi="仿宋" w:eastAsia="仿宋" w:cs="仿宋"/>
          <w:sz w:val="32"/>
          <w:szCs w:val="32"/>
        </w:rPr>
        <w:t>财</w:t>
      </w:r>
      <w:r>
        <w:rPr>
          <w:rFonts w:hint="eastAsia" w:ascii="仿宋" w:hAnsi="仿宋" w:eastAsia="仿宋" w:cs="仿宋"/>
          <w:sz w:val="32"/>
          <w:szCs w:val="32"/>
          <w:lang w:val="en-US" w:eastAsia="zh-CN"/>
        </w:rPr>
        <w:t>政</w:t>
      </w:r>
      <w:r>
        <w:rPr>
          <w:rFonts w:hint="eastAsia" w:ascii="仿宋" w:hAnsi="仿宋" w:eastAsia="仿宋" w:cs="仿宋"/>
          <w:sz w:val="32"/>
          <w:szCs w:val="32"/>
        </w:rPr>
        <w:t>事务</w:t>
      </w:r>
      <w:r>
        <w:rPr>
          <w:rFonts w:hint="eastAsia" w:ascii="仿宋" w:hAnsi="仿宋" w:eastAsia="仿宋" w:cs="仿宋"/>
          <w:sz w:val="32"/>
          <w:szCs w:val="32"/>
          <w:lang w:val="en-US" w:eastAsia="zh-CN"/>
        </w:rPr>
        <w:t>及组织事务</w:t>
      </w:r>
      <w:r>
        <w:rPr>
          <w:rFonts w:hint="eastAsia" w:ascii="仿宋" w:hAnsi="仿宋" w:eastAsia="仿宋" w:cs="仿宋"/>
          <w:sz w:val="32"/>
          <w:szCs w:val="32"/>
        </w:rPr>
        <w:t>的相关开支。</w:t>
      </w:r>
    </w:p>
    <w:p>
      <w:pPr>
        <w:numPr>
          <w:ilvl w:val="0"/>
          <w:numId w:val="1"/>
        </w:numPr>
        <w:spacing w:after="0"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rPr>
        <w:t>项目资金投入情况。全年共投入</w:t>
      </w:r>
      <w:r>
        <w:rPr>
          <w:rFonts w:hint="eastAsia" w:ascii="仿宋" w:hAnsi="仿宋" w:eastAsia="仿宋" w:cs="仿宋"/>
          <w:sz w:val="32"/>
          <w:szCs w:val="32"/>
          <w:lang w:val="en-US" w:eastAsia="zh-CN"/>
        </w:rPr>
        <w:t>22.52</w:t>
      </w:r>
      <w:r>
        <w:rPr>
          <w:rFonts w:hint="eastAsia" w:ascii="仿宋" w:hAnsi="仿宋" w:eastAsia="仿宋" w:cs="仿宋"/>
          <w:sz w:val="32"/>
          <w:szCs w:val="32"/>
        </w:rPr>
        <w:t>万元，实际使用</w:t>
      </w:r>
      <w:r>
        <w:rPr>
          <w:rFonts w:hint="eastAsia" w:ascii="仿宋" w:hAnsi="仿宋" w:eastAsia="仿宋" w:cs="仿宋"/>
          <w:sz w:val="32"/>
          <w:szCs w:val="32"/>
          <w:lang w:val="en-US" w:eastAsia="zh-CN"/>
        </w:rPr>
        <w:t>22.52</w:t>
      </w:r>
      <w:r>
        <w:rPr>
          <w:rFonts w:hint="eastAsia" w:ascii="仿宋" w:hAnsi="仿宋" w:eastAsia="仿宋" w:cs="仿宋"/>
          <w:sz w:val="32"/>
          <w:szCs w:val="32"/>
        </w:rPr>
        <w:t>万元。分别是</w:t>
      </w:r>
      <w:r>
        <w:rPr>
          <w:rFonts w:hint="eastAsia" w:ascii="仿宋" w:hAnsi="仿宋" w:eastAsia="仿宋" w:cs="仿宋"/>
          <w:sz w:val="32"/>
          <w:szCs w:val="32"/>
          <w:lang w:eastAsia="zh-CN"/>
        </w:rPr>
        <w:t>：省市代表调研考察费</w:t>
      </w:r>
      <w:r>
        <w:rPr>
          <w:rFonts w:hint="eastAsia" w:ascii="仿宋" w:hAnsi="仿宋" w:eastAsia="仿宋" w:cs="仿宋"/>
          <w:sz w:val="32"/>
          <w:szCs w:val="32"/>
          <w:lang w:val="en-US" w:eastAsia="zh-CN"/>
        </w:rPr>
        <w:t>0.3万元；2021年度重点工作绩效评估优秀单位奖励资金2万元；全县宗教登记场所“五进五好”阵地建设补助经费0.05万元；</w:t>
      </w:r>
      <w:r>
        <w:rPr>
          <w:rFonts w:hint="eastAsia" w:ascii="仿宋" w:hAnsi="仿宋" w:eastAsia="仿宋" w:cs="仿宋"/>
          <w:sz w:val="32"/>
          <w:szCs w:val="32"/>
        </w:rPr>
        <w:t>蒿吉坪乡罗洪村乡村振兴工作队工作经费</w:t>
      </w:r>
      <w:r>
        <w:rPr>
          <w:rFonts w:hint="eastAsia" w:ascii="仿宋" w:hAnsi="仿宋" w:eastAsia="仿宋" w:cs="仿宋"/>
          <w:sz w:val="32"/>
          <w:szCs w:val="32"/>
          <w:lang w:val="en-US" w:eastAsia="zh-CN"/>
        </w:rPr>
        <w:t>2万元；增收节支：2021年度协税护税奖励（车船税0.27万元；县铁路建设协调指挥部付高铁遗留问题经费9.15万元；解决蒿吉坪乡基层统计规范化建设资金0.45万元；农村税费改革转移支付（蒿吉坪乡财政所）5.99万元；10+X平安创建工作经费（含乡镇平安专干绩效补贴10万元）：乡镇平安综治专干考核绩效0.31万元；罗洪村党建工作经费2万元。</w:t>
      </w:r>
    </w:p>
    <w:p>
      <w:pPr>
        <w:numPr>
          <w:ilvl w:val="0"/>
          <w:numId w:val="1"/>
        </w:num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项目资金使用情况。资金使用方面，做到了专款专用，支付范围、标准、进度、依据符合规定，与预算基本一致。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1.项目绩效总目标：增强协税护税意识，促进税收增长；加强财政监督管理，提高财政管理水平；加强综治</w:t>
      </w:r>
      <w:r>
        <w:rPr>
          <w:rFonts w:hint="eastAsia" w:ascii="仿宋" w:hAnsi="仿宋" w:eastAsia="仿宋" w:cs="仿宋"/>
          <w:sz w:val="32"/>
          <w:szCs w:val="32"/>
          <w:lang w:eastAsia="zh-CN"/>
        </w:rPr>
        <w:t>管理、安全生产</w:t>
      </w:r>
      <w:r>
        <w:rPr>
          <w:rFonts w:hint="eastAsia" w:ascii="仿宋" w:hAnsi="仿宋" w:eastAsia="仿宋" w:cs="仿宋"/>
          <w:sz w:val="32"/>
          <w:szCs w:val="32"/>
        </w:rPr>
        <w:t>建设，有利于社会平安稳定发展</w:t>
      </w:r>
      <w:r>
        <w:rPr>
          <w:rFonts w:hint="eastAsia" w:ascii="仿宋" w:hAnsi="仿宋" w:eastAsia="仿宋" w:cs="仿宋"/>
          <w:sz w:val="32"/>
          <w:szCs w:val="32"/>
          <w:lang w:eastAsia="zh-CN"/>
        </w:rPr>
        <w:t>；改造</w:t>
      </w:r>
      <w:r>
        <w:rPr>
          <w:rFonts w:hint="eastAsia" w:ascii="仿宋" w:hAnsi="仿宋" w:eastAsia="仿宋" w:cs="仿宋"/>
          <w:sz w:val="32"/>
          <w:szCs w:val="32"/>
          <w:lang w:val="en-US" w:eastAsia="zh-CN"/>
        </w:rPr>
        <w:t>全县宗教登记场所“五进五好”阵地建设</w:t>
      </w:r>
      <w:r>
        <w:rPr>
          <w:rFonts w:hint="eastAsia" w:ascii="仿宋" w:hAnsi="仿宋" w:eastAsia="仿宋" w:cs="仿宋"/>
          <w:sz w:val="32"/>
          <w:szCs w:val="32"/>
          <w:lang w:eastAsia="zh-CN"/>
        </w:rPr>
        <w:t>，更好的服务群众</w:t>
      </w:r>
      <w:r>
        <w:rPr>
          <w:rFonts w:hint="eastAsia" w:ascii="仿宋" w:hAnsi="仿宋" w:eastAsia="仿宋" w:cs="仿宋"/>
          <w:sz w:val="32"/>
          <w:szCs w:val="32"/>
        </w:rPr>
        <w:t>。</w:t>
      </w:r>
    </w:p>
    <w:p>
      <w:pPr>
        <w:spacing w:after="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2.项目绩效阶段性目标：完成</w:t>
      </w:r>
      <w:r>
        <w:rPr>
          <w:rFonts w:hint="eastAsia" w:ascii="仿宋" w:hAnsi="仿宋" w:eastAsia="仿宋" w:cs="仿宋"/>
          <w:sz w:val="32"/>
          <w:szCs w:val="32"/>
          <w:lang w:eastAsia="zh-CN"/>
        </w:rPr>
        <w:t>省市代表调研考察费</w:t>
      </w:r>
      <w:r>
        <w:rPr>
          <w:rFonts w:hint="eastAsia" w:ascii="仿宋" w:hAnsi="仿宋" w:eastAsia="仿宋" w:cs="仿宋"/>
          <w:sz w:val="32"/>
          <w:szCs w:val="32"/>
          <w:lang w:val="en-US" w:eastAsia="zh-CN"/>
        </w:rPr>
        <w:t>0.3万元；2021年度重点工作绩效评估优秀单位奖励资金2万元；全县宗教登记场所“五进五好”阵地建设补助经费0.05万元；</w:t>
      </w:r>
      <w:r>
        <w:rPr>
          <w:rFonts w:hint="eastAsia" w:ascii="仿宋" w:hAnsi="仿宋" w:eastAsia="仿宋" w:cs="仿宋"/>
          <w:sz w:val="32"/>
          <w:szCs w:val="32"/>
        </w:rPr>
        <w:t>蒿吉坪乡罗洪村乡村振兴工作队工作经费</w:t>
      </w:r>
      <w:r>
        <w:rPr>
          <w:rFonts w:hint="eastAsia" w:ascii="仿宋" w:hAnsi="仿宋" w:eastAsia="仿宋" w:cs="仿宋"/>
          <w:sz w:val="32"/>
          <w:szCs w:val="32"/>
          <w:lang w:val="en-US" w:eastAsia="zh-CN"/>
        </w:rPr>
        <w:t>2万元；增收节支：2021年度协税护税奖励（车船税0.27万元；县铁路建设协调指挥部付高铁遗留问题经费9.15万元；解决蒿吉坪乡基层统计规范化建设资金0.45万元；农村税费改革转移支付（蒿吉坪乡财政所）5.99万元；10+X平安创建工作经费（含乡镇平安专干绩效补贴10万元）：乡镇平安综治专干考核绩效0.31万元；罗洪村党建工作经费2万元。</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年度对</w:t>
      </w:r>
      <w:r>
        <w:rPr>
          <w:rFonts w:hint="eastAsia" w:ascii="仿宋" w:hAnsi="仿宋" w:eastAsia="仿宋" w:cs="仿宋"/>
          <w:sz w:val="32"/>
          <w:szCs w:val="32"/>
          <w:lang w:eastAsia="zh-CN"/>
        </w:rPr>
        <w:t>省市代表调研考察费、</w:t>
      </w:r>
      <w:r>
        <w:rPr>
          <w:rFonts w:hint="eastAsia" w:ascii="仿宋" w:hAnsi="仿宋" w:eastAsia="仿宋" w:cs="仿宋"/>
          <w:sz w:val="32"/>
          <w:szCs w:val="32"/>
          <w:lang w:val="en-US" w:eastAsia="zh-CN"/>
        </w:rPr>
        <w:t>2021年度重点工作绩效评估优秀单位奖励资金、</w:t>
      </w:r>
      <w:r>
        <w:rPr>
          <w:rFonts w:hint="eastAsia" w:ascii="仿宋" w:hAnsi="仿宋" w:eastAsia="仿宋" w:cs="仿宋"/>
          <w:sz w:val="32"/>
          <w:szCs w:val="32"/>
        </w:rPr>
        <w:t>全县宗教登记场所“五进五好”阵地建设补助经费、蒿吉坪乡罗洪村乡村振兴工作队工作经费</w:t>
      </w:r>
      <w:r>
        <w:rPr>
          <w:rFonts w:hint="eastAsia" w:ascii="仿宋" w:hAnsi="仿宋" w:eastAsia="仿宋" w:cs="仿宋"/>
          <w:sz w:val="32"/>
          <w:szCs w:val="32"/>
          <w:lang w:eastAsia="zh-CN"/>
        </w:rPr>
        <w:t>、增收节支：2021年度协税护税奖励（车船税）、县铁路建设协调指挥部付高铁遗留问题经费、解决蒿吉坪乡基层统计规范化建设资金、农村税费改革转移支付（蒿吉坪乡财政所）、10+X平安创建工作经费（含乡镇平安专干绩效补贴10万元）：乡镇平安综治专干考核绩效、罗洪村党建工作经费</w:t>
      </w:r>
      <w:r>
        <w:rPr>
          <w:rFonts w:hint="eastAsia" w:ascii="仿宋" w:hAnsi="仿宋" w:eastAsia="仿宋" w:cs="仿宋"/>
          <w:sz w:val="32"/>
          <w:szCs w:val="32"/>
        </w:rPr>
        <w:t>全方位、全过程、全覆盖的预算绩效管理体系。财政资金绩效价是预算管理的重要环节，也是当前审计的前置环节。</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通过对</w:t>
      </w:r>
      <w:r>
        <w:rPr>
          <w:rFonts w:hint="eastAsia" w:ascii="仿宋" w:hAnsi="仿宋" w:eastAsia="仿宋" w:cs="仿宋"/>
          <w:sz w:val="32"/>
          <w:szCs w:val="32"/>
          <w:lang w:eastAsia="zh-CN"/>
        </w:rPr>
        <w:t>省市代表调研考察费、</w:t>
      </w:r>
      <w:r>
        <w:rPr>
          <w:rFonts w:hint="eastAsia" w:ascii="仿宋" w:hAnsi="仿宋" w:eastAsia="仿宋" w:cs="仿宋"/>
          <w:sz w:val="32"/>
          <w:szCs w:val="32"/>
          <w:lang w:val="en-US" w:eastAsia="zh-CN"/>
        </w:rPr>
        <w:t>2021年度重点工作绩效评估优秀单位奖励资金、</w:t>
      </w:r>
      <w:r>
        <w:rPr>
          <w:rFonts w:hint="eastAsia" w:ascii="仿宋" w:hAnsi="仿宋" w:eastAsia="仿宋" w:cs="仿宋"/>
          <w:sz w:val="32"/>
          <w:szCs w:val="32"/>
        </w:rPr>
        <w:t>全县宗教登记场所“五进五好”阵地建设补助经费、蒿吉坪乡罗洪村乡村振兴工作队工作经费</w:t>
      </w:r>
      <w:r>
        <w:rPr>
          <w:rFonts w:hint="eastAsia" w:ascii="仿宋" w:hAnsi="仿宋" w:eastAsia="仿宋" w:cs="仿宋"/>
          <w:sz w:val="32"/>
          <w:szCs w:val="32"/>
          <w:lang w:eastAsia="zh-CN"/>
        </w:rPr>
        <w:t>、增收节支：2021年度协税护税奖励（车船税）、县铁路建设协调指挥部付高铁遗留问题经费、解决蒿吉坪乡基层统计规范化建设资金、农村税费改革转移支付（蒿吉坪乡财政所）、10+X平安创建工作经费（含乡镇平安专干绩效补贴10万元）：乡镇平安综治专干考核绩效、罗洪村党建工作经费</w:t>
      </w:r>
      <w:r>
        <w:rPr>
          <w:rFonts w:hint="eastAsia" w:ascii="仿宋" w:hAnsi="仿宋" w:eastAsia="仿宋" w:cs="仿宋"/>
          <w:sz w:val="32"/>
          <w:szCs w:val="32"/>
        </w:rPr>
        <w:t xml:space="preserve">项目管理制度和流程、资金使用情况、受益群体的反馈情况，从而强化项目监督，完善项目管理，提高项目资金使用效益和支出透明度，对存在的问题进行原因分析并提出合理化建议。建立健全财务管理制度和约束机制，依法、有效的使用财政资金，为以后年度项目安排及资金管理提供重要依据。 </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1、部门整体支出绩效评价原则：遵循客观公正，操作简便高效，尊重客观实际、实事求是的原则。</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2、整体支出绩效评价体系：指标体系包括共性指标和个性指标两部分，本次主要参照了财政部门制定《部门整体支出绩效评价指标体系》的相关内容，根据部门具体情况对个性指标进行里调整细化。</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3、整体支出绩效评价方法：主要采用投入产出效益分析法、比较法等方法。</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收集项目资料，在收集和审核项目资料的基础上，制定了绩效评价指标体系，并进一步修改和完善，最后根据评价标准和资料依据，进行了分析，得出评价结论。</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pStyle w:val="7"/>
        <w:spacing w:line="520" w:lineRule="exact"/>
        <w:ind w:firstLine="640" w:firstLineChars="200"/>
        <w:rPr>
          <w:rFonts w:ascii="仿宋_GB2312" w:hAnsi="仿宋_GB2312" w:eastAsia="仿宋_GB2312" w:cs="仿宋_GB2312"/>
          <w:kern w:val="0"/>
          <w:sz w:val="32"/>
          <w:szCs w:val="32"/>
        </w:rPr>
      </w:pPr>
      <w:r>
        <w:rPr>
          <w:rFonts w:hint="eastAsia" w:ascii="仿宋" w:hAnsi="仿宋" w:eastAsia="仿宋" w:cs="仿宋"/>
          <w:kern w:val="0"/>
          <w:sz w:val="32"/>
          <w:szCs w:val="32"/>
        </w:rPr>
        <w:t>根据《项目支出绩效评价共性指标表》得分9</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分，绩效价评等级为优</w:t>
      </w:r>
      <w:r>
        <w:rPr>
          <w:rFonts w:hint="eastAsia" w:ascii="仿宋_GB2312" w:hAnsi="仿宋_GB2312" w:eastAsia="仿宋_GB2312" w:cs="仿宋_GB2312"/>
          <w:kern w:val="0"/>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根据上级要求执行落实到位。</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按期完成时间业务管理、财务管理和会计信息管理几个面方。重点考核管理制度建立情况、过程监管情况。如管理制度健全性、制度执行有效性、项目质量可控性；资金使用合规性、项目资金安全性；会计信息能否全面范性和完整性。</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主要体现项目实施过程产出数量、评审项目按实际实施项目为准，做好项目前期预算、按实际完成。截止202</w:t>
      </w:r>
      <w:r>
        <w:rPr>
          <w:rFonts w:hint="eastAsia" w:ascii="仿宋" w:hAnsi="仿宋" w:eastAsia="仿宋" w:cs="仿宋"/>
          <w:sz w:val="32"/>
          <w:szCs w:val="32"/>
          <w:lang w:val="en-US" w:eastAsia="zh-CN"/>
        </w:rPr>
        <w:t>2</w:t>
      </w:r>
      <w:r>
        <w:rPr>
          <w:rFonts w:hint="eastAsia" w:ascii="仿宋" w:hAnsi="仿宋" w:eastAsia="仿宋" w:cs="仿宋"/>
          <w:sz w:val="32"/>
          <w:szCs w:val="32"/>
        </w:rPr>
        <w:t>年12月，</w:t>
      </w:r>
      <w:r>
        <w:rPr>
          <w:rFonts w:hint="eastAsia" w:ascii="仿宋" w:hAnsi="仿宋" w:eastAsia="仿宋" w:cs="仿宋"/>
          <w:sz w:val="32"/>
          <w:szCs w:val="32"/>
          <w:lang w:eastAsia="zh-CN"/>
        </w:rPr>
        <w:t>省市代表调研考察费</w:t>
      </w:r>
      <w:r>
        <w:rPr>
          <w:rFonts w:hint="eastAsia" w:ascii="仿宋" w:hAnsi="仿宋" w:eastAsia="仿宋" w:cs="仿宋"/>
          <w:sz w:val="32"/>
          <w:szCs w:val="32"/>
          <w:lang w:val="en-US" w:eastAsia="zh-CN"/>
        </w:rPr>
        <w:t>0.3万元；2021年度重点工作绩效评估优秀单位奖励资金2万元；全县宗教登记场所“五进五好”阵地建设补助经费0.05万元；</w:t>
      </w:r>
      <w:r>
        <w:rPr>
          <w:rFonts w:hint="eastAsia" w:ascii="仿宋" w:hAnsi="仿宋" w:eastAsia="仿宋" w:cs="仿宋"/>
          <w:sz w:val="32"/>
          <w:szCs w:val="32"/>
        </w:rPr>
        <w:t>蒿吉坪乡罗洪村乡村振兴工作队工作经费</w:t>
      </w:r>
      <w:r>
        <w:rPr>
          <w:rFonts w:hint="eastAsia" w:ascii="仿宋" w:hAnsi="仿宋" w:eastAsia="仿宋" w:cs="仿宋"/>
          <w:sz w:val="32"/>
          <w:szCs w:val="32"/>
          <w:lang w:val="en-US" w:eastAsia="zh-CN"/>
        </w:rPr>
        <w:t>2万元；增收节支：2021年度协税护税奖励（车船税0.27万元；县铁路建设协调指挥部付高铁遗留问题经费9.15万元；解决蒿吉坪乡基层统计规范化建设资金0.45万元；农村税费改革转移支付（蒿吉坪乡财政所）5.99万元；10+X平安创建工作经费（含乡镇平安专干绩效补贴10万元）：乡镇平安综治专干考核绩效0.31万元；罗洪村党建工作经费2万元</w:t>
      </w:r>
      <w:r>
        <w:rPr>
          <w:rFonts w:hint="eastAsia" w:ascii="仿宋" w:hAnsi="仿宋" w:eastAsia="仿宋" w:cs="仿宋"/>
          <w:sz w:val="32"/>
          <w:szCs w:val="32"/>
        </w:rPr>
        <w:t>已全部支付到位，支付率为100%。</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按照年初的绩效目标，提高政府投资效益，节约财政资金，项目完成了协税护税奖励，增强协税护税意识，促进税收增长。严格乡</w:t>
      </w:r>
      <w:r>
        <w:rPr>
          <w:rFonts w:hint="eastAsia" w:ascii="仿宋" w:hAnsi="仿宋" w:eastAsia="仿宋" w:cs="仿宋"/>
          <w:sz w:val="32"/>
          <w:szCs w:val="32"/>
          <w:lang w:eastAsia="zh-CN"/>
        </w:rPr>
        <w:t>乡</w:t>
      </w:r>
      <w:r>
        <w:rPr>
          <w:rFonts w:hint="eastAsia" w:ascii="仿宋" w:hAnsi="仿宋" w:eastAsia="仿宋" w:cs="仿宋"/>
          <w:sz w:val="32"/>
          <w:szCs w:val="32"/>
        </w:rPr>
        <w:t>财政管理经费的支出，提高了乡</w:t>
      </w:r>
      <w:r>
        <w:rPr>
          <w:rFonts w:hint="eastAsia" w:ascii="仿宋" w:hAnsi="仿宋" w:eastAsia="仿宋" w:cs="仿宋"/>
          <w:sz w:val="32"/>
          <w:szCs w:val="32"/>
          <w:lang w:eastAsia="zh-CN"/>
        </w:rPr>
        <w:t>乡</w:t>
      </w:r>
      <w:r>
        <w:rPr>
          <w:rFonts w:hint="eastAsia" w:ascii="仿宋" w:hAnsi="仿宋" w:eastAsia="仿宋" w:cs="仿宋"/>
          <w:sz w:val="32"/>
          <w:szCs w:val="32"/>
        </w:rPr>
        <w:t>财政管理水平</w:t>
      </w:r>
      <w:r>
        <w:rPr>
          <w:rFonts w:hint="eastAsia" w:ascii="仿宋" w:hAnsi="仿宋" w:eastAsia="仿宋" w:cs="仿宋"/>
          <w:sz w:val="32"/>
          <w:szCs w:val="32"/>
          <w:lang w:eastAsia="zh-CN"/>
        </w:rPr>
        <w:t>；增强</w:t>
      </w:r>
      <w:r>
        <w:rPr>
          <w:rFonts w:hint="eastAsia" w:ascii="仿宋" w:hAnsi="仿宋" w:eastAsia="仿宋" w:cs="仿宋"/>
          <w:sz w:val="32"/>
          <w:szCs w:val="32"/>
        </w:rPr>
        <w:t>了乡</w:t>
      </w:r>
      <w:r>
        <w:rPr>
          <w:rFonts w:hint="eastAsia" w:ascii="仿宋" w:hAnsi="仿宋" w:eastAsia="仿宋" w:cs="仿宋"/>
          <w:sz w:val="32"/>
          <w:szCs w:val="32"/>
          <w:lang w:eastAsia="zh-CN"/>
        </w:rPr>
        <w:t>乡</w:t>
      </w:r>
      <w:r>
        <w:rPr>
          <w:rFonts w:hint="eastAsia" w:ascii="仿宋" w:hAnsi="仿宋" w:eastAsia="仿宋" w:cs="仿宋"/>
          <w:sz w:val="32"/>
          <w:szCs w:val="32"/>
        </w:rPr>
        <w:t>平安</w:t>
      </w:r>
      <w:r>
        <w:rPr>
          <w:rFonts w:hint="eastAsia" w:ascii="仿宋" w:hAnsi="仿宋" w:eastAsia="仿宋" w:cs="仿宋"/>
          <w:sz w:val="32"/>
          <w:szCs w:val="32"/>
          <w:lang w:eastAsia="zh-CN"/>
        </w:rPr>
        <w:t>建设</w:t>
      </w:r>
      <w:r>
        <w:rPr>
          <w:rFonts w:hint="eastAsia" w:ascii="仿宋" w:hAnsi="仿宋" w:eastAsia="仿宋" w:cs="仿宋"/>
          <w:sz w:val="32"/>
          <w:szCs w:val="32"/>
        </w:rPr>
        <w:t>，加强了综治</w:t>
      </w:r>
      <w:r>
        <w:rPr>
          <w:rFonts w:hint="eastAsia" w:ascii="仿宋" w:hAnsi="仿宋" w:eastAsia="仿宋" w:cs="仿宋"/>
          <w:sz w:val="32"/>
          <w:szCs w:val="32"/>
          <w:lang w:eastAsia="zh-CN"/>
        </w:rPr>
        <w:t>治理</w:t>
      </w:r>
      <w:r>
        <w:rPr>
          <w:rFonts w:hint="eastAsia" w:ascii="仿宋" w:hAnsi="仿宋" w:eastAsia="仿宋" w:cs="仿宋"/>
          <w:sz w:val="32"/>
          <w:szCs w:val="32"/>
        </w:rPr>
        <w:t>建设，有利于提高群众生活安全感和幸福指数</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全县宗教登记场所“五进五好”阵地建设</w:t>
      </w:r>
      <w:r>
        <w:rPr>
          <w:rFonts w:hint="eastAsia" w:ascii="仿宋" w:hAnsi="仿宋" w:eastAsia="仿宋" w:cs="仿宋"/>
          <w:sz w:val="32"/>
          <w:szCs w:val="32"/>
          <w:lang w:eastAsia="zh-CN"/>
        </w:rPr>
        <w:t>，更好的服务人民群众</w:t>
      </w:r>
      <w:r>
        <w:rPr>
          <w:rFonts w:hint="eastAsia" w:ascii="仿宋" w:hAnsi="仿宋" w:eastAsia="仿宋" w:cs="仿宋"/>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严格按照绩效评价要求进行年初绩效目标年初申报，并根据年初要求严格落实，确保顺利完成预期目标。</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pPr>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无。</w:t>
      </w:r>
    </w:p>
    <w:p>
      <w:pPr>
        <w:spacing w:after="0" w:line="600" w:lineRule="exact"/>
        <w:ind w:firstLine="640" w:firstLineChars="200"/>
        <w:rPr>
          <w:rFonts w:ascii="仿宋" w:hAnsi="仿宋" w:eastAsia="仿宋" w:cs="仿宋"/>
          <w:sz w:val="32"/>
          <w:szCs w:val="32"/>
        </w:rPr>
      </w:pPr>
    </w:p>
    <w:p>
      <w:pPr>
        <w:adjustRightInd/>
        <w:snapToGrid/>
        <w:spacing w:line="460" w:lineRule="exact"/>
        <w:ind w:firstLine="645"/>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rPr>
        <w:t>1</w:t>
      </w:r>
      <w:r>
        <w:rPr>
          <w:rFonts w:ascii="Times New Roman" w:hAnsi="Times New Roman" w:eastAsia="仿宋_GB2312"/>
          <w:sz w:val="32"/>
          <w:szCs w:val="32"/>
        </w:rPr>
        <w:t>.项目支出绩效自评表</w:t>
      </w:r>
    </w:p>
    <w:p>
      <w:pPr>
        <w:adjustRightInd/>
        <w:snapToGrid/>
        <w:spacing w:line="460" w:lineRule="exact"/>
        <w:ind w:firstLine="1600" w:firstLineChars="500"/>
        <w:rPr>
          <w:rFonts w:ascii="Times New Roman" w:hAnsi="Times New Roman" w:eastAsia="仿宋_GB2312"/>
          <w:bCs/>
          <w:color w:val="000000"/>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项目支出绩效评价指标</w:t>
      </w:r>
      <w:r>
        <w:rPr>
          <w:rFonts w:ascii="Times New Roman" w:hAnsi="Times New Roman" w:eastAsia="仿宋_GB2312"/>
          <w:bCs/>
          <w:color w:val="000000"/>
          <w:sz w:val="32"/>
          <w:szCs w:val="32"/>
        </w:rPr>
        <w:t>评分表</w:t>
      </w:r>
    </w:p>
    <w:p>
      <w:pPr>
        <w:adjustRightInd/>
        <w:snapToGrid/>
        <w:spacing w:line="460" w:lineRule="exact"/>
        <w:ind w:firstLine="645"/>
        <w:rPr>
          <w:rFonts w:ascii="Times New Roman" w:hAnsi="Times New Roman" w:eastAsia="仿宋_GB2312"/>
          <w:sz w:val="32"/>
          <w:szCs w:val="32"/>
        </w:rPr>
      </w:pPr>
    </w:p>
    <w:p>
      <w:pPr>
        <w:spacing w:after="0" w:line="600" w:lineRule="exact"/>
        <w:ind w:firstLine="640" w:firstLineChars="200"/>
        <w:rPr>
          <w:rFonts w:ascii="仿宋" w:hAnsi="仿宋" w:eastAsia="仿宋" w:cs="仿宋"/>
          <w:sz w:val="32"/>
          <w:szCs w:val="32"/>
        </w:rPr>
      </w:pPr>
    </w:p>
    <w:p>
      <w:pPr>
        <w:spacing w:after="0" w:line="600" w:lineRule="exact"/>
        <w:ind w:firstLine="640" w:firstLineChars="200"/>
        <w:rPr>
          <w:rFonts w:ascii="仿宋" w:hAnsi="仿宋" w:eastAsia="仿宋" w:cs="仿宋"/>
          <w:sz w:val="32"/>
          <w:szCs w:val="32"/>
        </w:rPr>
      </w:pPr>
    </w:p>
    <w:p>
      <w:pPr>
        <w:spacing w:after="0" w:line="600" w:lineRule="exact"/>
        <w:ind w:firstLine="640" w:firstLineChars="200"/>
        <w:rPr>
          <w:rFonts w:ascii="仿宋" w:hAnsi="仿宋" w:eastAsia="仿宋" w:cs="仿宋"/>
          <w:sz w:val="32"/>
          <w:szCs w:val="32"/>
        </w:rPr>
      </w:pPr>
    </w:p>
    <w:p>
      <w:pPr>
        <w:spacing w:after="0" w:line="600" w:lineRule="exact"/>
        <w:ind w:firstLine="640" w:firstLineChars="200"/>
        <w:rPr>
          <w:rFonts w:ascii="仿宋" w:hAnsi="仿宋" w:eastAsia="仿宋" w:cs="仿宋"/>
          <w:sz w:val="32"/>
          <w:szCs w:val="32"/>
        </w:rPr>
      </w:pPr>
    </w:p>
    <w:p>
      <w:pPr>
        <w:spacing w:after="0" w:line="600" w:lineRule="exact"/>
        <w:ind w:firstLine="640" w:firstLineChars="200"/>
        <w:rPr>
          <w:rFonts w:ascii="仿宋" w:hAnsi="仿宋" w:eastAsia="仿宋" w:cs="仿宋"/>
          <w:sz w:val="32"/>
          <w:szCs w:val="32"/>
        </w:rPr>
      </w:pPr>
    </w:p>
    <w:p>
      <w:pPr>
        <w:spacing w:after="0" w:line="600" w:lineRule="exact"/>
        <w:rPr>
          <w:rFonts w:ascii="仿宋" w:hAnsi="仿宋" w:eastAsia="仿宋" w:cs="仿宋"/>
          <w:sz w:val="32"/>
          <w:szCs w:val="32"/>
        </w:rPr>
      </w:pPr>
    </w:p>
    <w:p>
      <w:pPr>
        <w:spacing w:after="0" w:line="600" w:lineRule="exact"/>
        <w:rPr>
          <w:rFonts w:ascii="仿宋" w:hAnsi="仿宋" w:eastAsia="仿宋" w:cs="仿宋"/>
          <w:sz w:val="32"/>
          <w:szCs w:val="32"/>
        </w:rPr>
      </w:pPr>
    </w:p>
    <w:p>
      <w:pPr>
        <w:spacing w:after="0" w:line="600" w:lineRule="exact"/>
        <w:rPr>
          <w:rFonts w:ascii="仿宋" w:hAnsi="仿宋" w:eastAsia="仿宋" w:cs="仿宋"/>
          <w:sz w:val="32"/>
          <w:szCs w:val="32"/>
        </w:rPr>
      </w:pPr>
    </w:p>
    <w:p>
      <w:pPr>
        <w:spacing w:line="400" w:lineRule="exact"/>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附件1</w:t>
      </w:r>
    </w:p>
    <w:tbl>
      <w:tblPr>
        <w:tblStyle w:val="5"/>
        <w:tblW w:w="10465" w:type="dxa"/>
        <w:jc w:val="center"/>
        <w:tblLayout w:type="fixed"/>
        <w:tblCellMar>
          <w:top w:w="0" w:type="dxa"/>
          <w:left w:w="108" w:type="dxa"/>
          <w:bottom w:w="0" w:type="dxa"/>
          <w:right w:w="108" w:type="dxa"/>
        </w:tblCellMar>
      </w:tblPr>
      <w:tblGrid>
        <w:gridCol w:w="628"/>
        <w:gridCol w:w="1047"/>
        <w:gridCol w:w="1187"/>
        <w:gridCol w:w="688"/>
        <w:gridCol w:w="970"/>
        <w:gridCol w:w="255"/>
        <w:gridCol w:w="1219"/>
        <w:gridCol w:w="1358"/>
        <w:gridCol w:w="552"/>
        <w:gridCol w:w="544"/>
        <w:gridCol w:w="869"/>
        <w:gridCol w:w="1148"/>
      </w:tblGrid>
      <w:tr>
        <w:tblPrEx>
          <w:tblCellMar>
            <w:top w:w="0" w:type="dxa"/>
            <w:left w:w="108" w:type="dxa"/>
            <w:bottom w:w="0" w:type="dxa"/>
            <w:right w:w="108" w:type="dxa"/>
          </w:tblCellMar>
        </w:tblPrEx>
        <w:trPr>
          <w:trHeight w:val="514" w:hRule="exact"/>
          <w:jc w:val="center"/>
        </w:trPr>
        <w:tc>
          <w:tcPr>
            <w:tcW w:w="10465" w:type="dxa"/>
            <w:gridSpan w:val="12"/>
            <w:tcBorders>
              <w:top w:val="nil"/>
              <w:left w:val="nil"/>
              <w:bottom w:val="nil"/>
              <w:right w:val="nil"/>
            </w:tcBorders>
            <w:vAlign w:val="center"/>
          </w:tcPr>
          <w:p>
            <w:pPr>
              <w:spacing w:line="320" w:lineRule="exact"/>
              <w:jc w:val="center"/>
              <w:rPr>
                <w:rFonts w:ascii="Times New Roman" w:hAnsi="Times New Roman"/>
                <w:b/>
                <w:bCs/>
                <w:sz w:val="32"/>
                <w:szCs w:val="32"/>
              </w:rPr>
            </w:pPr>
            <w:r>
              <w:rPr>
                <w:rFonts w:hint="eastAsia" w:ascii="Times New Roman" w:hAnsi="Times New Roman"/>
                <w:b/>
                <w:bCs/>
                <w:sz w:val="32"/>
                <w:szCs w:val="32"/>
              </w:rPr>
              <w:t>一般公共服务</w:t>
            </w:r>
            <w:r>
              <w:rPr>
                <w:rFonts w:ascii="Times New Roman" w:hAnsi="Times New Roman"/>
                <w:b/>
                <w:bCs/>
                <w:sz w:val="32"/>
                <w:szCs w:val="32"/>
              </w:rPr>
              <w:t>支出绩效自评表</w:t>
            </w:r>
          </w:p>
        </w:tc>
      </w:tr>
      <w:tr>
        <w:tblPrEx>
          <w:tblCellMar>
            <w:top w:w="0" w:type="dxa"/>
            <w:left w:w="108" w:type="dxa"/>
            <w:bottom w:w="0" w:type="dxa"/>
            <w:right w:w="108" w:type="dxa"/>
          </w:tblCellMar>
        </w:tblPrEx>
        <w:trPr>
          <w:trHeight w:val="307" w:hRule="atLeast"/>
          <w:jc w:val="center"/>
        </w:trPr>
        <w:tc>
          <w:tcPr>
            <w:tcW w:w="10465" w:type="dxa"/>
            <w:gridSpan w:val="12"/>
            <w:tcBorders>
              <w:top w:val="nil"/>
              <w:left w:val="nil"/>
              <w:bottom w:val="nil"/>
              <w:right w:val="nil"/>
            </w:tcBorders>
          </w:tcPr>
          <w:p>
            <w:pPr>
              <w:jc w:val="center"/>
              <w:rPr>
                <w:rFonts w:ascii="Times New Roman" w:hAnsi="Times New Roman"/>
              </w:rPr>
            </w:pPr>
            <w:r>
              <w:rPr>
                <w:rFonts w:ascii="Times New Roman" w:hAnsi="Times New Roman"/>
              </w:rPr>
              <w:t>（</w:t>
            </w:r>
            <w:r>
              <w:rPr>
                <w:rFonts w:hint="eastAsia" w:ascii="Times New Roman" w:hAnsi="Times New Roman"/>
              </w:rPr>
              <w:t>202</w:t>
            </w:r>
            <w:r>
              <w:rPr>
                <w:rFonts w:hint="eastAsia" w:ascii="Times New Roman" w:hAnsi="Times New Roman"/>
                <w:lang w:val="en-US" w:eastAsia="zh-CN"/>
              </w:rPr>
              <w:t>2</w:t>
            </w:r>
            <w:r>
              <w:rPr>
                <w:rFonts w:ascii="Times New Roman" w:hAnsi="Times New Roman"/>
              </w:rPr>
              <w:t>年度）</w:t>
            </w:r>
          </w:p>
        </w:tc>
      </w:tr>
      <w:tr>
        <w:tblPrEx>
          <w:tblCellMar>
            <w:top w:w="0" w:type="dxa"/>
            <w:left w:w="108" w:type="dxa"/>
            <w:bottom w:w="0" w:type="dxa"/>
            <w:right w:w="108" w:type="dxa"/>
          </w:tblCellMar>
        </w:tblPrEx>
        <w:trPr>
          <w:trHeight w:val="345" w:hRule="exact"/>
          <w:jc w:val="center"/>
        </w:trPr>
        <w:tc>
          <w:tcPr>
            <w:tcW w:w="167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项目名称</w:t>
            </w:r>
          </w:p>
        </w:tc>
        <w:tc>
          <w:tcPr>
            <w:tcW w:w="8790" w:type="dxa"/>
            <w:gridSpan w:val="10"/>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一般公共服务支出</w:t>
            </w:r>
          </w:p>
        </w:tc>
      </w:tr>
      <w:tr>
        <w:tblPrEx>
          <w:tblCellMar>
            <w:top w:w="0" w:type="dxa"/>
            <w:left w:w="108" w:type="dxa"/>
            <w:bottom w:w="0" w:type="dxa"/>
            <w:right w:w="108" w:type="dxa"/>
          </w:tblCellMar>
        </w:tblPrEx>
        <w:trPr>
          <w:trHeight w:val="410" w:hRule="exact"/>
          <w:jc w:val="center"/>
        </w:trPr>
        <w:tc>
          <w:tcPr>
            <w:tcW w:w="167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主管部门</w:t>
            </w:r>
          </w:p>
        </w:tc>
        <w:tc>
          <w:tcPr>
            <w:tcW w:w="4319"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中方县</w:t>
            </w:r>
            <w:r>
              <w:rPr>
                <w:rFonts w:hint="eastAsia" w:ascii="Times New Roman" w:hAnsi="Times New Roman"/>
                <w:sz w:val="18"/>
                <w:szCs w:val="18"/>
                <w:lang w:val="en-US" w:eastAsia="zh-CN"/>
              </w:rPr>
              <w:t>蒿吉坪瑶族乡</w:t>
            </w:r>
            <w:r>
              <w:rPr>
                <w:rFonts w:hint="eastAsia" w:ascii="Times New Roman" w:hAnsi="Times New Roman"/>
                <w:sz w:val="18"/>
                <w:szCs w:val="18"/>
              </w:rPr>
              <w:t>人民政府</w:t>
            </w:r>
          </w:p>
        </w:tc>
        <w:tc>
          <w:tcPr>
            <w:tcW w:w="1910"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实施单位</w:t>
            </w:r>
          </w:p>
        </w:tc>
        <w:tc>
          <w:tcPr>
            <w:tcW w:w="2561"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中方县</w:t>
            </w:r>
            <w:r>
              <w:rPr>
                <w:rFonts w:hint="eastAsia" w:ascii="Times New Roman" w:hAnsi="Times New Roman"/>
                <w:sz w:val="18"/>
                <w:szCs w:val="18"/>
                <w:lang w:val="en-US" w:eastAsia="zh-CN"/>
              </w:rPr>
              <w:t>蒿吉坪瑶族乡</w:t>
            </w:r>
            <w:r>
              <w:rPr>
                <w:rFonts w:hint="eastAsia" w:ascii="Times New Roman" w:hAnsi="Times New Roman"/>
                <w:sz w:val="18"/>
                <w:szCs w:val="18"/>
              </w:rPr>
              <w:t>人民政府</w:t>
            </w:r>
          </w:p>
        </w:tc>
      </w:tr>
      <w:tr>
        <w:tblPrEx>
          <w:tblCellMar>
            <w:top w:w="0" w:type="dxa"/>
            <w:left w:w="108" w:type="dxa"/>
            <w:bottom w:w="0" w:type="dxa"/>
            <w:right w:w="108" w:type="dxa"/>
          </w:tblCellMar>
        </w:tblPrEx>
        <w:trPr>
          <w:trHeight w:val="561" w:hRule="exact"/>
          <w:jc w:val="center"/>
        </w:trPr>
        <w:tc>
          <w:tcPr>
            <w:tcW w:w="167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项目资金</w:t>
            </w:r>
            <w:r>
              <w:rPr>
                <w:rFonts w:ascii="Times New Roman" w:hAnsi="Times New Roman"/>
                <w:sz w:val="18"/>
                <w:szCs w:val="18"/>
              </w:rPr>
              <w:br w:type="textWrapping"/>
            </w:r>
            <w:r>
              <w:rPr>
                <w:rFonts w:ascii="Times New Roman" w:hAnsi="Times New Roman"/>
                <w:sz w:val="18"/>
                <w:szCs w:val="18"/>
              </w:rPr>
              <w:t>（万元）</w:t>
            </w:r>
          </w:p>
        </w:tc>
        <w:tc>
          <w:tcPr>
            <w:tcW w:w="1875"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225"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年初预算数</w:t>
            </w:r>
          </w:p>
        </w:tc>
        <w:tc>
          <w:tcPr>
            <w:tcW w:w="1219"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全年预算数</w:t>
            </w:r>
            <w:r>
              <w:rPr>
                <w:rFonts w:ascii="Times New Roman" w:hAnsi="Times New Roman"/>
                <w:color w:val="000000"/>
                <w:sz w:val="20"/>
                <w:szCs w:val="20"/>
              </w:rPr>
              <w:t>（A）</w:t>
            </w:r>
          </w:p>
        </w:tc>
        <w:tc>
          <w:tcPr>
            <w:tcW w:w="1910"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全年执行数</w:t>
            </w:r>
            <w:r>
              <w:rPr>
                <w:rFonts w:ascii="Times New Roman" w:hAnsi="Times New Roman"/>
                <w:color w:val="000000"/>
                <w:sz w:val="20"/>
                <w:szCs w:val="20"/>
              </w:rPr>
              <w:t>（B）</w:t>
            </w:r>
          </w:p>
        </w:tc>
        <w:tc>
          <w:tcPr>
            <w:tcW w:w="544"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分值</w:t>
            </w:r>
          </w:p>
        </w:tc>
        <w:tc>
          <w:tcPr>
            <w:tcW w:w="86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执行率</w:t>
            </w:r>
            <w:r>
              <w:rPr>
                <w:rFonts w:ascii="Times New Roman" w:hAnsi="Times New Roman"/>
                <w:color w:val="000000"/>
                <w:sz w:val="20"/>
                <w:szCs w:val="20"/>
              </w:rPr>
              <w:t>（B/A)</w:t>
            </w:r>
          </w:p>
        </w:tc>
        <w:tc>
          <w:tcPr>
            <w:tcW w:w="1148"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得分</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spacing w:line="240" w:lineRule="exact"/>
              <w:rPr>
                <w:rFonts w:ascii="Times New Roman" w:hAnsi="Times New Roman"/>
                <w:sz w:val="18"/>
                <w:szCs w:val="18"/>
              </w:rPr>
            </w:pPr>
            <w:r>
              <w:rPr>
                <w:rFonts w:ascii="Times New Roman" w:hAnsi="Times New Roman"/>
                <w:sz w:val="18"/>
                <w:szCs w:val="18"/>
              </w:rPr>
              <w:t>年度资金总额</w:t>
            </w:r>
          </w:p>
        </w:tc>
        <w:tc>
          <w:tcPr>
            <w:tcW w:w="1225"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22.52</w:t>
            </w:r>
          </w:p>
        </w:tc>
        <w:tc>
          <w:tcPr>
            <w:tcW w:w="1219"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22.52</w:t>
            </w:r>
          </w:p>
        </w:tc>
        <w:tc>
          <w:tcPr>
            <w:tcW w:w="1910"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22.52</w:t>
            </w:r>
          </w:p>
        </w:tc>
        <w:tc>
          <w:tcPr>
            <w:tcW w:w="544"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w:t>
            </w:r>
          </w:p>
        </w:tc>
        <w:tc>
          <w:tcPr>
            <w:tcW w:w="86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100%</w:t>
            </w:r>
          </w:p>
        </w:tc>
        <w:tc>
          <w:tcPr>
            <w:tcW w:w="1148"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其中：当年财政拨款</w:t>
            </w:r>
          </w:p>
        </w:tc>
        <w:tc>
          <w:tcPr>
            <w:tcW w:w="1225"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22.52</w:t>
            </w:r>
          </w:p>
        </w:tc>
        <w:tc>
          <w:tcPr>
            <w:tcW w:w="1219" w:type="dxa"/>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22.52</w:t>
            </w:r>
          </w:p>
        </w:tc>
        <w:tc>
          <w:tcPr>
            <w:tcW w:w="1910" w:type="dxa"/>
            <w:gridSpan w:val="2"/>
            <w:tcBorders>
              <w:top w:val="nil"/>
              <w:left w:val="nil"/>
              <w:bottom w:val="single" w:color="auto" w:sz="4" w:space="0"/>
              <w:right w:val="single" w:color="auto" w:sz="4" w:space="0"/>
            </w:tcBorders>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22.52</w:t>
            </w:r>
          </w:p>
        </w:tc>
        <w:tc>
          <w:tcPr>
            <w:tcW w:w="544"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 xml:space="preserve">      上年结转资金</w:t>
            </w:r>
          </w:p>
        </w:tc>
        <w:tc>
          <w:tcPr>
            <w:tcW w:w="1225"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219"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910"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544"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 xml:space="preserve">  其他资金</w:t>
            </w:r>
          </w:p>
        </w:tc>
        <w:tc>
          <w:tcPr>
            <w:tcW w:w="1225"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219"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910"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544"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w:t>
            </w:r>
          </w:p>
        </w:tc>
        <w:tc>
          <w:tcPr>
            <w:tcW w:w="869"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48"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w:t>
            </w:r>
          </w:p>
        </w:tc>
      </w:tr>
      <w:tr>
        <w:tblPrEx>
          <w:tblCellMar>
            <w:top w:w="0" w:type="dxa"/>
            <w:left w:w="108" w:type="dxa"/>
            <w:bottom w:w="0" w:type="dxa"/>
            <w:right w:w="108" w:type="dxa"/>
          </w:tblCellMar>
        </w:tblPrEx>
        <w:trPr>
          <w:trHeight w:val="300" w:hRule="exact"/>
          <w:jc w:val="center"/>
        </w:trPr>
        <w:tc>
          <w:tcPr>
            <w:tcW w:w="62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年度总体目标</w:t>
            </w:r>
          </w:p>
        </w:tc>
        <w:tc>
          <w:tcPr>
            <w:tcW w:w="5366"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预期目标</w:t>
            </w:r>
          </w:p>
        </w:tc>
        <w:tc>
          <w:tcPr>
            <w:tcW w:w="4471"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实际完成情况</w:t>
            </w:r>
          </w:p>
        </w:tc>
      </w:tr>
      <w:tr>
        <w:tblPrEx>
          <w:tblCellMar>
            <w:top w:w="0" w:type="dxa"/>
            <w:left w:w="108" w:type="dxa"/>
            <w:bottom w:w="0" w:type="dxa"/>
            <w:right w:w="108" w:type="dxa"/>
          </w:tblCellMar>
        </w:tblPrEx>
        <w:trPr>
          <w:trHeight w:val="720" w:hRule="exact"/>
          <w:jc w:val="center"/>
        </w:trPr>
        <w:tc>
          <w:tcPr>
            <w:tcW w:w="62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5366"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仿宋" w:hAnsi="仿宋" w:eastAsia="仿宋" w:cs="仿宋"/>
                <w:sz w:val="18"/>
                <w:szCs w:val="18"/>
                <w:lang w:val="en-US" w:eastAsia="zh-CN"/>
              </w:rPr>
              <w:t>解决</w:t>
            </w:r>
            <w:r>
              <w:rPr>
                <w:rFonts w:hint="eastAsia" w:ascii="仿宋" w:hAnsi="仿宋" w:eastAsia="仿宋" w:cs="仿宋"/>
                <w:sz w:val="18"/>
                <w:szCs w:val="18"/>
              </w:rPr>
              <w:t>蒿吉坪瑶族乡吉都堂村水渠硬化资金，三岔溪村塘里十二组停车坪涵洞和挡土墙维修资金，村支两委换届</w:t>
            </w:r>
            <w:r>
              <w:rPr>
                <w:rFonts w:hint="eastAsia" w:ascii="仿宋" w:hAnsi="仿宋" w:eastAsia="仿宋" w:cs="仿宋"/>
                <w:sz w:val="18"/>
                <w:szCs w:val="18"/>
                <w:lang w:val="en-US" w:eastAsia="zh-CN"/>
              </w:rPr>
              <w:t>工作，三叶海棠专业合作社发展资金；增强协税护税意识，促进税收增长。</w:t>
            </w:r>
          </w:p>
        </w:tc>
        <w:tc>
          <w:tcPr>
            <w:tcW w:w="4471"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仿宋" w:hAnsi="仿宋" w:eastAsia="仿宋" w:cs="仿宋"/>
                <w:sz w:val="18"/>
                <w:szCs w:val="18"/>
                <w:lang w:val="en-US" w:eastAsia="zh-CN"/>
              </w:rPr>
              <w:t>解决</w:t>
            </w:r>
            <w:r>
              <w:rPr>
                <w:rFonts w:hint="eastAsia" w:ascii="仿宋" w:hAnsi="仿宋" w:eastAsia="仿宋" w:cs="仿宋"/>
                <w:sz w:val="18"/>
                <w:szCs w:val="18"/>
              </w:rPr>
              <w:t>蒿吉坪瑶族乡吉都堂村水渠硬化资金，三岔溪村塘里十二组停车坪涵洞和挡土墙维修资金，村支两委换届</w:t>
            </w:r>
            <w:r>
              <w:rPr>
                <w:rFonts w:hint="eastAsia" w:ascii="仿宋" w:hAnsi="仿宋" w:eastAsia="仿宋" w:cs="仿宋"/>
                <w:sz w:val="18"/>
                <w:szCs w:val="18"/>
                <w:lang w:val="en-US" w:eastAsia="zh-CN"/>
              </w:rPr>
              <w:t>工作，三叶海棠专业合作社发展资金；增强协税护税意识，促进税收增长。</w:t>
            </w:r>
          </w:p>
        </w:tc>
      </w:tr>
      <w:tr>
        <w:tblPrEx>
          <w:tblCellMar>
            <w:top w:w="0" w:type="dxa"/>
            <w:left w:w="108" w:type="dxa"/>
            <w:bottom w:w="0" w:type="dxa"/>
            <w:right w:w="108" w:type="dxa"/>
          </w:tblCellMar>
        </w:tblPrEx>
        <w:trPr>
          <w:trHeight w:val="716" w:hRule="exact"/>
          <w:jc w:val="center"/>
        </w:trPr>
        <w:tc>
          <w:tcPr>
            <w:tcW w:w="628" w:type="dxa"/>
            <w:vMerge w:val="restart"/>
            <w:tcBorders>
              <w:top w:val="nil"/>
              <w:left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绩</w:t>
            </w:r>
            <w:r>
              <w:rPr>
                <w:rFonts w:ascii="Times New Roman" w:hAnsi="Times New Roman"/>
                <w:sz w:val="18"/>
                <w:szCs w:val="18"/>
              </w:rPr>
              <w:br w:type="textWrapping"/>
            </w:r>
            <w:r>
              <w:rPr>
                <w:rFonts w:ascii="Times New Roman" w:hAnsi="Times New Roman"/>
                <w:sz w:val="18"/>
                <w:szCs w:val="18"/>
              </w:rPr>
              <w:t>效</w:t>
            </w:r>
            <w:r>
              <w:rPr>
                <w:rFonts w:ascii="Times New Roman" w:hAnsi="Times New Roman"/>
                <w:sz w:val="18"/>
                <w:szCs w:val="18"/>
              </w:rPr>
              <w:br w:type="textWrapping"/>
            </w:r>
            <w:r>
              <w:rPr>
                <w:rFonts w:ascii="Times New Roman" w:hAnsi="Times New Roman"/>
                <w:sz w:val="18"/>
                <w:szCs w:val="18"/>
              </w:rPr>
              <w:t>指</w:t>
            </w:r>
            <w:r>
              <w:rPr>
                <w:rFonts w:ascii="Times New Roman" w:hAnsi="Times New Roman"/>
                <w:sz w:val="18"/>
                <w:szCs w:val="18"/>
              </w:rPr>
              <w:br w:type="textWrapping"/>
            </w:r>
            <w:r>
              <w:rPr>
                <w:rFonts w:ascii="Times New Roman" w:hAnsi="Times New Roman"/>
                <w:sz w:val="18"/>
                <w:szCs w:val="18"/>
              </w:rPr>
              <w:t>标</w:t>
            </w:r>
          </w:p>
        </w:tc>
        <w:tc>
          <w:tcPr>
            <w:tcW w:w="104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一级指标</w:t>
            </w:r>
          </w:p>
        </w:tc>
        <w:tc>
          <w:tcPr>
            <w:tcW w:w="1187"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二级指标</w:t>
            </w:r>
          </w:p>
        </w:tc>
        <w:tc>
          <w:tcPr>
            <w:tcW w:w="165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三级指标</w:t>
            </w:r>
          </w:p>
        </w:tc>
        <w:tc>
          <w:tcPr>
            <w:tcW w:w="1474" w:type="dxa"/>
            <w:gridSpan w:val="2"/>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年度</w:t>
            </w:r>
          </w:p>
          <w:p>
            <w:pPr>
              <w:spacing w:line="240" w:lineRule="exact"/>
              <w:jc w:val="center"/>
              <w:rPr>
                <w:rFonts w:ascii="Times New Roman" w:hAnsi="Times New Roman"/>
                <w:sz w:val="18"/>
                <w:szCs w:val="18"/>
              </w:rPr>
            </w:pPr>
            <w:r>
              <w:rPr>
                <w:rFonts w:ascii="Times New Roman" w:hAnsi="Times New Roman"/>
                <w:sz w:val="18"/>
                <w:szCs w:val="18"/>
              </w:rPr>
              <w:t>指标值</w:t>
            </w:r>
          </w:p>
        </w:tc>
        <w:tc>
          <w:tcPr>
            <w:tcW w:w="1358"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实际</w:t>
            </w:r>
          </w:p>
          <w:p>
            <w:pPr>
              <w:spacing w:line="240" w:lineRule="exact"/>
              <w:jc w:val="center"/>
              <w:rPr>
                <w:rFonts w:ascii="Times New Roman" w:hAnsi="Times New Roman"/>
                <w:sz w:val="18"/>
                <w:szCs w:val="18"/>
              </w:rPr>
            </w:pPr>
            <w:r>
              <w:rPr>
                <w:rFonts w:ascii="Times New Roman" w:hAnsi="Times New Roman"/>
                <w:sz w:val="18"/>
                <w:szCs w:val="18"/>
              </w:rPr>
              <w:t>完成值</w:t>
            </w:r>
          </w:p>
        </w:tc>
        <w:tc>
          <w:tcPr>
            <w:tcW w:w="5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分值</w:t>
            </w:r>
          </w:p>
        </w:tc>
        <w:tc>
          <w:tcPr>
            <w:tcW w:w="544"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得分</w:t>
            </w:r>
          </w:p>
        </w:tc>
        <w:tc>
          <w:tcPr>
            <w:tcW w:w="20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偏差原因分析及改进措施</w:t>
            </w:r>
          </w:p>
        </w:tc>
      </w:tr>
      <w:tr>
        <w:tblPrEx>
          <w:tblCellMar>
            <w:top w:w="0" w:type="dxa"/>
            <w:left w:w="108" w:type="dxa"/>
            <w:bottom w:w="0" w:type="dxa"/>
            <w:right w:w="108" w:type="dxa"/>
          </w:tblCellMar>
        </w:tblPrEx>
        <w:trPr>
          <w:trHeight w:val="313" w:hRule="atLeas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restart"/>
            <w:tcBorders>
              <w:top w:val="nil"/>
              <w:left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产出指标</w:t>
            </w:r>
            <w:r>
              <w:rPr>
                <w:rFonts w:ascii="Times New Roman" w:hAnsi="Times New Roman"/>
                <w:sz w:val="20"/>
                <w:szCs w:val="20"/>
              </w:rPr>
              <w:t>(50分)</w:t>
            </w:r>
          </w:p>
        </w:tc>
        <w:tc>
          <w:tcPr>
            <w:tcW w:w="11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数量指标</w:t>
            </w:r>
          </w:p>
        </w:tc>
        <w:tc>
          <w:tcPr>
            <w:tcW w:w="165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服务人数</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Times New Roman" w:hAnsi="Times New Roman"/>
                <w:sz w:val="18"/>
                <w:szCs w:val="18"/>
                <w:lang w:val="en-US" w:eastAsia="zh-CN"/>
              </w:rPr>
              <w:t>7000</w:t>
            </w:r>
            <w:r>
              <w:rPr>
                <w:rFonts w:hint="eastAsia" w:ascii="Times New Roman" w:hAnsi="Times New Roman"/>
                <w:sz w:val="18"/>
                <w:szCs w:val="18"/>
              </w:rPr>
              <w:t>人</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Times New Roman" w:hAnsi="Times New Roman"/>
                <w:sz w:val="18"/>
                <w:szCs w:val="18"/>
                <w:lang w:val="en-US" w:eastAsia="zh-CN"/>
              </w:rPr>
              <w:t>7000</w:t>
            </w:r>
            <w:r>
              <w:rPr>
                <w:rFonts w:hint="eastAsia" w:ascii="Times New Roman" w:hAnsi="Times New Roman"/>
                <w:sz w:val="18"/>
                <w:szCs w:val="18"/>
              </w:rPr>
              <w:t>人</w:t>
            </w:r>
          </w:p>
        </w:tc>
        <w:tc>
          <w:tcPr>
            <w:tcW w:w="552"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14</w:t>
            </w:r>
          </w:p>
        </w:tc>
        <w:tc>
          <w:tcPr>
            <w:tcW w:w="544"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13</w:t>
            </w:r>
          </w:p>
        </w:tc>
        <w:tc>
          <w:tcPr>
            <w:tcW w:w="2017" w:type="dxa"/>
            <w:gridSpan w:val="2"/>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420" w:hRule="exac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质量指标</w:t>
            </w:r>
          </w:p>
        </w:tc>
        <w:tc>
          <w:tcPr>
            <w:tcW w:w="1658" w:type="dxa"/>
            <w:gridSpan w:val="2"/>
            <w:tcBorders>
              <w:top w:val="single" w:color="auto" w:sz="4" w:space="0"/>
              <w:left w:val="nil"/>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项目完成率</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12</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12</w:t>
            </w:r>
          </w:p>
        </w:tc>
        <w:tc>
          <w:tcPr>
            <w:tcW w:w="201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750" w:hRule="exac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时效指标</w:t>
            </w:r>
          </w:p>
        </w:tc>
        <w:tc>
          <w:tcPr>
            <w:tcW w:w="1658" w:type="dxa"/>
            <w:gridSpan w:val="2"/>
            <w:tcBorders>
              <w:top w:val="single" w:color="auto" w:sz="4" w:space="0"/>
              <w:left w:val="nil"/>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color w:val="000000"/>
                <w:sz w:val="18"/>
                <w:szCs w:val="18"/>
              </w:rPr>
              <w:t>资金付讫率</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eastAsia="宋体"/>
                <w:sz w:val="18"/>
                <w:szCs w:val="18"/>
              </w:rPr>
            </w:pPr>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12</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12</w:t>
            </w:r>
          </w:p>
        </w:tc>
        <w:tc>
          <w:tcPr>
            <w:tcW w:w="201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405" w:hRule="exac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87" w:type="dxa"/>
            <w:tcBorders>
              <w:top w:val="nil"/>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成本指标</w:t>
            </w:r>
          </w:p>
        </w:tc>
        <w:tc>
          <w:tcPr>
            <w:tcW w:w="165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Times New Roman" w:hAnsi="Times New Roman" w:eastAsia="微软雅黑"/>
                <w:sz w:val="18"/>
                <w:szCs w:val="18"/>
                <w:lang w:val="en-US" w:eastAsia="zh-CN"/>
              </w:rPr>
            </w:pPr>
            <w:r>
              <w:rPr>
                <w:rFonts w:hint="eastAsia" w:ascii="Times New Roman" w:hAnsi="Times New Roman"/>
                <w:sz w:val="18"/>
                <w:szCs w:val="18"/>
                <w:lang w:val="en-US" w:eastAsia="zh-CN"/>
              </w:rPr>
              <w:t>一般公共服务金额</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lang w:val="en-US" w:eastAsia="zh-CN"/>
              </w:rPr>
              <w:t>22.52</w:t>
            </w:r>
            <w:r>
              <w:rPr>
                <w:rFonts w:hint="eastAsia" w:ascii="宋体" w:hAnsi="宋体" w:eastAsia="宋体" w:cs="宋体"/>
                <w:color w:val="000000"/>
                <w:sz w:val="20"/>
                <w:szCs w:val="20"/>
              </w:rPr>
              <w:t>万元</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lang w:val="en-US" w:eastAsia="zh-CN"/>
              </w:rPr>
              <w:t>22.52</w:t>
            </w:r>
            <w:r>
              <w:rPr>
                <w:rFonts w:hint="eastAsia" w:ascii="宋体" w:hAnsi="宋体" w:eastAsia="宋体" w:cs="宋体"/>
                <w:color w:val="000000"/>
                <w:sz w:val="20"/>
                <w:szCs w:val="20"/>
              </w:rPr>
              <w:t>万元</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12</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12</w:t>
            </w:r>
          </w:p>
        </w:tc>
        <w:tc>
          <w:tcPr>
            <w:tcW w:w="201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效益指标</w:t>
            </w:r>
            <w:r>
              <w:rPr>
                <w:rFonts w:hint="eastAsia" w:ascii="Times New Roman" w:hAnsi="Times New Roman"/>
                <w:sz w:val="18"/>
                <w:szCs w:val="18"/>
              </w:rPr>
              <w:t>（</w:t>
            </w:r>
            <w:r>
              <w:rPr>
                <w:rFonts w:hint="eastAsia" w:ascii="Times New Roman" w:hAnsi="Times New Roman"/>
                <w:sz w:val="20"/>
                <w:szCs w:val="20"/>
              </w:rPr>
              <w:t>3</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经济效益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经济效益情况</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效果明显</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效果明显</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7</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6</w:t>
            </w:r>
          </w:p>
        </w:tc>
        <w:tc>
          <w:tcPr>
            <w:tcW w:w="201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社会效益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增加群众满意度</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bookmarkStart w:id="0" w:name="_GoBack"/>
            <w:bookmarkEnd w:id="0"/>
            <w:r>
              <w:rPr>
                <w:rFonts w:hint="eastAsia" w:ascii="宋体" w:hAnsi="宋体" w:eastAsia="宋体" w:cs="宋体"/>
                <w:color w:val="000000"/>
                <w:sz w:val="20"/>
                <w:szCs w:val="20"/>
              </w:rPr>
              <w:t>100%</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7</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7</w:t>
            </w:r>
          </w:p>
        </w:tc>
        <w:tc>
          <w:tcPr>
            <w:tcW w:w="201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372" w:hRule="atLeas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生态效益</w:t>
            </w:r>
          </w:p>
          <w:p>
            <w:pPr>
              <w:spacing w:line="240" w:lineRule="exact"/>
              <w:jc w:val="center"/>
              <w:rPr>
                <w:rFonts w:ascii="Times New Roman" w:hAnsi="Times New Roman"/>
                <w:sz w:val="18"/>
                <w:szCs w:val="18"/>
              </w:rPr>
            </w:pPr>
            <w:r>
              <w:rPr>
                <w:rFonts w:ascii="Times New Roman" w:hAnsi="Times New Roman"/>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color w:val="000000"/>
                <w:sz w:val="18"/>
                <w:szCs w:val="18"/>
              </w:rPr>
            </w:pPr>
            <w:r>
              <w:rPr>
                <w:rFonts w:hint="eastAsia" w:ascii="Times New Roman" w:hAnsi="Times New Roman"/>
                <w:color w:val="000000"/>
                <w:sz w:val="18"/>
                <w:szCs w:val="18"/>
              </w:rPr>
              <w:t>项目建设中对环境的保护率</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Times New Roman" w:hAnsi="Times New Roman"/>
                <w:sz w:val="18"/>
                <w:szCs w:val="18"/>
              </w:rPr>
              <w:t>≥90</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Times New Roman" w:hAnsi="Times New Roman"/>
                <w:sz w:val="18"/>
                <w:szCs w:val="18"/>
              </w:rPr>
              <w:t>97%</w:t>
            </w:r>
          </w:p>
        </w:tc>
        <w:tc>
          <w:tcPr>
            <w:tcW w:w="552"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8</w:t>
            </w:r>
          </w:p>
        </w:tc>
        <w:tc>
          <w:tcPr>
            <w:tcW w:w="544"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7</w:t>
            </w:r>
          </w:p>
        </w:tc>
        <w:tc>
          <w:tcPr>
            <w:tcW w:w="2017" w:type="dxa"/>
            <w:gridSpan w:val="2"/>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480" w:hRule="exac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可持续影响指标</w:t>
            </w:r>
          </w:p>
        </w:tc>
        <w:tc>
          <w:tcPr>
            <w:tcW w:w="1658"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color w:val="000000"/>
                <w:sz w:val="18"/>
                <w:szCs w:val="18"/>
              </w:rPr>
            </w:pPr>
            <w:r>
              <w:rPr>
                <w:rFonts w:hint="eastAsia" w:ascii="宋体" w:hAnsi="宋体" w:eastAsia="宋体" w:cs="宋体"/>
                <w:color w:val="000000"/>
                <w:sz w:val="20"/>
                <w:szCs w:val="20"/>
              </w:rPr>
              <w:t>推进</w:t>
            </w:r>
            <w:r>
              <w:rPr>
                <w:rFonts w:hint="eastAsia" w:ascii="宋体" w:hAnsi="宋体" w:eastAsia="宋体" w:cs="宋体"/>
                <w:color w:val="000000"/>
                <w:sz w:val="20"/>
                <w:szCs w:val="20"/>
                <w:lang w:val="en-US" w:eastAsia="zh-CN"/>
              </w:rPr>
              <w:t>少数民族发展</w:t>
            </w:r>
            <w:r>
              <w:rPr>
                <w:rFonts w:hint="eastAsia" w:ascii="宋体" w:hAnsi="宋体" w:eastAsia="宋体" w:cs="宋体"/>
                <w:color w:val="000000"/>
                <w:sz w:val="20"/>
                <w:szCs w:val="20"/>
              </w:rPr>
              <w:t>及协税护税</w:t>
            </w:r>
          </w:p>
        </w:tc>
        <w:tc>
          <w:tcPr>
            <w:tcW w:w="1474"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持续</w:t>
            </w:r>
          </w:p>
        </w:tc>
        <w:tc>
          <w:tcPr>
            <w:tcW w:w="135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持续</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8</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8</w:t>
            </w:r>
          </w:p>
        </w:tc>
        <w:tc>
          <w:tcPr>
            <w:tcW w:w="201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1020" w:hRule="exact"/>
          <w:jc w:val="center"/>
        </w:trPr>
        <w:tc>
          <w:tcPr>
            <w:tcW w:w="628" w:type="dxa"/>
            <w:vMerge w:val="continue"/>
            <w:tcBorders>
              <w:left w:val="single" w:color="auto" w:sz="4" w:space="0"/>
              <w:right w:val="single" w:color="auto" w:sz="4" w:space="0"/>
            </w:tcBorders>
            <w:vAlign w:val="center"/>
          </w:tcPr>
          <w:p>
            <w:pPr>
              <w:spacing w:line="240" w:lineRule="exact"/>
              <w:jc w:val="center"/>
              <w:rPr>
                <w:rFonts w:ascii="Times New Roman" w:hAnsi="Times New Roman"/>
                <w:sz w:val="18"/>
                <w:szCs w:val="18"/>
              </w:rPr>
            </w:pPr>
          </w:p>
        </w:tc>
        <w:tc>
          <w:tcPr>
            <w:tcW w:w="1047"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满意度</w:t>
            </w:r>
          </w:p>
          <w:p>
            <w:pPr>
              <w:spacing w:line="240" w:lineRule="exact"/>
              <w:jc w:val="center"/>
              <w:rPr>
                <w:rFonts w:ascii="Times New Roman" w:hAnsi="Times New Roman"/>
                <w:sz w:val="18"/>
                <w:szCs w:val="18"/>
              </w:rPr>
            </w:pPr>
            <w:r>
              <w:rPr>
                <w:rFonts w:ascii="Times New Roman" w:hAnsi="Times New Roman"/>
                <w:sz w:val="18"/>
                <w:szCs w:val="18"/>
              </w:rPr>
              <w:t>指标</w:t>
            </w:r>
            <w:r>
              <w:rPr>
                <w:rFonts w:ascii="Times New Roman" w:hAnsi="Times New Roman"/>
                <w:sz w:val="20"/>
                <w:szCs w:val="20"/>
              </w:rPr>
              <w:t>(</w:t>
            </w:r>
            <w:r>
              <w:rPr>
                <w:rFonts w:hint="eastAsia" w:ascii="Times New Roman" w:hAnsi="Times New Roman"/>
                <w:sz w:val="20"/>
                <w:szCs w:val="20"/>
              </w:rPr>
              <w:t>1</w:t>
            </w:r>
            <w:r>
              <w:rPr>
                <w:rFonts w:ascii="Times New Roman" w:hAnsi="Times New Roman"/>
                <w:sz w:val="20"/>
                <w:szCs w:val="20"/>
              </w:rPr>
              <w:t>0分)</w:t>
            </w:r>
          </w:p>
        </w:tc>
        <w:tc>
          <w:tcPr>
            <w:tcW w:w="118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sz w:val="18"/>
                <w:szCs w:val="18"/>
              </w:rPr>
            </w:pPr>
            <w:r>
              <w:rPr>
                <w:rFonts w:ascii="Times New Roman" w:hAnsi="Times New Roman"/>
                <w:sz w:val="18"/>
                <w:szCs w:val="18"/>
              </w:rPr>
              <w:t>服务对象满意度指标</w:t>
            </w:r>
          </w:p>
        </w:tc>
        <w:tc>
          <w:tcPr>
            <w:tcW w:w="1658" w:type="dxa"/>
            <w:gridSpan w:val="2"/>
            <w:tcBorders>
              <w:top w:val="single" w:color="auto" w:sz="4" w:space="0"/>
              <w:left w:val="nil"/>
              <w:right w:val="single" w:color="auto" w:sz="4" w:space="0"/>
            </w:tcBorders>
            <w:vAlign w:val="center"/>
          </w:tcPr>
          <w:p>
            <w:pPr>
              <w:jc w:val="center"/>
              <w:textAlignment w:val="center"/>
              <w:rPr>
                <w:rFonts w:ascii="Times New Roman" w:hAnsi="Times New Roman"/>
                <w:color w:val="000000"/>
                <w:sz w:val="18"/>
                <w:szCs w:val="18"/>
              </w:rPr>
            </w:pPr>
            <w:r>
              <w:rPr>
                <w:rFonts w:hint="eastAsia" w:ascii="宋体" w:hAnsi="宋体" w:eastAsia="宋体" w:cs="宋体"/>
                <w:color w:val="000000"/>
                <w:sz w:val="20"/>
                <w:szCs w:val="20"/>
              </w:rPr>
              <w:t>群众满意</w:t>
            </w:r>
          </w:p>
        </w:tc>
        <w:tc>
          <w:tcPr>
            <w:tcW w:w="1474" w:type="dxa"/>
            <w:gridSpan w:val="2"/>
            <w:tcBorders>
              <w:top w:val="single" w:color="auto" w:sz="4" w:space="0"/>
              <w:left w:val="nil"/>
              <w:right w:val="single" w:color="auto" w:sz="4" w:space="0"/>
            </w:tcBorders>
            <w:vAlign w:val="center"/>
          </w:tcPr>
          <w:p>
            <w:pPr>
              <w:jc w:val="center"/>
              <w:textAlignment w:val="center"/>
              <w:rPr>
                <w:rFonts w:ascii="Times New Roman" w:hAnsi="Times New Roman"/>
                <w:sz w:val="18"/>
                <w:szCs w:val="18"/>
              </w:rPr>
            </w:pPr>
            <w:r>
              <w:rPr>
                <w:rFonts w:hint="eastAsia" w:ascii="宋体" w:hAnsi="宋体" w:eastAsia="宋体" w:cs="宋体"/>
                <w:color w:val="000000"/>
                <w:sz w:val="20"/>
                <w:szCs w:val="20"/>
              </w:rPr>
              <w:t>100%</w:t>
            </w:r>
          </w:p>
        </w:tc>
        <w:tc>
          <w:tcPr>
            <w:tcW w:w="1358" w:type="dxa"/>
            <w:tcBorders>
              <w:top w:val="single" w:color="auto" w:sz="4" w:space="0"/>
              <w:left w:val="nil"/>
              <w:right w:val="single" w:color="auto" w:sz="4" w:space="0"/>
            </w:tcBorders>
            <w:vAlign w:val="center"/>
          </w:tcPr>
          <w:p>
            <w:pPr>
              <w:spacing w:line="240" w:lineRule="exact"/>
              <w:jc w:val="center"/>
              <w:rPr>
                <w:rFonts w:ascii="Times New Roman" w:hAnsi="Times New Roman"/>
                <w:sz w:val="18"/>
                <w:szCs w:val="18"/>
              </w:rPr>
            </w:pPr>
            <w:r>
              <w:rPr>
                <w:rFonts w:hint="eastAsia" w:ascii="Times New Roman" w:hAnsi="Times New Roman"/>
                <w:sz w:val="18"/>
                <w:szCs w:val="18"/>
              </w:rPr>
              <w:t>100%</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sz w:val="18"/>
                <w:szCs w:val="18"/>
              </w:rPr>
            </w:pPr>
            <w:r>
              <w:rPr>
                <w:rFonts w:hint="eastAsia" w:ascii="Times New Roman" w:hAnsi="Times New Roman"/>
                <w:sz w:val="18"/>
                <w:szCs w:val="18"/>
              </w:rPr>
              <w:t>10</w:t>
            </w:r>
          </w:p>
        </w:tc>
        <w:tc>
          <w:tcPr>
            <w:tcW w:w="20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r>
      <w:tr>
        <w:tblPrEx>
          <w:tblCellMar>
            <w:top w:w="0" w:type="dxa"/>
            <w:left w:w="108" w:type="dxa"/>
            <w:bottom w:w="0" w:type="dxa"/>
            <w:right w:w="108" w:type="dxa"/>
          </w:tblCellMar>
        </w:tblPrEx>
        <w:trPr>
          <w:trHeight w:val="300" w:hRule="exact"/>
          <w:jc w:val="center"/>
        </w:trPr>
        <w:tc>
          <w:tcPr>
            <w:tcW w:w="7352"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color w:val="000000"/>
                <w:sz w:val="18"/>
                <w:szCs w:val="18"/>
              </w:rPr>
            </w:pPr>
            <w:r>
              <w:rPr>
                <w:rFonts w:ascii="Times New Roman" w:hAnsi="Times New Roman"/>
                <w:color w:val="000000"/>
                <w:sz w:val="18"/>
                <w:szCs w:val="18"/>
              </w:rPr>
              <w:t>总分</w:t>
            </w:r>
          </w:p>
        </w:tc>
        <w:tc>
          <w:tcPr>
            <w:tcW w:w="5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color w:val="000000"/>
                <w:sz w:val="18"/>
                <w:szCs w:val="18"/>
              </w:rPr>
            </w:pPr>
            <w:r>
              <w:rPr>
                <w:rFonts w:ascii="Times New Roman" w:hAnsi="Times New Roman"/>
                <w:color w:val="000000"/>
                <w:sz w:val="18"/>
                <w:szCs w:val="18"/>
              </w:rPr>
              <w:t>10</w:t>
            </w:r>
            <w:r>
              <w:rPr>
                <w:rFonts w:hint="eastAsia" w:ascii="Times New Roman" w:hAnsi="Times New Roman"/>
                <w:color w:val="000000"/>
                <w:sz w:val="18"/>
                <w:szCs w:val="18"/>
              </w:rPr>
              <w:t>0</w:t>
            </w:r>
            <w:r>
              <w:rPr>
                <w:rFonts w:ascii="Times New Roman" w:hAnsi="Times New Roman"/>
                <w:color w:val="000000"/>
                <w:sz w:val="18"/>
                <w:szCs w:val="18"/>
              </w:rPr>
              <w:t>0</w:t>
            </w:r>
          </w:p>
        </w:tc>
        <w:tc>
          <w:tcPr>
            <w:tcW w:w="5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宋体"/>
                <w:color w:val="000000"/>
                <w:sz w:val="18"/>
                <w:szCs w:val="18"/>
              </w:rPr>
            </w:pPr>
            <w:r>
              <w:rPr>
                <w:rFonts w:hint="eastAsia" w:ascii="Times New Roman" w:hAnsi="Times New Roman"/>
                <w:color w:val="000000"/>
                <w:sz w:val="18"/>
                <w:szCs w:val="18"/>
              </w:rPr>
              <w:t>97</w:t>
            </w:r>
          </w:p>
        </w:tc>
        <w:tc>
          <w:tcPr>
            <w:tcW w:w="20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sz w:val="18"/>
                <w:szCs w:val="18"/>
              </w:rPr>
            </w:pPr>
          </w:p>
        </w:tc>
      </w:tr>
    </w:tbl>
    <w:p>
      <w:pPr>
        <w:ind w:left="0" w:leftChars="0"/>
        <w:rPr>
          <w:rFonts w:ascii="Times New Roman" w:hAnsi="Times New Roman" w:eastAsia="黑体"/>
        </w:rPr>
      </w:pPr>
    </w:p>
    <w:p>
      <w:pPr>
        <w:rPr>
          <w:rFonts w:ascii="Times New Roman" w:hAnsi="Times New Roman" w:eastAsia="黑体"/>
        </w:rPr>
        <w:sectPr>
          <w:footerReference r:id="rId4" w:type="default"/>
          <w:pgSz w:w="11906" w:h="16838"/>
          <w:pgMar w:top="1587" w:right="1587" w:bottom="1587" w:left="1587" w:header="737" w:footer="850" w:gutter="0"/>
          <w:cols w:space="720" w:num="1"/>
          <w:docGrid w:type="lines" w:linePitch="408" w:charSpace="0"/>
        </w:sectPr>
      </w:pPr>
    </w:p>
    <w:p>
      <w:pPr>
        <w:spacing w:line="560" w:lineRule="exact"/>
        <w:rPr>
          <w:rFonts w:hint="eastAsia" w:ascii="Times New Roman" w:hAnsi="Times New Roman" w:eastAsia="仿宋_GB2312"/>
          <w:bCs/>
          <w:color w:val="000000"/>
          <w:sz w:val="32"/>
          <w:szCs w:val="32"/>
          <w:lang w:val="en-US"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2</w:t>
      </w:r>
    </w:p>
    <w:p>
      <w:pPr>
        <w:pStyle w:val="2"/>
        <w:spacing w:before="0" w:after="0" w:line="240" w:lineRule="auto"/>
        <w:jc w:val="center"/>
        <w:rPr>
          <w:rFonts w:hint="eastAsia" w:ascii="Times New Roman" w:hAnsi="Times New Roman" w:eastAsia="宋体"/>
          <w:bCs/>
          <w:color w:val="000000"/>
          <w:sz w:val="36"/>
          <w:szCs w:val="28"/>
        </w:rPr>
      </w:pPr>
      <w:r>
        <w:rPr>
          <w:rFonts w:hint="eastAsia" w:ascii="Times New Roman" w:hAnsi="Times New Roman" w:eastAsia="宋体"/>
          <w:bCs/>
          <w:color w:val="000000"/>
          <w:sz w:val="36"/>
          <w:szCs w:val="28"/>
        </w:rPr>
        <w:t>一般公共服务</w:t>
      </w: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rPr>
        <w:t>共性</w:t>
      </w:r>
      <w:r>
        <w:rPr>
          <w:rFonts w:ascii="Times New Roman" w:hAnsi="Times New Roman" w:eastAsia="宋体"/>
          <w:bCs/>
          <w:color w:val="000000"/>
          <w:sz w:val="36"/>
          <w:szCs w:val="28"/>
        </w:rPr>
        <w:t>指标</w:t>
      </w:r>
      <w:r>
        <w:rPr>
          <w:rFonts w:hint="eastAsia" w:ascii="Times New Roman" w:hAnsi="Times New Roman" w:eastAsia="宋体"/>
          <w:bCs/>
          <w:color w:val="000000"/>
          <w:sz w:val="36"/>
          <w:szCs w:val="28"/>
        </w:rPr>
        <w:t>表</w:t>
      </w:r>
    </w:p>
    <w:tbl>
      <w:tblPr>
        <w:tblStyle w:val="5"/>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pPr>
              <w:spacing w:line="0" w:lineRule="atLeast"/>
              <w:jc w:val="center"/>
              <w:rPr>
                <w:rFonts w:ascii="Times New Roman" w:hAnsi="Times New Roman"/>
                <w:b/>
                <w:bCs/>
                <w:color w:val="000000"/>
              </w:rPr>
            </w:pPr>
            <w:r>
              <w:rPr>
                <w:rFonts w:ascii="Times New Roman" w:hAnsi="Times New Roman"/>
                <w:b/>
                <w:bCs/>
                <w:color w:val="000000"/>
              </w:rPr>
              <w:t>一级指标</w:t>
            </w:r>
          </w:p>
        </w:tc>
        <w:tc>
          <w:tcPr>
            <w:tcW w:w="709" w:type="dxa"/>
            <w:shd w:val="clear" w:color="auto" w:fill="FFFFFF"/>
            <w:vAlign w:val="center"/>
          </w:tcPr>
          <w:p>
            <w:pPr>
              <w:spacing w:line="0" w:lineRule="atLeast"/>
              <w:jc w:val="center"/>
              <w:rPr>
                <w:rFonts w:ascii="Times New Roman" w:hAnsi="Times New Roman"/>
                <w:b/>
                <w:bCs/>
                <w:color w:val="000000"/>
              </w:rPr>
            </w:pPr>
            <w:r>
              <w:rPr>
                <w:rFonts w:ascii="Times New Roman" w:hAnsi="Times New Roman"/>
                <w:b/>
                <w:bCs/>
                <w:color w:val="000000"/>
              </w:rPr>
              <w:t>二级指标</w:t>
            </w:r>
          </w:p>
        </w:tc>
        <w:tc>
          <w:tcPr>
            <w:tcW w:w="1134" w:type="dxa"/>
            <w:shd w:val="clear" w:color="auto" w:fill="FFFFFF"/>
            <w:vAlign w:val="center"/>
          </w:tcPr>
          <w:p>
            <w:pPr>
              <w:spacing w:line="0" w:lineRule="atLeast"/>
              <w:jc w:val="center"/>
              <w:rPr>
                <w:rFonts w:ascii="Times New Roman" w:hAnsi="Times New Roman"/>
                <w:b/>
                <w:bCs/>
                <w:color w:val="000000"/>
              </w:rPr>
            </w:pPr>
            <w:r>
              <w:rPr>
                <w:rFonts w:ascii="Times New Roman" w:hAnsi="Times New Roman"/>
                <w:b/>
                <w:bCs/>
                <w:color w:val="000000"/>
              </w:rPr>
              <w:t>三级指标</w:t>
            </w:r>
          </w:p>
        </w:tc>
        <w:tc>
          <w:tcPr>
            <w:tcW w:w="567" w:type="dxa"/>
            <w:shd w:val="clear" w:color="auto" w:fill="FFFFFF"/>
          </w:tcPr>
          <w:p>
            <w:pPr>
              <w:spacing w:line="0" w:lineRule="atLeast"/>
              <w:jc w:val="center"/>
              <w:rPr>
                <w:rFonts w:ascii="Times New Roman" w:hAnsi="Times New Roman"/>
                <w:b/>
                <w:bCs/>
                <w:color w:val="000000"/>
              </w:rPr>
            </w:pPr>
            <w:r>
              <w:rPr>
                <w:rFonts w:ascii="Times New Roman" w:hAnsi="Times New Roman"/>
                <w:b/>
                <w:bCs/>
                <w:color w:val="000000"/>
              </w:rPr>
              <w:t>分</w:t>
            </w:r>
          </w:p>
          <w:p>
            <w:pPr>
              <w:spacing w:line="0" w:lineRule="atLeast"/>
              <w:jc w:val="center"/>
              <w:rPr>
                <w:rFonts w:ascii="Times New Roman" w:hAnsi="Times New Roman"/>
                <w:b/>
                <w:bCs/>
                <w:color w:val="000000"/>
              </w:rPr>
            </w:pPr>
            <w:r>
              <w:rPr>
                <w:rFonts w:ascii="Times New Roman" w:hAnsi="Times New Roman"/>
                <w:b/>
                <w:bCs/>
                <w:color w:val="000000"/>
              </w:rPr>
              <w:t>值</w:t>
            </w:r>
          </w:p>
        </w:tc>
        <w:tc>
          <w:tcPr>
            <w:tcW w:w="2835" w:type="dxa"/>
            <w:shd w:val="clear" w:color="auto" w:fill="FFFFFF"/>
            <w:vAlign w:val="center"/>
          </w:tcPr>
          <w:p>
            <w:pPr>
              <w:spacing w:line="0" w:lineRule="atLeast"/>
              <w:jc w:val="center"/>
              <w:rPr>
                <w:rFonts w:ascii="Times New Roman" w:hAnsi="Times New Roman"/>
                <w:b/>
                <w:bCs/>
                <w:color w:val="000000"/>
              </w:rPr>
            </w:pPr>
            <w:r>
              <w:rPr>
                <w:rFonts w:ascii="Times New Roman" w:hAnsi="Times New Roman"/>
                <w:b/>
                <w:bCs/>
                <w:color w:val="000000"/>
              </w:rPr>
              <w:t>指标解释</w:t>
            </w:r>
          </w:p>
        </w:tc>
        <w:tc>
          <w:tcPr>
            <w:tcW w:w="6096" w:type="dxa"/>
            <w:shd w:val="clear" w:color="auto" w:fill="FFFFFF"/>
            <w:vAlign w:val="center"/>
          </w:tcPr>
          <w:p>
            <w:pPr>
              <w:spacing w:line="0" w:lineRule="atLeast"/>
              <w:jc w:val="center"/>
              <w:rPr>
                <w:rFonts w:ascii="Times New Roman" w:hAnsi="Times New Roman"/>
                <w:b/>
                <w:bCs/>
                <w:color w:val="000000"/>
              </w:rPr>
            </w:pPr>
            <w:r>
              <w:rPr>
                <w:rFonts w:ascii="Times New Roman" w:hAnsi="Times New Roman"/>
                <w:b/>
                <w:bCs/>
                <w:color w:val="000000"/>
              </w:rPr>
              <w:t>指标说明</w:t>
            </w:r>
          </w:p>
        </w:tc>
        <w:tc>
          <w:tcPr>
            <w:tcW w:w="566" w:type="dxa"/>
            <w:shd w:val="clear" w:color="auto" w:fill="FFFFFF"/>
            <w:vAlign w:val="center"/>
          </w:tcPr>
          <w:p>
            <w:pPr>
              <w:spacing w:line="0" w:lineRule="atLeast"/>
              <w:jc w:val="center"/>
              <w:rPr>
                <w:rFonts w:ascii="Times New Roman" w:hAnsi="Times New Roman"/>
                <w:b/>
                <w:bCs/>
                <w:color w:val="000000"/>
              </w:rPr>
            </w:pPr>
            <w:r>
              <w:rPr>
                <w:rFonts w:ascii="Times New Roman" w:hAnsi="Times New Roman"/>
                <w:b/>
                <w:bCs/>
                <w:color w:val="000000"/>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决策　</w:t>
            </w:r>
          </w:p>
          <w:p>
            <w:pPr>
              <w:spacing w:line="0" w:lineRule="atLeast"/>
              <w:jc w:val="center"/>
              <w:rPr>
                <w:rFonts w:ascii="Times New Roman" w:hAnsi="Times New Roman"/>
                <w:color w:val="000000"/>
              </w:rPr>
            </w:pPr>
            <w:r>
              <w:rPr>
                <w:rFonts w:ascii="Times New Roman" w:hAnsi="Times New Roman"/>
                <w:color w:val="000000"/>
              </w:rPr>
              <w:t>　</w:t>
            </w:r>
          </w:p>
          <w:p>
            <w:pPr>
              <w:spacing w:line="0" w:lineRule="atLeast"/>
              <w:jc w:val="center"/>
              <w:rPr>
                <w:rFonts w:ascii="Times New Roman" w:hAnsi="Times New Roman"/>
                <w:color w:val="000000"/>
              </w:rPr>
            </w:pPr>
            <w:r>
              <w:rPr>
                <w:rFonts w:ascii="Times New Roman" w:hAnsi="Times New Roman"/>
                <w:color w:val="000000"/>
              </w:rPr>
              <w:t>　</w:t>
            </w:r>
          </w:p>
        </w:tc>
        <w:tc>
          <w:tcPr>
            <w:tcW w:w="709"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项目立项　</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立项依据</w:t>
            </w:r>
          </w:p>
          <w:p>
            <w:pPr>
              <w:spacing w:line="0" w:lineRule="atLeast"/>
              <w:jc w:val="center"/>
              <w:rPr>
                <w:rFonts w:ascii="Times New Roman" w:hAnsi="Times New Roman"/>
                <w:color w:val="000000"/>
              </w:rPr>
            </w:pPr>
            <w:r>
              <w:rPr>
                <w:rFonts w:ascii="Times New Roman" w:hAnsi="Times New Roman"/>
                <w:color w:val="000000"/>
              </w:rPr>
              <w:t>充分性</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项目立项是否符合法律法规、相关政策、发展规划以及部门职责，用以反映和考核项目立项依据情况。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项目立项是否符合国家法律法规、国民经济发展规划和相关政策；</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项目立项是否符合行业发展规划和政策要求；</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项目立项是否与部门职责范围相符，属于部门履职所需；</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项目是否属于公共财政支持范围，是否符合中央、地方事权支出责任划分原则；</w:t>
            </w:r>
            <w:r>
              <w:rPr>
                <w:rFonts w:ascii="Times New Roman" w:hAnsi="Times New Roman"/>
                <w:color w:val="000000"/>
              </w:rPr>
              <w:br w:type="textWrapping"/>
            </w:r>
            <w:r>
              <w:rPr>
                <w:rFonts w:hint="eastAsia" w:ascii="宋体" w:hAnsi="宋体" w:cs="宋体"/>
                <w:color w:val="000000"/>
              </w:rPr>
              <w:t>⑤</w:t>
            </w:r>
            <w:r>
              <w:rPr>
                <w:rFonts w:ascii="Times New Roman" w:hAnsi="Times New Roman"/>
                <w:color w:val="000000"/>
              </w:rPr>
              <w:t>项目是否与相关部门同类项目或部门内部相关项目重复。</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vMerge w:val="continue"/>
            <w:shd w:val="clear" w:color="auto" w:fill="FFFFFF"/>
            <w:vAlign w:val="center"/>
          </w:tcPr>
          <w:p>
            <w:pPr>
              <w:spacing w:line="0" w:lineRule="atLeast"/>
              <w:jc w:val="center"/>
              <w:rPr>
                <w:rFonts w:ascii="Times New Roman" w:hAnsi="Times New Roman"/>
                <w:color w:val="000000"/>
              </w:rPr>
            </w:pP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立项程序</w:t>
            </w:r>
          </w:p>
          <w:p>
            <w:pPr>
              <w:spacing w:line="0" w:lineRule="atLeast"/>
              <w:jc w:val="center"/>
              <w:rPr>
                <w:rFonts w:ascii="Times New Roman" w:hAnsi="Times New Roman"/>
                <w:color w:val="000000"/>
              </w:rPr>
            </w:pPr>
            <w:r>
              <w:rPr>
                <w:rFonts w:ascii="Times New Roman" w:hAnsi="Times New Roman"/>
                <w:color w:val="000000"/>
              </w:rPr>
              <w:t>规范性</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3</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项目申请、设立过程是否符合相关要求，用以反映和考核项目立项的规范情况。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项目是否按照规定的程序申请设立；</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审批文件、材料是否符合相关要求；</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事前是否已经过必要的可行性研究、专家论证、风险评估、绩效评估、集体决策。</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绩效目标　</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绩效目标</w:t>
            </w:r>
          </w:p>
          <w:p>
            <w:pPr>
              <w:spacing w:line="0" w:lineRule="atLeast"/>
              <w:jc w:val="center"/>
              <w:rPr>
                <w:rFonts w:ascii="Times New Roman" w:hAnsi="Times New Roman"/>
                <w:color w:val="000000"/>
              </w:rPr>
            </w:pPr>
            <w:r>
              <w:rPr>
                <w:rFonts w:ascii="Times New Roman" w:hAnsi="Times New Roman"/>
                <w:color w:val="000000"/>
              </w:rPr>
              <w:t>合理性</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项目所设定的绩效目标是否依据充分，是否符合客观实际，用以反映和考核项目绩效目标与项目实施的相符情况。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ascii="Times New Roman" w:hAnsi="Times New Roman"/>
                <w:color w:val="000000"/>
              </w:rPr>
              <w:t>（如未设定预算绩效目标，也可考核其他工作任务目标）</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项目是否有绩效目标；</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项目绩效目标与实际工作内容是否具有相关性；</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项目预期产出效益和效果是否符合正常的业绩水平；</w:t>
            </w:r>
          </w:p>
          <w:p>
            <w:pPr>
              <w:spacing w:line="0" w:lineRule="atLeast"/>
              <w:rPr>
                <w:rFonts w:ascii="Times New Roman" w:hAnsi="Times New Roman"/>
                <w:color w:val="000000"/>
              </w:rPr>
            </w:pPr>
            <w:r>
              <w:rPr>
                <w:rFonts w:hint="eastAsia" w:ascii="宋体" w:hAnsi="宋体" w:cs="宋体"/>
                <w:color w:val="000000"/>
              </w:rPr>
              <w:t>④</w:t>
            </w:r>
            <w:r>
              <w:rPr>
                <w:rFonts w:ascii="Times New Roman" w:hAnsi="Times New Roman"/>
                <w:color w:val="000000"/>
              </w:rPr>
              <w:t>是否与预算确定的项目投资额或资金量相匹配。</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决策　</w:t>
            </w:r>
          </w:p>
        </w:tc>
        <w:tc>
          <w:tcPr>
            <w:tcW w:w="709"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绩效目标</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绩效指标</w:t>
            </w:r>
          </w:p>
          <w:p>
            <w:pPr>
              <w:spacing w:line="0" w:lineRule="atLeast"/>
              <w:jc w:val="center"/>
              <w:rPr>
                <w:rFonts w:ascii="Times New Roman" w:hAnsi="Times New Roman"/>
                <w:color w:val="000000"/>
              </w:rPr>
            </w:pPr>
            <w:r>
              <w:rPr>
                <w:rFonts w:ascii="Times New Roman" w:hAnsi="Times New Roman"/>
                <w:color w:val="000000"/>
              </w:rPr>
              <w:t>明确性</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依据绩效目标设定的绩效指标是否清晰、细化、可衡量等，用以反映和考核项目绩效目标的明细化情况。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是否将项目绩效目标细化分解为具体的绩效指标；</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是否通过清晰、可衡量的指标值予以体现；</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是否与项目目标任务数或计划数相对应。</w:t>
            </w:r>
            <w:r>
              <w:rPr>
                <w:rFonts w:ascii="Times New Roman" w:hAnsi="Times New Roman"/>
                <w:color w:val="000000"/>
              </w:rPr>
              <w:br w:type="textWrapping"/>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资金投入</w:t>
            </w:r>
          </w:p>
          <w:p>
            <w:pPr>
              <w:spacing w:line="0" w:lineRule="atLeast"/>
              <w:jc w:val="center"/>
              <w:rPr>
                <w:rFonts w:ascii="Times New Roman" w:hAnsi="Times New Roman"/>
                <w:color w:val="000000"/>
              </w:rPr>
            </w:pPr>
            <w:r>
              <w:rPr>
                <w:rFonts w:ascii="Times New Roman" w:hAnsi="Times New Roman"/>
                <w:color w:val="000000"/>
              </w:rPr>
              <w:t>　</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预算编制</w:t>
            </w:r>
          </w:p>
          <w:p>
            <w:pPr>
              <w:spacing w:line="0" w:lineRule="atLeast"/>
              <w:jc w:val="center"/>
              <w:rPr>
                <w:rFonts w:ascii="Times New Roman" w:hAnsi="Times New Roman"/>
                <w:color w:val="000000"/>
              </w:rPr>
            </w:pPr>
            <w:r>
              <w:rPr>
                <w:rFonts w:ascii="Times New Roman" w:hAnsi="Times New Roman"/>
                <w:color w:val="000000"/>
              </w:rPr>
              <w:t>科学性</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项目预算编制是否经过科学论证、有明确标准，资金额度与年度目标是否相适应，用以反映和考核项目预算编制的科学性、合理性情况。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预算编制是否经过科学论证；</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预算内容与项目内容是否匹配；</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预算额度测算依据是否充分，是否按照标准编制；</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预算确定的项目投资额或资金量是否与工作任务相匹配。</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vMerge w:val="continue"/>
            <w:shd w:val="clear" w:color="auto" w:fill="FFFFFF"/>
            <w:vAlign w:val="center"/>
          </w:tcPr>
          <w:p>
            <w:pPr>
              <w:spacing w:line="0" w:lineRule="atLeast"/>
              <w:jc w:val="center"/>
              <w:rPr>
                <w:rFonts w:ascii="Times New Roman" w:hAnsi="Times New Roman"/>
                <w:color w:val="000000"/>
              </w:rPr>
            </w:pP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资金分配</w:t>
            </w:r>
          </w:p>
          <w:p>
            <w:pPr>
              <w:spacing w:line="0" w:lineRule="atLeast"/>
              <w:jc w:val="center"/>
              <w:rPr>
                <w:rFonts w:ascii="Times New Roman" w:hAnsi="Times New Roman"/>
                <w:color w:val="000000"/>
              </w:rPr>
            </w:pPr>
            <w:r>
              <w:rPr>
                <w:rFonts w:ascii="Times New Roman" w:hAnsi="Times New Roman"/>
                <w:color w:val="000000"/>
              </w:rPr>
              <w:t>合理性</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项目预算资金分配是否有测算依据，与补助单位或地方实际是否相适应，用以反映和考核项目预算资金分配的科学性、合理性情况。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预算资金分配依据是否充分；</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资金分配额度是否合理，与项目单位或地方实际是否相适应。</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过程</w:t>
            </w:r>
          </w:p>
        </w:tc>
        <w:tc>
          <w:tcPr>
            <w:tcW w:w="709"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资金管理</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资金到位率</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3</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实际到位资金与预算资金的比率，用以反映和考核资金落实情况对项目实施的总体保障程度。</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资金到位率=（实际到位资金/预算资金）×100%。</w:t>
            </w:r>
          </w:p>
          <w:p>
            <w:pPr>
              <w:spacing w:line="0" w:lineRule="atLeast"/>
              <w:rPr>
                <w:rFonts w:ascii="Times New Roman" w:hAnsi="Times New Roman"/>
                <w:color w:val="000000"/>
              </w:rPr>
            </w:pPr>
            <w:r>
              <w:rPr>
                <w:rFonts w:ascii="Times New Roman" w:hAnsi="Times New Roman"/>
                <w:color w:val="000000"/>
              </w:rPr>
              <w:t>实际到位资金：一定时期（本年度或项目期）内落实到具体项目的资金。</w:t>
            </w:r>
          </w:p>
          <w:p>
            <w:pPr>
              <w:spacing w:line="0" w:lineRule="atLeast"/>
              <w:rPr>
                <w:rFonts w:ascii="Times New Roman" w:hAnsi="Times New Roman"/>
                <w:color w:val="000000"/>
              </w:rPr>
            </w:pPr>
            <w:r>
              <w:rPr>
                <w:rFonts w:ascii="Times New Roman" w:hAnsi="Times New Roman"/>
                <w:color w:val="000000"/>
              </w:rPr>
              <w:t>预算资金：一定时期（本年度或项目期）内预算安排到具体项目的资金。</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vMerge w:val="continue"/>
            <w:shd w:val="clear" w:color="auto" w:fill="FFFFFF"/>
            <w:vAlign w:val="center"/>
          </w:tcPr>
          <w:p>
            <w:pPr>
              <w:spacing w:line="0" w:lineRule="atLeast"/>
              <w:jc w:val="center"/>
              <w:rPr>
                <w:rFonts w:ascii="Times New Roman" w:hAnsi="Times New Roman"/>
                <w:color w:val="000000"/>
              </w:rPr>
            </w:pP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预算执行率</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项目预算资金是否按照计划执行，用以反映或考核项目预算执行情况。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预算执行率=（实际支出资金/实际到位资金）×100%。</w:t>
            </w:r>
            <w:r>
              <w:rPr>
                <w:rFonts w:ascii="Times New Roman" w:hAnsi="Times New Roman"/>
                <w:color w:val="000000"/>
              </w:rPr>
              <w:br w:type="textWrapping"/>
            </w:r>
            <w:r>
              <w:rPr>
                <w:rFonts w:ascii="Times New Roman" w:hAnsi="Times New Roman"/>
                <w:color w:val="000000"/>
              </w:rPr>
              <w:t>实际支出资金：一定时期（本年度或项目期）内项目实际拨付的资金。</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　</w:t>
            </w:r>
          </w:p>
          <w:p>
            <w:pPr>
              <w:spacing w:line="0" w:lineRule="atLeast"/>
              <w:jc w:val="center"/>
              <w:rPr>
                <w:rFonts w:ascii="Times New Roman" w:hAnsi="Times New Roman"/>
                <w:color w:val="000000"/>
              </w:rPr>
            </w:pPr>
            <w:r>
              <w:rPr>
                <w:rFonts w:ascii="Times New Roman" w:hAnsi="Times New Roman"/>
                <w:color w:val="000000"/>
              </w:rPr>
              <w:t>过程　</w:t>
            </w:r>
          </w:p>
        </w:tc>
        <w:tc>
          <w:tcPr>
            <w:tcW w:w="709"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资金管理</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资金使用</w:t>
            </w:r>
          </w:p>
          <w:p>
            <w:pPr>
              <w:spacing w:line="0" w:lineRule="atLeast"/>
              <w:jc w:val="center"/>
              <w:rPr>
                <w:rFonts w:ascii="Times New Roman" w:hAnsi="Times New Roman"/>
                <w:color w:val="000000"/>
              </w:rPr>
            </w:pPr>
            <w:r>
              <w:rPr>
                <w:rFonts w:ascii="Times New Roman" w:hAnsi="Times New Roman"/>
                <w:color w:val="000000"/>
              </w:rPr>
              <w:t>合规性</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项目资金使用是否符合相关的财务管理制度规定，用以反映和考核项目资金的规范运行情况。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是否符合国家财经法规和财务管理制度以及有关专项资金管理办法的规定；</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资金的拨付是否有完整的审批程序和手续；</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是否符合项目预算批复或合同规定的用途；</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是否存在截留、挤占、挪用、虚列支出等情况。</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组织实施</w:t>
            </w:r>
          </w:p>
          <w:p>
            <w:pPr>
              <w:spacing w:line="0" w:lineRule="atLeast"/>
              <w:jc w:val="center"/>
              <w:rPr>
                <w:rFonts w:ascii="Times New Roman" w:hAnsi="Times New Roman"/>
                <w:color w:val="000000"/>
              </w:rPr>
            </w:pPr>
            <w:r>
              <w:rPr>
                <w:rFonts w:ascii="Times New Roman" w:hAnsi="Times New Roman"/>
                <w:color w:val="000000"/>
              </w:rPr>
              <w:t>　</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管理制度</w:t>
            </w:r>
          </w:p>
          <w:p>
            <w:pPr>
              <w:spacing w:line="0" w:lineRule="atLeast"/>
              <w:jc w:val="center"/>
              <w:rPr>
                <w:rFonts w:ascii="Times New Roman" w:hAnsi="Times New Roman"/>
                <w:color w:val="000000"/>
              </w:rPr>
            </w:pPr>
            <w:r>
              <w:rPr>
                <w:rFonts w:ascii="Times New Roman" w:hAnsi="Times New Roman"/>
                <w:color w:val="000000"/>
              </w:rPr>
              <w:t>健全性</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项目实施单位的财务和业务管理制度是否健全，用以反映和考核财务和业务管理制度对项目顺利实施的保障情况。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是否已制定或具有相应的财务和业务管理制度；</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财务和业务管理制度是否合法、合规、完整。</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vMerge w:val="continue"/>
            <w:shd w:val="clear" w:color="auto" w:fill="FFFFFF"/>
            <w:vAlign w:val="center"/>
          </w:tcPr>
          <w:p>
            <w:pPr>
              <w:spacing w:line="0" w:lineRule="atLeast"/>
              <w:jc w:val="center"/>
              <w:rPr>
                <w:rFonts w:ascii="Times New Roman" w:hAnsi="Times New Roman"/>
                <w:color w:val="000000"/>
              </w:rPr>
            </w:pP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制度执行</w:t>
            </w:r>
          </w:p>
          <w:p>
            <w:pPr>
              <w:spacing w:line="0" w:lineRule="atLeast"/>
              <w:jc w:val="center"/>
              <w:rPr>
                <w:rFonts w:ascii="Times New Roman" w:hAnsi="Times New Roman"/>
                <w:color w:val="000000"/>
              </w:rPr>
            </w:pPr>
            <w:r>
              <w:rPr>
                <w:rFonts w:ascii="Times New Roman" w:hAnsi="Times New Roman"/>
                <w:color w:val="000000"/>
              </w:rPr>
              <w:t>有效性</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4</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项目实施是否符合相关管理规定，用以反映和考核相关管理制度的有效执行情况。</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评价要点：</w:t>
            </w:r>
            <w:r>
              <w:rPr>
                <w:rFonts w:ascii="Times New Roman" w:hAnsi="Times New Roman"/>
                <w:color w:val="000000"/>
              </w:rPr>
              <w:br w:type="textWrapping"/>
            </w:r>
            <w:r>
              <w:rPr>
                <w:rFonts w:hint="eastAsia" w:ascii="宋体" w:hAnsi="宋体" w:cs="宋体"/>
                <w:color w:val="000000"/>
              </w:rPr>
              <w:t>①</w:t>
            </w:r>
            <w:r>
              <w:rPr>
                <w:rFonts w:ascii="Times New Roman" w:hAnsi="Times New Roman"/>
                <w:color w:val="000000"/>
              </w:rPr>
              <w:t>是否遵守相关法律法规和相关管理规定；</w:t>
            </w:r>
            <w:r>
              <w:rPr>
                <w:rFonts w:ascii="Times New Roman" w:hAnsi="Times New Roman"/>
                <w:color w:val="000000"/>
              </w:rPr>
              <w:br w:type="textWrapping"/>
            </w:r>
            <w:r>
              <w:rPr>
                <w:rFonts w:hint="eastAsia" w:ascii="宋体" w:hAnsi="宋体" w:cs="宋体"/>
                <w:color w:val="000000"/>
              </w:rPr>
              <w:t>②</w:t>
            </w:r>
            <w:r>
              <w:rPr>
                <w:rFonts w:ascii="Times New Roman" w:hAnsi="Times New Roman"/>
                <w:color w:val="000000"/>
              </w:rPr>
              <w:t>项目调整及支出调整手续是否完备；</w:t>
            </w:r>
            <w:r>
              <w:rPr>
                <w:rFonts w:ascii="Times New Roman" w:hAnsi="Times New Roman"/>
                <w:color w:val="000000"/>
              </w:rPr>
              <w:br w:type="textWrapping"/>
            </w:r>
            <w:r>
              <w:rPr>
                <w:rFonts w:hint="eastAsia" w:ascii="宋体" w:hAnsi="宋体" w:cs="宋体"/>
                <w:color w:val="000000"/>
              </w:rPr>
              <w:t>③</w:t>
            </w:r>
            <w:r>
              <w:rPr>
                <w:rFonts w:ascii="Times New Roman" w:hAnsi="Times New Roman"/>
                <w:color w:val="000000"/>
              </w:rPr>
              <w:t>项目合同书、验收报告、技术鉴定等资料是否齐全并及时归档；</w:t>
            </w:r>
            <w:r>
              <w:rPr>
                <w:rFonts w:ascii="Times New Roman" w:hAnsi="Times New Roman"/>
                <w:color w:val="000000"/>
              </w:rPr>
              <w:br w:type="textWrapping"/>
            </w:r>
            <w:r>
              <w:rPr>
                <w:rFonts w:hint="eastAsia" w:ascii="宋体" w:hAnsi="宋体" w:cs="宋体"/>
                <w:color w:val="000000"/>
              </w:rPr>
              <w:t>④</w:t>
            </w:r>
            <w:r>
              <w:rPr>
                <w:rFonts w:ascii="Times New Roman" w:hAnsi="Times New Roman"/>
                <w:color w:val="000000"/>
              </w:rPr>
              <w:t>项目实施的人员条件、场地设备、信息支撑等是否落实到位。</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产出</w:t>
            </w:r>
          </w:p>
        </w:tc>
        <w:tc>
          <w:tcPr>
            <w:tcW w:w="709"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产出数量</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实际完成率</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8</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项目实施的实际产出数与计划产出数的比率，用以反映和考核项目产出数量目标的实现程度。</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实际完成率=（实际产出数/计划产出数）×100%。</w:t>
            </w:r>
            <w:r>
              <w:rPr>
                <w:rFonts w:ascii="Times New Roman" w:hAnsi="Times New Roman"/>
                <w:color w:val="000000"/>
              </w:rPr>
              <w:br w:type="textWrapping"/>
            </w:r>
            <w:r>
              <w:rPr>
                <w:rFonts w:ascii="Times New Roman" w:hAnsi="Times New Roman"/>
                <w:color w:val="000000"/>
              </w:rPr>
              <w:t>实际产出数：一定时期（本年度或项目期）内项目实际产出的产品或提供的服务数量。</w:t>
            </w:r>
            <w:r>
              <w:rPr>
                <w:rFonts w:ascii="Times New Roman" w:hAnsi="Times New Roman"/>
                <w:color w:val="000000"/>
              </w:rPr>
              <w:br w:type="textWrapping"/>
            </w:r>
            <w:r>
              <w:rPr>
                <w:rFonts w:ascii="Times New Roman" w:hAnsi="Times New Roman"/>
                <w:color w:val="000000"/>
              </w:rPr>
              <w:t>计划产出数：项目绩效目标确定的在一定时期（本年度或项目期）内计划产出的产品或提供的服务数量。</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产出</w:t>
            </w:r>
          </w:p>
        </w:tc>
        <w:tc>
          <w:tcPr>
            <w:tcW w:w="709"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产出质量</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质量达标率</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项目完成的质量达标产出数与实际产出数的比率，用以反映和考核项目产出质量目标的实现程度。</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质量达标率=（质量达标产出数/实际产出数）×100%。</w:t>
            </w:r>
          </w:p>
          <w:p>
            <w:pPr>
              <w:spacing w:line="0" w:lineRule="atLeast"/>
              <w:rPr>
                <w:rFonts w:ascii="Times New Roman" w:hAnsi="Times New Roman"/>
                <w:color w:val="000000"/>
              </w:rPr>
            </w:pPr>
            <w:r>
              <w:rPr>
                <w:rFonts w:ascii="Times New Roman" w:hAnsi="Times New Roman"/>
                <w:color w:val="00000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产出时效</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完成及时性</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9</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项目实际完成时间与计划完成时间的比较，用以反映和考核项目产出时效目标的实现程度。</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实际完成时间：项目实施单位完成该项目实际所耗用的时间。</w:t>
            </w:r>
            <w:r>
              <w:rPr>
                <w:rFonts w:ascii="Times New Roman" w:hAnsi="Times New Roman"/>
                <w:color w:val="000000"/>
              </w:rPr>
              <w:br w:type="textWrapping"/>
            </w:r>
            <w:r>
              <w:rPr>
                <w:rFonts w:ascii="Times New Roman" w:hAnsi="Times New Roman"/>
                <w:color w:val="000000"/>
              </w:rPr>
              <w:t>计划完成时间：按照项目实施计划或相关规定完成该项目所需的时间。</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产出成本</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成本节约率</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8</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完成项目计划工作目标的实际节约成本与计划成本的比率，用以反映和考核项目的成本节约程度。</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br w:type="textWrapping"/>
            </w:r>
            <w:r>
              <w:rPr>
                <w:rFonts w:ascii="Times New Roman" w:hAnsi="Times New Roman"/>
                <w:color w:val="000000"/>
              </w:rPr>
              <w:t>成本节约率=[（计划成本-实际成本）/计划成本]×100%。</w:t>
            </w:r>
            <w:r>
              <w:rPr>
                <w:rFonts w:ascii="Times New Roman" w:hAnsi="Times New Roman"/>
                <w:color w:val="000000"/>
              </w:rPr>
              <w:br w:type="textWrapping"/>
            </w:r>
            <w:r>
              <w:rPr>
                <w:rFonts w:ascii="Times New Roman" w:hAnsi="Times New Roman"/>
                <w:color w:val="000000"/>
              </w:rPr>
              <w:t>实际成本：项目实施单位如期、保质、保量完成既定工作目标实际所耗费的支出。</w:t>
            </w:r>
            <w:r>
              <w:rPr>
                <w:rFonts w:ascii="Times New Roman" w:hAnsi="Times New Roman"/>
                <w:color w:val="000000"/>
              </w:rPr>
              <w:br w:type="textWrapping"/>
            </w:r>
            <w:r>
              <w:rPr>
                <w:rFonts w:ascii="Times New Roman" w:hAnsi="Times New Roman"/>
                <w:color w:val="000000"/>
              </w:rPr>
              <w:t>计划成本：项目实施单位为完成工作目标计划安排的支出，一般以项目预算为参考。</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效益　</w:t>
            </w:r>
          </w:p>
        </w:tc>
        <w:tc>
          <w:tcPr>
            <w:tcW w:w="709" w:type="dxa"/>
            <w:vMerge w:val="restart"/>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项目效益　</w:t>
            </w: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实施效益</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15</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项目实施所产生的效益。</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项目实施所产生的社会效益、经济效益、生态效益、可持续影响等。可根据项目实际情况有选择地设置和细化。</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rPr>
            </w:pPr>
          </w:p>
        </w:tc>
        <w:tc>
          <w:tcPr>
            <w:tcW w:w="709" w:type="dxa"/>
            <w:vMerge w:val="continue"/>
            <w:shd w:val="clear" w:color="auto" w:fill="FFFFFF"/>
            <w:vAlign w:val="center"/>
          </w:tcPr>
          <w:p>
            <w:pPr>
              <w:spacing w:line="0" w:lineRule="atLeast"/>
              <w:jc w:val="center"/>
              <w:rPr>
                <w:rFonts w:ascii="Times New Roman" w:hAnsi="Times New Roman"/>
                <w:color w:val="000000"/>
              </w:rPr>
            </w:pPr>
          </w:p>
        </w:tc>
        <w:tc>
          <w:tcPr>
            <w:tcW w:w="1134"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满意度</w:t>
            </w:r>
          </w:p>
        </w:tc>
        <w:tc>
          <w:tcPr>
            <w:tcW w:w="567"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c>
          <w:tcPr>
            <w:tcW w:w="2835"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社会公众或服务对象对项目实施效果的满意程度。</w:t>
            </w:r>
          </w:p>
        </w:tc>
        <w:tc>
          <w:tcPr>
            <w:tcW w:w="6096" w:type="dxa"/>
            <w:shd w:val="clear" w:color="auto" w:fill="FFFFFF"/>
            <w:vAlign w:val="center"/>
          </w:tcPr>
          <w:p>
            <w:pPr>
              <w:spacing w:line="0" w:lineRule="atLeast"/>
              <w:rPr>
                <w:rFonts w:ascii="Times New Roman" w:hAnsi="Times New Roman"/>
                <w:color w:val="000000"/>
              </w:rPr>
            </w:pPr>
            <w:r>
              <w:rPr>
                <w:rFonts w:ascii="Times New Roman" w:hAnsi="Times New Roman"/>
                <w:color w:val="000000"/>
              </w:rPr>
              <w:t>社会公众或服务对象是指因该项目实施而受到影响的部门（单位）、群体或个人。一般采取社会调查的方式。</w:t>
            </w: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总分</w:t>
            </w:r>
          </w:p>
        </w:tc>
        <w:tc>
          <w:tcPr>
            <w:tcW w:w="567" w:type="dxa"/>
            <w:shd w:val="clear" w:color="auto" w:fill="FFFFFF"/>
            <w:vAlign w:val="center"/>
          </w:tcPr>
          <w:p>
            <w:pPr>
              <w:spacing w:line="0" w:lineRule="atLeast"/>
              <w:jc w:val="center"/>
              <w:rPr>
                <w:rFonts w:ascii="Times New Roman" w:hAnsi="Times New Roman"/>
                <w:color w:val="000000"/>
              </w:rPr>
            </w:pPr>
            <w:r>
              <w:rPr>
                <w:rFonts w:ascii="Times New Roman" w:hAnsi="Times New Roman"/>
                <w:color w:val="000000"/>
              </w:rPr>
              <w:t>100</w:t>
            </w:r>
          </w:p>
        </w:tc>
        <w:tc>
          <w:tcPr>
            <w:tcW w:w="2835" w:type="dxa"/>
            <w:shd w:val="clear" w:color="auto" w:fill="FFFFFF"/>
            <w:vAlign w:val="center"/>
          </w:tcPr>
          <w:p>
            <w:pPr>
              <w:spacing w:line="0" w:lineRule="atLeast"/>
              <w:rPr>
                <w:rFonts w:ascii="Times New Roman" w:hAnsi="Times New Roman"/>
                <w:color w:val="000000"/>
              </w:rPr>
            </w:pPr>
          </w:p>
        </w:tc>
        <w:tc>
          <w:tcPr>
            <w:tcW w:w="6096" w:type="dxa"/>
            <w:shd w:val="clear" w:color="auto" w:fill="FFFFFF"/>
            <w:vAlign w:val="center"/>
          </w:tcPr>
          <w:p>
            <w:pPr>
              <w:spacing w:line="0" w:lineRule="atLeast"/>
              <w:rPr>
                <w:rFonts w:ascii="Times New Roman" w:hAnsi="Times New Roman"/>
                <w:color w:val="000000"/>
              </w:rPr>
            </w:pPr>
          </w:p>
        </w:tc>
        <w:tc>
          <w:tcPr>
            <w:tcW w:w="566" w:type="dxa"/>
            <w:shd w:val="clear" w:color="auto" w:fill="FFFFFF"/>
            <w:vAlign w:val="center"/>
          </w:tcPr>
          <w:p>
            <w:pPr>
              <w:spacing w:line="0" w:lineRule="atLeast"/>
              <w:jc w:val="center"/>
              <w:rPr>
                <w:rFonts w:ascii="Times New Roman" w:hAnsi="Times New Roman"/>
                <w:color w:val="000000"/>
              </w:rPr>
            </w:pPr>
            <w:r>
              <w:rPr>
                <w:rFonts w:hint="eastAsia" w:ascii="Times New Roman" w:hAnsi="Times New Roman"/>
                <w:color w:val="000000"/>
              </w:rPr>
              <w:t>97</w:t>
            </w:r>
          </w:p>
        </w:tc>
      </w:tr>
    </w:tbl>
    <w:p/>
    <w:p>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cols w:space="720" w:num="1"/>
          <w:docGrid w:type="lines" w:linePitch="408" w:charSpace="0"/>
        </w:sectPr>
      </w:pPr>
      <w:r>
        <w:rPr>
          <w:rFonts w:ascii="Times New Roman" w:hAnsi="Times New Roman" w:eastAsia="仿宋_GB2312"/>
          <w:sz w:val="20"/>
          <w:szCs w:val="20"/>
        </w:rPr>
        <w:t>注：单位可以根据专项资金的管理要求和绩效要求增设个性指</w:t>
      </w:r>
    </w:p>
    <w:p>
      <w:pPr>
        <w:spacing w:after="0" w:line="600" w:lineRule="exact"/>
        <w:rPr>
          <w:rFonts w:ascii="仿宋" w:hAnsi="仿宋" w:eastAsia="仿宋" w:cs="仿宋"/>
          <w:sz w:val="32"/>
          <w:szCs w:val="32"/>
        </w:rPr>
      </w:pPr>
    </w:p>
    <w:sectPr>
      <w:pgSz w:w="11906" w:h="16838"/>
      <w:pgMar w:top="1440" w:right="1800"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6CC21"/>
    <w:multiLevelType w:val="singleLevel"/>
    <w:tmpl w:val="0AB6CC2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VkMDNiMTk5ZTk5OTg0YWJlZGQ0NzU4OWM5YTFmZDAifQ=="/>
  </w:docVars>
  <w:rsids>
    <w:rsidRoot w:val="00337EC1"/>
    <w:rsid w:val="00017767"/>
    <w:rsid w:val="000F26E3"/>
    <w:rsid w:val="00167EBD"/>
    <w:rsid w:val="001A12DE"/>
    <w:rsid w:val="001A625D"/>
    <w:rsid w:val="002D1185"/>
    <w:rsid w:val="003069F7"/>
    <w:rsid w:val="00337EC1"/>
    <w:rsid w:val="00387AFD"/>
    <w:rsid w:val="003B72AE"/>
    <w:rsid w:val="0042118A"/>
    <w:rsid w:val="00467DAE"/>
    <w:rsid w:val="0060790F"/>
    <w:rsid w:val="00627484"/>
    <w:rsid w:val="00751D3A"/>
    <w:rsid w:val="008B5577"/>
    <w:rsid w:val="009158C8"/>
    <w:rsid w:val="00916A5F"/>
    <w:rsid w:val="00942EA7"/>
    <w:rsid w:val="00A54502"/>
    <w:rsid w:val="00A620C1"/>
    <w:rsid w:val="00A92C12"/>
    <w:rsid w:val="00AD2EE6"/>
    <w:rsid w:val="00B52E22"/>
    <w:rsid w:val="00BF2B6B"/>
    <w:rsid w:val="00C77737"/>
    <w:rsid w:val="00CE4A4A"/>
    <w:rsid w:val="00D223D2"/>
    <w:rsid w:val="00D62CB4"/>
    <w:rsid w:val="00D86F06"/>
    <w:rsid w:val="00E51224"/>
    <w:rsid w:val="00E55CDE"/>
    <w:rsid w:val="00E912BF"/>
    <w:rsid w:val="00EC5A65"/>
    <w:rsid w:val="00F13E1B"/>
    <w:rsid w:val="00F92BA6"/>
    <w:rsid w:val="00FC30EB"/>
    <w:rsid w:val="0F5E66AD"/>
    <w:rsid w:val="13D2481F"/>
    <w:rsid w:val="14410B33"/>
    <w:rsid w:val="18620067"/>
    <w:rsid w:val="1E4F6267"/>
    <w:rsid w:val="21730CE0"/>
    <w:rsid w:val="23120A75"/>
    <w:rsid w:val="2D6376BA"/>
    <w:rsid w:val="2E097A69"/>
    <w:rsid w:val="30B26964"/>
    <w:rsid w:val="313B6CD9"/>
    <w:rsid w:val="32472C4E"/>
    <w:rsid w:val="32AA2722"/>
    <w:rsid w:val="340F6769"/>
    <w:rsid w:val="395F496C"/>
    <w:rsid w:val="3A6C667F"/>
    <w:rsid w:val="3BD86C58"/>
    <w:rsid w:val="40330F68"/>
    <w:rsid w:val="43581265"/>
    <w:rsid w:val="46062C13"/>
    <w:rsid w:val="46310F7C"/>
    <w:rsid w:val="47EA37A5"/>
    <w:rsid w:val="49E60792"/>
    <w:rsid w:val="4E6F07A7"/>
    <w:rsid w:val="55685898"/>
    <w:rsid w:val="55B55BE8"/>
    <w:rsid w:val="579E26AC"/>
    <w:rsid w:val="5A250E62"/>
    <w:rsid w:val="5DCA5F4B"/>
    <w:rsid w:val="5DCE4B07"/>
    <w:rsid w:val="61670307"/>
    <w:rsid w:val="62734B78"/>
    <w:rsid w:val="631F0609"/>
    <w:rsid w:val="69124A0B"/>
    <w:rsid w:val="6B460C38"/>
    <w:rsid w:val="75806B6F"/>
    <w:rsid w:val="776A29E0"/>
    <w:rsid w:val="7B354CE1"/>
    <w:rsid w:val="7E350D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8">
    <w:name w:val="页眉 Char"/>
    <w:basedOn w:val="6"/>
    <w:link w:val="4"/>
    <w:semiHidden/>
    <w:qFormat/>
    <w:uiPriority w:val="99"/>
    <w:rPr>
      <w:rFonts w:ascii="Tahoma" w:hAnsi="Tahoma" w:eastAsia="微软雅黑"/>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5560</Words>
  <Characters>5857</Characters>
  <Lines>34</Lines>
  <Paragraphs>9</Paragraphs>
  <TotalTime>0</TotalTime>
  <ScaleCrop>false</ScaleCrop>
  <LinksUpToDate>false</LinksUpToDate>
  <CharactersWithSpaces>5878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2022-04-27T06:06:00Z</dcterms:created>
  <dc:creator>xb21cn</dc:creator>
  <cp:lastModifiedBy>♉️长辫子精灵</cp:lastModifiedBy>
  <cp:lastPrinted>2023-07-24T05:22:00Z</cp:lastPrinted>
  <dcterms:modified xsi:type="dcterms:W3CDTF">2023-08-24T02:38:22Z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E7C8EBE71E7445349687470B3EF91403</vt:lpwstr>
  </property>
</Properties>
</file>