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420"/>
        <w:jc w:val="both"/>
        <w:rPr>
          <w:rFonts w:ascii="Calibri" w:cs="Calibri" w:hAnsi="Calibri"/>
          <w:i w:val="0"/>
          <w:iCs w:val="0"/>
          <w:caps w:val="0"/>
          <w:smallCaps w:val="0"/>
          <w:color w:val="333333"/>
          <w:spacing w:val="0"/>
          <w:sz w:val="24"/>
          <w:szCs w:val="24"/>
        </w:rPr>
      </w:pPr>
      <w:r>
        <w:rPr>
          <w:rFonts w:ascii="黑体" w:eastAsia="黑体" w:cs="黑体"/>
          <w:i w:val="0"/>
          <w:iCs w:val="0"/>
          <w:caps w:val="0"/>
          <w:smallCaps w:val="0"/>
          <w:color w:val="auto"/>
          <w:spacing w:val="0"/>
          <w:sz w:val="32"/>
          <w:szCs w:val="32"/>
          <w:shd w:val="clear" w:color="auto" w:fill="FFFFFF"/>
          <w:vertAlign w:val="baseline"/>
        </w:rPr>
        <w:t>一、总体情况</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pPr>
      <w:r>
        <w:rPr>
          <w:rFonts w:ascii="仿宋_GB2312" w:eastAsia="仿宋_GB2312" w:cs="仿宋_GB2312"/>
          <w:i w:val="0"/>
          <w:iCs w:val="0"/>
          <w:caps w:val="0"/>
          <w:smallCaps w:val="0"/>
          <w:color w:val="333333"/>
          <w:spacing w:val="0"/>
          <w:sz w:val="32"/>
          <w:szCs w:val="32"/>
          <w:shd w:val="clear" w:color="auto" w:fill="FFFFFF"/>
          <w:vertAlign w:val="baseline"/>
          <w:lang w:val="en-US" w:eastAsia="zh-CN"/>
        </w:rPr>
        <w:t>2025年铁坡镇人民政府始终以习近平新时代中国特色社会主义思想为指导，全面贯彻党的二十大及二十届二中、三中全会精神，紧紧围绕党中央、国务院及省、市、县关于深化政务公开工作的最新决策部署，锚定“以公开为常态、不公开为例外”的核心原则，着力推进政务公开标准化规范化建设，持续提升政府信息公开的深度与广度，强化发布、解读、回应“三位一体”工作机制，进一步增强政务公开的针对性和传播力，全面推动政务公开工作高质量发展。</w:t>
      </w:r>
      <w:r>
        <w:rPr>
          <w:rFonts w:ascii="仿宋_GB2312" w:eastAsia="仿宋_GB2312" w:cs="仿宋_GB2312"/>
          <w:i w:val="0"/>
          <w:iCs w:val="0"/>
          <w:caps w:val="0"/>
          <w:smallCaps w:val="0"/>
          <w:color w:val="333333"/>
          <w:spacing w:val="0"/>
          <w:sz w:val="32"/>
          <w:szCs w:val="32"/>
          <w:shd w:val="clear" w:color="auto" w:fill="FFFFFF"/>
          <w:vertAlign w:val="baseline"/>
        </w:rPr>
        <w:t></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仿宋_GB2312" w:eastAsia="仿宋_GB2312" w:cs="仿宋_GB2312" w:hint="eastAsia"/>
          <w:i w:val="0"/>
          <w:iCs w:val="0"/>
          <w:caps w:val="0"/>
          <w:smallCaps w:val="0"/>
          <w:color w:val="333333"/>
          <w:spacing w:val="0"/>
          <w:sz w:val="32"/>
          <w:szCs w:val="32"/>
          <w:shd w:val="clear" w:color="auto" w:fill="FFFFFF"/>
          <w:vertAlign w:val="baseline"/>
        </w:rPr>
        <w:t>（一）主动公开情况。202</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5</w:t>
      </w:r>
      <w:r>
        <w:rPr>
          <w:rFonts w:ascii="仿宋_GB2312" w:eastAsia="仿宋_GB2312" w:cs="仿宋_GB2312" w:hint="eastAsia"/>
          <w:i w:val="0"/>
          <w:iCs w:val="0"/>
          <w:caps w:val="0"/>
          <w:smallCaps w:val="0"/>
          <w:color w:val="333333"/>
          <w:spacing w:val="0"/>
          <w:sz w:val="32"/>
          <w:szCs w:val="32"/>
          <w:shd w:val="clear" w:color="auto" w:fill="FFFFFF"/>
          <w:vertAlign w:val="baseline"/>
        </w:rPr>
        <w:t>年，我镇主动在政府网站更新政务信息</w:t>
      </w:r>
      <w:r>
        <w:rPr>
          <w:rFonts w:ascii="仿宋_GB2312" w:eastAsia="仿宋_GB2312" w:cs="仿宋_GB2312"/>
          <w:i w:val="0"/>
          <w:iCs w:val="0"/>
          <w:caps w:val="0"/>
          <w:smallCaps w:val="0"/>
          <w:color w:val="333333"/>
          <w:spacing w:val="0"/>
          <w:sz w:val="32"/>
          <w:szCs w:val="32"/>
          <w:shd w:val="clear" w:color="auto" w:fill="FFFFFF"/>
          <w:vertAlign w:val="baseline"/>
          <w:lang w:val="en-US" w:eastAsia="zh-CN"/>
        </w:rPr>
        <w:t>96</w:t>
      </w:r>
      <w:bookmarkStart w:id="0" w:name="_GoBack"/>
      <w:bookmarkEnd w:id="0"/>
      <w:r>
        <w:rPr>
          <w:rFonts w:ascii="仿宋_GB2312" w:eastAsia="仿宋_GB2312" w:cs="仿宋_GB2312" w:hint="eastAsia"/>
          <w:i w:val="0"/>
          <w:iCs w:val="0"/>
          <w:caps w:val="0"/>
          <w:smallCaps w:val="0"/>
          <w:color w:val="333333"/>
          <w:spacing w:val="0"/>
          <w:sz w:val="32"/>
          <w:szCs w:val="32"/>
          <w:shd w:val="clear" w:color="auto" w:fill="FFFFFF"/>
          <w:vertAlign w:val="baseline"/>
        </w:rPr>
        <w:t>条，其中机构信息1条，人事信息3条，政策文件及通知</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4</w:t>
      </w:r>
      <w:r>
        <w:rPr>
          <w:rFonts w:ascii="仿宋_GB2312" w:eastAsia="仿宋_GB2312" w:cs="仿宋_GB2312" w:hint="eastAsia"/>
          <w:i w:val="0"/>
          <w:iCs w:val="0"/>
          <w:caps w:val="0"/>
          <w:smallCaps w:val="0"/>
          <w:color w:val="333333"/>
          <w:spacing w:val="0"/>
          <w:sz w:val="32"/>
          <w:szCs w:val="32"/>
          <w:shd w:val="clear" w:color="auto" w:fill="FFFFFF"/>
          <w:vertAlign w:val="baseline"/>
        </w:rPr>
        <w:t>条，规划计划3条，财政信息</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3</w:t>
      </w:r>
      <w:r>
        <w:rPr>
          <w:rFonts w:ascii="仿宋_GB2312" w:eastAsia="仿宋_GB2312" w:cs="仿宋_GB2312" w:hint="eastAsia"/>
          <w:i w:val="0"/>
          <w:iCs w:val="0"/>
          <w:caps w:val="0"/>
          <w:smallCaps w:val="0"/>
          <w:color w:val="333333"/>
          <w:spacing w:val="0"/>
          <w:sz w:val="32"/>
          <w:szCs w:val="32"/>
          <w:shd w:val="clear" w:color="auto" w:fill="FFFFFF"/>
          <w:vertAlign w:val="baseline"/>
        </w:rPr>
        <w:t>条，重大民生信息</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3</w:t>
      </w:r>
      <w:r>
        <w:rPr>
          <w:rFonts w:ascii="仿宋_GB2312" w:eastAsia="仿宋_GB2312" w:cs="仿宋_GB2312" w:hint="eastAsia"/>
          <w:i w:val="0"/>
          <w:iCs w:val="0"/>
          <w:caps w:val="0"/>
          <w:smallCaps w:val="0"/>
          <w:color w:val="333333"/>
          <w:spacing w:val="0"/>
          <w:sz w:val="32"/>
          <w:szCs w:val="32"/>
          <w:shd w:val="clear" w:color="auto" w:fill="FFFFFF"/>
          <w:vertAlign w:val="baseline"/>
        </w:rPr>
        <w:t>条，信息公开指南1条，信息公开年度报告1条，工作动态</w:t>
      </w:r>
      <w:r>
        <w:rPr>
          <w:rFonts w:ascii="仿宋_GB2312" w:eastAsia="仿宋_GB2312" w:cs="仿宋_GB2312"/>
          <w:i w:val="0"/>
          <w:iCs w:val="0"/>
          <w:caps w:val="0"/>
          <w:smallCaps w:val="0"/>
          <w:color w:val="333333"/>
          <w:spacing w:val="0"/>
          <w:sz w:val="32"/>
          <w:szCs w:val="32"/>
          <w:shd w:val="clear" w:color="auto" w:fill="FFFFFF"/>
          <w:vertAlign w:val="baseline"/>
        </w:rPr>
        <w:t>77</w:t>
      </w:r>
      <w:r>
        <w:rPr>
          <w:rFonts w:ascii="仿宋_GB2312" w:eastAsia="仿宋_GB2312" w:cs="仿宋_GB2312" w:hint="eastAsia"/>
          <w:i w:val="0"/>
          <w:iCs w:val="0"/>
          <w:caps w:val="0"/>
          <w:smallCaps w:val="0"/>
          <w:color w:val="333333"/>
          <w:spacing w:val="0"/>
          <w:sz w:val="32"/>
          <w:szCs w:val="32"/>
          <w:shd w:val="clear" w:color="auto" w:fill="FFFFFF"/>
          <w:vertAlign w:val="baseline"/>
        </w:rPr>
        <w:t>条。从公开时间来看，基本能按照时间要求进行政务公开。</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仿宋_GB2312" w:eastAsia="仿宋_GB2312" w:cs="仿宋_GB2312" w:hint="eastAsia"/>
          <w:i w:val="0"/>
          <w:iCs w:val="0"/>
          <w:caps w:val="0"/>
          <w:smallCaps w:val="0"/>
          <w:color w:val="333333"/>
          <w:spacing w:val="0"/>
          <w:sz w:val="32"/>
          <w:szCs w:val="32"/>
          <w:shd w:val="clear" w:color="auto" w:fill="FFFFFF"/>
          <w:vertAlign w:val="baseline"/>
        </w:rPr>
        <w:t>（二）依申请公开情况。202</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5</w:t>
      </w:r>
      <w:r>
        <w:rPr>
          <w:rFonts w:ascii="仿宋_GB2312" w:eastAsia="仿宋_GB2312" w:cs="仿宋_GB2312" w:hint="eastAsia"/>
          <w:i w:val="0"/>
          <w:iCs w:val="0"/>
          <w:caps w:val="0"/>
          <w:smallCaps w:val="0"/>
          <w:color w:val="333333"/>
          <w:spacing w:val="0"/>
          <w:sz w:val="32"/>
          <w:szCs w:val="32"/>
          <w:shd w:val="clear" w:color="auto" w:fill="FFFFFF"/>
          <w:vertAlign w:val="baseline"/>
        </w:rPr>
        <w:t>年1月1日至202</w:t>
      </w:r>
      <w:r>
        <w:rPr>
          <w:rFonts w:ascii="仿宋_GB2312" w:eastAsia="仿宋_GB2312" w:cs="仿宋_GB2312" w:hint="eastAsia"/>
          <w:i w:val="0"/>
          <w:iCs w:val="0"/>
          <w:caps w:val="0"/>
          <w:smallCaps w:val="0"/>
          <w:color w:val="333333"/>
          <w:spacing w:val="0"/>
          <w:sz w:val="32"/>
          <w:szCs w:val="32"/>
          <w:shd w:val="clear" w:color="auto" w:fill="FFFFFF"/>
          <w:vertAlign w:val="baseline"/>
          <w:lang w:val="en-US" w:eastAsia="zh-CN"/>
        </w:rPr>
        <w:t>5</w:t>
      </w:r>
      <w:r>
        <w:rPr>
          <w:rFonts w:ascii="仿宋_GB2312" w:eastAsia="仿宋_GB2312" w:cs="仿宋_GB2312" w:hint="eastAsia"/>
          <w:i w:val="0"/>
          <w:iCs w:val="0"/>
          <w:caps w:val="0"/>
          <w:smallCaps w:val="0"/>
          <w:color w:val="333333"/>
          <w:spacing w:val="0"/>
          <w:sz w:val="32"/>
          <w:szCs w:val="32"/>
          <w:shd w:val="clear" w:color="auto" w:fill="FFFFFF"/>
          <w:vertAlign w:val="baseline"/>
        </w:rPr>
        <w:t>年12月31日，铁坡镇人民政府无收到依申请公开政府信息。</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仿宋_GB2312" w:eastAsia="仿宋_GB2312" w:cs="仿宋_GB2312" w:hint="eastAsia"/>
          <w:i w:val="0"/>
          <w:iCs w:val="0"/>
          <w:caps w:val="0"/>
          <w:smallCaps w:val="0"/>
          <w:color w:val="333333"/>
          <w:spacing w:val="0"/>
          <w:sz w:val="32"/>
          <w:szCs w:val="32"/>
          <w:shd w:val="clear" w:color="auto" w:fill="FFFFFF"/>
          <w:vertAlign w:val="baseline"/>
        </w:rPr>
        <w:t>（三）政府信息管理情况。按照国务院办公厅《政府网站发展指引的通知》和《推进政务新媒体健康有序发展的意见》要求，建立健全政府信息管理动态调整机制，准确把握不予公开的范围，定期对公开和不予公开的政府信息进行评估，对失效、废止的政府信息定期清理。严格落实政府信息发布审核制度，执行三级审核制度，先审后发、授权发布，三级联动，确保内容准确、表述规范。</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仿宋_GB2312" w:eastAsia="仿宋_GB2312" w:cs="仿宋_GB2312" w:hint="eastAsia"/>
          <w:i w:val="0"/>
          <w:iCs w:val="0"/>
          <w:caps w:val="0"/>
          <w:smallCaps w:val="0"/>
          <w:color w:val="333333"/>
          <w:spacing w:val="0"/>
          <w:sz w:val="32"/>
          <w:szCs w:val="32"/>
          <w:shd w:val="clear" w:color="auto" w:fill="FFFFFF"/>
          <w:vertAlign w:val="baseline"/>
        </w:rPr>
        <w:t>（四）政府信息公开平台建设情况。认真做好政务平台集约化建设相关工作，按时完成本单位信息补录、双向更新，以及新平台使用问题反馈等工作。</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仿宋_GB2312" w:eastAsia="仿宋_GB2312" w:cs="仿宋_GB2312" w:hint="eastAsia"/>
          <w:i w:val="0"/>
          <w:iCs w:val="0"/>
          <w:caps w:val="0"/>
          <w:smallCaps w:val="0"/>
          <w:color w:val="333333"/>
          <w:spacing w:val="0"/>
          <w:sz w:val="32"/>
          <w:szCs w:val="32"/>
          <w:shd w:val="clear" w:color="auto" w:fill="FFFFFF"/>
          <w:vertAlign w:val="baseline"/>
        </w:rPr>
        <w:t>（五）监督保障情况。严格落实政务信息公开发布、审批制度，确保政府信息公开各项工作有序开展。同时，保障政府信息公开工作机构和队伍健全，按时按质按量完成政府信息公开各项工作。</w:t>
      </w:r>
    </w:p>
    <w:p>
      <w:pPr>
        <w:pStyle w:val="15"/>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510" w:lineRule="atLeast"/>
        <w:ind w:left="0" w:right="0" w:firstLine="640"/>
        <w:jc w:val="both"/>
        <w:rPr>
          <w:rFonts w:ascii="Calibri" w:cs="Calibri" w:hAnsi="Calibri"/>
          <w:i w:val="0"/>
          <w:iCs w:val="0"/>
          <w:caps w:val="0"/>
          <w:smallCaps w:val="0"/>
          <w:color w:val="333333"/>
          <w:spacing w:val="0"/>
          <w:sz w:val="24"/>
          <w:szCs w:val="24"/>
        </w:rPr>
      </w:pPr>
      <w:r>
        <w:rPr>
          <w:rFonts w:ascii="黑体" w:eastAsia="黑体" w:cs="黑体"/>
          <w:i w:val="0"/>
          <w:iCs w:val="0"/>
          <w:caps w:val="0"/>
          <w:smallCaps w:val="0"/>
          <w:color w:val="auto"/>
          <w:spacing w:val="0"/>
          <w:sz w:val="32"/>
          <w:szCs w:val="32"/>
          <w:shd w:val="clear" w:color="auto" w:fill="FFFFFF"/>
          <w:vertAlign w:val="baseline"/>
        </w:rPr>
        <w:t>二、主动公开政府信息情况</w:t>
      </w:r>
    </w:p>
    <w:tbl>
      <w:tblPr>
        <w:jc w:val="center"/>
        <w:tblW w:w="9740" w:type="dxa"/>
        <w:tblBorders>
          <w:top w:val="none" w:sz="0" w:space="0" w:color="auto"/>
          <w:left w:val="none" w:sz="0" w:space="0" w:color="auto"/>
          <w:bottom w:val="none" w:sz="0" w:space="0" w:color="auto"/>
          <w:right w:val="none" w:sz="0" w:space="0" w:color="auto"/>
          <w:insideH w:val="outset" w:sz="6" w:space="0" w:color="auto"/>
          <w:insideV w:val="outset" w:sz="6" w:space="0" w:color="auto"/>
        </w:tblBorders>
        <w:tblCellMar>
          <w:top w:w="0" w:type="dxa"/>
          <w:left w:w="0" w:type="dxa"/>
          <w:bottom w:w="0" w:type="dxa"/>
          <w:right w:w="0" w:type="dxa"/>
        </w:tblCellMar>
      </w:tblPr>
      <w:tblGrid>
        <w:gridCol w:w="2435"/>
        <w:gridCol w:w="2435"/>
        <w:gridCol w:w="2435"/>
        <w:gridCol w:w="2435"/>
      </w:tblGrid>
      <w:tr>
        <w:trPr>
          <w:trHeight w:val="473"/>
        </w:trPr>
        <w:tc>
          <w:tcPr>
            <w:tcW w:w="9740" w:type="dxa"/>
            <w:gridSpan w:val="4"/>
            <w:tcBorders>
              <w:top w:val="single" w:sz="8" w:space="0" w:color="auto"/>
              <w:left w:val="single" w:sz="8" w:space="0" w:color="auto"/>
              <w:bottom w:val="single" w:sz="8" w:space="0" w:color="auto"/>
              <w:right w:val="single" w:sz="8" w:space="0" w:color="auto"/>
              <w:tl2br w:val="nil"/>
              <w:tr2bl w:val="nil"/>
            </w:tcBorders>
            <w:shd w:val="clear" w:color="auto" w:fill="C6D9F1"/>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第二十条第（一）项</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信息内容</w:t>
            </w:r>
          </w:p>
        </w:tc>
        <w:tc>
          <w:tcPr>
            <w:tcW w:w="2435"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本年制发件数</w:t>
            </w:r>
          </w:p>
        </w:tc>
        <w:tc>
          <w:tcPr>
            <w:tcW w:w="2435"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本年废止件数</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宋体" w:eastAsia="宋体" w:cs="宋体" w:hint="eastAsia"/>
                <w:b w:val="0"/>
                <w:bCs w:val="0"/>
                <w:caps w:val="0"/>
                <w:smallCaps w:val="0"/>
                <w:color w:val="000000"/>
                <w:kern w:val="0"/>
                <w:sz w:val="20"/>
                <w:szCs w:val="20"/>
                <w:vertAlign w:val="baseline"/>
                <w:lang w:val="en-US" w:eastAsia="zh-CN" w:bidi="ar-SA"/>
              </w:rPr>
              <w:t>（</w:t>
            </w:r>
            <w:r>
              <w:rPr>
                <w:rFonts w:ascii="仿宋" w:eastAsia="仿宋" w:cs="仿宋"/>
                <w:b w:val="0"/>
                <w:bCs w:val="0"/>
                <w:i w:val="0"/>
                <w:iCs w:val="0"/>
                <w:caps w:val="0"/>
                <w:smallCaps w:val="0"/>
                <w:color w:val="000000"/>
                <w:spacing w:val="0"/>
                <w:kern w:val="0"/>
                <w:sz w:val="21"/>
                <w:szCs w:val="21"/>
                <w:shd w:val="clear" w:color="auto" w:fill="FFFFFF"/>
                <w:vertAlign w:val="baseline"/>
                <w:lang w:val="en-US" w:eastAsia="zh-CN" w:bidi="ar-SA"/>
              </w:rPr>
              <w:t>包括自然失效和不再按规范性文件管理</w:t>
            </w:r>
            <w:r>
              <w:rPr>
                <w:rFonts w:ascii="宋体" w:eastAsia="宋体" w:cs="宋体" w:hint="eastAsia"/>
                <w:b w:val="0"/>
                <w:bCs w:val="0"/>
                <w:caps w:val="0"/>
                <w:smallCaps w:val="0"/>
                <w:color w:val="000000"/>
                <w:kern w:val="0"/>
                <w:sz w:val="20"/>
                <w:szCs w:val="20"/>
                <w:vertAlign w:val="baseline"/>
                <w:lang w:val="en-US" w:eastAsia="zh-CN" w:bidi="ar-SA"/>
              </w:rPr>
              <w:t>）</w:t>
            </w:r>
          </w:p>
        </w:tc>
        <w:tc>
          <w:tcPr>
            <w:tcW w:w="2435"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现行有效件数</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规章</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行政规范性文件</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2435"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473"/>
        </w:trPr>
        <w:tc>
          <w:tcPr>
            <w:tcW w:w="9740" w:type="dxa"/>
            <w:gridSpan w:val="4"/>
            <w:tcBorders>
              <w:top w:val="nil"/>
              <w:left w:val="single" w:sz="8" w:space="0" w:color="auto"/>
              <w:bottom w:val="single" w:sz="8" w:space="0" w:color="auto"/>
              <w:right w:val="single" w:sz="8" w:space="0" w:color="auto"/>
              <w:tl2br w:val="nil"/>
              <w:tr2bl w:val="nil"/>
            </w:tcBorders>
            <w:shd w:val="clear" w:color="auto" w:fill="C6D9F1"/>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第二十条第（五）项</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信息内容</w:t>
            </w:r>
          </w:p>
        </w:tc>
        <w:tc>
          <w:tcPr>
            <w:tcW w:w="7305" w:type="dxa"/>
            <w:gridSpan w:val="3"/>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本年处理决定数量</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行政许可</w:t>
            </w:r>
          </w:p>
        </w:tc>
        <w:tc>
          <w:tcPr>
            <w:tcW w:w="7305" w:type="dxa"/>
            <w:gridSpan w:val="3"/>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473"/>
        </w:trPr>
        <w:tc>
          <w:tcPr>
            <w:tcW w:w="9740" w:type="dxa"/>
            <w:gridSpan w:val="4"/>
            <w:tcBorders>
              <w:top w:val="nil"/>
              <w:left w:val="single" w:sz="8" w:space="0" w:color="auto"/>
              <w:bottom w:val="single" w:sz="8" w:space="0" w:color="auto"/>
              <w:right w:val="single" w:sz="8" w:space="0" w:color="auto"/>
              <w:tl2br w:val="nil"/>
              <w:tr2bl w:val="nil"/>
            </w:tcBorders>
            <w:shd w:val="clear" w:color="auto" w:fill="C6D9F1"/>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第二十条第（六）项</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信息内容</w:t>
            </w:r>
          </w:p>
        </w:tc>
        <w:tc>
          <w:tcPr>
            <w:tcW w:w="7305" w:type="dxa"/>
            <w:gridSpan w:val="3"/>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本年处理决定数量</w:t>
            </w:r>
          </w:p>
        </w:tc>
      </w:tr>
      <w:tr>
        <w:trPr>
          <w:trHeight w:val="487"/>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行政处罚</w:t>
            </w:r>
          </w:p>
        </w:tc>
        <w:tc>
          <w:tcPr>
            <w:tcW w:w="7305" w:type="dxa"/>
            <w:gridSpan w:val="3"/>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行政强制</w:t>
            </w:r>
          </w:p>
        </w:tc>
        <w:tc>
          <w:tcPr>
            <w:tcW w:w="7305" w:type="dxa"/>
            <w:gridSpan w:val="3"/>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473"/>
        </w:trPr>
        <w:tc>
          <w:tcPr>
            <w:tcW w:w="9740" w:type="dxa"/>
            <w:gridSpan w:val="4"/>
            <w:tcBorders>
              <w:top w:val="nil"/>
              <w:left w:val="single" w:sz="8" w:space="0" w:color="auto"/>
              <w:bottom w:val="single" w:sz="8" w:space="0" w:color="auto"/>
              <w:right w:val="single" w:sz="8" w:space="0" w:color="auto"/>
              <w:tl2br w:val="nil"/>
              <w:tr2bl w:val="nil"/>
            </w:tcBorders>
            <w:shd w:val="clear" w:color="auto" w:fill="C6D9F1"/>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第二十条第（八）项</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信息内容</w:t>
            </w:r>
          </w:p>
        </w:tc>
        <w:tc>
          <w:tcPr>
            <w:tcW w:w="7305" w:type="dxa"/>
            <w:gridSpan w:val="3"/>
            <w:tcBorders>
              <w:top w:val="nil"/>
              <w:left w:val="nil"/>
              <w:bottom w:val="single" w:sz="8" w:space="0" w:color="auto"/>
              <w:right w:val="single" w:sz="8" w:space="0" w:color="000000"/>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本年收费金额（单位：万元）</w:t>
            </w:r>
          </w:p>
        </w:tc>
      </w:tr>
      <w:tr>
        <w:trPr>
          <w:trHeight w:val="473"/>
        </w:trPr>
        <w:tc>
          <w:tcPr>
            <w:tcW w:w="2435" w:type="dxa"/>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行政事业性收费</w:t>
            </w:r>
          </w:p>
        </w:tc>
        <w:tc>
          <w:tcPr>
            <w:tcW w:w="7305" w:type="dxa"/>
            <w:gridSpan w:val="3"/>
            <w:tcBorders>
              <w:top w:val="nil"/>
              <w:left w:val="nil"/>
              <w:bottom w:val="single" w:sz="8" w:space="0" w:color="auto"/>
              <w:right w:val="single" w:sz="8" w:space="0" w:color="000000"/>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2435"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2435"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2435"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2435"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r>
    </w:tbl>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黑体" w:eastAsia="黑体" w:cs="黑体"/>
          <w:i w:val="0"/>
          <w:iCs w:val="0"/>
          <w:caps w:val="0"/>
          <w:smallCaps w:val="0"/>
          <w:color w:val="auto"/>
          <w:spacing w:val="0"/>
          <w:kern w:val="0"/>
          <w:sz w:val="32"/>
          <w:szCs w:val="32"/>
          <w:shd w:val="clear" w:color="auto" w:fill="FFFFFF"/>
          <w:vertAlign w:val="baseline"/>
          <w:lang w:val="en-US" w:eastAsia="zh-CN" w:bidi="ar-SA"/>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黑体" w:eastAsia="黑体" w:cs="黑体"/>
          <w:i w:val="0"/>
          <w:iCs w:val="0"/>
          <w:caps w:val="0"/>
          <w:smallCaps w:val="0"/>
          <w:color w:val="auto"/>
          <w:spacing w:val="0"/>
          <w:kern w:val="0"/>
          <w:sz w:val="32"/>
          <w:szCs w:val="32"/>
          <w:shd w:val="clear" w:color="auto" w:fill="FFFFFF"/>
          <w:vertAlign w:val="baseline"/>
          <w:lang w:val="en-US" w:eastAsia="zh-CN" w:bidi="ar-SA"/>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三、收到和处理政府信息公开申请情况</w:t>
      </w:r>
    </w:p>
    <w:tbl>
      <w:tblPr>
        <w:jc w:val="center"/>
        <w:tblW w:w="9748" w:type="dxa"/>
        <w:tblBorders>
          <w:top w:val="none" w:sz="0" w:space="0" w:color="auto"/>
          <w:left w:val="none" w:sz="0" w:space="0" w:color="auto"/>
          <w:bottom w:val="none" w:sz="0" w:space="0" w:color="auto"/>
          <w:right w:val="none" w:sz="0" w:space="0" w:color="auto"/>
          <w:insideH w:val="outset" w:sz="6" w:space="0" w:color="auto"/>
          <w:insideV w:val="outset" w:sz="6" w:space="0" w:color="auto"/>
        </w:tblBorders>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tc>
          <w:tcPr>
            <w:tcW w:w="4930" w:type="dxa"/>
            <w:gridSpan w:val="3"/>
            <w:vMerge w:val="restart"/>
            <w:tcBorders>
              <w:top w:val="single" w:sz="8" w:space="0" w:color="auto"/>
              <w:left w:val="single" w:sz="8" w:space="0" w:color="auto"/>
              <w:bottom w:val="outset"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（本列数据的勾稽关系为：第一项加第二项之和，等于第三项加第四项之和）</w:t>
            </w:r>
          </w:p>
        </w:tc>
        <w:tc>
          <w:tcPr>
            <w:tcW w:w="4818" w:type="dxa"/>
            <w:gridSpan w:val="7"/>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申请人情况</w:t>
            </w:r>
          </w:p>
        </w:tc>
      </w:tr>
      <w:tr>
        <w:tc>
          <w:tcPr>
            <w:tcW w:w="4930" w:type="dxa"/>
            <w:gridSpan w:val="3"/>
            <w:vMerge/>
            <w:tcBorders>
              <w:top w:val="single" w:sz="8" w:space="0" w:color="auto"/>
              <w:left w:val="single" w:sz="8" w:space="0" w:color="auto"/>
              <w:bottom w:val="outset" w:sz="8" w:space="0" w:color="auto"/>
              <w:right w:val="single" w:sz="8" w:space="0" w:color="auto"/>
              <w:tl2br w:val="nil"/>
              <w:tr2bl w:val="nil"/>
            </w:tcBorders>
            <w:noWrap/>
            <w:tcMar>
              <w:left w:w="108" w:type="dxa"/>
              <w:right w:w="108" w:type="dxa"/>
            </w:tcMar>
            <w:vAlign w:val="center"/>
          </w:tcPr>
          <w:p/>
        </w:tc>
        <w:tc>
          <w:tcPr>
            <w:tcW w:w="688" w:type="dxa"/>
            <w:vMerge w:val="restart"/>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自然人</w:t>
            </w:r>
          </w:p>
        </w:tc>
        <w:tc>
          <w:tcPr>
            <w:tcW w:w="3441" w:type="dxa"/>
            <w:gridSpan w:val="5"/>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法人或其他组织</w:t>
            </w:r>
          </w:p>
        </w:tc>
        <w:tc>
          <w:tcPr>
            <w:tcW w:w="689" w:type="dxa"/>
            <w:vMerge w:val="restart"/>
            <w:tcBorders>
              <w:top w:val="single" w:sz="8" w:space="0" w:color="auto"/>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总计</w:t>
            </w:r>
          </w:p>
        </w:tc>
      </w:tr>
      <w:tr>
        <w:tc>
          <w:tcPr>
            <w:tcW w:w="4930" w:type="dxa"/>
            <w:gridSpan w:val="3"/>
            <w:vMerge/>
            <w:tcBorders>
              <w:top w:val="single" w:sz="8" w:space="0" w:color="auto"/>
              <w:left w:val="single" w:sz="8" w:space="0" w:color="auto"/>
              <w:bottom w:val="outset" w:sz="8" w:space="0" w:color="auto"/>
              <w:right w:val="single" w:sz="8" w:space="0" w:color="auto"/>
              <w:tl2br w:val="nil"/>
              <w:tr2bl w:val="nil"/>
            </w:tcBorders>
            <w:noWrap/>
            <w:tcMar>
              <w:left w:w="108" w:type="dxa"/>
              <w:right w:w="108" w:type="dxa"/>
            </w:tcMar>
            <w:vAlign w:val="center"/>
          </w:tcPr>
          <w:p/>
        </w:tc>
        <w:tc>
          <w:tcPr>
            <w:tcW w:w="688" w:type="dxa"/>
            <w:vMerge/>
            <w:tcBorders>
              <w:top w:val="nil"/>
              <w:left w:val="nil"/>
              <w:bottom w:val="single" w:sz="8" w:space="0" w:color="auto"/>
              <w:right w:val="single" w:sz="8" w:space="0" w:color="auto"/>
              <w:tl2br w:val="nil"/>
              <w:tr2bl w:val="nil"/>
            </w:tcBorders>
            <w:noWrap/>
            <w:tcMar>
              <w:left w:w="57" w:type="dxa"/>
              <w:right w:w="57" w:type="dxa"/>
            </w:tcMar>
            <w:vAlign w:val="center"/>
          </w:tcP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商业</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企业</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科研</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机构</w:t>
            </w:r>
          </w:p>
        </w:tc>
        <w:tc>
          <w:tcPr>
            <w:tcW w:w="688"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社会公益组织</w:t>
            </w:r>
          </w:p>
        </w:tc>
        <w:tc>
          <w:tcPr>
            <w:tcW w:w="688"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法律服务机构</w:t>
            </w:r>
          </w:p>
        </w:tc>
        <w:tc>
          <w:tcPr>
            <w:tcW w:w="689" w:type="dxa"/>
            <w:tcBorders>
              <w:top w:val="single" w:sz="8" w:space="0" w:color="auto"/>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其他</w:t>
            </w:r>
          </w:p>
        </w:tc>
        <w:tc>
          <w:tcPr>
            <w:tcW w:w="689" w:type="dxa"/>
            <w:vMerge/>
            <w:tcBorders>
              <w:top w:val="single" w:sz="8" w:space="0" w:color="auto"/>
              <w:left w:val="nil"/>
              <w:bottom w:val="outset" w:sz="8" w:space="0" w:color="auto"/>
              <w:right w:val="single" w:sz="8" w:space="0" w:color="auto"/>
              <w:tl2br w:val="nil"/>
              <w:tr2bl w:val="nil"/>
            </w:tcBorders>
            <w:noWrap/>
            <w:tcMar>
              <w:left w:w="57" w:type="dxa"/>
              <w:right w:w="57" w:type="dxa"/>
            </w:tcMar>
            <w:vAlign w:val="center"/>
          </w:tcPr>
          <w:p/>
        </w:tc>
      </w:tr>
      <w:tr>
        <w:tc>
          <w:tcPr>
            <w:tcW w:w="4930" w:type="dxa"/>
            <w:gridSpan w:val="3"/>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一、本年新收政府信息公开申请数量</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4930" w:type="dxa"/>
            <w:gridSpan w:val="3"/>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二、上年结转政府信息公开申请数量</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val="restart"/>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三、本年度办理结果</w:t>
            </w:r>
          </w:p>
        </w:tc>
        <w:tc>
          <w:tcPr>
            <w:tcW w:w="4162" w:type="dxa"/>
            <w:gridSpan w:val="2"/>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（一）予以公开</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single" w:sz="8" w:space="0" w:color="auto"/>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4162" w:type="dxa"/>
            <w:gridSpan w:val="2"/>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（二）部分公开（区分处理的，只计这一情形，不计其他情形）</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val="restart"/>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（三）不予公开</w:t>
            </w: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1.</w:t>
            </w:r>
            <w:r>
              <w:rPr>
                <w:rFonts w:ascii="宋体" w:eastAsia="宋体" w:cs="宋体" w:hint="eastAsia"/>
                <w:b w:val="0"/>
                <w:bCs w:val="0"/>
                <w:caps w:val="0"/>
                <w:smallCaps w:val="0"/>
                <w:color w:val="auto"/>
                <w:kern w:val="0"/>
                <w:sz w:val="21"/>
                <w:szCs w:val="21"/>
                <w:vertAlign w:val="baseline"/>
                <w:lang w:val="en-US" w:eastAsia="zh-CN" w:bidi="ar-SA"/>
              </w:rPr>
              <w:t>属于国家秘密</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single" w:sz="8" w:space="0" w:color="auto"/>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2.</w:t>
            </w:r>
            <w:r>
              <w:rPr>
                <w:rFonts w:ascii="宋体" w:eastAsia="宋体" w:cs="宋体" w:hint="eastAsia"/>
                <w:b w:val="0"/>
                <w:bCs w:val="0"/>
                <w:caps w:val="0"/>
                <w:smallCaps w:val="0"/>
                <w:color w:val="auto"/>
                <w:kern w:val="0"/>
                <w:sz w:val="21"/>
                <w:szCs w:val="21"/>
                <w:vertAlign w:val="baseline"/>
                <w:lang w:val="en-US" w:eastAsia="zh-CN" w:bidi="ar-SA"/>
              </w:rPr>
              <w:t>其他法律行政法规禁止公开</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3.</w:t>
            </w:r>
            <w:r>
              <w:rPr>
                <w:rFonts w:ascii="宋体" w:eastAsia="宋体" w:cs="宋体" w:hint="eastAsia"/>
                <w:b w:val="0"/>
                <w:bCs w:val="0"/>
                <w:caps w:val="0"/>
                <w:smallCaps w:val="0"/>
                <w:color w:val="auto"/>
                <w:kern w:val="0"/>
                <w:sz w:val="21"/>
                <w:szCs w:val="21"/>
                <w:vertAlign w:val="baseline"/>
                <w:lang w:val="en-US" w:eastAsia="zh-CN" w:bidi="ar-SA"/>
              </w:rPr>
              <w:t>危及“三安全一稳定”</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4.</w:t>
            </w:r>
            <w:r>
              <w:rPr>
                <w:rFonts w:ascii="宋体" w:eastAsia="宋体" w:cs="宋体" w:hint="eastAsia"/>
                <w:b w:val="0"/>
                <w:bCs w:val="0"/>
                <w:caps w:val="0"/>
                <w:smallCaps w:val="0"/>
                <w:color w:val="auto"/>
                <w:kern w:val="0"/>
                <w:sz w:val="21"/>
                <w:szCs w:val="21"/>
                <w:vertAlign w:val="baseline"/>
                <w:lang w:val="en-US" w:eastAsia="zh-CN" w:bidi="ar-SA"/>
              </w:rPr>
              <w:t>保护第三方合法权益</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5.</w:t>
            </w:r>
            <w:r>
              <w:rPr>
                <w:rFonts w:ascii="宋体" w:eastAsia="宋体" w:cs="宋体" w:hint="eastAsia"/>
                <w:b w:val="0"/>
                <w:bCs w:val="0"/>
                <w:caps w:val="0"/>
                <w:smallCaps w:val="0"/>
                <w:color w:val="auto"/>
                <w:kern w:val="0"/>
                <w:sz w:val="21"/>
                <w:szCs w:val="21"/>
                <w:vertAlign w:val="baseline"/>
                <w:lang w:val="en-US" w:eastAsia="zh-CN" w:bidi="ar-SA"/>
              </w:rPr>
              <w:t>属于三类内部事务信息</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6.</w:t>
            </w:r>
            <w:r>
              <w:rPr>
                <w:rFonts w:ascii="宋体" w:eastAsia="宋体" w:cs="宋体" w:hint="eastAsia"/>
                <w:b w:val="0"/>
                <w:bCs w:val="0"/>
                <w:caps w:val="0"/>
                <w:smallCaps w:val="0"/>
                <w:color w:val="auto"/>
                <w:kern w:val="0"/>
                <w:sz w:val="21"/>
                <w:szCs w:val="21"/>
                <w:vertAlign w:val="baseline"/>
                <w:lang w:val="en-US" w:eastAsia="zh-CN" w:bidi="ar-SA"/>
              </w:rPr>
              <w:t>属于四类过程性信息</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7.</w:t>
            </w:r>
            <w:r>
              <w:rPr>
                <w:rFonts w:ascii="宋体" w:eastAsia="宋体" w:cs="宋体" w:hint="eastAsia"/>
                <w:b w:val="0"/>
                <w:bCs w:val="0"/>
                <w:caps w:val="0"/>
                <w:smallCaps w:val="0"/>
                <w:color w:val="auto"/>
                <w:kern w:val="0"/>
                <w:sz w:val="21"/>
                <w:szCs w:val="21"/>
                <w:vertAlign w:val="baseline"/>
                <w:lang w:val="en-US" w:eastAsia="zh-CN" w:bidi="ar-SA"/>
              </w:rPr>
              <w:t>属于行政执法案卷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8.</w:t>
            </w:r>
            <w:r>
              <w:rPr>
                <w:rFonts w:ascii="宋体" w:eastAsia="宋体" w:cs="宋体" w:hint="eastAsia"/>
                <w:b w:val="0"/>
                <w:bCs w:val="0"/>
                <w:caps w:val="0"/>
                <w:smallCaps w:val="0"/>
                <w:color w:val="auto"/>
                <w:kern w:val="0"/>
                <w:sz w:val="21"/>
                <w:szCs w:val="21"/>
                <w:vertAlign w:val="baseline"/>
                <w:lang w:val="en-US" w:eastAsia="zh-CN" w:bidi="ar-SA"/>
              </w:rPr>
              <w:t>属于行政查询事项</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val="restart"/>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（四）无法提供</w:t>
            </w: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1.</w:t>
            </w:r>
            <w:r>
              <w:rPr>
                <w:rFonts w:ascii="宋体" w:eastAsia="宋体" w:cs="宋体" w:hint="eastAsia"/>
                <w:b w:val="0"/>
                <w:bCs w:val="0"/>
                <w:caps w:val="0"/>
                <w:smallCaps w:val="0"/>
                <w:color w:val="auto"/>
                <w:kern w:val="0"/>
                <w:sz w:val="21"/>
                <w:szCs w:val="21"/>
                <w:vertAlign w:val="baseline"/>
                <w:lang w:val="en-US" w:eastAsia="zh-CN" w:bidi="ar-SA"/>
              </w:rPr>
              <w:t>本机关不掌握相关政府信息</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2.</w:t>
            </w:r>
            <w:r>
              <w:rPr>
                <w:rFonts w:ascii="宋体" w:eastAsia="宋体" w:cs="宋体" w:hint="eastAsia"/>
                <w:b w:val="0"/>
                <w:bCs w:val="0"/>
                <w:caps w:val="0"/>
                <w:smallCaps w:val="0"/>
                <w:color w:val="auto"/>
                <w:kern w:val="0"/>
                <w:sz w:val="21"/>
                <w:szCs w:val="21"/>
                <w:vertAlign w:val="baseline"/>
                <w:lang w:val="en-US" w:eastAsia="zh-CN" w:bidi="ar-SA"/>
              </w:rPr>
              <w:t>没有现成信息需要另行制作</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3.</w:t>
            </w:r>
            <w:r>
              <w:rPr>
                <w:rFonts w:ascii="宋体" w:eastAsia="宋体" w:cs="宋体" w:hint="eastAsia"/>
                <w:b w:val="0"/>
                <w:bCs w:val="0"/>
                <w:caps w:val="0"/>
                <w:smallCaps w:val="0"/>
                <w:color w:val="auto"/>
                <w:kern w:val="0"/>
                <w:sz w:val="21"/>
                <w:szCs w:val="21"/>
                <w:vertAlign w:val="baseline"/>
                <w:lang w:val="en-US" w:eastAsia="zh-CN" w:bidi="ar-SA"/>
              </w:rPr>
              <w:t>补正后申请内容仍不明确</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val="restart"/>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（五）不予处理</w:t>
            </w: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1.</w:t>
            </w:r>
            <w:r>
              <w:rPr>
                <w:rFonts w:ascii="宋体" w:eastAsia="宋体" w:cs="宋体" w:hint="eastAsia"/>
                <w:b w:val="0"/>
                <w:bCs w:val="0"/>
                <w:caps w:val="0"/>
                <w:smallCaps w:val="0"/>
                <w:color w:val="auto"/>
                <w:kern w:val="0"/>
                <w:sz w:val="21"/>
                <w:szCs w:val="21"/>
                <w:vertAlign w:val="baseline"/>
                <w:lang w:val="en-US" w:eastAsia="zh-CN" w:bidi="ar-SA"/>
              </w:rPr>
              <w:t>信访举报投诉类申请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2.</w:t>
            </w:r>
            <w:r>
              <w:rPr>
                <w:rFonts w:ascii="宋体" w:eastAsia="宋体" w:cs="宋体" w:hint="eastAsia"/>
                <w:b w:val="0"/>
                <w:bCs w:val="0"/>
                <w:caps w:val="0"/>
                <w:smallCaps w:val="0"/>
                <w:color w:val="auto"/>
                <w:kern w:val="0"/>
                <w:sz w:val="21"/>
                <w:szCs w:val="21"/>
                <w:vertAlign w:val="baseline"/>
                <w:lang w:val="en-US" w:eastAsia="zh-CN" w:bidi="ar-SA"/>
              </w:rPr>
              <w:t>重复申请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3.</w:t>
            </w:r>
            <w:r>
              <w:rPr>
                <w:rFonts w:ascii="宋体" w:eastAsia="宋体" w:cs="宋体" w:hint="eastAsia"/>
                <w:b w:val="0"/>
                <w:bCs w:val="0"/>
                <w:caps w:val="0"/>
                <w:smallCaps w:val="0"/>
                <w:color w:val="auto"/>
                <w:kern w:val="0"/>
                <w:sz w:val="21"/>
                <w:szCs w:val="21"/>
                <w:vertAlign w:val="baseline"/>
                <w:lang w:val="en-US" w:eastAsia="zh-CN" w:bidi="ar-SA"/>
              </w:rPr>
              <w:t>要求提供公开出版物</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4.</w:t>
            </w:r>
            <w:r>
              <w:rPr>
                <w:rFonts w:ascii="宋体" w:eastAsia="宋体" w:cs="宋体" w:hint="eastAsia"/>
                <w:b w:val="0"/>
                <w:bCs w:val="0"/>
                <w:caps w:val="0"/>
                <w:smallCaps w:val="0"/>
                <w:color w:val="auto"/>
                <w:kern w:val="0"/>
                <w:sz w:val="21"/>
                <w:szCs w:val="21"/>
                <w:vertAlign w:val="baseline"/>
                <w:lang w:val="en-US" w:eastAsia="zh-CN" w:bidi="ar-SA"/>
              </w:rPr>
              <w:t>无正当理由大量反复申请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rPr>
          <w:trHeight w:val="779"/>
        </w:trP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nil"/>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5.</w:t>
            </w:r>
            <w:r>
              <w:rPr>
                <w:rFonts w:ascii="宋体" w:eastAsia="宋体" w:cs="宋体" w:hint="eastAsia"/>
                <w:b w:val="0"/>
                <w:bCs w:val="0"/>
                <w:caps w:val="0"/>
                <w:smallCaps w:val="0"/>
                <w:color w:val="auto"/>
                <w:kern w:val="0"/>
                <w:sz w:val="21"/>
                <w:szCs w:val="21"/>
                <w:vertAlign w:val="baseline"/>
                <w:lang w:val="en-US" w:eastAsia="zh-CN" w:bidi="ar-SA"/>
              </w:rPr>
              <w:t>要求行政机关确认或重新出具已获取信息</w:t>
            </w:r>
          </w:p>
        </w:tc>
        <w:tc>
          <w:tcPr>
            <w:tcW w:w="688"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outset"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val="restart"/>
            <w:tcBorders>
              <w:top w:val="outset" w:sz="8" w:space="0" w:color="auto"/>
              <w:left w:val="nil"/>
              <w:bottom w:val="outset"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（六）其他处理</w:t>
            </w:r>
          </w:p>
        </w:tc>
        <w:tc>
          <w:tcPr>
            <w:tcW w:w="3217"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1.</w:t>
            </w:r>
            <w:r>
              <w:rPr>
                <w:rFonts w:ascii="宋体" w:eastAsia="宋体" w:cs="宋体" w:hint="eastAsia"/>
                <w:b w:val="0"/>
                <w:bCs w:val="0"/>
                <w:caps w:val="0"/>
                <w:smallCaps w:val="0"/>
                <w:color w:val="auto"/>
                <w:kern w:val="0"/>
                <w:sz w:val="21"/>
                <w:szCs w:val="21"/>
                <w:vertAlign w:val="baseline"/>
                <w:lang w:val="en-US" w:eastAsia="zh-CN" w:bidi="ar-SA"/>
              </w:rPr>
              <w:t>申请人无正当理由逾期不补正、行政机关不再处理其政府信息公开申请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outset" w:sz="8" w:space="0" w:color="auto"/>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2.</w:t>
            </w:r>
            <w:r>
              <w:rPr>
                <w:rFonts w:ascii="宋体" w:eastAsia="宋体" w:cs="宋体" w:hint="eastAsia"/>
                <w:b w:val="0"/>
                <w:bCs w:val="0"/>
                <w:caps w:val="0"/>
                <w:smallCaps w:val="0"/>
                <w:color w:val="auto"/>
                <w:kern w:val="0"/>
                <w:sz w:val="21"/>
                <w:szCs w:val="21"/>
                <w:vertAlign w:val="baseline"/>
                <w:lang w:val="en-US" w:eastAsia="zh-CN" w:bidi="ar-SA"/>
              </w:rPr>
              <w:t>申请人逾期未按收费通知要求缴纳费用、行政机关不再处理其政府信息公开申请</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945" w:type="dxa"/>
            <w:vMerge/>
            <w:tcBorders>
              <w:top w:val="outset" w:sz="8" w:space="0" w:color="auto"/>
              <w:left w:val="nil"/>
              <w:bottom w:val="outset" w:sz="8" w:space="0" w:color="auto"/>
              <w:right w:val="single" w:sz="8" w:space="0" w:color="auto"/>
              <w:tl2br w:val="nil"/>
              <w:tr2bl w:val="nil"/>
            </w:tcBorders>
            <w:noWrap/>
            <w:tcMar>
              <w:left w:w="57" w:type="dxa"/>
              <w:right w:w="57" w:type="dxa"/>
            </w:tcMar>
            <w:vAlign w:val="center"/>
          </w:tcPr>
          <w:p/>
        </w:tc>
        <w:tc>
          <w:tcPr>
            <w:tcW w:w="3217"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3.</w:t>
            </w:r>
            <w:r>
              <w:rPr>
                <w:rFonts w:ascii="宋体" w:eastAsia="宋体" w:cs="宋体" w:hint="eastAsia"/>
                <w:b w:val="0"/>
                <w:bCs w:val="0"/>
                <w:caps w:val="0"/>
                <w:smallCaps w:val="0"/>
                <w:color w:val="auto"/>
                <w:kern w:val="0"/>
                <w:sz w:val="21"/>
                <w:szCs w:val="21"/>
                <w:vertAlign w:val="baseline"/>
                <w:lang w:val="en-US" w:eastAsia="zh-CN" w:bidi="ar-SA"/>
              </w:rPr>
              <w:t>其他</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vMerge/>
            <w:tcBorders>
              <w:top w:val="nil"/>
              <w:left w:val="single" w:sz="8" w:space="0" w:color="auto"/>
              <w:bottom w:val="outset" w:sz="8" w:space="0" w:color="auto"/>
              <w:right w:val="single" w:sz="8" w:space="0" w:color="auto"/>
              <w:tl2br w:val="nil"/>
              <w:tr2bl w:val="nil"/>
            </w:tcBorders>
            <w:noWrap/>
            <w:tcMar>
              <w:left w:w="57" w:type="dxa"/>
              <w:right w:w="57" w:type="dxa"/>
            </w:tcMar>
            <w:vAlign w:val="center"/>
          </w:tcPr>
          <w:p/>
        </w:tc>
        <w:tc>
          <w:tcPr>
            <w:tcW w:w="4162" w:type="dxa"/>
            <w:gridSpan w:val="2"/>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（七）总计</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4930" w:type="dxa"/>
            <w:gridSpan w:val="3"/>
            <w:tcBorders>
              <w:top w:val="nil"/>
              <w:left w:val="single" w:sz="8" w:space="0" w:color="auto"/>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四、结转下年度继续办理</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8"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89" w:type="dxa"/>
            <w:tcBorders>
              <w:top w:val="nil"/>
              <w:left w:val="nil"/>
              <w:bottom w:val="single" w:sz="8" w:space="0" w:color="auto"/>
              <w:right w:val="single" w:sz="8" w:space="0" w:color="auto"/>
              <w:tl2br w:val="nil"/>
              <w:tr2bl w:val="nil"/>
            </w:tcBorders>
            <w:noWrap/>
            <w:tcMar>
              <w:left w:w="57" w:type="dxa"/>
              <w:right w:w="57" w:type="dxa"/>
            </w:tcMa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76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945"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3217"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8"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8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r>
    </w:tbl>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 </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 </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四、政府信息公开行政复议、行政诉讼情况</w:t>
      </w:r>
    </w:p>
    <w:tbl>
      <w:tblPr>
        <w:jc w:val="center"/>
        <w:tblW w:w="9748" w:type="dxa"/>
        <w:tblBorders>
          <w:top w:val="none" w:sz="0" w:space="0" w:color="auto"/>
          <w:left w:val="none" w:sz="0" w:space="0" w:color="auto"/>
          <w:bottom w:val="none" w:sz="0" w:space="0" w:color="auto"/>
          <w:right w:val="none" w:sz="0" w:space="0" w:color="auto"/>
          <w:insideH w:val="outset" w:sz="6" w:space="0" w:color="auto"/>
          <w:insideV w:val="outset" w:sz="6" w:space="0" w:color="auto"/>
        </w:tblBorders>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c>
          <w:tcPr>
            <w:tcW w:w="3245" w:type="dxa"/>
            <w:gridSpan w:val="5"/>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行政复议</w:t>
            </w:r>
          </w:p>
        </w:tc>
        <w:tc>
          <w:tcPr>
            <w:tcW w:w="6503" w:type="dxa"/>
            <w:gridSpan w:val="10"/>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行政诉讼</w:t>
            </w:r>
          </w:p>
        </w:tc>
      </w:tr>
      <w:tr>
        <w:tc>
          <w:tcPr>
            <w:tcW w:w="649" w:type="dxa"/>
            <w:vMerge w:val="restart"/>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结果维持</w:t>
            </w:r>
          </w:p>
        </w:tc>
        <w:tc>
          <w:tcPr>
            <w:tcW w:w="649" w:type="dxa"/>
            <w:vMerge w:val="restart"/>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纠正</w:t>
            </w:r>
          </w:p>
        </w:tc>
        <w:tc>
          <w:tcPr>
            <w:tcW w:w="649" w:type="dxa"/>
            <w:vMerge w:val="restart"/>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其他</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tc>
        <w:tc>
          <w:tcPr>
            <w:tcW w:w="649" w:type="dxa"/>
            <w:vMerge w:val="restart"/>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尚未</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审结</w:t>
            </w:r>
          </w:p>
        </w:tc>
        <w:tc>
          <w:tcPr>
            <w:tcW w:w="649" w:type="dxa"/>
            <w:vMerge w:val="restart"/>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总计</w:t>
            </w:r>
          </w:p>
        </w:tc>
        <w:tc>
          <w:tcPr>
            <w:tcW w:w="3248" w:type="dxa"/>
            <w:gridSpan w:val="5"/>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未经复议直接起诉</w:t>
            </w:r>
          </w:p>
        </w:tc>
        <w:tc>
          <w:tcPr>
            <w:tcW w:w="3255" w:type="dxa"/>
            <w:gridSpan w:val="5"/>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复议后起诉</w:t>
            </w:r>
          </w:p>
        </w:tc>
      </w:tr>
      <w:tr>
        <w:tc>
          <w:tcPr>
            <w:tcW w:w="649" w:type="dxa"/>
            <w:vMerge/>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tc>
        <w:tc>
          <w:tcPr>
            <w:tcW w:w="649" w:type="dxa"/>
            <w:vMerge/>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tc>
        <w:tc>
          <w:tcPr>
            <w:tcW w:w="649" w:type="dxa"/>
            <w:vMerge/>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tc>
        <w:tc>
          <w:tcPr>
            <w:tcW w:w="649" w:type="dxa"/>
            <w:vMerge/>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tc>
        <w:tc>
          <w:tcPr>
            <w:tcW w:w="649" w:type="dxa"/>
            <w:vMerge/>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维持</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纠正</w:t>
            </w:r>
          </w:p>
        </w:tc>
        <w:tc>
          <w:tcPr>
            <w:tcW w:w="650"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其他</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tc>
        <w:tc>
          <w:tcPr>
            <w:tcW w:w="650"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尚未</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审结</w:t>
            </w:r>
          </w:p>
        </w:tc>
        <w:tc>
          <w:tcPr>
            <w:tcW w:w="650"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总计</w:t>
            </w:r>
          </w:p>
        </w:tc>
        <w:tc>
          <w:tcPr>
            <w:tcW w:w="651"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维持</w:t>
            </w:r>
          </w:p>
        </w:tc>
        <w:tc>
          <w:tcPr>
            <w:tcW w:w="651"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纠正</w:t>
            </w:r>
          </w:p>
        </w:tc>
        <w:tc>
          <w:tcPr>
            <w:tcW w:w="651"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其他</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结果</w:t>
            </w:r>
          </w:p>
        </w:tc>
        <w:tc>
          <w:tcPr>
            <w:tcW w:w="651"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尚未</w:t>
            </w:r>
          </w:p>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审结</w:t>
            </w:r>
          </w:p>
        </w:tc>
        <w:tc>
          <w:tcPr>
            <w:tcW w:w="651" w:type="dxa"/>
            <w:tcBorders>
              <w:top w:val="single" w:sz="8" w:space="0" w:color="auto"/>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both"/>
              <w:rPr>
                <w:rFonts w:ascii="Calibri" w:cs="Calibri" w:hAnsi="Calibri"/>
                <w:b w:val="0"/>
                <w:bCs w:val="0"/>
                <w:sz w:val="21"/>
                <w:szCs w:val="21"/>
              </w:rPr>
            </w:pPr>
            <w:r>
              <w:rPr>
                <w:rFonts w:ascii="宋体" w:eastAsia="宋体" w:cs="宋体" w:hint="eastAsia"/>
                <w:b w:val="0"/>
                <w:bCs w:val="0"/>
                <w:caps w:val="0"/>
                <w:smallCaps w:val="0"/>
                <w:color w:val="auto"/>
                <w:kern w:val="0"/>
                <w:sz w:val="21"/>
                <w:szCs w:val="21"/>
                <w:vertAlign w:val="baseline"/>
                <w:lang w:val="en-US" w:eastAsia="zh-CN" w:bidi="ar-SA"/>
              </w:rPr>
              <w:t>总计</w:t>
            </w:r>
          </w:p>
        </w:tc>
      </w:tr>
      <w:tr>
        <w:trPr>
          <w:trHeight w:val="672"/>
        </w:trPr>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49"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0"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0"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0"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1"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1"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1"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1"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c>
          <w:tcPr>
            <w:tcW w:w="651" w:type="dxa"/>
            <w:tcBorders>
              <w:top w:val="nil"/>
              <w:left w:val="single" w:sz="8" w:space="0" w:color="auto"/>
              <w:bottom w:val="single" w:sz="8" w:space="0" w:color="auto"/>
              <w:right w:val="single" w:sz="8" w:space="0" w:color="auto"/>
              <w:tl2br w:val="nil"/>
              <w:tr2bl w:val="nil"/>
            </w:tcBorders>
            <w:noWrap/>
            <w:tcMar>
              <w:left w:w="108"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jc w:val="center"/>
              <w:rPr>
                <w:rFonts w:ascii="Calibri" w:cs="Calibri" w:hAnsi="Calibri"/>
                <w:b w:val="0"/>
                <w:bCs w:val="0"/>
                <w:sz w:val="21"/>
                <w:szCs w:val="21"/>
              </w:rPr>
            </w:pPr>
            <w:r>
              <w:rPr>
                <w:rFonts w:ascii="Calibri" w:eastAsia="宋体" w:cs="Calibri" w:hAnsi="Calibri"/>
                <w:b w:val="0"/>
                <w:bCs w:val="0"/>
                <w:caps w:val="0"/>
                <w:smallCaps w:val="0"/>
                <w:color w:val="auto"/>
                <w:kern w:val="0"/>
                <w:sz w:val="21"/>
                <w:szCs w:val="21"/>
                <w:vertAlign w:val="baseline"/>
                <w:lang w:val="en-US" w:eastAsia="zh-CN" w:bidi="ar-SA"/>
              </w:rPr>
              <w:t>0</w:t>
            </w:r>
          </w:p>
        </w:tc>
      </w:tr>
      <w:tr>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49"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0"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0"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0"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1"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1"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1"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1"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c>
          <w:tcPr>
            <w:tcW w:w="651" w:type="dxa"/>
            <w:tcBorders>
              <w:top w:val="nil"/>
              <w:left w:val="nil"/>
              <w:bottom w:val="nil"/>
              <w:right w:val="nil"/>
              <w:tl2br w:val="nil"/>
              <w:tr2bl w:val="nil"/>
            </w:tcBorders>
            <w:vAlign w:val="center"/>
          </w:tcPr>
          <w:p>
            <w:pPr>
              <w:keepNext w:val="0"/>
              <w:keepLines w:val="0"/>
              <w:widowControl/>
              <w:suppressLineNumbers w:val="0"/>
              <w:spacing w:before="0" w:beforeAutospacing="0" w:after="0" w:afterAutospacing="0"/>
              <w:ind w:left="0" w:right="0"/>
              <w:jc w:val="left"/>
            </w:pPr>
          </w:p>
        </w:tc>
      </w:tr>
    </w:tbl>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五、存在的主要问题及改进情况</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pPr>
      <w:r>
        <w:rPr>
          <w:rFonts w:ascii="仿宋_GB2312" w:eastAsia="仿宋_GB2312" w:cs="仿宋_GB2312"/>
          <w:i w:val="0"/>
          <w:iCs w:val="0"/>
          <w:caps w:val="0"/>
          <w:smallCaps w:val="0"/>
          <w:color w:val="auto"/>
          <w:spacing w:val="0"/>
          <w:kern w:val="0"/>
          <w:sz w:val="32"/>
          <w:szCs w:val="32"/>
          <w:shd w:val="clear" w:color="auto" w:fill="FFFFFF"/>
          <w:vertAlign w:val="baseline"/>
          <w:lang w:val="en-US" w:eastAsia="zh-CN" w:bidi="ar-SA"/>
        </w:rPr>
        <w:t>在政务公开工作推进过程中，仍存在两方面较为突出的问题。其一为信息更新时效滞后，部分政务信息未能随政府工作最新动态与决策部署的调整同步更新，导致公众无法及时掌握相关情况，知情权与参与权受到影响。其二是公开内容深度不足，部分公开信息多为表层内容罗列，缺乏配套的深度分析与解读，难以帮助公众准确把握政府工作的核心要义与决策初衷。</w:t>
      </w:r>
      <w:r>
        <w:rPr>
          <w:rFonts w:ascii="仿宋_GB2312" w:eastAsia="仿宋_GB2312" w:cs="仿宋_GB2312"/>
          <w:i w:val="0"/>
          <w:iCs w:val="0"/>
          <w:caps w:val="0"/>
          <w:smallCaps w:val="0"/>
          <w:color w:val="auto"/>
          <w:spacing w:val="0"/>
          <w:kern w:val="0"/>
          <w:sz w:val="32"/>
          <w:szCs w:val="32"/>
          <w:shd w:val="clear" w:color="auto" w:fill="FFFFFF"/>
          <w:vertAlign w:val="baseline"/>
          <w:lang w:val="en-US" w:eastAsia="zh-CN" w:bidi="ar-SA"/>
        </w:rPr>
        <w:t></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pPr>
      <w:r>
        <w:rPr>
          <w:rFonts w:ascii="仿宋_GB2312" w:eastAsia="仿宋_GB2312" w:cs="仿宋_GB2312"/>
          <w:i w:val="0"/>
          <w:iCs w:val="0"/>
          <w:caps w:val="0"/>
          <w:smallCaps w:val="0"/>
          <w:color w:val="auto"/>
          <w:spacing w:val="0"/>
          <w:kern w:val="0"/>
          <w:sz w:val="32"/>
          <w:szCs w:val="32"/>
          <w:shd w:val="clear" w:color="auto" w:fill="FFFFFF"/>
          <w:vertAlign w:val="baseline"/>
          <w:lang w:val="en-US" w:eastAsia="zh-CN" w:bidi="ar-SA"/>
        </w:rPr>
        <w:t>针对上述问题，我们重点从两个维度推进改进提升工作。一方面，持续强化主动公开力度，严格落实信息更新机制，以标准化、规范化建设为抓手，确保政务信息发布及时、准确。同时聚焦群众和网民的实际信息需求，创新公开载体与形式，增强信息发布的针对性和传播力，尤其加大对民生关切、社会关注度高的领域的信息公开力度。另一方面，着力提升政策解读质效，通过增加解读频次、拓展解读渠道，综合运用图文解读、视频解读等多种形式，对政策出台的背景、制定依据和目标导向进行全方位、深层次阐释，切实提升公众对政策的理解度和认同度。</w:t>
      </w:r>
      <w:r>
        <w:rPr>
          <w:rFonts w:ascii="Calibri" w:cs="Calibri" w:hAnsi="Calibri"/>
          <w:i w:val="0"/>
          <w:iCs w:val="0"/>
          <w:caps w:val="0"/>
          <w:smallCaps w:val="0"/>
          <w:color w:val="333333"/>
          <w:spacing w:val="0"/>
          <w:sz w:val="21"/>
          <w:szCs w:val="21"/>
        </w:rPr>
        <w:t></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黑体" w:eastAsia="黑体" w:cs="黑体"/>
          <w:i w:val="0"/>
          <w:iCs w:val="0"/>
          <w:caps w:val="0"/>
          <w:smallCaps w:val="0"/>
          <w:color w:val="333333"/>
          <w:spacing w:val="0"/>
          <w:kern w:val="0"/>
          <w:sz w:val="32"/>
          <w:szCs w:val="32"/>
          <w:shd w:val="clear" w:color="auto" w:fill="FFFFFF"/>
          <w:lang w:val="en-US" w:eastAsia="zh-CN" w:bidi="ar-SA"/>
        </w:rPr>
        <w:t>六、</w:t>
      </w:r>
      <w:r>
        <w:rPr>
          <w:rFonts w:ascii="黑体" w:eastAsia="黑体" w:cs="黑体"/>
          <w:i w:val="0"/>
          <w:iCs w:val="0"/>
          <w:caps w:val="0"/>
          <w:smallCaps w:val="0"/>
          <w:color w:val="auto"/>
          <w:spacing w:val="0"/>
          <w:kern w:val="0"/>
          <w:sz w:val="32"/>
          <w:szCs w:val="32"/>
          <w:shd w:val="clear" w:color="auto" w:fill="FFFFFF"/>
          <w:vertAlign w:val="baseline"/>
          <w:lang w:val="en-US" w:eastAsia="zh-CN" w:bidi="ar-SA"/>
        </w:rPr>
        <w:t>其他需要报告的事项</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wordWrap/>
        <w:bidi w:val="0"/>
        <w:spacing w:before="0" w:beforeAutospacing="0" w:after="0" w:afterAutospacing="0" w:line="240" w:lineRule="auto"/>
        <w:ind w:left="0" w:right="0" w:firstLine="640"/>
        <w:jc w:val="both"/>
        <w:rPr>
          <w:rFonts w:ascii="Calibri" w:cs="Calibri" w:hAnsi="Calibri"/>
          <w:i w:val="0"/>
          <w:iCs w:val="0"/>
          <w:caps w:val="0"/>
          <w:smallCaps w:val="0"/>
          <w:color w:val="333333"/>
          <w:spacing w:val="0"/>
          <w:sz w:val="21"/>
          <w:szCs w:val="21"/>
        </w:rPr>
      </w:pPr>
      <w:r>
        <w:rPr>
          <w:rFonts w:ascii="仿宋_GB2312" w:eastAsia="仿宋_GB2312" w:cs="仿宋_GB2312" w:hint="eastAsia"/>
          <w:i w:val="0"/>
          <w:iCs w:val="0"/>
          <w:caps w:val="0"/>
          <w:smallCaps w:val="0"/>
          <w:color w:val="auto"/>
          <w:spacing w:val="0"/>
          <w:kern w:val="0"/>
          <w:sz w:val="32"/>
          <w:szCs w:val="32"/>
          <w:shd w:val="clear" w:color="auto" w:fill="FFFFFF"/>
          <w:vertAlign w:val="baseline"/>
          <w:lang w:val="en-US" w:eastAsia="zh-CN" w:bidi="ar-SA"/>
        </w:rPr>
        <w:t>按照《国务院办公厅关于印发〈政府信息公开信息处理费管理办法〉的通知》（国办函〔2020〕109号）规定的按件、按量收费标准，本年度没有产生信息公开处理费。</w:t>
      </w:r>
    </w:p>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0000000000000000000"/>
    <w:charset w:val="00"/>
    <w:family w:val="auto"/>
    <w:pitch w:val="variable"/>
    <w:sig w:usb0="00000000" w:usb1="00000000" w:usb2="00000000"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仿宋_GB2312">
    <w:panose1 w:val="02010609030101010101"/>
    <w:charset w:val="86"/>
    <w:family w:val="auto"/>
    <w:pitch w:val="variable"/>
    <w:sig w:usb0="00000001" w:usb1="080E0000" w:usb2="00000000" w:usb3="00000000" w:csb0="00040000" w:csb1="00000000"/>
  </w:font>
  <w:font w:name="宋体">
    <w:altName w:val="方正书宋_GBK"/>
    <w:panose1 w:val="00000000000000000000"/>
    <w:charset w:val="86"/>
    <w:family w:val="auto"/>
    <w:pitch w:val="variable"/>
    <w:sig w:usb0="00000000" w:usb1="00000000" w:usb2="00000000" w:usb3="00000000" w:csb0="00000000" w:csb1="00000000"/>
  </w:font>
  <w:font w:name="仿宋">
    <w:altName w:val="方正仿宋_GBK"/>
    <w:panose1 w:val="00000000000000000000"/>
    <w:charset w:val="00"/>
    <w:family w:val="auto"/>
    <w:pitch w:val="variable"/>
    <w:sig w:usb0="00000000" w:usb1="00000000" w:usb2="00000000" w:usb3="00000000" w:csb0="00040001" w:csb1="00000000"/>
  </w:font>
  <w:font w:name="Times New Roman">
    <w:altName w:val="DejaVu Sans"/>
    <w:panose1 w:val="020206030504050203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character" w:default="1" w:styleId="10">
    <w:name w:val="Default Paragraph Font"/>
  </w:style>
  <w:style w:type="paragraph" w:styleId="15">
    <w:name w:val="Normal (Web)"/>
    <w:basedOn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14132344</TotalTime>
  <Application>Yozo_Office</Application>
  <Pages>5</Pages>
  <Words>2120</Words>
  <Characters>2158</Characters>
  <Lines>406</Lines>
  <Paragraphs>310</Paragraphs>
  <CharactersWithSpaces>2160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ft</cp:lastModifiedBy>
  <cp:revision>0</cp:revision>
  <dcterms:created xsi:type="dcterms:W3CDTF">2026-01-06T18:49:00Z</dcterms:created>
  <dcterms:modified xsi:type="dcterms:W3CDTF">2026-01-07T08:26:30Z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2052-12.8.2.1119</vt:lpwstr>
  </property>
</Properties>
</file>