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中方县</w:t>
      </w:r>
      <w:r>
        <w:rPr>
          <w:rFonts w:hint="eastAsia" w:ascii="方正小标宋简体" w:hAnsi="方正小标宋简体" w:eastAsia="方正小标宋简体" w:cs="方正小标宋简体"/>
          <w:bCs/>
          <w:sz w:val="44"/>
          <w:szCs w:val="44"/>
          <w:lang w:val="en-US" w:eastAsia="zh-CN"/>
        </w:rPr>
        <w:t>铜湾镇2022</w:t>
      </w:r>
      <w:r>
        <w:rPr>
          <w:rFonts w:hint="eastAsia" w:ascii="方正小标宋简体" w:hAnsi="方正小标宋简体" w:eastAsia="方正小标宋简体" w:cs="方正小标宋简体"/>
          <w:bCs/>
          <w:sz w:val="44"/>
          <w:szCs w:val="44"/>
        </w:rPr>
        <w:t>年度</w:t>
      </w:r>
      <w:r>
        <w:rPr>
          <w:rFonts w:hint="eastAsia" w:ascii="方正小标宋简体" w:hAnsi="方正小标宋简体" w:eastAsia="方正小标宋简体" w:cs="方正小标宋简体"/>
          <w:bCs/>
          <w:sz w:val="44"/>
          <w:szCs w:val="44"/>
          <w:lang w:val="en-US" w:eastAsia="zh-CN"/>
        </w:rPr>
        <w:t>基础设施建设</w:t>
      </w:r>
      <w:r>
        <w:rPr>
          <w:rFonts w:hint="eastAsia" w:ascii="方正小标宋简体" w:hAnsi="方正小标宋简体" w:eastAsia="方正小标宋简体" w:cs="方正小标宋简体"/>
          <w:bCs/>
          <w:sz w:val="44"/>
          <w:szCs w:val="44"/>
        </w:rPr>
        <w:t>项目支出绩效自评报告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（一）项目概况</w:t>
      </w:r>
      <w:r>
        <w:rPr>
          <w:rFonts w:hint="eastAsia" w:ascii="仿宋" w:hAnsi="仿宋" w:eastAsia="仿宋" w:cs="仿宋"/>
          <w:sz w:val="32"/>
          <w:szCs w:val="32"/>
          <w:lang w:eastAsia="zh-CN"/>
        </w:rPr>
        <w:t>：湘财政法指【2021】46号：下达2021年部分市县政法单位补助经费（铜湾镇基层政法设施维修经费）</w:t>
      </w:r>
      <w:r>
        <w:rPr>
          <w:rFonts w:hint="eastAsia" w:ascii="仿宋" w:hAnsi="仿宋" w:eastAsia="仿宋" w:cs="仿宋"/>
          <w:sz w:val="32"/>
          <w:szCs w:val="32"/>
          <w:lang w:val="en-US" w:eastAsia="zh-CN"/>
        </w:rPr>
        <w:t>6万元，怀财预基【2021】7号：下达2021年度财政专项资金（铜湾镇背街小巷路面维修）2万元，怀财行指［2021］16号：下达2021年部分单位专项经费（铜湾镇政府办公设施升级改造经费）2万元，怀财库指【2020】4号：关于下达财源建设资金（千山生态渔业合作社水坝维修）2万元，怀财预指【2021】38号：下达2021年度财政专项资金（铜湾镇运转宿舍楼维修）2万元已全部</w:t>
      </w:r>
      <w:r>
        <w:rPr>
          <w:rFonts w:hint="eastAsia" w:ascii="仿宋" w:hAnsi="仿宋" w:eastAsia="仿宋" w:cs="仿宋"/>
          <w:sz w:val="32"/>
          <w:szCs w:val="32"/>
        </w:rPr>
        <w:t>投入使用。</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确保人民群众安全出行，项目建设已全部完成</w:t>
      </w:r>
      <w:r>
        <w:rPr>
          <w:rFonts w:hint="eastAsia" w:ascii="仿宋" w:hAnsi="仿宋" w:eastAsia="仿宋" w:cs="仿宋"/>
          <w:sz w:val="32"/>
          <w:szCs w:val="32"/>
        </w:rPr>
        <w:t>。</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（一）绩效评价目的、对象和范围。</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202</w:t>
      </w:r>
      <w:r>
        <w:rPr>
          <w:rFonts w:hint="eastAsia" w:ascii="黑体" w:hAnsi="黑体" w:eastAsia="黑体" w:cs="黑体"/>
          <w:sz w:val="32"/>
          <w:szCs w:val="32"/>
          <w:lang w:val="en-US" w:eastAsia="zh-CN"/>
        </w:rPr>
        <w:t>2</w:t>
      </w:r>
      <w:r>
        <w:rPr>
          <w:rFonts w:hint="eastAsia" w:ascii="黑体" w:hAnsi="黑体" w:eastAsia="黑体" w:cs="黑体"/>
          <w:sz w:val="32"/>
          <w:szCs w:val="32"/>
        </w:rPr>
        <w:t>度对铜湾镇</w:t>
      </w:r>
      <w:r>
        <w:rPr>
          <w:rFonts w:hint="eastAsia" w:ascii="黑体" w:hAnsi="黑体" w:eastAsia="黑体" w:cs="黑体"/>
          <w:sz w:val="32"/>
          <w:szCs w:val="32"/>
          <w:lang w:eastAsia="zh-CN"/>
        </w:rPr>
        <w:t>基础设施建设项目</w:t>
      </w:r>
      <w:r>
        <w:rPr>
          <w:rFonts w:hint="eastAsia" w:ascii="黑体" w:hAnsi="黑体" w:eastAsia="黑体" w:cs="黑体"/>
          <w:sz w:val="32"/>
          <w:szCs w:val="32"/>
        </w:rPr>
        <w:t>实行全方位、全过程、全覆盖的预算绩效管理体系。财政资金绩效价是预算管理的重要环节，也是当前审计的前置环节。</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 xml:space="preserve">通过对项目管理制度和流程、资金使用情况、受益群体的反馈情况，从而强化项目监督，完善项目管理，提高项目资金使用效益和支出透明度，对存在的问题进行原因分析并提出合理化建议。建立健全财务管理制度和约束机制，依法、有效的使用财政资金，为以后年度项目安排及资金管理提供重要依据。 </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（二）绩效评价原则、评价指标体系（附表说明）、评价方法、评价标准等。</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1、部门整体支出绩效评价原则：遵循客观公正，操作简便高效，尊重客观实际、实事求是的原则。</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2、整体支出绩效评价体系：指标体系包括共性指标和个性指标两部分，本次主要参照了财政部门制定《部门整体支出绩效评价指标体系》的相关内容，根据部门具体情况对个性指标进行里调整细化。</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3、整体支出绩效评价方法：主要采用投入产出效益分析法、比较法等方法。</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（三）绩效评价工作过程。</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收集项目资料，在收集和审核项目资料的基础上，制定了绩效评价指标体系，并进一步修改和完善，最后根据评价标准和资料依据，进行了分析，得出评价结论。</w:t>
      </w:r>
    </w:p>
    <w:p>
      <w:pPr>
        <w:numPr>
          <w:ilvl w:val="0"/>
          <w:numId w:val="1"/>
        </w:num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综合评价情况及评价结论（附相关评分表）</w:t>
      </w:r>
    </w:p>
    <w:p>
      <w:pPr>
        <w:numPr>
          <w:ilvl w:val="0"/>
          <w:numId w:val="0"/>
        </w:numPr>
        <w:spacing w:after="0" w:line="600" w:lineRule="exact"/>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根据《项目支出绩效评价共性指标表》得分9</w:t>
      </w:r>
      <w:r>
        <w:rPr>
          <w:rFonts w:hint="eastAsia" w:ascii="黑体" w:hAnsi="黑体" w:eastAsia="黑体" w:cs="黑体"/>
          <w:sz w:val="32"/>
          <w:szCs w:val="32"/>
          <w:lang w:val="en-US" w:eastAsia="zh-CN"/>
        </w:rPr>
        <w:t>8</w:t>
      </w:r>
      <w:r>
        <w:rPr>
          <w:rFonts w:hint="eastAsia" w:ascii="黑体" w:hAnsi="黑体" w:eastAsia="黑体" w:cs="黑体"/>
          <w:sz w:val="32"/>
          <w:szCs w:val="32"/>
        </w:rPr>
        <w:t>分，绩效价评等级为优。</w:t>
      </w:r>
    </w:p>
    <w:p>
      <w:pPr>
        <w:numPr>
          <w:ilvl w:val="0"/>
          <w:numId w:val="1"/>
        </w:num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绩效评价指标分析</w:t>
      </w:r>
    </w:p>
    <w:p>
      <w:pPr>
        <w:numPr>
          <w:ilvl w:val="0"/>
          <w:numId w:val="0"/>
        </w:numPr>
        <w:spacing w:after="0" w:line="600" w:lineRule="exact"/>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（一）项目决策情况。</w:t>
      </w:r>
    </w:p>
    <w:p>
      <w:pPr>
        <w:numPr>
          <w:ilvl w:val="0"/>
          <w:numId w:val="0"/>
        </w:numPr>
        <w:spacing w:after="0" w:line="600" w:lineRule="exact"/>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对铜湾镇</w:t>
      </w:r>
      <w:r>
        <w:rPr>
          <w:rFonts w:hint="eastAsia" w:ascii="黑体" w:hAnsi="黑体" w:eastAsia="黑体" w:cs="黑体"/>
          <w:sz w:val="32"/>
          <w:szCs w:val="32"/>
          <w:lang w:eastAsia="zh-CN"/>
        </w:rPr>
        <w:t>基础设施建设项目</w:t>
      </w:r>
      <w:r>
        <w:rPr>
          <w:rFonts w:hint="eastAsia" w:ascii="黑体" w:hAnsi="黑体" w:eastAsia="黑体" w:cs="黑体"/>
          <w:sz w:val="32"/>
          <w:szCs w:val="32"/>
        </w:rPr>
        <w:t>实施保护与监督管理。</w:t>
      </w:r>
    </w:p>
    <w:p>
      <w:pPr>
        <w:numPr>
          <w:ilvl w:val="0"/>
          <w:numId w:val="0"/>
        </w:numPr>
        <w:spacing w:after="0" w:line="600" w:lineRule="exact"/>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（二）项目过程情况。</w:t>
      </w:r>
    </w:p>
    <w:p>
      <w:pPr>
        <w:numPr>
          <w:ilvl w:val="0"/>
          <w:numId w:val="0"/>
        </w:numPr>
        <w:spacing w:after="0" w:line="600" w:lineRule="exact"/>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主要体现项目按期完成时间业务管理、财务管理和会计信息管理几个面方。重点考核管理制度建立情况、过程监管情况。如管理制度健全性、制度执行有效性、项目质量可控性；资金使用合规性、项目资金安全性；会计信息能否全面范性和完整性。</w:t>
      </w:r>
    </w:p>
    <w:p>
      <w:pPr>
        <w:numPr>
          <w:ilvl w:val="0"/>
          <w:numId w:val="0"/>
        </w:numPr>
        <w:spacing w:after="0" w:line="600" w:lineRule="exact"/>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（三）项目产出情况。</w:t>
      </w:r>
    </w:p>
    <w:p>
      <w:pPr>
        <w:numPr>
          <w:ilvl w:val="0"/>
          <w:numId w:val="0"/>
        </w:numPr>
        <w:spacing w:after="0" w:line="600" w:lineRule="exact"/>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主要体现项目实施过程产出数量、评审项目按实际实施项目为准，做好项目前期预算、按实际完成。截止202</w:t>
      </w:r>
      <w:r>
        <w:rPr>
          <w:rFonts w:hint="eastAsia" w:ascii="黑体" w:hAnsi="黑体" w:eastAsia="黑体" w:cs="黑体"/>
          <w:sz w:val="32"/>
          <w:szCs w:val="32"/>
          <w:lang w:val="en-US" w:eastAsia="zh-CN"/>
        </w:rPr>
        <w:t>2</w:t>
      </w:r>
      <w:r>
        <w:rPr>
          <w:rFonts w:hint="eastAsia" w:ascii="黑体" w:hAnsi="黑体" w:eastAsia="黑体" w:cs="黑体"/>
          <w:sz w:val="32"/>
          <w:szCs w:val="32"/>
        </w:rPr>
        <w:t>年12月，</w:t>
      </w:r>
      <w:r>
        <w:rPr>
          <w:rFonts w:hint="eastAsia" w:ascii="黑体" w:hAnsi="黑体" w:eastAsia="黑体" w:cs="黑体"/>
          <w:sz w:val="32"/>
          <w:szCs w:val="32"/>
          <w:lang w:eastAsia="zh-CN"/>
        </w:rPr>
        <w:t>基层政法设施维修</w:t>
      </w:r>
      <w:r>
        <w:rPr>
          <w:rFonts w:hint="eastAsia" w:ascii="黑体" w:hAnsi="黑体" w:eastAsia="黑体" w:cs="黑体"/>
          <w:sz w:val="32"/>
          <w:szCs w:val="32"/>
        </w:rPr>
        <w:t>经费</w:t>
      </w:r>
      <w:r>
        <w:rPr>
          <w:rFonts w:hint="eastAsia" w:ascii="黑体" w:hAnsi="黑体" w:eastAsia="黑体" w:cs="黑体"/>
          <w:sz w:val="32"/>
          <w:szCs w:val="32"/>
          <w:lang w:val="en-US" w:eastAsia="zh-CN"/>
        </w:rPr>
        <w:t>6</w:t>
      </w:r>
      <w:r>
        <w:rPr>
          <w:rFonts w:hint="eastAsia" w:ascii="黑体" w:hAnsi="黑体" w:eastAsia="黑体" w:cs="黑体"/>
          <w:sz w:val="32"/>
          <w:szCs w:val="32"/>
        </w:rPr>
        <w:t>万元，支付率为100%。</w:t>
      </w:r>
      <w:r>
        <w:rPr>
          <w:rFonts w:hint="eastAsia" w:ascii="黑体" w:hAnsi="黑体" w:eastAsia="黑体" w:cs="黑体"/>
          <w:sz w:val="32"/>
          <w:szCs w:val="32"/>
          <w:lang w:eastAsia="zh-CN"/>
        </w:rPr>
        <w:t>背街小巷路面维修经费</w:t>
      </w:r>
      <w:r>
        <w:rPr>
          <w:rFonts w:hint="eastAsia" w:ascii="黑体" w:hAnsi="黑体" w:eastAsia="黑体" w:cs="黑体"/>
          <w:sz w:val="32"/>
          <w:szCs w:val="32"/>
          <w:lang w:val="en-US" w:eastAsia="zh-CN"/>
        </w:rPr>
        <w:t>2</w:t>
      </w:r>
      <w:r>
        <w:rPr>
          <w:rFonts w:hint="eastAsia" w:ascii="黑体" w:hAnsi="黑体" w:eastAsia="黑体" w:cs="黑体"/>
          <w:sz w:val="32"/>
          <w:szCs w:val="32"/>
        </w:rPr>
        <w:t>万元，支付率为100%。政府办公设施升级改造经费</w:t>
      </w:r>
      <w:r>
        <w:rPr>
          <w:rFonts w:hint="eastAsia" w:ascii="黑体" w:hAnsi="黑体" w:eastAsia="黑体" w:cs="黑体"/>
          <w:sz w:val="32"/>
          <w:szCs w:val="32"/>
          <w:lang w:val="en-US" w:eastAsia="zh-CN"/>
        </w:rPr>
        <w:t>2万元，</w:t>
      </w:r>
      <w:r>
        <w:rPr>
          <w:rFonts w:hint="eastAsia" w:ascii="黑体" w:hAnsi="黑体" w:eastAsia="黑体" w:cs="黑体"/>
          <w:sz w:val="32"/>
          <w:szCs w:val="32"/>
        </w:rPr>
        <w:t>支付率为100%</w:t>
      </w:r>
      <w:r>
        <w:rPr>
          <w:rFonts w:hint="eastAsia" w:ascii="黑体" w:hAnsi="黑体" w:eastAsia="黑体" w:cs="黑体"/>
          <w:sz w:val="32"/>
          <w:szCs w:val="32"/>
          <w:lang w:eastAsia="zh-CN"/>
        </w:rPr>
        <w:t>。千山生态渔业合作社水坝维修费用</w:t>
      </w:r>
      <w:r>
        <w:rPr>
          <w:rFonts w:hint="eastAsia" w:ascii="黑体" w:hAnsi="黑体" w:eastAsia="黑体" w:cs="黑体"/>
          <w:sz w:val="32"/>
          <w:szCs w:val="32"/>
          <w:lang w:val="en-US" w:eastAsia="zh-CN"/>
        </w:rPr>
        <w:t>2万元，</w:t>
      </w:r>
      <w:r>
        <w:rPr>
          <w:rFonts w:hint="eastAsia" w:ascii="黑体" w:hAnsi="黑体" w:eastAsia="黑体" w:cs="黑体"/>
          <w:sz w:val="32"/>
          <w:szCs w:val="32"/>
        </w:rPr>
        <w:t>支付率为100%</w:t>
      </w:r>
      <w:r>
        <w:rPr>
          <w:rFonts w:hint="eastAsia" w:ascii="黑体" w:hAnsi="黑体" w:eastAsia="黑体" w:cs="黑体"/>
          <w:sz w:val="32"/>
          <w:szCs w:val="32"/>
          <w:lang w:eastAsia="zh-CN"/>
        </w:rPr>
        <w:t>。铜湾镇运转宿舍楼维修</w:t>
      </w:r>
      <w:r>
        <w:rPr>
          <w:rFonts w:hint="eastAsia" w:ascii="黑体" w:hAnsi="黑体" w:eastAsia="黑体" w:cs="黑体"/>
          <w:sz w:val="32"/>
          <w:szCs w:val="32"/>
          <w:lang w:val="en-US" w:eastAsia="zh-CN"/>
        </w:rPr>
        <w:t>2万元，</w:t>
      </w:r>
      <w:r>
        <w:rPr>
          <w:rFonts w:hint="eastAsia" w:ascii="黑体" w:hAnsi="黑体" w:eastAsia="黑体" w:cs="黑体"/>
          <w:sz w:val="32"/>
          <w:szCs w:val="32"/>
        </w:rPr>
        <w:t>支付率为100%</w:t>
      </w:r>
      <w:r>
        <w:rPr>
          <w:rFonts w:hint="eastAsia" w:ascii="黑体" w:hAnsi="黑体" w:eastAsia="黑体" w:cs="黑体"/>
          <w:sz w:val="32"/>
          <w:szCs w:val="32"/>
          <w:lang w:eastAsia="zh-CN"/>
        </w:rPr>
        <w:t>。</w:t>
      </w:r>
    </w:p>
    <w:p>
      <w:pPr>
        <w:numPr>
          <w:ilvl w:val="0"/>
          <w:numId w:val="0"/>
        </w:numPr>
        <w:spacing w:after="0" w:line="600" w:lineRule="exact"/>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（四）项目效益情况。</w:t>
      </w:r>
    </w:p>
    <w:p>
      <w:pPr>
        <w:numPr>
          <w:ilvl w:val="0"/>
          <w:numId w:val="0"/>
        </w:numPr>
        <w:spacing w:after="0" w:line="600" w:lineRule="exact"/>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有效</w:t>
      </w:r>
      <w:r>
        <w:rPr>
          <w:rFonts w:hint="eastAsia" w:ascii="黑体" w:hAnsi="黑体" w:eastAsia="黑体" w:cs="黑体"/>
          <w:sz w:val="32"/>
          <w:szCs w:val="32"/>
          <w:lang w:eastAsia="zh-CN"/>
        </w:rPr>
        <w:t>保障了我镇居民的切身利益，</w:t>
      </w:r>
      <w:r>
        <w:rPr>
          <w:rFonts w:hint="eastAsia" w:ascii="黑体" w:hAnsi="黑体" w:eastAsia="黑体" w:cs="黑体"/>
          <w:sz w:val="32"/>
          <w:szCs w:val="32"/>
        </w:rPr>
        <w:t>推进了我镇的经济社会发展，促进了社会的安全平稳。</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spacing w:after="0" w:line="600" w:lineRule="exact"/>
        <w:ind w:firstLine="640" w:firstLineChars="200"/>
        <w:rPr>
          <w:rFonts w:hint="eastAsia" w:asciiTheme="majorEastAsia" w:hAnsiTheme="majorEastAsia" w:eastAsiaTheme="majorEastAsia" w:cstheme="majorEastAsia"/>
          <w:b w:val="0"/>
          <w:bCs w:val="0"/>
          <w:sz w:val="32"/>
          <w:szCs w:val="32"/>
          <w:lang w:val="en-US" w:eastAsia="zh-CN"/>
        </w:rPr>
      </w:pPr>
      <w:r>
        <w:rPr>
          <w:rFonts w:hint="eastAsia" w:asciiTheme="majorEastAsia" w:hAnsiTheme="majorEastAsia" w:eastAsiaTheme="majorEastAsia" w:cstheme="majorEastAsia"/>
          <w:b w:val="0"/>
          <w:bCs w:val="0"/>
          <w:sz w:val="32"/>
          <w:szCs w:val="32"/>
          <w:lang w:val="en-US" w:eastAsia="zh-CN"/>
        </w:rPr>
        <w:t>2022年度我镇有效提升了财政资金的使用效率，完成了年度工作目标，预算执行有效合理，达到预期目标。</w:t>
      </w:r>
    </w:p>
    <w:p>
      <w:pPr>
        <w:spacing w:after="0" w:line="600" w:lineRule="exact"/>
        <w:ind w:firstLine="640" w:firstLineChars="200"/>
        <w:rPr>
          <w:rFonts w:hint="eastAsia" w:ascii="黑体" w:hAnsi="黑体" w:eastAsia="黑体" w:cs="黑体"/>
          <w:sz w:val="32"/>
          <w:szCs w:val="32"/>
        </w:rPr>
      </w:pPr>
      <w:r>
        <w:rPr>
          <w:rFonts w:hint="eastAsia" w:asciiTheme="majorEastAsia" w:hAnsiTheme="majorEastAsia" w:eastAsiaTheme="majorEastAsia" w:cstheme="majorEastAsia"/>
          <w:b w:val="0"/>
          <w:bCs w:val="0"/>
          <w:sz w:val="32"/>
          <w:szCs w:val="32"/>
          <w:lang w:val="en-US" w:eastAsia="zh-CN"/>
        </w:rPr>
        <w:t>存在的问题及原因分析：一是绩效意识需要加强；二是支出绩效有待进一步提高；三是绩效目标设置需要优化。</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七、其他需要说明的事项</w:t>
      </w:r>
    </w:p>
    <w:p>
      <w:pPr>
        <w:spacing w:after="0" w:line="600" w:lineRule="exact"/>
        <w:ind w:firstLine="640" w:firstLineChars="200"/>
        <w:rPr>
          <w:rFonts w:hint="eastAsia" w:ascii="黑体" w:hAnsi="黑体" w:eastAsia="黑体" w:cs="黑体"/>
          <w:sz w:val="32"/>
          <w:szCs w:val="32"/>
        </w:rPr>
      </w:pPr>
    </w:p>
    <w:p>
      <w:pPr>
        <w:spacing w:after="0" w:line="600" w:lineRule="exact"/>
        <w:rPr>
          <w:rFonts w:hint="eastAsia" w:ascii="黑体" w:hAnsi="黑体" w:eastAsia="黑体" w:cs="黑体"/>
          <w:sz w:val="32"/>
          <w:szCs w:val="32"/>
        </w:rPr>
      </w:pPr>
    </w:p>
    <w:p>
      <w:pPr>
        <w:spacing w:after="0" w:line="600" w:lineRule="exact"/>
        <w:rPr>
          <w:rFonts w:hint="eastAsia" w:ascii="黑体" w:hAnsi="黑体" w:eastAsia="黑体" w:cs="黑体"/>
          <w:sz w:val="32"/>
          <w:szCs w:val="32"/>
        </w:rPr>
      </w:pPr>
    </w:p>
    <w:p>
      <w:pPr>
        <w:spacing w:after="0" w:line="600" w:lineRule="exact"/>
        <w:rPr>
          <w:rFonts w:hint="eastAsia" w:ascii="黑体" w:hAnsi="黑体" w:eastAsia="黑体" w:cs="黑体"/>
          <w:sz w:val="32"/>
          <w:szCs w:val="32"/>
        </w:rPr>
      </w:pPr>
    </w:p>
    <w:p>
      <w:pPr>
        <w:spacing w:after="0" w:line="600" w:lineRule="exact"/>
        <w:rPr>
          <w:rFonts w:hint="eastAsia" w:ascii="黑体" w:hAnsi="黑体" w:eastAsia="黑体" w:cs="黑体"/>
          <w:sz w:val="32"/>
          <w:szCs w:val="32"/>
        </w:rPr>
      </w:pPr>
    </w:p>
    <w:tbl>
      <w:tblPr>
        <w:tblStyle w:val="4"/>
        <w:tblW w:w="145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690"/>
        <w:gridCol w:w="1470"/>
        <w:gridCol w:w="1080"/>
        <w:gridCol w:w="1080"/>
        <w:gridCol w:w="1080"/>
        <w:gridCol w:w="1080"/>
        <w:gridCol w:w="1080"/>
        <w:gridCol w:w="585"/>
        <w:gridCol w:w="1575"/>
        <w:gridCol w:w="345"/>
        <w:gridCol w:w="1575"/>
        <w:gridCol w:w="240"/>
        <w:gridCol w:w="1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4535"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default" w:ascii="方正小标宋简体" w:hAnsi="方正小标宋简体" w:eastAsia="方正小标宋简体" w:cs="方正小标宋简体"/>
                <w:i w:val="0"/>
                <w:iCs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535"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127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铜湾镇基础设施建设项目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57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53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项目资金（万元）</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14</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14</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14</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14</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14</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lang w:val="en-US" w:eastAsia="zh-CN"/>
              </w:rPr>
              <w:t>14</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697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保证村级正常运转</w:t>
            </w:r>
          </w:p>
        </w:tc>
        <w:tc>
          <w:tcPr>
            <w:tcW w:w="697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w:t>
            </w: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216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21035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21035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日常办公费用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18"/>
                <w:szCs w:val="18"/>
                <w:u w:val="none"/>
                <w:lang w:val="en-US" w:eastAsia="zh-CN" w:bidi="ar"/>
              </w:rPr>
              <w:t>90%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1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spacing w:after="0" w:line="600" w:lineRule="exact"/>
        <w:ind w:firstLine="640" w:firstLineChars="200"/>
        <w:rPr>
          <w:rFonts w:hint="eastAsia" w:ascii="黑体" w:hAnsi="黑体" w:eastAsia="黑体" w:cs="黑体"/>
          <w:sz w:val="32"/>
          <w:szCs w:val="32"/>
        </w:rPr>
      </w:pPr>
    </w:p>
    <w:p>
      <w:pPr>
        <w:spacing w:after="0" w:line="600" w:lineRule="exact"/>
        <w:ind w:firstLine="640" w:firstLineChars="200"/>
        <w:rPr>
          <w:rFonts w:hint="eastAsia" w:ascii="黑体" w:hAnsi="黑体" w:eastAsia="黑体" w:cs="黑体"/>
          <w:sz w:val="32"/>
          <w:szCs w:val="32"/>
        </w:rPr>
      </w:pPr>
    </w:p>
    <w:p>
      <w:pPr>
        <w:spacing w:after="0" w:line="600" w:lineRule="exact"/>
        <w:ind w:firstLine="640" w:firstLineChars="200"/>
        <w:rPr>
          <w:rFonts w:hint="eastAsia" w:ascii="黑体" w:hAnsi="黑体" w:eastAsia="黑体" w:cs="黑体"/>
          <w:sz w:val="32"/>
          <w:szCs w:val="32"/>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val="en-US" w:eastAsia="zh-CN"/>
        </w:rPr>
        <w:t>铜湾镇基础设施建设</w:t>
      </w: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rPr>
                <w:rFonts w:hint="eastAsia" w:ascii="宋体" w:hAnsi="宋体" w:eastAsia="宋体" w:cs="宋体"/>
                <w:color w:val="000000"/>
              </w:rPr>
            </w:pPr>
          </w:p>
        </w:tc>
        <w:tc>
          <w:tcPr>
            <w:tcW w:w="1373" w:type="dxa"/>
            <w:shd w:val="clear" w:color="000000" w:fill="FFFFFF"/>
            <w:vAlign w:val="center"/>
          </w:tcPr>
          <w:p>
            <w:pPr>
              <w:spacing w:after="0" w:line="0" w:lineRule="atLeast"/>
              <w:rPr>
                <w:rFonts w:hint="default" w:ascii="宋体" w:hAnsi="宋体" w:eastAsia="宋体" w:cs="宋体"/>
                <w:color w:val="000000"/>
                <w:lang w:val="en-US" w:eastAsia="zh-CN"/>
              </w:rPr>
            </w:pPr>
            <w:r>
              <w:rPr>
                <w:rFonts w:hint="eastAsia" w:ascii="宋体" w:hAnsi="宋体" w:eastAsia="宋体" w:cs="宋体"/>
                <w:color w:val="000000"/>
                <w:lang w:val="en-US" w:eastAsia="zh-CN"/>
              </w:rPr>
              <w:t>91</w:t>
            </w:r>
          </w:p>
        </w:tc>
      </w:tr>
    </w:tbl>
    <w:p>
      <w:pPr>
        <w:rPr>
          <w:rFonts w:hint="eastAsia" w:ascii="黑体" w:hAnsi="黑体" w:eastAsia="黑体" w:cs="黑体"/>
          <w:sz w:val="32"/>
          <w:szCs w:val="32"/>
        </w:rPr>
        <w:sectPr>
          <w:footerReference r:id="rId4" w:type="default"/>
          <w:pgSz w:w="16838" w:h="11906" w:orient="landscape"/>
          <w:pgMar w:top="1587" w:right="1587" w:bottom="1587" w:left="1587" w:header="708" w:footer="709" w:gutter="0"/>
          <w:cols w:space="0" w:num="1"/>
          <w:docGrid w:linePitch="360" w:charSpace="0"/>
        </w:sectPr>
      </w:pPr>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B755C8"/>
    <w:multiLevelType w:val="singleLevel"/>
    <w:tmpl w:val="64B755C8"/>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66121"/>
    <w:rsid w:val="00091BC8"/>
    <w:rsid w:val="001500F1"/>
    <w:rsid w:val="00163425"/>
    <w:rsid w:val="001A6DB8"/>
    <w:rsid w:val="00323B43"/>
    <w:rsid w:val="00360D9A"/>
    <w:rsid w:val="00363518"/>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10DF0599"/>
    <w:rsid w:val="12E71B09"/>
    <w:rsid w:val="13DA09E1"/>
    <w:rsid w:val="1B40519D"/>
    <w:rsid w:val="1EDC5E47"/>
    <w:rsid w:val="25DC5E46"/>
    <w:rsid w:val="26C422AA"/>
    <w:rsid w:val="27AE11E3"/>
    <w:rsid w:val="2CE5674F"/>
    <w:rsid w:val="2EEE2BF6"/>
    <w:rsid w:val="2F793A1F"/>
    <w:rsid w:val="310316CF"/>
    <w:rsid w:val="310B19E4"/>
    <w:rsid w:val="347D780A"/>
    <w:rsid w:val="34CD18B6"/>
    <w:rsid w:val="361061D9"/>
    <w:rsid w:val="36A5213D"/>
    <w:rsid w:val="3A134870"/>
    <w:rsid w:val="414C4C6E"/>
    <w:rsid w:val="510161A8"/>
    <w:rsid w:val="51713C0E"/>
    <w:rsid w:val="55397EB4"/>
    <w:rsid w:val="5B913FF5"/>
    <w:rsid w:val="5D494145"/>
    <w:rsid w:val="5EBB2DEA"/>
    <w:rsid w:val="60077599"/>
    <w:rsid w:val="61524309"/>
    <w:rsid w:val="61D57E6A"/>
    <w:rsid w:val="6386514C"/>
    <w:rsid w:val="6B427B3E"/>
    <w:rsid w:val="6FF62842"/>
    <w:rsid w:val="78F662D3"/>
    <w:rsid w:val="7D726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4101</Words>
  <Characters>4238</Characters>
  <Lines>2</Lines>
  <Paragraphs>1</Paragraphs>
  <TotalTime>3</TotalTime>
  <ScaleCrop>false</ScaleCrop>
  <LinksUpToDate>false</LinksUpToDate>
  <CharactersWithSpaces>4291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cp:lastPrinted>2023-07-26T02:31:04Z</cp:lastPrinted>
  <dcterms:modified xsi:type="dcterms:W3CDTF">2023-07-26T02:31:40Z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D62DC58BFBEA41D097924383042F5CFB</vt:lpwstr>
  </property>
</Properties>
</file>