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rFonts w:ascii="Times New Roman" w:hAnsi="Times New Roman" w:eastAsia="仿宋_GB2312"/>
          <w:bCs/>
          <w:color w:val="000000"/>
          <w:sz w:val="32"/>
          <w:szCs w:val="32"/>
        </w:rPr>
      </w:pPr>
    </w:p>
    <w:p>
      <w:pPr>
        <w:pStyle w:val="6"/>
        <w:spacing w:line="500" w:lineRule="exact"/>
        <w:jc w:val="center"/>
        <w:rPr>
          <w:rFonts w:ascii="Times New Roman" w:hAnsi="Times New Roman" w:eastAsia="黑体"/>
          <w:sz w:val="36"/>
          <w:szCs w:val="36"/>
        </w:rPr>
      </w:pPr>
      <w:r>
        <w:rPr>
          <w:rFonts w:hint="eastAsia" w:ascii="Times New Roman" w:hAnsi="Times New Roman" w:eastAsia="黑体"/>
          <w:sz w:val="36"/>
          <w:szCs w:val="36"/>
          <w:lang w:val="en-US" w:eastAsia="zh-CN"/>
        </w:rPr>
        <w:t>社会保障</w:t>
      </w:r>
      <w:r>
        <w:rPr>
          <w:rFonts w:ascii="Times New Roman" w:hAnsi="Times New Roman" w:eastAsia="黑体"/>
          <w:sz w:val="36"/>
          <w:szCs w:val="36"/>
        </w:rPr>
        <w:t>项目支出绩效</w:t>
      </w:r>
      <w:r>
        <w:rPr>
          <w:rFonts w:hint="eastAsia" w:ascii="Times New Roman" w:hAnsi="Times New Roman" w:eastAsia="黑体"/>
          <w:sz w:val="36"/>
          <w:szCs w:val="36"/>
        </w:rPr>
        <w:t>自</w:t>
      </w:r>
      <w:r>
        <w:rPr>
          <w:rFonts w:ascii="Times New Roman" w:hAnsi="Times New Roman" w:eastAsia="黑体"/>
          <w:sz w:val="36"/>
          <w:szCs w:val="36"/>
        </w:rPr>
        <w:t>评报告</w:t>
      </w:r>
    </w:p>
    <w:p>
      <w:pPr>
        <w:pStyle w:val="6"/>
        <w:spacing w:line="500" w:lineRule="exact"/>
        <w:ind w:firstLine="643" w:firstLineChars="200"/>
        <w:rPr>
          <w:rFonts w:hint="eastAsia" w:ascii="Times New Roman" w:hAnsi="Times New Roman" w:eastAsia="楷体"/>
          <w:b/>
          <w:sz w:val="32"/>
          <w:szCs w:val="32"/>
        </w:rPr>
      </w:pPr>
    </w:p>
    <w:p>
      <w:pPr>
        <w:pStyle w:val="6"/>
        <w:spacing w:line="500" w:lineRule="exact"/>
        <w:ind w:firstLine="602" w:firstLineChars="200"/>
        <w:rPr>
          <w:rFonts w:ascii="宋体" w:hAnsi="宋体"/>
          <w:b/>
          <w:sz w:val="30"/>
          <w:szCs w:val="30"/>
        </w:rPr>
      </w:pPr>
      <w:r>
        <w:rPr>
          <w:rFonts w:ascii="宋体" w:hAnsi="宋体"/>
          <w:b/>
          <w:sz w:val="30"/>
          <w:szCs w:val="30"/>
        </w:rPr>
        <w:t>一、基本情况</w:t>
      </w:r>
    </w:p>
    <w:p>
      <w:pPr>
        <w:pStyle w:val="6"/>
        <w:spacing w:line="500" w:lineRule="exact"/>
        <w:ind w:firstLine="602" w:firstLineChars="200"/>
        <w:rPr>
          <w:rFonts w:hint="eastAsia" w:ascii="宋体" w:hAnsi="宋体"/>
          <w:b/>
          <w:sz w:val="30"/>
          <w:szCs w:val="30"/>
        </w:rPr>
      </w:pPr>
      <w:r>
        <w:rPr>
          <w:rFonts w:ascii="宋体" w:hAnsi="宋体"/>
          <w:b/>
          <w:sz w:val="30"/>
          <w:szCs w:val="30"/>
        </w:rPr>
        <w:t>（一）项目概况</w:t>
      </w:r>
      <w:r>
        <w:rPr>
          <w:rFonts w:hint="eastAsia" w:ascii="宋体" w:hAnsi="宋体"/>
          <w:b/>
          <w:sz w:val="30"/>
          <w:szCs w:val="30"/>
        </w:rPr>
        <w:t>。</w:t>
      </w:r>
    </w:p>
    <w:p>
      <w:pPr>
        <w:pStyle w:val="6"/>
        <w:spacing w:line="500" w:lineRule="exact"/>
        <w:ind w:firstLine="600" w:firstLineChars="200"/>
        <w:rPr>
          <w:rFonts w:hint="eastAsia" w:ascii="宋体" w:hAnsi="宋体"/>
          <w:sz w:val="30"/>
          <w:szCs w:val="30"/>
          <w:lang w:val="en-US" w:eastAsia="zh-CN"/>
        </w:rPr>
      </w:pPr>
      <w:r>
        <w:rPr>
          <w:rFonts w:hint="eastAsia" w:ascii="宋体" w:hAnsi="宋体"/>
          <w:sz w:val="30"/>
          <w:szCs w:val="30"/>
          <w:lang w:val="en-US" w:eastAsia="zh-CN"/>
        </w:rPr>
        <w:t>根据湘财预〔2022〕0252号：2022年农村特困人员供养机构运转省级补助资金（铜湾镇2022年敬老院运转经费）0.75万元。湘财预【2020】350号：关于提前下达2021年民政一般转移支付预算指标（农村特困人员救助供养支出）2021年1－10月福利院生活费0.5万元。湘财预【2021】66号：关于下达2021年困难群众救助补助资金（敬老院农村特困人员护理费）1.25万元。湘财预〔2021〕316号:提前下达2022年民政一般转移支付预算资金(2022年1-10月福利院特困（集中）供养金5.66万元。</w:t>
      </w:r>
    </w:p>
    <w:p>
      <w:pPr>
        <w:pStyle w:val="6"/>
        <w:spacing w:line="500" w:lineRule="exact"/>
        <w:ind w:firstLine="600" w:firstLineChars="200"/>
        <w:rPr>
          <w:rFonts w:hint="eastAsia" w:ascii="宋体" w:hAnsi="宋体"/>
          <w:sz w:val="30"/>
          <w:szCs w:val="30"/>
        </w:rPr>
      </w:pPr>
      <w:r>
        <w:rPr>
          <w:rFonts w:hint="eastAsia" w:ascii="宋体" w:hAnsi="宋体"/>
          <w:sz w:val="30"/>
          <w:szCs w:val="30"/>
        </w:rPr>
        <w:t>1、项目资金投入情况。全年对</w:t>
      </w:r>
      <w:r>
        <w:rPr>
          <w:rFonts w:hint="eastAsia" w:ascii="宋体" w:hAnsi="宋体"/>
          <w:sz w:val="30"/>
          <w:szCs w:val="30"/>
          <w:lang w:val="en-US" w:eastAsia="zh-CN"/>
        </w:rPr>
        <w:t>社会保障</w:t>
      </w:r>
      <w:r>
        <w:rPr>
          <w:rFonts w:hint="eastAsia" w:ascii="宋体" w:hAnsi="宋体"/>
          <w:sz w:val="30"/>
          <w:szCs w:val="30"/>
        </w:rPr>
        <w:t>项目资金</w:t>
      </w:r>
      <w:r>
        <w:rPr>
          <w:rFonts w:hint="eastAsia" w:ascii="宋体" w:hAnsi="宋体"/>
          <w:sz w:val="30"/>
          <w:szCs w:val="30"/>
          <w:lang w:val="en-US" w:eastAsia="zh-CN"/>
        </w:rPr>
        <w:t>8.16</w:t>
      </w:r>
      <w:r>
        <w:rPr>
          <w:rFonts w:hint="eastAsia" w:ascii="宋体" w:hAnsi="宋体"/>
          <w:sz w:val="30"/>
          <w:szCs w:val="30"/>
        </w:rPr>
        <w:t>万元，实际使用</w:t>
      </w:r>
      <w:r>
        <w:rPr>
          <w:rFonts w:hint="eastAsia" w:ascii="宋体" w:hAnsi="宋体"/>
          <w:sz w:val="30"/>
          <w:szCs w:val="30"/>
          <w:lang w:val="en-US" w:eastAsia="zh-CN"/>
        </w:rPr>
        <w:t>8.16</w:t>
      </w:r>
      <w:r>
        <w:rPr>
          <w:rFonts w:hint="eastAsia" w:ascii="宋体" w:hAnsi="宋体"/>
          <w:sz w:val="30"/>
          <w:szCs w:val="30"/>
        </w:rPr>
        <w:t>万元。</w:t>
      </w:r>
    </w:p>
    <w:p>
      <w:pPr>
        <w:pStyle w:val="6"/>
        <w:spacing w:line="500" w:lineRule="exact"/>
        <w:ind w:firstLine="600" w:firstLineChars="200"/>
        <w:rPr>
          <w:rFonts w:hint="eastAsia" w:ascii="宋体" w:hAnsi="宋体"/>
          <w:sz w:val="30"/>
          <w:szCs w:val="30"/>
        </w:rPr>
      </w:pPr>
      <w:r>
        <w:rPr>
          <w:rFonts w:hint="eastAsia" w:ascii="宋体" w:hAnsi="宋体"/>
          <w:sz w:val="30"/>
          <w:szCs w:val="30"/>
        </w:rPr>
        <w:t>2、项目资金使用情况。资金使用方面，做到了专款专用，支付范围、标准、进度、依据符合规定，与预算基本一致。</w:t>
      </w:r>
    </w:p>
    <w:p>
      <w:pPr>
        <w:pStyle w:val="6"/>
        <w:spacing w:line="500" w:lineRule="exact"/>
        <w:ind w:firstLine="602" w:firstLineChars="200"/>
        <w:rPr>
          <w:rFonts w:ascii="宋体" w:hAnsi="宋体"/>
          <w:b/>
          <w:sz w:val="30"/>
          <w:szCs w:val="30"/>
        </w:rPr>
      </w:pPr>
      <w:r>
        <w:rPr>
          <w:rFonts w:ascii="宋体" w:hAnsi="宋体"/>
          <w:b/>
          <w:sz w:val="30"/>
          <w:szCs w:val="30"/>
        </w:rPr>
        <w:t>（二）项目绩效目标。</w:t>
      </w:r>
    </w:p>
    <w:p>
      <w:pPr>
        <w:spacing w:after="0" w:line="600" w:lineRule="exact"/>
        <w:ind w:firstLine="320" w:firstLineChars="100"/>
        <w:rPr>
          <w:rFonts w:ascii="仿宋" w:hAnsi="仿宋" w:eastAsia="仿宋" w:cs="仿宋"/>
          <w:sz w:val="32"/>
          <w:szCs w:val="32"/>
        </w:rPr>
      </w:pPr>
      <w:r>
        <w:rPr>
          <w:rFonts w:hint="eastAsia" w:ascii="仿宋" w:hAnsi="仿宋" w:eastAsia="仿宋" w:cs="仿宋"/>
          <w:sz w:val="32"/>
          <w:szCs w:val="32"/>
        </w:rPr>
        <w:t>1.项目绩效总目标：保障202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铜湾</w:t>
      </w:r>
      <w:r>
        <w:rPr>
          <w:rFonts w:hint="eastAsia" w:ascii="仿宋" w:hAnsi="仿宋" w:eastAsia="仿宋" w:cs="仿宋"/>
          <w:sz w:val="32"/>
          <w:szCs w:val="32"/>
        </w:rPr>
        <w:t>镇敬老院全年生活费及日常护理开支等</w:t>
      </w:r>
      <w:r>
        <w:rPr>
          <w:rFonts w:hint="eastAsia" w:ascii="仿宋" w:hAnsi="仿宋" w:eastAsia="仿宋" w:cs="仿宋"/>
          <w:sz w:val="32"/>
          <w:szCs w:val="32"/>
          <w:lang w:eastAsia="zh-CN"/>
        </w:rPr>
        <w:t>，</w:t>
      </w:r>
      <w:r>
        <w:rPr>
          <w:rFonts w:hint="eastAsia" w:ascii="仿宋" w:hAnsi="仿宋" w:eastAsia="仿宋" w:cs="仿宋"/>
          <w:sz w:val="32"/>
          <w:szCs w:val="32"/>
        </w:rPr>
        <w:t>提高</w:t>
      </w:r>
      <w:r>
        <w:rPr>
          <w:rFonts w:hint="eastAsia" w:ascii="仿宋" w:hAnsi="仿宋" w:eastAsia="仿宋" w:cs="仿宋"/>
          <w:sz w:val="32"/>
          <w:szCs w:val="32"/>
          <w:lang w:val="en-US" w:eastAsia="zh-CN"/>
        </w:rPr>
        <w:t>群众满意度</w:t>
      </w:r>
      <w:r>
        <w:rPr>
          <w:rFonts w:hint="eastAsia" w:ascii="仿宋" w:hAnsi="仿宋" w:eastAsia="仿宋" w:cs="仿宋"/>
          <w:sz w:val="32"/>
          <w:szCs w:val="32"/>
        </w:rPr>
        <w:t>。</w:t>
      </w:r>
    </w:p>
    <w:p>
      <w:pPr>
        <w:spacing w:after="0" w:line="600" w:lineRule="exact"/>
        <w:ind w:firstLine="320" w:firstLineChars="100"/>
        <w:rPr>
          <w:rFonts w:hint="eastAsia" w:ascii="宋体" w:hAnsi="宋体"/>
          <w:sz w:val="30"/>
          <w:szCs w:val="30"/>
        </w:rPr>
      </w:pPr>
      <w:r>
        <w:rPr>
          <w:rFonts w:hint="eastAsia" w:ascii="仿宋" w:hAnsi="仿宋" w:eastAsia="仿宋" w:cs="仿宋"/>
          <w:sz w:val="32"/>
          <w:szCs w:val="32"/>
        </w:rPr>
        <w:t>2.项目绩效阶段性目标：202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社会保障项目支出发放到位</w:t>
      </w:r>
      <w:r>
        <w:rPr>
          <w:rFonts w:hint="eastAsia" w:ascii="仿宋" w:hAnsi="仿宋" w:eastAsia="仿宋" w:cs="仿宋"/>
          <w:sz w:val="32"/>
          <w:szCs w:val="32"/>
        </w:rPr>
        <w:t>。</w:t>
      </w:r>
    </w:p>
    <w:p>
      <w:pPr>
        <w:pStyle w:val="6"/>
        <w:spacing w:line="500" w:lineRule="exact"/>
        <w:ind w:left="315" w:leftChars="150" w:firstLine="151" w:firstLineChars="50"/>
        <w:jc w:val="left"/>
        <w:rPr>
          <w:rFonts w:ascii="宋体" w:hAnsi="宋体"/>
          <w:b/>
          <w:sz w:val="30"/>
          <w:szCs w:val="30"/>
        </w:rPr>
      </w:pPr>
      <w:r>
        <w:rPr>
          <w:rFonts w:ascii="宋体" w:hAnsi="宋体"/>
          <w:b/>
          <w:sz w:val="30"/>
          <w:szCs w:val="30"/>
        </w:rPr>
        <w:t>二、绩效评价工作开展情况</w:t>
      </w:r>
    </w:p>
    <w:p>
      <w:pPr>
        <w:snapToGrid w:val="0"/>
        <w:spacing w:line="500" w:lineRule="exact"/>
        <w:ind w:firstLine="602" w:firstLineChars="200"/>
        <w:rPr>
          <w:rFonts w:hint="eastAsia" w:ascii="宋体" w:hAnsi="宋体"/>
          <w:sz w:val="30"/>
          <w:szCs w:val="30"/>
        </w:rPr>
      </w:pPr>
      <w:r>
        <w:rPr>
          <w:rFonts w:ascii="宋体" w:hAnsi="宋体"/>
          <w:b/>
          <w:sz w:val="30"/>
          <w:szCs w:val="30"/>
        </w:rPr>
        <w:t>（一）绩效评价目的、对象和范围</w:t>
      </w:r>
      <w:r>
        <w:rPr>
          <w:rFonts w:ascii="宋体" w:hAnsi="宋体"/>
          <w:sz w:val="30"/>
          <w:szCs w:val="30"/>
        </w:rPr>
        <w:t>。</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评价目的：保障202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eastAsia="zh-CN"/>
        </w:rPr>
        <w:t>铜湾</w:t>
      </w:r>
      <w:r>
        <w:rPr>
          <w:rFonts w:hint="eastAsia" w:ascii="仿宋" w:hAnsi="仿宋" w:eastAsia="仿宋" w:cs="仿宋"/>
          <w:sz w:val="32"/>
          <w:szCs w:val="32"/>
        </w:rPr>
        <w:t>镇敬老院全年生活费及日常护理开支等。</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评价对象：</w:t>
      </w:r>
      <w:r>
        <w:rPr>
          <w:rFonts w:hint="eastAsia" w:ascii="仿宋" w:hAnsi="仿宋" w:eastAsia="仿宋" w:cs="仿宋"/>
          <w:sz w:val="32"/>
          <w:szCs w:val="32"/>
          <w:lang w:val="en-US" w:eastAsia="zh-CN"/>
        </w:rPr>
        <w:t>敬老院全体人员</w:t>
      </w:r>
      <w:r>
        <w:rPr>
          <w:rFonts w:hint="eastAsia" w:ascii="仿宋" w:hAnsi="仿宋" w:eastAsia="仿宋" w:cs="仿宋"/>
          <w:sz w:val="32"/>
          <w:szCs w:val="32"/>
        </w:rPr>
        <w:t>。</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评价范围：</w:t>
      </w:r>
      <w:r>
        <w:rPr>
          <w:rFonts w:hint="eastAsia" w:ascii="仿宋" w:hAnsi="仿宋" w:eastAsia="仿宋" w:cs="仿宋"/>
          <w:sz w:val="32"/>
          <w:szCs w:val="32"/>
          <w:lang w:val="en-US" w:eastAsia="zh-CN"/>
        </w:rPr>
        <w:t>生活费及护理费8.16</w:t>
      </w:r>
      <w:r>
        <w:rPr>
          <w:rFonts w:hint="eastAsia" w:ascii="仿宋" w:hAnsi="仿宋" w:eastAsia="仿宋" w:cs="仿宋"/>
          <w:sz w:val="32"/>
          <w:szCs w:val="32"/>
        </w:rPr>
        <w:t>万元。</w:t>
      </w:r>
    </w:p>
    <w:p>
      <w:pPr>
        <w:spacing w:line="500" w:lineRule="exact"/>
        <w:ind w:firstLine="450" w:firstLineChars="150"/>
        <w:rPr>
          <w:rFonts w:hint="eastAsia" w:ascii="宋体" w:hAnsi="宋体"/>
          <w:b/>
          <w:sz w:val="30"/>
          <w:szCs w:val="30"/>
        </w:rPr>
      </w:pPr>
      <w:r>
        <w:rPr>
          <w:rFonts w:ascii="宋体" w:hAnsi="宋体"/>
          <w:sz w:val="30"/>
          <w:szCs w:val="30"/>
        </w:rPr>
        <w:t>（</w:t>
      </w:r>
      <w:r>
        <w:rPr>
          <w:rFonts w:ascii="宋体" w:hAnsi="宋体"/>
          <w:b/>
          <w:sz w:val="30"/>
          <w:szCs w:val="30"/>
        </w:rPr>
        <w:t>二）绩效评价原则、评价指标体系（附表说明）、评价方法、评价标准等。</w:t>
      </w:r>
    </w:p>
    <w:p>
      <w:pPr>
        <w:spacing w:line="500" w:lineRule="exact"/>
        <w:ind w:firstLine="640"/>
        <w:rPr>
          <w:rFonts w:hint="eastAsia" w:ascii="宋体" w:hAnsi="宋体" w:cs="仿宋"/>
          <w:bCs/>
          <w:color w:val="000000"/>
          <w:sz w:val="30"/>
          <w:szCs w:val="30"/>
        </w:rPr>
      </w:pPr>
      <w:r>
        <w:rPr>
          <w:rFonts w:hint="eastAsia" w:ascii="宋体" w:hAnsi="宋体" w:cs="仿宋"/>
          <w:bCs/>
          <w:color w:val="000000"/>
          <w:sz w:val="30"/>
          <w:szCs w:val="30"/>
        </w:rPr>
        <w:t>1、部门整体支出绩效评价原则：遵循客观公正，操作简便高效，尊重客观实际、实事求是的原则。</w:t>
      </w:r>
    </w:p>
    <w:p>
      <w:pPr>
        <w:spacing w:line="500" w:lineRule="exact"/>
        <w:ind w:firstLine="640"/>
        <w:rPr>
          <w:rFonts w:hint="eastAsia" w:ascii="宋体" w:hAnsi="宋体" w:cs="仿宋"/>
          <w:bCs/>
          <w:color w:val="000000"/>
          <w:sz w:val="30"/>
          <w:szCs w:val="30"/>
        </w:rPr>
      </w:pPr>
      <w:r>
        <w:rPr>
          <w:rFonts w:hint="eastAsia" w:ascii="宋体" w:hAnsi="宋体" w:cs="仿宋"/>
          <w:bCs/>
          <w:color w:val="000000"/>
          <w:sz w:val="30"/>
          <w:szCs w:val="30"/>
        </w:rPr>
        <w:t>2、整体支出绩效评价体系：指标体系包括共性指标和个性指标两部分，本次主要参照了财政部门制定《部门整体支出绩效评价指标体系》的相关内容，根据部门具体情况对个性指标进行里调整细化。</w:t>
      </w:r>
    </w:p>
    <w:p>
      <w:pPr>
        <w:spacing w:line="500" w:lineRule="exact"/>
        <w:ind w:firstLine="640"/>
        <w:rPr>
          <w:rFonts w:hint="eastAsia" w:ascii="宋体" w:hAnsi="宋体" w:cs="仿宋"/>
          <w:bCs/>
          <w:color w:val="000000"/>
          <w:sz w:val="30"/>
          <w:szCs w:val="30"/>
        </w:rPr>
      </w:pPr>
      <w:r>
        <w:rPr>
          <w:rFonts w:hint="eastAsia" w:ascii="宋体" w:hAnsi="宋体" w:cs="仿宋"/>
          <w:bCs/>
          <w:color w:val="000000"/>
          <w:sz w:val="30"/>
          <w:szCs w:val="30"/>
        </w:rPr>
        <w:t>3、整体支出绩效评价方法：主要采用投入产出效益分析法、比较法等方法。</w:t>
      </w:r>
    </w:p>
    <w:p>
      <w:pPr>
        <w:spacing w:line="500" w:lineRule="exact"/>
        <w:ind w:firstLine="602" w:firstLineChars="200"/>
        <w:rPr>
          <w:rFonts w:hint="eastAsia" w:ascii="宋体" w:hAnsi="宋体"/>
          <w:b/>
          <w:sz w:val="30"/>
          <w:szCs w:val="30"/>
        </w:rPr>
      </w:pPr>
      <w:r>
        <w:rPr>
          <w:rFonts w:ascii="宋体" w:hAnsi="宋体"/>
          <w:b/>
          <w:sz w:val="30"/>
          <w:szCs w:val="30"/>
        </w:rPr>
        <w:t>（三）绩效评价工作过程。</w:t>
      </w:r>
    </w:p>
    <w:p>
      <w:pPr>
        <w:spacing w:line="500" w:lineRule="exact"/>
        <w:ind w:firstLine="640"/>
        <w:rPr>
          <w:rFonts w:hint="eastAsia" w:ascii="宋体" w:hAnsi="宋体" w:cs="仿宋"/>
          <w:bCs/>
          <w:color w:val="000000"/>
          <w:sz w:val="30"/>
          <w:szCs w:val="30"/>
        </w:rPr>
      </w:pPr>
      <w:r>
        <w:rPr>
          <w:rFonts w:hint="eastAsia" w:ascii="宋体" w:hAnsi="宋体" w:cs="仿宋"/>
          <w:bCs/>
          <w:color w:val="000000"/>
          <w:sz w:val="30"/>
          <w:szCs w:val="30"/>
        </w:rPr>
        <w:t>我</w:t>
      </w:r>
      <w:r>
        <w:rPr>
          <w:rFonts w:hint="eastAsia" w:ascii="宋体" w:hAnsi="宋体" w:cs="仿宋"/>
          <w:bCs/>
          <w:color w:val="000000"/>
          <w:sz w:val="30"/>
          <w:szCs w:val="30"/>
          <w:lang w:val="en-US" w:eastAsia="zh-CN"/>
        </w:rPr>
        <w:t>镇</w:t>
      </w:r>
      <w:r>
        <w:rPr>
          <w:rFonts w:hint="eastAsia" w:ascii="宋体" w:hAnsi="宋体" w:cs="仿宋"/>
          <w:bCs/>
          <w:color w:val="000000"/>
          <w:sz w:val="30"/>
          <w:szCs w:val="30"/>
        </w:rPr>
        <w:t>及时研究开展绩效评价的有关工作方案，细化了《部门整体支出绩效评价指标及评分标准》《项目支出绩效自评表》。绩效评价工作收集并审核预算单位和相关业务绩效基础数据表、指标评分表、专项资金绩效目标自评表和相关报告以及202</w:t>
      </w:r>
      <w:r>
        <w:rPr>
          <w:rFonts w:hint="eastAsia" w:ascii="宋体" w:hAnsi="宋体" w:cs="仿宋"/>
          <w:bCs/>
          <w:color w:val="000000"/>
          <w:sz w:val="30"/>
          <w:szCs w:val="30"/>
          <w:lang w:val="en-US" w:eastAsia="zh-CN"/>
        </w:rPr>
        <w:t>2</w:t>
      </w:r>
      <w:r>
        <w:rPr>
          <w:rFonts w:hint="eastAsia" w:ascii="宋体" w:hAnsi="宋体" w:cs="仿宋"/>
          <w:bCs/>
          <w:color w:val="000000"/>
          <w:sz w:val="30"/>
          <w:szCs w:val="30"/>
        </w:rPr>
        <w:t>年度预决算报表、资金管理、经费支出、资产管理等相关文件资料，财务会计凭证，并对数据的全面性、真实性以及指标口径的一致性进行综合分析，形成自评。</w:t>
      </w:r>
    </w:p>
    <w:p>
      <w:pPr>
        <w:pStyle w:val="6"/>
        <w:spacing w:line="500" w:lineRule="exact"/>
        <w:ind w:firstLine="452" w:firstLineChars="150"/>
        <w:rPr>
          <w:rFonts w:ascii="宋体" w:hAnsi="宋体"/>
          <w:b/>
          <w:sz w:val="30"/>
          <w:szCs w:val="30"/>
        </w:rPr>
      </w:pPr>
      <w:r>
        <w:rPr>
          <w:rFonts w:ascii="宋体" w:hAnsi="宋体"/>
          <w:b/>
          <w:sz w:val="30"/>
          <w:szCs w:val="30"/>
        </w:rPr>
        <w:t>三、综合评价情况及评价结论（附相关评分表）</w:t>
      </w:r>
    </w:p>
    <w:p>
      <w:pPr>
        <w:pStyle w:val="6"/>
        <w:spacing w:line="500" w:lineRule="exact"/>
        <w:ind w:firstLine="600" w:firstLineChars="200"/>
        <w:rPr>
          <w:rFonts w:ascii="宋体" w:hAnsi="宋体"/>
          <w:sz w:val="30"/>
          <w:szCs w:val="30"/>
        </w:rPr>
      </w:pPr>
      <w:r>
        <w:rPr>
          <w:rFonts w:hint="eastAsia" w:ascii="宋体" w:hAnsi="宋体"/>
          <w:sz w:val="30"/>
          <w:szCs w:val="30"/>
        </w:rPr>
        <w:t>根据《项目支出绩效评价共性指标表》得分9</w:t>
      </w:r>
      <w:r>
        <w:rPr>
          <w:rFonts w:hint="eastAsia" w:ascii="宋体" w:hAnsi="宋体"/>
          <w:sz w:val="30"/>
          <w:szCs w:val="30"/>
          <w:lang w:val="en-US" w:eastAsia="zh-CN"/>
        </w:rPr>
        <w:t>8</w:t>
      </w:r>
      <w:r>
        <w:rPr>
          <w:rFonts w:hint="eastAsia" w:ascii="宋体" w:hAnsi="宋体"/>
          <w:sz w:val="30"/>
          <w:szCs w:val="30"/>
        </w:rPr>
        <w:t>分，绩效价评等级为优</w:t>
      </w:r>
      <w:r>
        <w:rPr>
          <w:rFonts w:ascii="宋体" w:hAnsi="宋体"/>
          <w:sz w:val="30"/>
          <w:szCs w:val="30"/>
        </w:rPr>
        <w:t>。</w:t>
      </w:r>
    </w:p>
    <w:p>
      <w:pPr>
        <w:pStyle w:val="6"/>
        <w:spacing w:line="500" w:lineRule="exact"/>
        <w:ind w:firstLine="602" w:firstLineChars="200"/>
        <w:rPr>
          <w:rFonts w:ascii="宋体" w:hAnsi="宋体"/>
          <w:b/>
          <w:sz w:val="30"/>
          <w:szCs w:val="30"/>
        </w:rPr>
      </w:pPr>
      <w:r>
        <w:rPr>
          <w:rFonts w:ascii="宋体" w:hAnsi="宋体"/>
          <w:b/>
          <w:sz w:val="30"/>
          <w:szCs w:val="30"/>
        </w:rPr>
        <w:t>四、绩效评价指标分析</w:t>
      </w:r>
    </w:p>
    <w:p>
      <w:pPr>
        <w:pStyle w:val="6"/>
        <w:spacing w:line="500" w:lineRule="exact"/>
        <w:ind w:firstLine="602" w:firstLineChars="200"/>
        <w:rPr>
          <w:rFonts w:hint="eastAsia" w:ascii="宋体" w:hAnsi="宋体"/>
          <w:b/>
          <w:sz w:val="30"/>
          <w:szCs w:val="30"/>
        </w:rPr>
      </w:pPr>
      <w:r>
        <w:rPr>
          <w:rFonts w:ascii="宋体" w:hAnsi="宋体"/>
          <w:b/>
          <w:sz w:val="30"/>
          <w:szCs w:val="30"/>
        </w:rPr>
        <w:t>（一）项目决策情况。</w:t>
      </w:r>
    </w:p>
    <w:p>
      <w:pPr>
        <w:pStyle w:val="6"/>
        <w:spacing w:line="500" w:lineRule="exact"/>
        <w:ind w:firstLine="600" w:firstLineChars="200"/>
        <w:rPr>
          <w:rFonts w:hint="default" w:ascii="宋体" w:hAnsi="宋体" w:eastAsia="宋体"/>
          <w:sz w:val="30"/>
          <w:szCs w:val="30"/>
          <w:lang w:val="en-US" w:eastAsia="zh-CN"/>
        </w:rPr>
      </w:pPr>
      <w:r>
        <w:rPr>
          <w:rFonts w:hint="eastAsia" w:ascii="宋体" w:hAnsi="宋体"/>
          <w:sz w:val="30"/>
          <w:szCs w:val="30"/>
          <w:lang w:val="en-US" w:eastAsia="zh-CN"/>
        </w:rPr>
        <w:t>根据湘财预〔2022〕0252号：2022年农村特困人员供养机构运转省级补助资金文件，湘财预【2020】350号：关于提前下达2021年民政一般转移支付预算指标，湘财预【2021】66号：关于下达2021年困难群众救助补助资金，湘财预〔2021〕316号:提前下达2022年民政一般转移支付预算资金执行落实到位。</w:t>
      </w:r>
    </w:p>
    <w:p>
      <w:pPr>
        <w:pStyle w:val="6"/>
        <w:spacing w:line="500" w:lineRule="exact"/>
        <w:ind w:firstLine="602" w:firstLineChars="200"/>
        <w:rPr>
          <w:rFonts w:hint="eastAsia" w:ascii="宋体" w:hAnsi="宋体"/>
          <w:b/>
          <w:sz w:val="30"/>
          <w:szCs w:val="30"/>
        </w:rPr>
      </w:pPr>
      <w:r>
        <w:rPr>
          <w:rFonts w:ascii="宋体" w:hAnsi="宋体"/>
          <w:b/>
          <w:sz w:val="30"/>
          <w:szCs w:val="30"/>
        </w:rPr>
        <w:t>（二）项目过程情况。</w:t>
      </w:r>
    </w:p>
    <w:p>
      <w:pPr>
        <w:pStyle w:val="6"/>
        <w:spacing w:line="500" w:lineRule="exact"/>
        <w:ind w:firstLine="600" w:firstLineChars="200"/>
        <w:rPr>
          <w:rFonts w:ascii="宋体" w:hAnsi="宋体"/>
          <w:sz w:val="30"/>
          <w:szCs w:val="30"/>
        </w:rPr>
      </w:pPr>
      <w:r>
        <w:rPr>
          <w:rFonts w:hint="eastAsia" w:ascii="宋体" w:hAnsi="宋体"/>
          <w:sz w:val="30"/>
          <w:szCs w:val="30"/>
        </w:rPr>
        <w:t>主要体现业务管理、财务管理和会计信息管理几个面方。重点考核管理制度建立情况、过程监管情况。如管理制度健全性、制度执行有效性、项目质量可控性；资金使用合规性、项目资金安全性；会计信息能否全面范性和完整性。</w:t>
      </w:r>
    </w:p>
    <w:p>
      <w:pPr>
        <w:pStyle w:val="6"/>
        <w:spacing w:line="500" w:lineRule="exact"/>
        <w:ind w:firstLine="602" w:firstLineChars="200"/>
        <w:rPr>
          <w:rFonts w:hint="eastAsia" w:ascii="宋体" w:hAnsi="宋体"/>
          <w:b/>
          <w:sz w:val="30"/>
          <w:szCs w:val="30"/>
        </w:rPr>
      </w:pPr>
      <w:r>
        <w:rPr>
          <w:rFonts w:ascii="宋体" w:hAnsi="宋体"/>
          <w:b/>
          <w:sz w:val="30"/>
          <w:szCs w:val="30"/>
        </w:rPr>
        <w:t>（三）项目产出情况。</w:t>
      </w:r>
    </w:p>
    <w:p>
      <w:pPr>
        <w:pStyle w:val="6"/>
        <w:spacing w:line="500" w:lineRule="exact"/>
        <w:ind w:firstLine="600" w:firstLineChars="200"/>
        <w:rPr>
          <w:rFonts w:hint="default" w:ascii="宋体" w:hAnsi="宋体"/>
          <w:sz w:val="30"/>
          <w:szCs w:val="30"/>
          <w:lang w:val="en-US" w:eastAsia="zh-CN"/>
        </w:rPr>
      </w:pPr>
      <w:r>
        <w:rPr>
          <w:rFonts w:hint="eastAsia" w:ascii="宋体" w:hAnsi="宋体"/>
          <w:sz w:val="30"/>
          <w:szCs w:val="30"/>
          <w:lang w:val="en-US" w:eastAsia="zh-CN"/>
        </w:rPr>
        <w:t>社会保障和就业项目支出，保障敬老院10位老人生活费及正常运转开支，任务完成率100%，发放到位及时率100%。</w:t>
      </w:r>
    </w:p>
    <w:p>
      <w:pPr>
        <w:pStyle w:val="6"/>
        <w:spacing w:line="500" w:lineRule="exact"/>
        <w:ind w:firstLine="602" w:firstLineChars="200"/>
        <w:rPr>
          <w:rFonts w:hint="eastAsia" w:ascii="宋体" w:hAnsi="宋体"/>
          <w:b/>
          <w:sz w:val="30"/>
          <w:szCs w:val="30"/>
        </w:rPr>
      </w:pPr>
      <w:r>
        <w:rPr>
          <w:rFonts w:ascii="宋体" w:hAnsi="宋体"/>
          <w:b/>
          <w:sz w:val="30"/>
          <w:szCs w:val="30"/>
        </w:rPr>
        <w:t>（四）项目效益情况。</w:t>
      </w:r>
    </w:p>
    <w:p>
      <w:pPr>
        <w:pStyle w:val="6"/>
        <w:spacing w:line="500" w:lineRule="exact"/>
        <w:ind w:firstLine="600" w:firstLineChars="200"/>
        <w:rPr>
          <w:rFonts w:ascii="宋体" w:hAnsi="宋体"/>
          <w:sz w:val="30"/>
          <w:szCs w:val="30"/>
        </w:rPr>
      </w:pPr>
      <w:r>
        <w:rPr>
          <w:rFonts w:hint="eastAsia" w:ascii="宋体" w:hAnsi="宋体"/>
          <w:sz w:val="30"/>
          <w:szCs w:val="30"/>
        </w:rPr>
        <w:t>按照年初的绩效目标，加强</w:t>
      </w:r>
      <w:r>
        <w:rPr>
          <w:rFonts w:hint="eastAsia" w:ascii="宋体" w:hAnsi="宋体"/>
          <w:sz w:val="30"/>
          <w:szCs w:val="30"/>
          <w:lang w:val="en-US" w:eastAsia="zh-CN"/>
        </w:rPr>
        <w:t>社会保障和就业</w:t>
      </w:r>
      <w:r>
        <w:rPr>
          <w:rFonts w:hint="eastAsia" w:ascii="宋体" w:hAnsi="宋体"/>
          <w:sz w:val="30"/>
          <w:szCs w:val="30"/>
        </w:rPr>
        <w:t>费用管理，</w:t>
      </w:r>
      <w:r>
        <w:rPr>
          <w:rFonts w:hint="eastAsia" w:ascii="宋体" w:hAnsi="宋体"/>
          <w:sz w:val="30"/>
          <w:szCs w:val="30"/>
          <w:lang w:val="en-US" w:eastAsia="zh-CN"/>
        </w:rPr>
        <w:t>节约财政资金</w:t>
      </w:r>
      <w:r>
        <w:rPr>
          <w:rFonts w:hint="eastAsia" w:ascii="宋体" w:hAnsi="宋体"/>
          <w:sz w:val="30"/>
          <w:szCs w:val="30"/>
        </w:rPr>
        <w:t>，提高财政经济监管能力，</w:t>
      </w:r>
      <w:r>
        <w:rPr>
          <w:rFonts w:hint="eastAsia" w:ascii="宋体" w:hAnsi="宋体"/>
          <w:sz w:val="30"/>
          <w:szCs w:val="30"/>
          <w:lang w:val="en-US" w:eastAsia="zh-CN"/>
        </w:rPr>
        <w:t>有效保障敬老院正常运转，群众</w:t>
      </w:r>
      <w:r>
        <w:rPr>
          <w:rFonts w:hint="eastAsia" w:ascii="宋体" w:hAnsi="宋体"/>
          <w:sz w:val="30"/>
          <w:szCs w:val="30"/>
        </w:rPr>
        <w:t>满意度100%。</w:t>
      </w:r>
    </w:p>
    <w:p>
      <w:pPr>
        <w:pStyle w:val="6"/>
        <w:spacing w:line="500" w:lineRule="exact"/>
        <w:ind w:firstLine="602" w:firstLineChars="200"/>
        <w:rPr>
          <w:rFonts w:ascii="宋体" w:hAnsi="宋体"/>
          <w:b/>
          <w:sz w:val="30"/>
          <w:szCs w:val="30"/>
        </w:rPr>
      </w:pPr>
      <w:r>
        <w:rPr>
          <w:rFonts w:ascii="宋体" w:hAnsi="宋体"/>
          <w:b/>
          <w:sz w:val="30"/>
          <w:szCs w:val="30"/>
        </w:rPr>
        <w:t>五、主要经验及做法、存在的问题及原因分析</w:t>
      </w:r>
    </w:p>
    <w:p>
      <w:pPr>
        <w:pStyle w:val="6"/>
        <w:spacing w:line="500" w:lineRule="exact"/>
        <w:ind w:firstLine="600" w:firstLineChars="200"/>
        <w:rPr>
          <w:rFonts w:hint="default" w:ascii="宋体" w:hAnsi="宋体" w:eastAsia="宋体"/>
          <w:sz w:val="30"/>
          <w:szCs w:val="30"/>
          <w:lang w:val="en-US" w:eastAsia="zh-CN"/>
        </w:rPr>
      </w:pPr>
      <w:r>
        <w:rPr>
          <w:rFonts w:hint="eastAsia" w:ascii="宋体" w:hAnsi="宋体"/>
          <w:sz w:val="30"/>
          <w:szCs w:val="30"/>
          <w:lang w:val="en-US" w:eastAsia="zh-CN"/>
        </w:rPr>
        <w:t>严格按照绩效评价要求进行年初绩效目标年初申报，并根据年初要求严格落实，确保顺利完成预期目标。</w:t>
      </w:r>
    </w:p>
    <w:p>
      <w:pPr>
        <w:pStyle w:val="6"/>
        <w:spacing w:line="500" w:lineRule="exact"/>
        <w:ind w:firstLine="602" w:firstLineChars="200"/>
        <w:rPr>
          <w:rFonts w:hint="eastAsia" w:ascii="宋体" w:hAnsi="宋体"/>
          <w:b/>
          <w:sz w:val="30"/>
          <w:szCs w:val="30"/>
        </w:rPr>
      </w:pPr>
      <w:r>
        <w:rPr>
          <w:rFonts w:ascii="宋体" w:hAnsi="宋体"/>
          <w:b/>
          <w:sz w:val="30"/>
          <w:szCs w:val="30"/>
        </w:rPr>
        <w:t>六、有关建议</w:t>
      </w:r>
    </w:p>
    <w:p>
      <w:pPr>
        <w:pStyle w:val="6"/>
        <w:spacing w:line="500" w:lineRule="exact"/>
        <w:ind w:firstLine="600" w:firstLineChars="200"/>
        <w:rPr>
          <w:rFonts w:ascii="宋体" w:hAnsi="宋体"/>
          <w:sz w:val="30"/>
          <w:szCs w:val="30"/>
        </w:rPr>
      </w:pPr>
      <w:r>
        <w:rPr>
          <w:rFonts w:hint="eastAsia" w:ascii="宋体" w:hAnsi="宋体"/>
          <w:sz w:val="30"/>
          <w:szCs w:val="30"/>
        </w:rPr>
        <w:t>无</w:t>
      </w:r>
    </w:p>
    <w:p>
      <w:pPr>
        <w:pStyle w:val="6"/>
        <w:spacing w:line="500" w:lineRule="exact"/>
        <w:ind w:firstLine="602" w:firstLineChars="200"/>
        <w:rPr>
          <w:rFonts w:hint="eastAsia" w:ascii="宋体" w:hAnsi="宋体"/>
          <w:b/>
          <w:sz w:val="30"/>
          <w:szCs w:val="30"/>
        </w:rPr>
      </w:pPr>
      <w:r>
        <w:rPr>
          <w:rFonts w:ascii="宋体" w:hAnsi="宋体"/>
          <w:b/>
          <w:sz w:val="30"/>
          <w:szCs w:val="30"/>
        </w:rPr>
        <w:t>七、其他需要说明的问题</w:t>
      </w:r>
    </w:p>
    <w:p>
      <w:pPr>
        <w:pStyle w:val="6"/>
        <w:spacing w:line="500" w:lineRule="exact"/>
        <w:ind w:firstLine="600" w:firstLineChars="200"/>
        <w:rPr>
          <w:rFonts w:ascii="宋体" w:hAnsi="宋体"/>
          <w:sz w:val="30"/>
          <w:szCs w:val="30"/>
        </w:rPr>
      </w:pPr>
      <w:r>
        <w:rPr>
          <w:rFonts w:hint="eastAsia" w:ascii="宋体" w:hAnsi="宋体"/>
          <w:sz w:val="30"/>
          <w:szCs w:val="30"/>
        </w:rPr>
        <w:t>无</w:t>
      </w: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p>
    <w:p>
      <w:pPr>
        <w:spacing w:line="400" w:lineRule="exact"/>
        <w:jc w:val="left"/>
        <w:rPr>
          <w:rFonts w:ascii="Times New Roman" w:hAnsi="Times New Roman" w:eastAsia="仿宋_GB2312"/>
          <w:bCs/>
          <w:color w:val="000000"/>
          <w:sz w:val="32"/>
          <w:szCs w:val="32"/>
        </w:rPr>
      </w:pPr>
      <w:bookmarkStart w:id="0" w:name="_GoBack"/>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bookmarkEnd w:id="0"/>
    <w:tbl>
      <w:tblPr>
        <w:tblStyle w:val="4"/>
        <w:tblW w:w="9246" w:type="dxa"/>
        <w:jc w:val="center"/>
        <w:tblLayout w:type="fixed"/>
        <w:tblCellMar>
          <w:top w:w="0" w:type="dxa"/>
          <w:left w:w="108" w:type="dxa"/>
          <w:bottom w:w="0" w:type="dxa"/>
          <w:right w:w="108" w:type="dxa"/>
        </w:tblCellMar>
      </w:tblPr>
      <w:tblGrid>
        <w:gridCol w:w="588"/>
        <w:gridCol w:w="980"/>
        <w:gridCol w:w="1112"/>
        <w:gridCol w:w="730"/>
        <w:gridCol w:w="1134"/>
        <w:gridCol w:w="284"/>
        <w:gridCol w:w="1158"/>
        <w:gridCol w:w="941"/>
        <w:gridCol w:w="528"/>
        <w:gridCol w:w="232"/>
        <w:gridCol w:w="248"/>
        <w:gridCol w:w="603"/>
        <w:gridCol w:w="708"/>
      </w:tblGrid>
      <w:tr>
        <w:tblPrEx>
          <w:tblCellMar>
            <w:top w:w="0" w:type="dxa"/>
            <w:left w:w="108" w:type="dxa"/>
            <w:bottom w:w="0" w:type="dxa"/>
            <w:right w:w="108" w:type="dxa"/>
          </w:tblCellMar>
        </w:tblPrEx>
        <w:trPr>
          <w:trHeight w:val="349" w:hRule="exact"/>
          <w:jc w:val="center"/>
        </w:trPr>
        <w:tc>
          <w:tcPr>
            <w:tcW w:w="9246" w:type="dxa"/>
            <w:gridSpan w:val="13"/>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hint="eastAsia" w:ascii="Times New Roman" w:hAnsi="Times New Roman"/>
                <w:b/>
                <w:bCs/>
                <w:kern w:val="0"/>
                <w:sz w:val="32"/>
                <w:szCs w:val="32"/>
                <w:lang w:val="en-US" w:eastAsia="zh-CN"/>
              </w:rPr>
              <w:t>社会保障和就业</w:t>
            </w: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246" w:type="dxa"/>
            <w:gridSpan w:val="13"/>
            <w:tcBorders>
              <w:top w:val="nil"/>
              <w:left w:val="nil"/>
              <w:bottom w:val="nil"/>
              <w:right w:val="nil"/>
            </w:tcBorders>
            <w:vAlign w:val="top"/>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rPr>
              <w:t>2</w:t>
            </w:r>
            <w:r>
              <w:rPr>
                <w:rFonts w:hint="eastAsia" w:ascii="Times New Roman" w:hAnsi="Times New Roman"/>
                <w:kern w:val="0"/>
                <w:sz w:val="22"/>
                <w:szCs w:val="22"/>
                <w:lang w:val="en-US" w:eastAsia="zh-CN"/>
              </w:rPr>
              <w:t>2</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678"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社会保障项目支出</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中方县财政局</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31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财政事务中心</w:t>
            </w:r>
          </w:p>
        </w:tc>
      </w:tr>
      <w:tr>
        <w:tblPrEx>
          <w:tblCellMar>
            <w:top w:w="0" w:type="dxa"/>
            <w:left w:w="108" w:type="dxa"/>
            <w:bottom w:w="0" w:type="dxa"/>
            <w:right w:w="108" w:type="dxa"/>
          </w:tblCellMar>
        </w:tblPrEx>
        <w:trPr>
          <w:trHeight w:val="827"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ascii="Times New Roman" w:hAnsi="Times New Roman"/>
                <w:kern w:val="0"/>
                <w:sz w:val="18"/>
                <w:szCs w:val="18"/>
              </w:rPr>
              <w:t>项目资金</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p>
        </w:tc>
        <w:tc>
          <w:tcPr>
            <w:tcW w:w="76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8.16</w:t>
            </w:r>
          </w:p>
        </w:tc>
        <w:tc>
          <w:tcPr>
            <w:tcW w:w="144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8.16</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8.16</w:t>
            </w:r>
          </w:p>
        </w:tc>
        <w:tc>
          <w:tcPr>
            <w:tcW w:w="76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8.16</w:t>
            </w:r>
          </w:p>
        </w:tc>
        <w:tc>
          <w:tcPr>
            <w:tcW w:w="144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8.16</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8.16</w:t>
            </w:r>
          </w:p>
        </w:tc>
        <w:tc>
          <w:tcPr>
            <w:tcW w:w="76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6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6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26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1112"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98"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r>
              <w:rPr>
                <w:rFonts w:hint="eastAsia" w:ascii="宋体" w:hAnsi="宋体"/>
                <w:color w:val="000000"/>
                <w:kern w:val="0"/>
                <w:sz w:val="18"/>
                <w:szCs w:val="18"/>
                <w:lang w:val="en-US" w:eastAsia="zh-CN"/>
              </w:rPr>
              <w:t>保障</w:t>
            </w:r>
            <w:r>
              <w:rPr>
                <w:rFonts w:hint="eastAsia" w:ascii="宋体" w:hAnsi="宋体"/>
                <w:color w:val="000000"/>
                <w:kern w:val="0"/>
                <w:sz w:val="18"/>
                <w:szCs w:val="18"/>
              </w:rPr>
              <w:t>202</w:t>
            </w:r>
            <w:r>
              <w:rPr>
                <w:rFonts w:hint="eastAsia" w:ascii="宋体" w:hAnsi="宋体"/>
                <w:color w:val="000000"/>
                <w:kern w:val="0"/>
                <w:sz w:val="18"/>
                <w:szCs w:val="18"/>
                <w:lang w:val="en-US" w:eastAsia="zh-CN"/>
              </w:rPr>
              <w:t>2</w:t>
            </w:r>
            <w:r>
              <w:rPr>
                <w:rFonts w:hint="eastAsia" w:ascii="宋体" w:hAnsi="宋体"/>
                <w:color w:val="000000"/>
                <w:kern w:val="0"/>
                <w:sz w:val="18"/>
                <w:szCs w:val="18"/>
              </w:rPr>
              <w:t>年</w:t>
            </w:r>
            <w:r>
              <w:rPr>
                <w:rFonts w:hint="eastAsia" w:ascii="宋体" w:hAnsi="宋体"/>
                <w:color w:val="000000"/>
                <w:kern w:val="0"/>
                <w:sz w:val="18"/>
                <w:szCs w:val="18"/>
                <w:lang w:eastAsia="zh-CN"/>
              </w:rPr>
              <w:t>铜湾</w:t>
            </w:r>
            <w:r>
              <w:rPr>
                <w:rFonts w:hint="eastAsia" w:ascii="宋体" w:hAnsi="宋体"/>
                <w:color w:val="000000"/>
                <w:kern w:val="0"/>
                <w:sz w:val="18"/>
                <w:szCs w:val="18"/>
                <w:lang w:val="en-US" w:eastAsia="zh-CN"/>
              </w:rPr>
              <w:t>镇敬老院全年生活费及日常护理开支</w:t>
            </w:r>
            <w:r>
              <w:rPr>
                <w:rFonts w:hint="eastAsia" w:ascii="宋体" w:hAnsi="宋体"/>
                <w:color w:val="000000"/>
                <w:kern w:val="0"/>
                <w:sz w:val="18"/>
                <w:szCs w:val="18"/>
              </w:rPr>
              <w:t>等</w:t>
            </w:r>
          </w:p>
        </w:tc>
        <w:tc>
          <w:tcPr>
            <w:tcW w:w="326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kern w:val="0"/>
                <w:sz w:val="18"/>
                <w:szCs w:val="18"/>
                <w:lang w:eastAsia="zh-CN"/>
              </w:rPr>
            </w:pPr>
            <w:r>
              <w:rPr>
                <w:rFonts w:hint="eastAsia" w:ascii="宋体" w:hAnsi="宋体"/>
                <w:color w:val="000000"/>
                <w:kern w:val="0"/>
                <w:sz w:val="18"/>
                <w:szCs w:val="18"/>
              </w:rPr>
              <w:t>完成202</w:t>
            </w:r>
            <w:r>
              <w:rPr>
                <w:rFonts w:hint="eastAsia" w:ascii="宋体" w:hAnsi="宋体"/>
                <w:color w:val="000000"/>
                <w:kern w:val="0"/>
                <w:sz w:val="18"/>
                <w:szCs w:val="18"/>
                <w:lang w:val="en-US" w:eastAsia="zh-CN"/>
              </w:rPr>
              <w:t>2</w:t>
            </w:r>
            <w:r>
              <w:rPr>
                <w:rFonts w:hint="eastAsia" w:ascii="宋体" w:hAnsi="宋体"/>
                <w:color w:val="000000"/>
                <w:kern w:val="0"/>
                <w:sz w:val="18"/>
                <w:szCs w:val="18"/>
              </w:rPr>
              <w:t>年</w:t>
            </w:r>
            <w:r>
              <w:rPr>
                <w:rFonts w:hint="eastAsia" w:ascii="宋体" w:hAnsi="宋体"/>
                <w:color w:val="000000"/>
                <w:kern w:val="0"/>
                <w:sz w:val="18"/>
                <w:szCs w:val="18"/>
                <w:lang w:val="en-US" w:eastAsia="zh-CN"/>
              </w:rPr>
              <w:t>生活费及工作经费发放</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ascii="Times New Roman" w:hAnsi="Times New Roman"/>
                <w:kern w:val="0"/>
                <w:sz w:val="18"/>
                <w:szCs w:val="18"/>
              </w:rPr>
              <w:t>绩</w:t>
            </w:r>
          </w:p>
          <w:p>
            <w:pPr>
              <w:widowControl/>
              <w:spacing w:line="240" w:lineRule="exact"/>
              <w:jc w:val="center"/>
              <w:rPr>
                <w:rFonts w:hint="eastAsia" w:ascii="Times New Roman" w:hAnsi="Times New Roman" w:eastAsia="宋体"/>
                <w:kern w:val="0"/>
                <w:sz w:val="18"/>
                <w:szCs w:val="18"/>
                <w:lang w:eastAsia="zh-CN"/>
              </w:rPr>
            </w:pPr>
            <w:r>
              <w:rPr>
                <w:rFonts w:ascii="Times New Roman" w:hAnsi="Times New Roman"/>
                <w:kern w:val="0"/>
                <w:sz w:val="18"/>
                <w:szCs w:val="18"/>
              </w:rPr>
              <w:t>效</w:t>
            </w:r>
          </w:p>
          <w:p>
            <w:pPr>
              <w:widowControl/>
              <w:spacing w:line="240" w:lineRule="exact"/>
              <w:jc w:val="center"/>
              <w:rPr>
                <w:rFonts w:hint="eastAsia" w:ascii="Times New Roman" w:hAnsi="Times New Roman" w:eastAsia="宋体"/>
                <w:kern w:val="0"/>
                <w:sz w:val="18"/>
                <w:szCs w:val="18"/>
                <w:lang w:eastAsia="zh-CN"/>
              </w:rPr>
            </w:pPr>
            <w:r>
              <w:rPr>
                <w:rFonts w:ascii="Times New Roman" w:hAnsi="Times New Roman"/>
                <w:kern w:val="0"/>
                <w:sz w:val="18"/>
                <w:szCs w:val="18"/>
              </w:rPr>
              <w:t>指</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w:t>
            </w:r>
            <w:r>
              <w:rPr>
                <w:rFonts w:hint="eastAsia" w:ascii="Times New Roman" w:hAnsi="Times New Roman"/>
                <w:kern w:val="0"/>
                <w:sz w:val="20"/>
                <w:szCs w:val="20"/>
              </w:rPr>
              <w:t>5</w:t>
            </w:r>
            <w:r>
              <w:rPr>
                <w:rFonts w:ascii="Times New Roman" w:hAnsi="Times New Roman"/>
                <w:kern w:val="0"/>
                <w:sz w:val="20"/>
                <w:szCs w:val="20"/>
              </w:rPr>
              <w:t>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保障全敬老院10位老人生活费及正常工作开支</w:t>
            </w: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100%</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工作落实到位率</w:t>
            </w: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100%</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83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olor w:val="000000"/>
                <w:kern w:val="0"/>
                <w:sz w:val="18"/>
                <w:szCs w:val="18"/>
                <w:lang w:val="en-US"/>
              </w:rPr>
            </w:pPr>
            <w:r>
              <w:rPr>
                <w:rFonts w:hint="eastAsia" w:ascii="Times New Roman" w:hAnsi="Times New Roman"/>
                <w:color w:val="000000"/>
                <w:kern w:val="0"/>
                <w:sz w:val="18"/>
                <w:szCs w:val="18"/>
                <w:lang w:val="en-US" w:eastAsia="zh-CN"/>
              </w:rPr>
              <w:t>任务完成率</w:t>
            </w: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right w:val="single" w:color="auto" w:sz="4" w:space="0"/>
            </w:tcBorders>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生活费</w:t>
            </w: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8.16</w:t>
            </w:r>
            <w:r>
              <w:rPr>
                <w:rFonts w:hint="eastAsia" w:ascii="Times New Roman" w:hAnsi="Times New Roman"/>
                <w:kern w:val="0"/>
                <w:sz w:val="18"/>
                <w:szCs w:val="18"/>
              </w:rPr>
              <w:t>万元</w:t>
            </w:r>
          </w:p>
        </w:tc>
        <w:tc>
          <w:tcPr>
            <w:tcW w:w="941" w:type="dxa"/>
            <w:vMerge w:val="restart"/>
            <w:tcBorders>
              <w:top w:val="nil"/>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28" w:type="dxa"/>
            <w:vMerge w:val="restart"/>
            <w:tcBorders>
              <w:top w:val="nil"/>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80" w:type="dxa"/>
            <w:gridSpan w:val="2"/>
            <w:vMerge w:val="restart"/>
            <w:tcBorders>
              <w:top w:val="nil"/>
              <w:left w:val="nil"/>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311" w:type="dxa"/>
            <w:gridSpan w:val="2"/>
            <w:vMerge w:val="restart"/>
            <w:tcBorders>
              <w:top w:val="single" w:color="auto" w:sz="4" w:space="0"/>
              <w:left w:val="nil"/>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1"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28" w:type="dxa"/>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80"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11" w:type="dxa"/>
            <w:gridSpan w:val="2"/>
            <w:vMerge w:val="continue"/>
            <w:tcBorders>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w:t>
            </w:r>
            <w:r>
              <w:rPr>
                <w:rFonts w:hint="eastAsia" w:ascii="Times New Roman" w:hAnsi="Times New Roman"/>
                <w:kern w:val="0"/>
                <w:sz w:val="20"/>
                <w:szCs w:val="20"/>
              </w:rPr>
              <w:t>4</w:t>
            </w:r>
            <w:r>
              <w:rPr>
                <w:rFonts w:ascii="Times New Roman" w:hAnsi="Times New Roman"/>
                <w:kern w:val="0"/>
                <w:sz w:val="20"/>
                <w:szCs w:val="20"/>
              </w:rPr>
              <w:t>0分)</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4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增加群众满意度</w:t>
            </w: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20</w:t>
            </w: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20</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4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5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保障敬老院基本生活开支即正常运转</w:t>
            </w:r>
          </w:p>
        </w:tc>
        <w:tc>
          <w:tcPr>
            <w:tcW w:w="11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长效</w:t>
            </w:r>
          </w:p>
        </w:tc>
        <w:tc>
          <w:tcPr>
            <w:tcW w:w="94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20</w:t>
            </w: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18</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7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群众满意</w:t>
            </w:r>
          </w:p>
        </w:tc>
        <w:tc>
          <w:tcPr>
            <w:tcW w:w="11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4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52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2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w:t>
            </w:r>
            <w:r>
              <w:rPr>
                <w:rFonts w:hint="eastAsia" w:ascii="Times New Roman" w:hAnsi="Times New Roman"/>
                <w:color w:val="000000"/>
                <w:kern w:val="0"/>
                <w:sz w:val="18"/>
                <w:szCs w:val="18"/>
                <w:lang w:val="en-US" w:eastAsia="zh-CN"/>
              </w:rPr>
              <w:t>0</w:t>
            </w:r>
            <w:r>
              <w:rPr>
                <w:rFonts w:ascii="Times New Roman" w:hAnsi="Times New Roman"/>
                <w:color w:val="000000"/>
                <w:kern w:val="0"/>
                <w:sz w:val="18"/>
                <w:szCs w:val="18"/>
              </w:rPr>
              <w:t>0</w:t>
            </w:r>
          </w:p>
        </w:tc>
        <w:tc>
          <w:tcPr>
            <w:tcW w:w="4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rPr>
              <w:t>9</w:t>
            </w:r>
            <w:r>
              <w:rPr>
                <w:rFonts w:hint="eastAsia" w:ascii="Times New Roman" w:hAnsi="Times New Roman"/>
                <w:color w:val="000000"/>
                <w:kern w:val="0"/>
                <w:sz w:val="18"/>
                <w:szCs w:val="18"/>
                <w:lang w:val="en-US" w:eastAsia="zh-CN"/>
              </w:rPr>
              <w:t>8</w:t>
            </w:r>
          </w:p>
        </w:tc>
        <w:tc>
          <w:tcPr>
            <w:tcW w:w="131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400" w:lineRule="exact"/>
        <w:jc w:val="left"/>
        <w:rPr>
          <w:rFonts w:hint="eastAsia" w:ascii="Times New Roman" w:hAnsi="Times New Roman" w:eastAsia="仿宋_GB2312"/>
          <w:bCs/>
          <w:color w:val="000000"/>
          <w:sz w:val="32"/>
          <w:szCs w:val="32"/>
        </w:rPr>
      </w:pPr>
    </w:p>
    <w:p>
      <w:pPr>
        <w:spacing w:line="500" w:lineRule="exact"/>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hint="eastAsia" w:ascii="Times New Roman" w:hAnsi="Times New Roman" w:eastAsia="宋体"/>
          <w:bCs/>
          <w:color w:val="000000"/>
          <w:sz w:val="36"/>
          <w:szCs w:val="28"/>
          <w:lang w:val="en-US" w:eastAsia="zh-CN"/>
        </w:rPr>
        <w:t>社会保障和就业</w:t>
      </w:r>
      <w:r>
        <w:rPr>
          <w:rFonts w:ascii="Times New Roman" w:hAnsi="Times New Roman" w:eastAsia="宋体"/>
          <w:bCs/>
          <w:color w:val="000000"/>
          <w:sz w:val="36"/>
          <w:szCs w:val="28"/>
        </w:rPr>
        <w:t>项目支出绩效评价</w:t>
      </w:r>
      <w:r>
        <w:rPr>
          <w:rFonts w:hint="eastAsia" w:ascii="Times New Roman" w:hAnsi="Times New Roman" w:eastAsia="宋体"/>
          <w:bCs/>
          <w:color w:val="000000"/>
          <w:sz w:val="36"/>
          <w:szCs w:val="28"/>
        </w:rPr>
        <w:t>共性</w:t>
      </w:r>
      <w:r>
        <w:rPr>
          <w:rFonts w:ascii="Times New Roman" w:hAnsi="Times New Roman" w:eastAsia="宋体"/>
          <w:bCs/>
          <w:color w:val="000000"/>
          <w:sz w:val="36"/>
          <w:szCs w:val="28"/>
        </w:rPr>
        <w:t>指标</w:t>
      </w:r>
      <w:r>
        <w:rPr>
          <w:rFonts w:hint="eastAsia" w:ascii="Times New Roman" w:hAnsi="Times New Roman" w:eastAsia="宋体"/>
          <w:bCs/>
          <w:color w:val="000000"/>
          <w:sz w:val="36"/>
          <w:szCs w:val="28"/>
        </w:rPr>
        <w:t>表</w:t>
      </w:r>
    </w:p>
    <w:tbl>
      <w:tblPr>
        <w:tblStyle w:val="4"/>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项目立项是否符合行业发展规划和政策要求；</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项目立项是否与部门职责范围相符，属于部门履职所需；</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项目是否按照规定的程序申请设立；</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审批文件、材料是否符合相关要求；</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jc w:val="lef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（如未设定预算绩效目标，也可考核其他工作任务目标）</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项目是否有绩效目标；</w:t>
            </w:r>
          </w:p>
          <w:p>
            <w:pPr>
              <w:widowControl/>
              <w:spacing w:line="0" w:lineRule="atLeast"/>
              <w:jc w:val="lef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项目绩效目标与实际工作内容是否具有相关性；</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③</w:t>
            </w:r>
            <w:r>
              <w:rPr>
                <w:rFonts w:ascii="Times New Roman" w:hAnsi="Times New Roman"/>
                <w:color w:val="000000"/>
                <w:kern w:val="0"/>
                <w:sz w:val="22"/>
                <w:szCs w:val="22"/>
              </w:rPr>
              <w:t>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是否将项目绩效目标细化分解为具体的绩效指标；</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是否通过清晰、可衡量的指标值予以体现；</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是否与项目目标任务数或计划数相对应。</w:t>
            </w:r>
          </w:p>
          <w:p>
            <w:pPr>
              <w:widowControl/>
              <w:spacing w:line="0" w:lineRule="atLeast"/>
              <w:rPr>
                <w:rFonts w:hint="eastAsia" w:ascii="Times New Roman" w:hAnsi="Times New Roman" w:eastAsia="宋体"/>
                <w:color w:val="000000"/>
                <w:kern w:val="0"/>
                <w:sz w:val="22"/>
                <w:szCs w:val="22"/>
                <w:lang w:eastAsia="zh-CN"/>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预算编制是否经过科学论证；</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预算内容与项目内容是否匹配；</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预算额度测算依据是否充分，是否按照标准编制；</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预算资金分配依据是否充分；</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预算执行率=（实际支出资金/实际到位资金）×100%。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资金的拨付是否有完整的审批程序和手续；</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是否符合项目预算批复或合同规定的用途；</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是否已制定或具有相应的财务和业务管理制度；</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评价要点：</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①</w:t>
            </w:r>
            <w:r>
              <w:rPr>
                <w:rFonts w:ascii="Times New Roman" w:hAnsi="Times New Roman"/>
                <w:color w:val="000000"/>
                <w:kern w:val="0"/>
                <w:sz w:val="22"/>
                <w:szCs w:val="22"/>
              </w:rPr>
              <w:t>是否遵守相关法律法规和相关管理规定；</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②</w:t>
            </w:r>
            <w:r>
              <w:rPr>
                <w:rFonts w:ascii="Times New Roman" w:hAnsi="Times New Roman"/>
                <w:color w:val="000000"/>
                <w:kern w:val="0"/>
                <w:sz w:val="22"/>
                <w:szCs w:val="22"/>
              </w:rPr>
              <w:t>项目调整及支出调整手续是否完备；</w:t>
            </w:r>
          </w:p>
          <w:p>
            <w:pPr>
              <w:widowControl/>
              <w:spacing w:line="0" w:lineRule="atLeast"/>
              <w:rPr>
                <w:rFonts w:hint="eastAsia" w:ascii="Times New Roman" w:hAnsi="Times New Roman" w:eastAsia="宋体"/>
                <w:color w:val="000000"/>
                <w:kern w:val="0"/>
                <w:sz w:val="22"/>
                <w:szCs w:val="22"/>
                <w:lang w:eastAsia="zh-CN"/>
              </w:rPr>
            </w:pPr>
            <w:r>
              <w:rPr>
                <w:rFonts w:hint="eastAsia" w:ascii="宋体" w:hAnsi="宋体" w:cs="宋体"/>
                <w:color w:val="000000"/>
                <w:kern w:val="0"/>
                <w:sz w:val="22"/>
                <w:szCs w:val="22"/>
              </w:rPr>
              <w:t>③</w:t>
            </w:r>
            <w:r>
              <w:rPr>
                <w:rFonts w:ascii="Times New Roman" w:hAnsi="Times New Roman"/>
                <w:color w:val="000000"/>
                <w:kern w:val="0"/>
                <w:sz w:val="22"/>
                <w:szCs w:val="22"/>
              </w:rPr>
              <w:t>项目合同书、验收报告、技术鉴定等资料是否齐全并及时归档；</w:t>
            </w:r>
          </w:p>
          <w:p>
            <w:pPr>
              <w:widowControl/>
              <w:spacing w:line="0" w:lineRule="atLeast"/>
              <w:rPr>
                <w:rFonts w:ascii="Times New Roman" w:hAnsi="Times New Roman"/>
                <w:color w:val="000000"/>
                <w:kern w:val="0"/>
                <w:sz w:val="22"/>
                <w:szCs w:val="22"/>
              </w:rPr>
            </w:pPr>
            <w:r>
              <w:rPr>
                <w:rFonts w:hint="eastAsia" w:ascii="宋体" w:hAnsi="宋体" w:cs="宋体"/>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实际完成率=（实际产出数/计划产出数）×100%。</w:t>
            </w:r>
          </w:p>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实际产出数：一定时期（本年度或项目期）内项目实际产出的产品或提供的服务数量。</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709" w:type="dxa"/>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实际完成时间：项目实施单位完成该项目实际所耗用的时间。</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eastAsia" w:ascii="Times New Roman" w:hAnsi="Times New Roman" w:eastAsia="宋体"/>
                <w:color w:val="000000"/>
                <w:kern w:val="0"/>
                <w:sz w:val="22"/>
                <w:szCs w:val="22"/>
                <w:lang w:eastAsia="zh-CN"/>
              </w:rPr>
            </w:pPr>
          </w:p>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成本节约率=[（计划成本-实际成本）/计划成本]×100%。</w:t>
            </w:r>
          </w:p>
          <w:p>
            <w:pPr>
              <w:widowControl/>
              <w:spacing w:line="0" w:lineRule="atLeast"/>
              <w:rPr>
                <w:rFonts w:hint="eastAsia" w:ascii="Times New Roman" w:hAnsi="Times New Roman" w:eastAsia="宋体"/>
                <w:color w:val="000000"/>
                <w:kern w:val="0"/>
                <w:sz w:val="22"/>
                <w:szCs w:val="22"/>
                <w:lang w:eastAsia="zh-CN"/>
              </w:rPr>
            </w:pPr>
            <w:r>
              <w:rPr>
                <w:rFonts w:ascii="Times New Roman" w:hAnsi="Times New Roman"/>
                <w:color w:val="000000"/>
                <w:kern w:val="0"/>
                <w:sz w:val="22"/>
                <w:szCs w:val="22"/>
              </w:rPr>
              <w:t>实际成本：项目实施单位如期、保质、保量完成既定工作目标实际所耗费的支出。</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pPr>
              <w:widowControl/>
              <w:spacing w:line="0" w:lineRule="atLeast"/>
              <w:rPr>
                <w:rFonts w:ascii="Times New Roman" w:hAnsi="Times New Roman"/>
                <w:color w:val="000000"/>
                <w:kern w:val="0"/>
                <w:sz w:val="22"/>
                <w:szCs w:val="22"/>
              </w:rPr>
            </w:pPr>
          </w:p>
        </w:tc>
        <w:tc>
          <w:tcPr>
            <w:tcW w:w="6096" w:type="dxa"/>
            <w:shd w:val="clear" w:color="auto" w:fill="FFFFFF"/>
            <w:vAlign w:val="center"/>
          </w:tcPr>
          <w:p>
            <w:pPr>
              <w:widowControl/>
              <w:spacing w:line="0" w:lineRule="atLeast"/>
              <w:rPr>
                <w:rFonts w:ascii="Times New Roman" w:hAnsi="Times New Roman"/>
                <w:color w:val="000000"/>
                <w:kern w:val="0"/>
                <w:sz w:val="22"/>
                <w:szCs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98</w:t>
            </w:r>
          </w:p>
        </w:tc>
      </w:tr>
    </w:tbl>
    <w:p>
      <w:pPr>
        <w:spacing w:line="560" w:lineRule="exact"/>
        <w:ind w:firstLine="200" w:firstLineChars="100"/>
        <w:rPr>
          <w:rFonts w:ascii="Times New Roman" w:hAnsi="Times New Roman"/>
          <w:bCs/>
          <w:sz w:val="32"/>
          <w:szCs w:val="32"/>
        </w:rPr>
        <w:sectPr>
          <w:footerReference r:id="rId3" w:type="default"/>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pPr>
      <w:r>
        <w:rPr>
          <w:rFonts w:ascii="Times New Roman" w:hAnsi="Times New Roman" w:eastAsia="仿宋_GB2312"/>
          <w:sz w:val="20"/>
          <w:szCs w:val="20"/>
        </w:rPr>
        <w:t>注：单位可以根据专项资金的管理要求和绩效要求增设个性指标。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6831"/>
        <w:tab w:val="clear" w:pos="4153"/>
        <w:tab w:val="clear" w:pos="8306"/>
      </w:tabs>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2</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2</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143E2C4F"/>
    <w:rsid w:val="0A5A2B81"/>
    <w:rsid w:val="0C3D03C7"/>
    <w:rsid w:val="143E2C4F"/>
    <w:rsid w:val="287E1DD8"/>
    <w:rsid w:val="55631BDF"/>
    <w:rsid w:val="567B6868"/>
    <w:rsid w:val="76E94683"/>
    <w:rsid w:val="7FEB2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customStyle="1" w:styleId="6">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4132</Words>
  <Characters>4381</Characters>
  <Lines>0</Lines>
  <Paragraphs>0</Paragraphs>
  <TotalTime>8</TotalTime>
  <ScaleCrop>false</ScaleCrop>
  <LinksUpToDate>false</LinksUpToDate>
  <CharactersWithSpaces>4401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2022-07-13T04:17:00Z</dcterms:created>
  <dc:creator>泸阳</dc:creator>
  <cp:lastModifiedBy>小蘑菇</cp:lastModifiedBy>
  <cp:lastPrinted>2023-07-26T02:21:06Z</cp:lastPrinted>
  <dcterms:modified xsi:type="dcterms:W3CDTF">2023-07-26T02:21:21Z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80364801963A41EFB4225FA4AA231B86</vt:lpwstr>
  </property>
</Properties>
</file>