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line="7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202</w:t>
      </w:r>
      <w:r>
        <w:rPr>
          <w:rFonts w:hint="eastAsia" w:ascii="方正小标宋简体" w:hAnsi="方正小标宋简体" w:eastAsia="方正小标宋简体" w:cs="方正小标宋简体"/>
          <w:bCs/>
          <w:sz w:val="44"/>
          <w:szCs w:val="44"/>
          <w:lang w:val="en-US" w:eastAsia="zh-CN"/>
        </w:rPr>
        <w:t>2</w:t>
      </w:r>
      <w:r>
        <w:rPr>
          <w:rFonts w:hint="eastAsia" w:ascii="方正小标宋简体" w:hAnsi="方正小标宋简体" w:eastAsia="方正小标宋简体" w:cs="方正小标宋简体"/>
          <w:bCs/>
          <w:sz w:val="44"/>
          <w:szCs w:val="44"/>
        </w:rPr>
        <w:t>年度中方县</w:t>
      </w:r>
      <w:r>
        <w:rPr>
          <w:rFonts w:hint="eastAsia" w:ascii="方正小标宋简体" w:hAnsi="方正小标宋简体" w:eastAsia="方正小标宋简体" w:cs="方正小标宋简体"/>
          <w:bCs/>
          <w:sz w:val="44"/>
          <w:szCs w:val="44"/>
          <w:lang w:eastAsia="zh-CN"/>
        </w:rPr>
        <w:t>铜湾镇和村</w:t>
      </w:r>
      <w:r>
        <w:rPr>
          <w:rFonts w:hint="eastAsia" w:ascii="方正小标宋简体" w:hAnsi="方正小标宋简体" w:eastAsia="方正小标宋简体" w:cs="方正小标宋简体"/>
          <w:bCs/>
          <w:sz w:val="44"/>
          <w:szCs w:val="44"/>
        </w:rPr>
        <w:t>村</w:t>
      </w:r>
      <w:r>
        <w:rPr>
          <w:rFonts w:hint="eastAsia" w:ascii="方正小标宋简体" w:hAnsi="方正小标宋简体" w:eastAsia="方正小标宋简体" w:cs="方正小标宋简体"/>
          <w:bCs/>
          <w:sz w:val="44"/>
          <w:szCs w:val="44"/>
          <w:lang w:eastAsia="zh-CN"/>
        </w:rPr>
        <w:t>市级同心美丽乡村建设资金</w:t>
      </w:r>
      <w:r>
        <w:rPr>
          <w:rFonts w:hint="eastAsia" w:ascii="方正小标宋简体" w:hAnsi="方正小标宋简体" w:eastAsia="方正小标宋简体" w:cs="方正小标宋简体"/>
          <w:bCs/>
          <w:sz w:val="44"/>
          <w:szCs w:val="44"/>
        </w:rPr>
        <w:t>支出绩效自评报告</w:t>
      </w:r>
    </w:p>
    <w:p>
      <w:pPr>
        <w:jc w:val="center"/>
        <w:rPr>
          <w:rFonts w:ascii="仿宋_GB2312"/>
          <w:szCs w:val="30"/>
        </w:rPr>
      </w:pP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一、基本情况</w:t>
      </w:r>
    </w:p>
    <w:p>
      <w:pPr>
        <w:spacing w:after="0" w:line="600" w:lineRule="exact"/>
        <w:ind w:firstLine="640" w:firstLineChars="200"/>
        <w:outlineLvl w:val="0"/>
        <w:rPr>
          <w:rFonts w:hint="default" w:ascii="仿宋" w:hAnsi="仿宋" w:eastAsia="仿宋" w:cs="仿宋"/>
          <w:sz w:val="32"/>
          <w:szCs w:val="32"/>
          <w:lang w:val="en-US"/>
        </w:rPr>
      </w:pPr>
      <w:r>
        <w:rPr>
          <w:rFonts w:hint="eastAsia" w:ascii="仿宋" w:hAnsi="仿宋" w:eastAsia="仿宋" w:cs="仿宋"/>
          <w:sz w:val="32"/>
          <w:szCs w:val="32"/>
        </w:rPr>
        <w:t>（一）项目</w:t>
      </w:r>
      <w:r>
        <w:rPr>
          <w:rFonts w:hint="eastAsia" w:ascii="仿宋" w:hAnsi="仿宋" w:eastAsia="仿宋" w:cs="仿宋"/>
          <w:sz w:val="32"/>
          <w:szCs w:val="32"/>
          <w:lang w:eastAsia="zh-CN"/>
        </w:rPr>
        <w:t>概况</w:t>
      </w:r>
      <w:r>
        <w:rPr>
          <w:rFonts w:hint="eastAsia" w:ascii="仿宋" w:hAnsi="仿宋" w:eastAsia="仿宋" w:cs="仿宋"/>
          <w:sz w:val="32"/>
          <w:szCs w:val="32"/>
          <w:lang w:val="en-US" w:eastAsia="zh-CN"/>
        </w:rPr>
        <w:t>。和村是铜湾镇沅水经济带重点村，是村级集体经济强冲，以生态蔬菜，特色水果，特色养殖支柱产业，创建产业基地2个，其中蔬菜基地120亩，优质柑橘基地380亩。</w:t>
      </w:r>
    </w:p>
    <w:p>
      <w:pPr>
        <w:spacing w:after="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（二）项目绩效目标。</w:t>
      </w:r>
      <w:r>
        <w:rPr>
          <w:rFonts w:hint="eastAsia" w:ascii="仿宋" w:hAnsi="仿宋" w:eastAsia="仿宋" w:cs="仿宋"/>
          <w:sz w:val="32"/>
          <w:szCs w:val="32"/>
          <w:lang w:eastAsia="zh-CN"/>
        </w:rPr>
        <w:t>完成蔬菜基地种植</w:t>
      </w:r>
      <w:r>
        <w:rPr>
          <w:rFonts w:hint="eastAsia" w:ascii="仿宋" w:hAnsi="仿宋" w:eastAsia="仿宋" w:cs="仿宋"/>
          <w:sz w:val="32"/>
          <w:szCs w:val="32"/>
          <w:lang w:val="en-US" w:eastAsia="zh-CN"/>
        </w:rPr>
        <w:t>120亩</w:t>
      </w:r>
      <w:r>
        <w:rPr>
          <w:rFonts w:hint="eastAsia" w:ascii="仿宋" w:hAnsi="仿宋" w:eastAsia="仿宋" w:cs="仿宋"/>
          <w:sz w:val="32"/>
          <w:szCs w:val="32"/>
        </w:rPr>
        <w:t>。</w:t>
      </w:r>
      <w:r>
        <w:rPr>
          <w:rFonts w:hint="eastAsia" w:ascii="仿宋" w:hAnsi="仿宋" w:eastAsia="仿宋" w:cs="仿宋"/>
          <w:sz w:val="32"/>
          <w:szCs w:val="32"/>
          <w:lang w:eastAsia="zh-CN"/>
        </w:rPr>
        <w:t>加大人居环境整治，治理排水沟，安装竹篱笆，村主干道的建筑手绘墙绘；</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二、绩效评价工作开展情况</w:t>
      </w:r>
    </w:p>
    <w:p>
      <w:pPr>
        <w:spacing w:after="0" w:line="60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（一）绩效评价目的。</w:t>
      </w:r>
      <w:r>
        <w:rPr>
          <w:rFonts w:hint="eastAsia" w:ascii="仿宋" w:hAnsi="仿宋" w:eastAsia="仿宋" w:cs="仿宋"/>
          <w:sz w:val="32"/>
          <w:szCs w:val="32"/>
          <w:lang w:eastAsia="zh-CN"/>
        </w:rPr>
        <w:t>通过系统整理和分析项目投入、管理、效果等情况，对其经济性效率性效益性及公平性进行客观公正地测量分析和评判，同时梳理存在的主要问题，提出后继管理建议，为下一步实施预算绩效管理奠定基础。</w:t>
      </w:r>
    </w:p>
    <w:p>
      <w:pPr>
        <w:spacing w:after="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（二）绩效评价原则。</w:t>
      </w:r>
      <w:r>
        <w:rPr>
          <w:rFonts w:hint="eastAsia" w:ascii="仿宋" w:hAnsi="仿宋" w:eastAsia="仿宋" w:cs="仿宋"/>
          <w:sz w:val="32"/>
          <w:szCs w:val="32"/>
          <w:lang w:eastAsia="zh-CN"/>
        </w:rPr>
        <w:t>此次评价以科学规范、公开公正、独立客观为原则，评价小组对发现的问题及时处理，保证评价经果的准确性和科学性。</w:t>
      </w:r>
    </w:p>
    <w:p>
      <w:pPr>
        <w:spacing w:after="0" w:line="60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（三）绩效评价工作过程。</w:t>
      </w:r>
      <w:r>
        <w:rPr>
          <w:rFonts w:hint="eastAsia" w:ascii="仿宋" w:hAnsi="仿宋" w:eastAsia="仿宋" w:cs="仿宋"/>
          <w:sz w:val="32"/>
          <w:szCs w:val="32"/>
          <w:lang w:eastAsia="zh-CN"/>
        </w:rPr>
        <w:t>前期沟通并成立绩效评价小组，搜集项目资料，全面了解项目基本情况，同时设计评价方案。中期评价小组开展实地调研及数据采集、整理、分析，并对发现的问题进行原因解释。最后撰写工作报告，总结经验，分析不足，并针对存在问题提出改进建议。</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三、综合评价情况及评价结论</w:t>
      </w:r>
    </w:p>
    <w:p>
      <w:pPr>
        <w:spacing w:after="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经评价小组结合全面数据分析，完成优质蔬菜种植。加大人居环境整治，改善村容村貌。</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四、绩效评价指标分析</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lang w:eastAsia="zh-CN"/>
        </w:rPr>
        <w:t>部分指标制定不切合工作实际。部分指标制定时过分注重上级的考核指标，没有考虑实际建设工作需要，与实际建设工作落实与考核的结合力度不强。</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五、存在的问题及原因分析</w:t>
      </w:r>
    </w:p>
    <w:p>
      <w:pPr>
        <w:spacing w:after="0" w:line="600" w:lineRule="exact"/>
        <w:ind w:firstLine="640" w:firstLineChars="200"/>
        <w:outlineLvl w:val="0"/>
        <w:rPr>
          <w:rFonts w:hint="eastAsia" w:ascii="仿宋" w:hAnsi="仿宋" w:eastAsia="仿宋" w:cs="仿宋"/>
          <w:sz w:val="32"/>
          <w:szCs w:val="32"/>
          <w:lang w:eastAsia="zh-CN"/>
        </w:rPr>
      </w:pPr>
      <w:r>
        <w:rPr>
          <w:rFonts w:hint="eastAsia" w:ascii="仿宋" w:hAnsi="仿宋" w:eastAsia="仿宋" w:cs="仿宋"/>
          <w:sz w:val="32"/>
          <w:szCs w:val="32"/>
          <w:lang w:eastAsia="zh-CN"/>
        </w:rPr>
        <w:t>加强村两委班子集中管理，基层治理，组织专门力量制定同心美丽宣传发展规划。</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六、有关建议</w:t>
      </w:r>
    </w:p>
    <w:p>
      <w:pPr>
        <w:spacing w:after="0" w:line="600" w:lineRule="exact"/>
        <w:ind w:firstLine="640" w:firstLineChars="200"/>
        <w:outlineLvl w:val="0"/>
        <w:rPr>
          <w:rFonts w:hint="eastAsia" w:ascii="仿宋" w:hAnsi="仿宋" w:eastAsia="仿宋" w:cs="仿宋"/>
          <w:sz w:val="32"/>
          <w:szCs w:val="32"/>
          <w:lang w:eastAsia="zh-CN"/>
        </w:rPr>
      </w:pPr>
      <w:r>
        <w:rPr>
          <w:rFonts w:hint="eastAsia" w:ascii="仿宋" w:hAnsi="仿宋" w:eastAsia="仿宋" w:cs="仿宋"/>
          <w:sz w:val="32"/>
          <w:szCs w:val="32"/>
          <w:lang w:eastAsia="zh-CN"/>
        </w:rPr>
        <w:t>要将环境卫生也纳入到验收内容中来。同时，要尽量帮助村民减少损失，以免出再返贫现象。</w:t>
      </w:r>
    </w:p>
    <w:p>
      <w:pPr>
        <w:spacing w:after="0" w:line="60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七、其他需要说明的事</w:t>
      </w:r>
    </w:p>
    <w:p>
      <w:pPr>
        <w:spacing w:after="0" w:line="600" w:lineRule="exact"/>
        <w:ind w:firstLine="640" w:firstLineChars="200"/>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要坚决防止和克服形式主义、走过场，坚决制止弄虚作假、欺上瞒下的现象。</w:t>
      </w:r>
    </w:p>
    <w:p>
      <w:pPr>
        <w:rPr>
          <w:rFonts w:hint="eastAsia" w:ascii="黑体" w:hAnsi="黑体" w:eastAsia="黑体" w:cs="黑体"/>
          <w:sz w:val="32"/>
          <w:szCs w:val="32"/>
          <w:lang w:eastAsia="zh-CN"/>
        </w:rPr>
      </w:pPr>
    </w:p>
    <w:p>
      <w:pPr>
        <w:rPr>
          <w:rFonts w:hint="default" w:ascii="黑体" w:hAnsi="黑体" w:eastAsia="黑体" w:cs="黑体"/>
          <w:sz w:val="32"/>
          <w:szCs w:val="32"/>
          <w:lang w:val="en-US" w:eastAsia="zh-CN"/>
        </w:rPr>
        <w:sectPr>
          <w:footerReference r:id="rId4" w:type="default"/>
          <w:pgSz w:w="11906" w:h="16838"/>
          <w:pgMar w:top="1587" w:right="1587" w:bottom="1587" w:left="1587" w:header="708" w:footer="709" w:gutter="0"/>
          <w:cols w:space="0" w:num="1"/>
          <w:docGrid w:linePitch="360" w:charSpace="0"/>
        </w:sectPr>
      </w:pPr>
      <w:r>
        <w:rPr>
          <w:rFonts w:hint="eastAsia" w:ascii="黑体" w:hAnsi="黑体" w:eastAsia="黑体" w:cs="黑体"/>
          <w:sz w:val="32"/>
          <w:szCs w:val="32"/>
          <w:lang w:val="en-US" w:eastAsia="zh-CN"/>
        </w:rPr>
        <w:t xml:space="preserve">  </w:t>
      </w:r>
    </w:p>
    <w:tbl>
      <w:tblPr>
        <w:tblStyle w:val="4"/>
        <w:tblW w:w="151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80"/>
        <w:gridCol w:w="1080"/>
        <w:gridCol w:w="1080"/>
        <w:gridCol w:w="1080"/>
        <w:gridCol w:w="1080"/>
        <w:gridCol w:w="1080"/>
        <w:gridCol w:w="1080"/>
        <w:gridCol w:w="1080"/>
        <w:gridCol w:w="1080"/>
        <w:gridCol w:w="1080"/>
        <w:gridCol w:w="1080"/>
        <w:gridCol w:w="1080"/>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40" w:hRule="atLeast"/>
        </w:trPr>
        <w:tc>
          <w:tcPr>
            <w:tcW w:w="15120" w:type="dxa"/>
            <w:gridSpan w:val="14"/>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color w:val="000000"/>
                <w:sz w:val="44"/>
                <w:szCs w:val="44"/>
                <w:u w:val="none"/>
              </w:rPr>
            </w:pPr>
            <w:r>
              <w:rPr>
                <w:rFonts w:hint="default" w:ascii="方正小标宋简体" w:hAnsi="方正小标宋简体" w:eastAsia="方正小标宋简体" w:cs="方正小标宋简体"/>
                <w:i w:val="0"/>
                <w:color w:val="000000"/>
                <w:kern w:val="0"/>
                <w:sz w:val="44"/>
                <w:szCs w:val="44"/>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5120" w:type="dxa"/>
            <w:gridSpan w:val="14"/>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1296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费家田村西瓜大棚拆除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6</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6</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6</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6</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6</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6</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bookmarkStart w:id="0" w:name="_GoBack"/>
            <w:bookmarkEnd w:id="0"/>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保证村级正常运转</w:t>
            </w: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村级运转正常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绩</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324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完成值</w:t>
            </w: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服务人数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1648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1648</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工程开支支付到位率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项目工作完成时间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2021年7月之前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2021年7月之前</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工程支出费用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6万</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正常运转需要保障资金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应保尽保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应保尽保</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群众满意度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微软雅黑"/>
                <w:i w:val="0"/>
                <w:color w:val="000000"/>
                <w:sz w:val="18"/>
                <w:szCs w:val="18"/>
                <w:u w:val="none"/>
              </w:rPr>
            </w:pPr>
            <w:r>
              <w:rPr>
                <w:rFonts w:hint="eastAsia" w:ascii="微软雅黑" w:hAnsi="微软雅黑" w:eastAsia="微软雅黑" w:cs="微软雅黑"/>
                <w:i w:val="0"/>
                <w:color w:val="000000"/>
                <w:kern w:val="0"/>
                <w:sz w:val="18"/>
                <w:szCs w:val="18"/>
                <w:u w:val="none"/>
                <w:lang w:val="en-US" w:eastAsia="zh-CN" w:bidi="ar"/>
              </w:rPr>
              <w:t>95%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color w:val="000000"/>
                <w:sz w:val="18"/>
                <w:szCs w:val="18"/>
                <w:u w:val="none"/>
              </w:rPr>
            </w:pPr>
            <w:r>
              <w:rPr>
                <w:rFonts w:hint="eastAsia" w:ascii="微软雅黑" w:hAnsi="微软雅黑" w:eastAsia="微软雅黑" w:cs="微软雅黑"/>
                <w:i w:val="0"/>
                <w:color w:val="000000"/>
                <w:kern w:val="0"/>
                <w:sz w:val="18"/>
                <w:szCs w:val="18"/>
                <w:u w:val="none"/>
                <w:lang w:val="en-US" w:eastAsia="zh-CN" w:bidi="ar"/>
              </w:rPr>
              <w:t>95%</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6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96</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bl>
    <w:p>
      <w:pPr>
        <w:spacing w:after="0"/>
        <w:rPr>
          <w:rFonts w:ascii="宋体" w:hAnsi="宋体" w:eastAsia="宋体" w:cs="宋体"/>
          <w:color w:val="000000"/>
          <w:sz w:val="24"/>
          <w:szCs w:val="24"/>
        </w:rPr>
      </w:pPr>
    </w:p>
    <w:p>
      <w:pPr>
        <w:spacing w:after="0" w:line="0" w:lineRule="atLeast"/>
        <w:rPr>
          <w:rFonts w:ascii="黑体" w:hAnsi="黑体" w:eastAsia="黑体" w:cs="黑体"/>
          <w:color w:val="000000"/>
          <w:sz w:val="28"/>
          <w:szCs w:val="28"/>
        </w:rPr>
      </w:pPr>
      <w:r>
        <w:rPr>
          <w:rFonts w:hint="eastAsia" w:ascii="黑体" w:hAnsi="黑体" w:eastAsia="黑体" w:cs="黑体"/>
          <w:color w:val="000000"/>
          <w:sz w:val="28"/>
          <w:szCs w:val="28"/>
        </w:rPr>
        <w:t>附件3：</w:t>
      </w:r>
    </w:p>
    <w:p>
      <w:pPr>
        <w:spacing w:after="0" w:line="7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项目支出绩效评价指标体系</w:t>
      </w:r>
    </w:p>
    <w:tbl>
      <w:tblPr>
        <w:tblStyle w:val="4"/>
        <w:tblW w:w="14116"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12"/>
        <w:gridCol w:w="713"/>
        <w:gridCol w:w="839"/>
        <w:gridCol w:w="437"/>
        <w:gridCol w:w="2881"/>
        <w:gridCol w:w="7361"/>
        <w:gridCol w:w="137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512"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一级指标</w:t>
            </w:r>
          </w:p>
        </w:tc>
        <w:tc>
          <w:tcPr>
            <w:tcW w:w="713"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二级指标</w:t>
            </w:r>
          </w:p>
        </w:tc>
        <w:tc>
          <w:tcPr>
            <w:tcW w:w="839"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三级指标</w:t>
            </w:r>
          </w:p>
        </w:tc>
        <w:tc>
          <w:tcPr>
            <w:tcW w:w="437" w:type="dxa"/>
            <w:shd w:val="clear" w:color="auto" w:fill="FFFFFF"/>
            <w:vAlign w:val="center"/>
          </w:tcPr>
          <w:p>
            <w:pPr>
              <w:spacing w:after="0" w:line="0" w:lineRule="atLeast"/>
              <w:jc w:val="center"/>
              <w:rPr>
                <w:rFonts w:hint="eastAsia" w:ascii="宋体" w:hAnsi="宋体" w:eastAsia="宋体" w:cs="宋体"/>
                <w:b/>
                <w:bCs/>
                <w:color w:val="000000"/>
                <w:lang w:eastAsia="zh-CN"/>
              </w:rPr>
            </w:pPr>
            <w:r>
              <w:rPr>
                <w:rFonts w:hint="eastAsia" w:ascii="宋体" w:hAnsi="宋体" w:eastAsia="宋体" w:cs="宋体"/>
                <w:b/>
                <w:bCs/>
                <w:color w:val="000000"/>
                <w:lang w:eastAsia="zh-CN"/>
              </w:rPr>
              <w:t>分值</w:t>
            </w:r>
          </w:p>
        </w:tc>
        <w:tc>
          <w:tcPr>
            <w:tcW w:w="2881"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指标解释</w:t>
            </w:r>
          </w:p>
        </w:tc>
        <w:tc>
          <w:tcPr>
            <w:tcW w:w="7361"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指标说明</w:t>
            </w:r>
          </w:p>
        </w:tc>
        <w:tc>
          <w:tcPr>
            <w:tcW w:w="1373" w:type="dxa"/>
            <w:shd w:val="clear" w:color="auto" w:fill="FFFFFF"/>
            <w:vAlign w:val="center"/>
          </w:tcPr>
          <w:p>
            <w:pPr>
              <w:spacing w:after="0" w:line="0" w:lineRule="atLeast"/>
              <w:jc w:val="center"/>
              <w:rPr>
                <w:rFonts w:hint="eastAsia" w:ascii="宋体" w:hAnsi="宋体" w:eastAsia="宋体" w:cs="宋体"/>
                <w:b/>
                <w:bCs/>
                <w:color w:val="000000"/>
                <w:lang w:eastAsia="zh-CN"/>
              </w:rPr>
            </w:pPr>
            <w:r>
              <w:rPr>
                <w:rFonts w:hint="eastAsia" w:ascii="宋体" w:hAnsi="宋体" w:eastAsia="宋体" w:cs="宋体"/>
                <w:b/>
                <w:bCs/>
                <w:color w:val="000000"/>
                <w:lang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12"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决策　</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项目立项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立项依据</w:t>
            </w:r>
          </w:p>
          <w:p>
            <w:pPr>
              <w:spacing w:after="0" w:line="0" w:lineRule="atLeast"/>
              <w:jc w:val="center"/>
              <w:rPr>
                <w:rFonts w:ascii="宋体" w:hAnsi="宋体" w:eastAsia="宋体" w:cs="宋体"/>
                <w:color w:val="000000"/>
              </w:rPr>
            </w:pPr>
            <w:r>
              <w:rPr>
                <w:rFonts w:hint="eastAsia" w:ascii="宋体" w:hAnsi="宋体" w:eastAsia="宋体" w:cs="宋体"/>
                <w:color w:val="000000"/>
              </w:rPr>
              <w:t>充分性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10</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项目立项是否符合法律法规、相关政策、发展规划以及部门职责，用以反映和考核项目立项依据情况。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①项目立项是否符合国家法律法规、国民经济发展规划和相关政策；</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②项目立项是否符合行业发展规划和政策要求；</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③项目立项是否与部门职责范围相符，属于部门履职所需；</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④项目是否属于公共财政支持范围，是否符合中央、地方事权支出责任划分原则；</w:t>
            </w:r>
          </w:p>
          <w:p>
            <w:pPr>
              <w:spacing w:after="0" w:line="0" w:lineRule="atLeast"/>
              <w:rPr>
                <w:rFonts w:ascii="宋体" w:hAnsi="宋体" w:eastAsia="宋体" w:cs="宋体"/>
                <w:color w:val="000000"/>
              </w:rPr>
            </w:pPr>
            <w:r>
              <w:rPr>
                <w:rFonts w:hint="eastAsia" w:ascii="宋体" w:hAnsi="宋体" w:eastAsia="宋体" w:cs="宋体"/>
                <w:color w:val="000000"/>
              </w:rPr>
              <w:t>⑤项目是否与相关部门同类项目或部门内部相关项目重复。</w:t>
            </w:r>
          </w:p>
        </w:tc>
        <w:tc>
          <w:tcPr>
            <w:tcW w:w="1373" w:type="dxa"/>
            <w:shd w:val="clear" w:color="auto" w:fill="FFFFFF"/>
            <w:vAlign w:val="center"/>
          </w:tcPr>
          <w:p>
            <w:pPr>
              <w:spacing w:after="0" w:line="0" w:lineRule="atLeast"/>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立项程序</w:t>
            </w:r>
          </w:p>
          <w:p>
            <w:pPr>
              <w:spacing w:after="0" w:line="0" w:lineRule="atLeast"/>
              <w:jc w:val="center"/>
              <w:rPr>
                <w:rFonts w:ascii="宋体" w:hAnsi="宋体" w:eastAsia="宋体" w:cs="宋体"/>
                <w:color w:val="000000"/>
              </w:rPr>
            </w:pPr>
            <w:r>
              <w:rPr>
                <w:rFonts w:hint="eastAsia" w:ascii="宋体" w:hAnsi="宋体" w:eastAsia="宋体" w:cs="宋体"/>
                <w:color w:val="000000"/>
              </w:rPr>
              <w:t>规范性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项目申请、设立过程是否符合相关要求，用以反映和考核项目立项的规范情况。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①项目是否按照规定的程序申请设立；</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②审批文件、材料是否符合相关要求；</w:t>
            </w:r>
          </w:p>
          <w:p>
            <w:pPr>
              <w:spacing w:after="0" w:line="0" w:lineRule="atLeast"/>
              <w:rPr>
                <w:rFonts w:ascii="宋体" w:hAnsi="宋体" w:eastAsia="宋体" w:cs="宋体"/>
                <w:color w:val="000000"/>
              </w:rPr>
            </w:pPr>
            <w:r>
              <w:rPr>
                <w:rFonts w:hint="eastAsia" w:ascii="宋体" w:hAnsi="宋体" w:eastAsia="宋体" w:cs="宋体"/>
                <w:color w:val="000000"/>
              </w:rPr>
              <w:t>③事前是否已经过必要的可行性研究、专家论证、风险评估、绩效评估、集体决策。</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w:t>
            </w:r>
          </w:p>
          <w:p>
            <w:pPr>
              <w:spacing w:after="0" w:line="0" w:lineRule="atLeast"/>
              <w:jc w:val="center"/>
              <w:rPr>
                <w:rFonts w:ascii="宋体" w:hAnsi="宋体" w:eastAsia="宋体" w:cs="宋体"/>
                <w:color w:val="000000"/>
              </w:rPr>
            </w:pPr>
            <w:r>
              <w:rPr>
                <w:rFonts w:hint="eastAsia" w:ascii="宋体" w:hAnsi="宋体" w:eastAsia="宋体" w:cs="宋体"/>
                <w:color w:val="000000"/>
              </w:rPr>
              <w:t>合理性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项目所设定的绩效目标是否依据充分，是否符合客观实际，用以反映和考核项目绩效目标与项目实施的相符情况。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（如未设定预算绩效目标，也可考核其他工作任务目标）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①项目是否有绩效目标；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②项目绩效目标与实际工作内容是否具有相关性；</w:t>
            </w:r>
          </w:p>
          <w:p>
            <w:pPr>
              <w:spacing w:after="0" w:line="0" w:lineRule="atLeast"/>
              <w:rPr>
                <w:rFonts w:ascii="宋体" w:hAnsi="宋体" w:eastAsia="宋体" w:cs="宋体"/>
                <w:color w:val="000000"/>
              </w:rPr>
            </w:pPr>
            <w:r>
              <w:rPr>
                <w:rFonts w:hint="eastAsia" w:ascii="宋体" w:hAnsi="宋体" w:eastAsia="宋体" w:cs="宋体"/>
                <w:color w:val="000000"/>
              </w:rPr>
              <w:t>③项目预期产出效益和效果是否符合正常的业绩水平；</w:t>
            </w:r>
          </w:p>
          <w:p>
            <w:pPr>
              <w:spacing w:after="0" w:line="0" w:lineRule="atLeast"/>
              <w:rPr>
                <w:rFonts w:ascii="宋体" w:hAnsi="宋体" w:eastAsia="宋体" w:cs="宋体"/>
                <w:color w:val="000000"/>
              </w:rPr>
            </w:pPr>
            <w:r>
              <w:rPr>
                <w:rFonts w:hint="eastAsia" w:ascii="宋体" w:hAnsi="宋体" w:eastAsia="宋体" w:cs="宋体"/>
                <w:color w:val="000000"/>
              </w:rPr>
              <w:t>④是否与预算确定的项目投资额或资金量相匹配。</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56"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决策　</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绩效指标</w:t>
            </w:r>
          </w:p>
          <w:p>
            <w:pPr>
              <w:spacing w:after="0" w:line="0" w:lineRule="atLeast"/>
              <w:jc w:val="center"/>
              <w:rPr>
                <w:rFonts w:ascii="宋体" w:hAnsi="宋体" w:eastAsia="宋体" w:cs="宋体"/>
                <w:color w:val="000000"/>
              </w:rPr>
            </w:pPr>
            <w:r>
              <w:rPr>
                <w:rFonts w:hint="eastAsia" w:ascii="宋体" w:hAnsi="宋体" w:eastAsia="宋体" w:cs="宋体"/>
                <w:color w:val="000000"/>
              </w:rPr>
              <w:t>明确性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依据绩效目标设定的绩效指标是否清晰、细化、可衡量等，用以反映和考核项目绩效目标的明细化情况。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①是否将项目绩效目标细化分解为具体的绩效指标；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②是否通过清晰、可衡量的指标值予以体现；</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③是否与项目目标任务数或计划数相对应。</w:t>
            </w:r>
          </w:p>
          <w:p>
            <w:pPr>
              <w:spacing w:after="0" w:line="0" w:lineRule="atLeast"/>
              <w:rPr>
                <w:rFonts w:hint="eastAsia" w:ascii="宋体" w:hAnsi="宋体" w:eastAsia="宋体" w:cs="宋体"/>
                <w:color w:val="000000"/>
                <w:lang w:eastAsia="zh-CN"/>
              </w:rPr>
            </w:pP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85"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资金投入</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预算编制</w:t>
            </w:r>
          </w:p>
          <w:p>
            <w:pPr>
              <w:spacing w:after="0" w:line="0" w:lineRule="atLeast"/>
              <w:jc w:val="center"/>
              <w:rPr>
                <w:rFonts w:ascii="宋体" w:hAnsi="宋体" w:eastAsia="宋体" w:cs="宋体"/>
                <w:color w:val="000000"/>
              </w:rPr>
            </w:pPr>
            <w:r>
              <w:rPr>
                <w:rFonts w:hint="eastAsia" w:ascii="宋体" w:hAnsi="宋体" w:eastAsia="宋体" w:cs="宋体"/>
                <w:color w:val="000000"/>
              </w:rPr>
              <w:t>科学性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项目预算编制是否经过科学论证、有明确标准，资金额度与年度目标是否相适应，用以反映和考核项目预算编制的科学性、合理性情况。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①预算编制是否经过科学论证；</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②预算内容与项目内容是否匹配；</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③预算额度测算依据是否充分，是否按照标准编制；</w:t>
            </w:r>
          </w:p>
          <w:p>
            <w:pPr>
              <w:spacing w:after="0" w:line="0" w:lineRule="atLeast"/>
              <w:rPr>
                <w:rFonts w:ascii="宋体" w:hAnsi="宋体" w:eastAsia="宋体" w:cs="宋体"/>
                <w:color w:val="000000"/>
              </w:rPr>
            </w:pPr>
            <w:r>
              <w:rPr>
                <w:rFonts w:hint="eastAsia" w:ascii="宋体" w:hAnsi="宋体" w:eastAsia="宋体" w:cs="宋体"/>
                <w:color w:val="000000"/>
              </w:rPr>
              <w:t>④预算确定的项目投资额或资金量是否与工作任务相匹配。</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8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资金分配</w:t>
            </w:r>
          </w:p>
          <w:p>
            <w:pPr>
              <w:spacing w:after="0" w:line="0" w:lineRule="atLeast"/>
              <w:jc w:val="center"/>
              <w:rPr>
                <w:rFonts w:ascii="宋体" w:hAnsi="宋体" w:eastAsia="宋体" w:cs="宋体"/>
                <w:color w:val="000000"/>
              </w:rPr>
            </w:pPr>
            <w:r>
              <w:rPr>
                <w:rFonts w:hint="eastAsia" w:ascii="宋体" w:hAnsi="宋体" w:eastAsia="宋体" w:cs="宋体"/>
                <w:color w:val="000000"/>
              </w:rPr>
              <w:t>合理性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项目预算资金分配是否有测算依据，与补助单位或地方实际是否相适应，用以反映和考核项目预算资金分配的科学性、合理性情况。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①预算资金分配依据是否充分；</w:t>
            </w:r>
          </w:p>
          <w:p>
            <w:pPr>
              <w:spacing w:after="0" w:line="0" w:lineRule="atLeast"/>
              <w:rPr>
                <w:rFonts w:ascii="宋体" w:hAnsi="宋体" w:eastAsia="宋体" w:cs="宋体"/>
                <w:color w:val="000000"/>
              </w:rPr>
            </w:pPr>
            <w:r>
              <w:rPr>
                <w:rFonts w:hint="eastAsia" w:ascii="宋体" w:hAnsi="宋体" w:eastAsia="宋体" w:cs="宋体"/>
                <w:color w:val="000000"/>
              </w:rPr>
              <w:t>②资金分配额度是否合理，与项目单位或地方实际是否相适应。</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37"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过程</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资金管理</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资金到位率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实际到位资金与预算资金的比率，用以反映和考核资金落实情况对项目实施的总体保障程度。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资金到位率=（实际到位资金/预算资金）×100%。</w:t>
            </w:r>
          </w:p>
          <w:p>
            <w:pPr>
              <w:spacing w:after="0" w:line="0" w:lineRule="atLeast"/>
              <w:rPr>
                <w:rFonts w:ascii="宋体" w:hAnsi="宋体" w:eastAsia="宋体" w:cs="宋体"/>
                <w:color w:val="000000"/>
              </w:rPr>
            </w:pPr>
            <w:r>
              <w:rPr>
                <w:rFonts w:hint="eastAsia" w:ascii="宋体" w:hAnsi="宋体" w:eastAsia="宋体" w:cs="宋体"/>
                <w:color w:val="000000"/>
              </w:rPr>
              <w:t>实际到位资金：一定时期（本年度或项目期）内落实到具体项目的资金。</w:t>
            </w:r>
          </w:p>
          <w:p>
            <w:pPr>
              <w:spacing w:after="0" w:line="0" w:lineRule="atLeast"/>
              <w:rPr>
                <w:rFonts w:ascii="宋体" w:hAnsi="宋体" w:eastAsia="宋体" w:cs="宋体"/>
                <w:color w:val="000000"/>
              </w:rPr>
            </w:pPr>
            <w:r>
              <w:rPr>
                <w:rFonts w:hint="eastAsia" w:ascii="宋体" w:hAnsi="宋体" w:eastAsia="宋体" w:cs="宋体"/>
                <w:color w:val="000000"/>
              </w:rPr>
              <w:t>预算资金：一定时期（本年度或项目期）内预算安排到具体项目的资金。</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14"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预算执行率</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项目预算资金是否按照计划执行，用以反映或考核项目预算执行情况。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预算执行率=（实际支出资金/实际到位资金）×100%。</w:t>
            </w:r>
          </w:p>
          <w:p>
            <w:pPr>
              <w:spacing w:after="0" w:line="0" w:lineRule="atLeast"/>
              <w:rPr>
                <w:rFonts w:ascii="宋体" w:hAnsi="宋体" w:eastAsia="宋体" w:cs="宋体"/>
                <w:color w:val="000000"/>
              </w:rPr>
            </w:pPr>
            <w:r>
              <w:rPr>
                <w:rFonts w:hint="eastAsia" w:ascii="宋体" w:hAnsi="宋体" w:eastAsia="宋体" w:cs="宋体"/>
                <w:color w:val="000000"/>
              </w:rPr>
              <w:t>实际支出资金：一定时期（本年度或项目期）内项目实际拨付的资金。</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　</w:t>
            </w:r>
          </w:p>
          <w:p>
            <w:pPr>
              <w:spacing w:after="0" w:line="0" w:lineRule="atLeast"/>
              <w:jc w:val="center"/>
              <w:rPr>
                <w:rFonts w:ascii="宋体" w:hAnsi="宋体" w:eastAsia="宋体" w:cs="宋体"/>
                <w:color w:val="000000"/>
              </w:rPr>
            </w:pPr>
            <w:r>
              <w:rPr>
                <w:rFonts w:hint="eastAsia" w:ascii="宋体" w:hAnsi="宋体" w:eastAsia="宋体" w:cs="宋体"/>
                <w:color w:val="000000"/>
              </w:rPr>
              <w:t>过程　</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资金管理</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资金使用</w:t>
            </w:r>
          </w:p>
          <w:p>
            <w:pPr>
              <w:spacing w:after="0" w:line="0" w:lineRule="atLeast"/>
              <w:jc w:val="center"/>
              <w:rPr>
                <w:rFonts w:ascii="宋体" w:hAnsi="宋体" w:eastAsia="宋体" w:cs="宋体"/>
                <w:color w:val="000000"/>
              </w:rPr>
            </w:pPr>
            <w:r>
              <w:rPr>
                <w:rFonts w:hint="eastAsia" w:ascii="宋体" w:hAnsi="宋体" w:eastAsia="宋体" w:cs="宋体"/>
                <w:color w:val="000000"/>
              </w:rPr>
              <w:t>合规性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项目资金使用是否符合相关的财务管理制度规定，用以反映和考核项目资金的规范运行情况。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①是否符合国家财经法规和财务管理制度以及有关专项资金管理办法的规定；</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②资金的拨付是否有完整的审批程序和手续；</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③是否符合项目预算批复或合同规定的用途；</w:t>
            </w:r>
          </w:p>
          <w:p>
            <w:pPr>
              <w:spacing w:after="0" w:line="0" w:lineRule="atLeast"/>
              <w:rPr>
                <w:rFonts w:ascii="宋体" w:hAnsi="宋体" w:eastAsia="宋体" w:cs="宋体"/>
                <w:color w:val="000000"/>
              </w:rPr>
            </w:pPr>
            <w:r>
              <w:rPr>
                <w:rFonts w:hint="eastAsia" w:ascii="宋体" w:hAnsi="宋体" w:eastAsia="宋体" w:cs="宋体"/>
                <w:color w:val="000000"/>
              </w:rPr>
              <w:t>④是否存在截留、挤占、挪用、虚列支出等情况。</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组织实施</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管理制度</w:t>
            </w:r>
          </w:p>
          <w:p>
            <w:pPr>
              <w:spacing w:after="0" w:line="0" w:lineRule="atLeast"/>
              <w:jc w:val="center"/>
              <w:rPr>
                <w:rFonts w:ascii="宋体" w:hAnsi="宋体" w:eastAsia="宋体" w:cs="宋体"/>
                <w:color w:val="000000"/>
              </w:rPr>
            </w:pPr>
            <w:r>
              <w:rPr>
                <w:rFonts w:hint="eastAsia" w:ascii="宋体" w:hAnsi="宋体" w:eastAsia="宋体" w:cs="宋体"/>
                <w:color w:val="000000"/>
              </w:rPr>
              <w:t>健全性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项目实施单位的财务和业务管理制度是否健全，用以反映和考核财务和业务管理制度对项目顺利实施的保障情况。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①是否已制定或具有相应的财务和业务管理制度；</w:t>
            </w:r>
          </w:p>
          <w:p>
            <w:pPr>
              <w:spacing w:after="0" w:line="0" w:lineRule="atLeast"/>
              <w:rPr>
                <w:rFonts w:ascii="宋体" w:hAnsi="宋体" w:eastAsia="宋体" w:cs="宋体"/>
                <w:color w:val="000000"/>
              </w:rPr>
            </w:pPr>
            <w:r>
              <w:rPr>
                <w:rFonts w:hint="eastAsia" w:ascii="宋体" w:hAnsi="宋体" w:eastAsia="宋体" w:cs="宋体"/>
                <w:color w:val="000000"/>
              </w:rPr>
              <w:t>②财务和业务管理制度是否合法、合规、完整。</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制度执行</w:t>
            </w:r>
          </w:p>
          <w:p>
            <w:pPr>
              <w:spacing w:after="0" w:line="0" w:lineRule="atLeast"/>
              <w:jc w:val="center"/>
              <w:rPr>
                <w:rFonts w:ascii="宋体" w:hAnsi="宋体" w:eastAsia="宋体" w:cs="宋体"/>
                <w:color w:val="000000"/>
              </w:rPr>
            </w:pPr>
            <w:r>
              <w:rPr>
                <w:rFonts w:hint="eastAsia" w:ascii="宋体" w:hAnsi="宋体" w:eastAsia="宋体" w:cs="宋体"/>
                <w:color w:val="000000"/>
              </w:rPr>
              <w:t>有效性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项目实施是否符合相关管理规定，用以反映和考核相关管理制度的有效执行情况。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①是否遵守相关法律法规和相关管理规定；</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②项目调整及支出调整手续是否完备；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③项目合同书、验收报告、技术鉴定等资料是否齐全并及时归档；</w:t>
            </w:r>
          </w:p>
          <w:p>
            <w:pPr>
              <w:spacing w:after="0" w:line="0" w:lineRule="atLeast"/>
              <w:rPr>
                <w:rFonts w:ascii="宋体" w:hAnsi="宋体" w:eastAsia="宋体" w:cs="宋体"/>
                <w:color w:val="000000"/>
              </w:rPr>
            </w:pPr>
            <w:r>
              <w:rPr>
                <w:rFonts w:hint="eastAsia" w:ascii="宋体" w:hAnsi="宋体" w:eastAsia="宋体" w:cs="宋体"/>
                <w:color w:val="000000"/>
              </w:rPr>
              <w:t>④项目实施的人员条件、场地设备、信息支撑等是否落实到位。</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3" w:hRule="atLeast"/>
          <w:jc w:val="center"/>
        </w:trPr>
        <w:tc>
          <w:tcPr>
            <w:tcW w:w="512"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产出数量</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实际完成率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项目实施的实际产出数与计划产出数的比率，用以反映和考核项目产出数量目标的实现程度。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实际完成率=（实际产出数/计划产出数）×100%。</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实际产出数：一定时期（本年度或项目期）内项目实际产出的产品或提供的服务数量。</w:t>
            </w:r>
          </w:p>
          <w:p>
            <w:pPr>
              <w:spacing w:after="0" w:line="0" w:lineRule="atLeast"/>
              <w:rPr>
                <w:rFonts w:ascii="宋体" w:hAnsi="宋体" w:eastAsia="宋体" w:cs="宋体"/>
                <w:color w:val="000000"/>
              </w:rPr>
            </w:pPr>
            <w:r>
              <w:rPr>
                <w:rFonts w:hint="eastAsia" w:ascii="宋体" w:hAnsi="宋体" w:eastAsia="宋体" w:cs="宋体"/>
                <w:color w:val="000000"/>
              </w:rPr>
              <w:t>计划产出数：项目绩效目标确定的在一定时期（本年度或项目期）内计划产出的产品或提供的服务数量。</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73"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产出质量</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质量达标率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项目完成的质量达标产出数与实际产出数的比率，用以反映和考核项目产出质量目标的实现程度。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质量达标率=（质量达标产出数/实际产出数）×100%。</w:t>
            </w:r>
          </w:p>
          <w:p>
            <w:pPr>
              <w:spacing w:after="0" w:line="0" w:lineRule="atLeast"/>
              <w:rPr>
                <w:rFonts w:ascii="宋体" w:hAnsi="宋体" w:eastAsia="宋体" w:cs="宋体"/>
                <w:color w:val="000000"/>
              </w:rPr>
            </w:pPr>
            <w:r>
              <w:rPr>
                <w:rFonts w:hint="eastAsia" w:ascii="宋体" w:hAnsi="宋体" w:eastAsia="宋体" w:cs="宋体"/>
                <w:color w:val="000000"/>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06"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产出时效</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完成及时性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项目实际完成时间与计划完成时间的比较，用以反映和考核项目产出时效目标的实现程度。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实际完成时间：项目实施单位完成该项目实际所耗用的时间。</w:t>
            </w:r>
          </w:p>
          <w:p>
            <w:pPr>
              <w:spacing w:after="0" w:line="0" w:lineRule="atLeast"/>
              <w:rPr>
                <w:rFonts w:ascii="宋体" w:hAnsi="宋体" w:eastAsia="宋体" w:cs="宋体"/>
                <w:color w:val="000000"/>
              </w:rPr>
            </w:pPr>
            <w:r>
              <w:rPr>
                <w:rFonts w:hint="eastAsia" w:ascii="宋体" w:hAnsi="宋体" w:eastAsia="宋体" w:cs="宋体"/>
                <w:color w:val="000000"/>
              </w:rPr>
              <w:t>计划完成时间：按照项目实施计划或相关规定完成该项目所需的时间。</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71"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产出成本</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成本节约率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完成项目计划工作目标的实际节约成本与计划成本的比率，用以反映和考核项目的成本节约程度。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成本节约率=[（计划成本-实际成本）/计划成本]×100%。</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实际成本：项目实施单位如期、保质、保量完成既定工作目标实际所耗费的支出。</w:t>
            </w:r>
          </w:p>
          <w:p>
            <w:pPr>
              <w:spacing w:after="0" w:line="0" w:lineRule="atLeast"/>
              <w:rPr>
                <w:rFonts w:ascii="宋体" w:hAnsi="宋体" w:eastAsia="宋体" w:cs="宋体"/>
                <w:color w:val="000000"/>
              </w:rPr>
            </w:pPr>
            <w:r>
              <w:rPr>
                <w:rFonts w:hint="eastAsia" w:ascii="宋体" w:hAnsi="宋体" w:eastAsia="宋体" w:cs="宋体"/>
                <w:color w:val="000000"/>
              </w:rPr>
              <w:t>计划成本：项目实施单位为完成工作目标计划安排的支出，一般以项目预算为参考。</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64"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效益　</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项目效益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实施效益</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项目实施所产生的效益。</w:t>
            </w:r>
          </w:p>
        </w:tc>
        <w:tc>
          <w:tcPr>
            <w:tcW w:w="736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项目实施所产生的社会效益、经济效益、生态效益、可持续影响等。可根据项目实际情况有选择地设置和细化。</w:t>
            </w:r>
          </w:p>
        </w:tc>
        <w:tc>
          <w:tcPr>
            <w:tcW w:w="1373" w:type="dxa"/>
            <w:shd w:val="clear" w:color="auto"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12"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满意度</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社会公众或服务对象对项目实施效果的满意程度。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社会公众或服务对象是指因该项目实施而受到影响的部门（单位）、群体或个人。一般采取社会调查的方式。</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12" w:hRule="atLeast"/>
          <w:jc w:val="center"/>
        </w:trPr>
        <w:tc>
          <w:tcPr>
            <w:tcW w:w="512" w:type="dxa"/>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hint="eastAsia" w:ascii="宋体" w:hAnsi="宋体" w:eastAsia="宋体" w:cs="宋体"/>
                <w:color w:val="000000"/>
              </w:rPr>
            </w:pP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p>
        </w:tc>
        <w:tc>
          <w:tcPr>
            <w:tcW w:w="2881" w:type="dxa"/>
            <w:shd w:val="clear" w:color="000000" w:fill="FFFFFF"/>
            <w:vAlign w:val="center"/>
          </w:tcPr>
          <w:p>
            <w:pPr>
              <w:spacing w:after="0" w:line="0" w:lineRule="atLeast"/>
              <w:rPr>
                <w:rFonts w:hint="eastAsia" w:ascii="宋体" w:hAnsi="宋体" w:eastAsia="宋体" w:cs="宋体"/>
                <w:color w:val="000000"/>
              </w:rPr>
            </w:pPr>
          </w:p>
        </w:tc>
        <w:tc>
          <w:tcPr>
            <w:tcW w:w="7361" w:type="dxa"/>
            <w:shd w:val="clear" w:color="000000" w:fill="FFFFFF"/>
            <w:vAlign w:val="center"/>
          </w:tcPr>
          <w:p>
            <w:pPr>
              <w:spacing w:after="0" w:line="0" w:lineRule="atLeast"/>
              <w:jc w:val="right"/>
              <w:rPr>
                <w:rFonts w:hint="eastAsia" w:ascii="宋体" w:hAnsi="宋体" w:eastAsia="宋体" w:cs="宋体"/>
                <w:color w:val="000000"/>
                <w:lang w:eastAsia="zh-CN"/>
              </w:rPr>
            </w:pPr>
            <w:r>
              <w:rPr>
                <w:rFonts w:hint="eastAsia" w:ascii="宋体" w:hAnsi="宋体" w:eastAsia="宋体" w:cs="宋体"/>
                <w:color w:val="000000"/>
                <w:lang w:eastAsia="zh-CN"/>
              </w:rPr>
              <w:t>得分合计：</w:t>
            </w:r>
          </w:p>
        </w:tc>
        <w:tc>
          <w:tcPr>
            <w:tcW w:w="1373" w:type="dxa"/>
            <w:shd w:val="clear" w:color="000000" w:fill="FFFFFF"/>
            <w:vAlign w:val="center"/>
          </w:tcPr>
          <w:p>
            <w:pPr>
              <w:spacing w:after="0" w:line="0" w:lineRule="atLeast"/>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95</w:t>
            </w:r>
          </w:p>
        </w:tc>
      </w:tr>
    </w:tbl>
    <w:p/>
    <w:p>
      <w:pPr>
        <w:spacing w:after="0"/>
        <w:rPr>
          <w:rFonts w:ascii="宋体" w:hAnsi="宋体" w:eastAsia="宋体" w:cs="宋体"/>
          <w:color w:val="000000"/>
          <w:sz w:val="24"/>
          <w:szCs w:val="24"/>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altName w:val="黑体"/>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hdrShapeDefaults>
    <o:shapelayout v:ext="edit">
      <o:idmap v:ext="edit" data="3"/>
    </o:shapelayout>
  </w:hdrShapeDefault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lZTAzNWQ3MjMyMTYyZjAwZjU5MzIzMWFhNmY5MjEifQ=="/>
  </w:docVars>
  <w:rsids>
    <w:rsidRoot w:val="00D31D50"/>
    <w:rsid w:val="00066121"/>
    <w:rsid w:val="00091BC8"/>
    <w:rsid w:val="001500F1"/>
    <w:rsid w:val="00163425"/>
    <w:rsid w:val="001A6DB8"/>
    <w:rsid w:val="00323B43"/>
    <w:rsid w:val="00360D9A"/>
    <w:rsid w:val="003D37D8"/>
    <w:rsid w:val="00426133"/>
    <w:rsid w:val="004358AB"/>
    <w:rsid w:val="00463C76"/>
    <w:rsid w:val="005C7BA2"/>
    <w:rsid w:val="005D58DE"/>
    <w:rsid w:val="008B7726"/>
    <w:rsid w:val="00AF0306"/>
    <w:rsid w:val="00BB7A29"/>
    <w:rsid w:val="00C55800"/>
    <w:rsid w:val="00C635E3"/>
    <w:rsid w:val="00C90995"/>
    <w:rsid w:val="00D31D50"/>
    <w:rsid w:val="00E85223"/>
    <w:rsid w:val="00ED379F"/>
    <w:rsid w:val="00FA577D"/>
    <w:rsid w:val="02EE3660"/>
    <w:rsid w:val="03E2409E"/>
    <w:rsid w:val="0AA1052D"/>
    <w:rsid w:val="0DC45082"/>
    <w:rsid w:val="10DF0599"/>
    <w:rsid w:val="10F84BEB"/>
    <w:rsid w:val="12E71B09"/>
    <w:rsid w:val="13DA09E1"/>
    <w:rsid w:val="153D1B4F"/>
    <w:rsid w:val="163452D5"/>
    <w:rsid w:val="192810DD"/>
    <w:rsid w:val="1AED5EEB"/>
    <w:rsid w:val="1CCD60E9"/>
    <w:rsid w:val="1EDC5E47"/>
    <w:rsid w:val="1F176A87"/>
    <w:rsid w:val="217A696B"/>
    <w:rsid w:val="22247BBF"/>
    <w:rsid w:val="22637829"/>
    <w:rsid w:val="25DC5E46"/>
    <w:rsid w:val="26C422AA"/>
    <w:rsid w:val="2CE5674F"/>
    <w:rsid w:val="2EEE2BF6"/>
    <w:rsid w:val="2F2245DA"/>
    <w:rsid w:val="2F793A1F"/>
    <w:rsid w:val="310316CF"/>
    <w:rsid w:val="310B19E4"/>
    <w:rsid w:val="34CD18B6"/>
    <w:rsid w:val="35AD00DA"/>
    <w:rsid w:val="36E97F11"/>
    <w:rsid w:val="3A134870"/>
    <w:rsid w:val="414C4C6E"/>
    <w:rsid w:val="49603272"/>
    <w:rsid w:val="4C425F90"/>
    <w:rsid w:val="50330C31"/>
    <w:rsid w:val="510161A8"/>
    <w:rsid w:val="51713C0E"/>
    <w:rsid w:val="51B2726A"/>
    <w:rsid w:val="54023F9E"/>
    <w:rsid w:val="55397EB4"/>
    <w:rsid w:val="56D410F9"/>
    <w:rsid w:val="57572CCF"/>
    <w:rsid w:val="58FC3385"/>
    <w:rsid w:val="5993259A"/>
    <w:rsid w:val="5AA91505"/>
    <w:rsid w:val="5D494145"/>
    <w:rsid w:val="5EBB2DEA"/>
    <w:rsid w:val="60077599"/>
    <w:rsid w:val="61524309"/>
    <w:rsid w:val="61D57E6A"/>
    <w:rsid w:val="62C361FD"/>
    <w:rsid w:val="62DD6A0E"/>
    <w:rsid w:val="6386514C"/>
    <w:rsid w:val="6B427B3E"/>
    <w:rsid w:val="6CFC58D6"/>
    <w:rsid w:val="6EC66FF4"/>
    <w:rsid w:val="6FF62842"/>
    <w:rsid w:val="70877D29"/>
    <w:rsid w:val="71F62440"/>
    <w:rsid w:val="74F74709"/>
    <w:rsid w:val="78C95C35"/>
    <w:rsid w:val="78F662D3"/>
    <w:rsid w:val="7BA75723"/>
    <w:rsid w:val="7D7267D0"/>
    <w:rsid w:val="7F6628EB"/>
    <w:rsid w:val="7FB000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jc w:val="center"/>
    </w:pPr>
    <w:rPr>
      <w:sz w:val="18"/>
      <w:szCs w:val="18"/>
    </w:rPr>
  </w:style>
  <w:style w:type="character" w:styleId="6">
    <w:name w:val="Hyperlink"/>
    <w:basedOn w:val="5"/>
    <w:unhideWhenUsed/>
    <w:qFormat/>
    <w:uiPriority w:val="99"/>
    <w:rPr>
      <w:color w:val="333333"/>
      <w:u w:val="none"/>
    </w:rPr>
  </w:style>
  <w:style w:type="character" w:customStyle="1" w:styleId="7">
    <w:name w:val="页眉 Char"/>
    <w:basedOn w:val="5"/>
    <w:link w:val="3"/>
    <w:semiHidden/>
    <w:qFormat/>
    <w:uiPriority w:val="99"/>
    <w:rPr>
      <w:rFonts w:ascii="Tahoma" w:hAnsi="Tahoma"/>
      <w:sz w:val="18"/>
      <w:szCs w:val="18"/>
    </w:rPr>
  </w:style>
  <w:style w:type="character" w:customStyle="1" w:styleId="8">
    <w:name w:val="页脚 Char"/>
    <w:basedOn w:val="5"/>
    <w:link w:val="2"/>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3487</Words>
  <Characters>3561</Characters>
  <Lines>2</Lines>
  <Paragraphs>1</Paragraphs>
  <TotalTime>57</TotalTime>
  <ScaleCrop>false</ScaleCrop>
  <LinksUpToDate>false</LinksUpToDate>
  <CharactersWithSpaces>3585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小蘑菇</cp:lastModifiedBy>
  <dcterms:modified xsi:type="dcterms:W3CDTF">2023-07-24T08:23:47Z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77E68E2FD616478D81AAF6FE5BAF6BF1_13</vt:lpwstr>
  </property>
</Properties>
</file>