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firstLine="640" w:firstLineChars="200"/>
        <w:jc w:val="center"/>
        <w:textAlignment w:val="auto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eastAsia="zh-CN"/>
        </w:rPr>
        <w:t>中方县泸阳镇人民政府</w:t>
      </w: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/>
        </w:rPr>
        <w:t>2020</w:t>
      </w: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</w:rPr>
        <w:t>年度部门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firstLine="640" w:firstLineChars="200"/>
        <w:jc w:val="center"/>
        <w:textAlignment w:val="auto"/>
        <w:rPr>
          <w:rFonts w:ascii="宋体" w:hAnsi="宋体" w:cs="黑体"/>
          <w:b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</w:rPr>
        <w:t>整体支出绩效评价报告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eastAsia="zh-CN"/>
        </w:rPr>
        <w:t>一、中方县泸阳镇人民政府单位概况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640" w:firstLineChars="200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1、部门职责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firstLine="640" w:firstLineChars="200"/>
        <w:textAlignment w:val="auto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/>
          <w:sz w:val="32"/>
          <w:szCs w:val="24"/>
        </w:rPr>
        <w:t>我镇位于中方县西部，乡镇村经过行政区划调整改革，</w:t>
      </w:r>
      <w:r>
        <w:rPr>
          <w:rFonts w:hint="eastAsia" w:ascii="仿宋" w:hAnsi="仿宋" w:eastAsia="仿宋"/>
          <w:sz w:val="32"/>
          <w:szCs w:val="24"/>
          <w:lang w:eastAsia="zh-CN"/>
        </w:rPr>
        <w:t>泸阳</w:t>
      </w:r>
      <w:r>
        <w:rPr>
          <w:rFonts w:hint="eastAsia" w:ascii="仿宋" w:hAnsi="仿宋" w:eastAsia="仿宋"/>
          <w:sz w:val="32"/>
          <w:szCs w:val="24"/>
        </w:rPr>
        <w:t>镇辖11个自然行政村、3个居委会、358个村民小组，全镇人口</w:t>
      </w:r>
      <w:r>
        <w:rPr>
          <w:rFonts w:hint="eastAsia" w:ascii="仿宋" w:hAnsi="仿宋" w:eastAsia="仿宋"/>
          <w:color w:val="auto"/>
          <w:sz w:val="32"/>
          <w:szCs w:val="24"/>
          <w:lang w:val="en-US" w:eastAsia="zh-CN"/>
        </w:rPr>
        <w:t>43155</w:t>
      </w:r>
      <w:r>
        <w:rPr>
          <w:rFonts w:hint="eastAsia" w:ascii="仿宋" w:hAnsi="仿宋" w:eastAsia="仿宋"/>
          <w:sz w:val="32"/>
          <w:szCs w:val="24"/>
        </w:rPr>
        <w:t>人，耕地总面积42807.1亩。本着全心全意为人民服务、领导本镇政治思想和方针政策，选拔、考核和监督干部职工，对经济和行政工作中重大问题进行决策</w:t>
      </w:r>
      <w:r>
        <w:rPr>
          <w:rFonts w:hint="eastAsia" w:ascii="仿宋_GB2312" w:hAnsi="仿宋" w:eastAsia="仿宋_GB2312"/>
          <w:sz w:val="32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2、部门单位构成</w:t>
      </w:r>
    </w:p>
    <w:p>
      <w:pPr>
        <w:keepNext w:val="0"/>
        <w:keepLines w:val="0"/>
        <w:pageBreakBefore w:val="0"/>
        <w:widowControl w:val="0"/>
        <w:tabs>
          <w:tab w:val="left" w:pos="701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640" w:firstLineChars="200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（一）内设机构设置。</w:t>
      </w:r>
      <w:r>
        <w:rPr>
          <w:rFonts w:hint="eastAsia" w:ascii="仿宋" w:hAnsi="仿宋" w:eastAsia="仿宋" w:cs="仿宋"/>
          <w:bCs/>
          <w:kern w:val="0"/>
          <w:sz w:val="32"/>
          <w:szCs w:val="32"/>
        </w:rPr>
        <w:tab/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z w:val="32"/>
          <w:szCs w:val="32"/>
        </w:rPr>
        <w:t>中方县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泸阳</w:t>
      </w:r>
      <w:r>
        <w:rPr>
          <w:rFonts w:ascii="仿宋" w:hAnsi="仿宋" w:eastAsia="仿宋" w:cs="仿宋"/>
          <w:color w:val="auto"/>
          <w:sz w:val="32"/>
          <w:szCs w:val="32"/>
        </w:rPr>
        <w:t>镇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内设机构包括：</w:t>
      </w:r>
      <w:r>
        <w:rPr>
          <w:rFonts w:ascii="仿宋" w:hAnsi="仿宋" w:eastAsia="仿宋" w:cs="仿宋"/>
          <w:color w:val="auto"/>
          <w:sz w:val="32"/>
          <w:szCs w:val="32"/>
        </w:rPr>
        <w:t>中方县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泸阳</w:t>
      </w:r>
      <w:r>
        <w:rPr>
          <w:rFonts w:ascii="仿宋" w:hAnsi="仿宋" w:eastAsia="仿宋" w:cs="仿宋"/>
          <w:color w:val="auto"/>
          <w:sz w:val="32"/>
          <w:szCs w:val="32"/>
        </w:rPr>
        <w:t>镇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本级以及社会保障服务中心、农业综合服务中心、规划建设环保服务中心、林业和水利服务中心、社会管理服务中心、文化服务中心、妇幼保健计划生育服务站、财政所、国土所。</w:t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我镇编制数112，与上年持平，实际人数为141，比上年减少17。因人员调出而产生变动。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eastAsia="zh-CN"/>
        </w:rPr>
        <w:t>二、部门整体支出管理及使用情况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640" w:firstLineChars="200"/>
        <w:textAlignment w:val="auto"/>
        <w:rPr>
          <w:rFonts w:hint="eastAsia"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（一）基本支出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基本支出</w:t>
      </w:r>
      <w:r>
        <w:rPr>
          <w:rFonts w:hint="eastAsia" w:ascii="仿宋" w:hAnsi="仿宋" w:eastAsia="仿宋" w:cs="仿宋"/>
          <w:sz w:val="32"/>
          <w:szCs w:val="32"/>
        </w:rPr>
        <w:t>预算总计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1773.5</w:t>
      </w:r>
      <w:r>
        <w:rPr>
          <w:rFonts w:hint="eastAsia" w:ascii="仿宋" w:hAnsi="仿宋" w:eastAsia="仿宋" w:cs="仿宋"/>
          <w:sz w:val="32"/>
          <w:szCs w:val="32"/>
        </w:rPr>
        <w:t>万元，决算支出合计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2636.15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基本支出中，工资福利支出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1563.34</w:t>
      </w:r>
      <w:r>
        <w:rPr>
          <w:rFonts w:hint="eastAsia" w:ascii="仿宋" w:hAnsi="仿宋" w:eastAsia="仿宋" w:cs="仿宋"/>
          <w:sz w:val="32"/>
          <w:szCs w:val="32"/>
        </w:rPr>
        <w:t>万元，占比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59.30</w:t>
      </w:r>
      <w:r>
        <w:rPr>
          <w:rFonts w:hint="eastAsia" w:ascii="仿宋" w:hAnsi="仿宋" w:eastAsia="仿宋" w:cs="仿宋"/>
          <w:sz w:val="32"/>
          <w:szCs w:val="32"/>
        </w:rPr>
        <w:t>%；商品服务支出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583.05</w:t>
      </w:r>
      <w:r>
        <w:rPr>
          <w:rFonts w:hint="eastAsia" w:ascii="仿宋" w:hAnsi="仿宋" w:eastAsia="仿宋" w:cs="仿宋"/>
          <w:sz w:val="32"/>
          <w:szCs w:val="32"/>
        </w:rPr>
        <w:t>万元，占比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22.12</w:t>
      </w:r>
      <w:r>
        <w:rPr>
          <w:rFonts w:hint="eastAsia" w:ascii="仿宋" w:hAnsi="仿宋" w:eastAsia="仿宋" w:cs="仿宋"/>
          <w:sz w:val="32"/>
          <w:szCs w:val="32"/>
        </w:rPr>
        <w:t>%；对个人和家庭补助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489.76</w:t>
      </w:r>
      <w:r>
        <w:rPr>
          <w:rFonts w:hint="eastAsia" w:ascii="仿宋" w:hAnsi="仿宋" w:eastAsia="仿宋" w:cs="仿宋"/>
          <w:sz w:val="32"/>
          <w:szCs w:val="32"/>
        </w:rPr>
        <w:t>万元，占比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18.58</w:t>
      </w:r>
      <w:r>
        <w:rPr>
          <w:rFonts w:hint="eastAsia" w:ascii="仿宋" w:hAnsi="仿宋" w:eastAsia="仿宋" w:cs="仿宋"/>
          <w:sz w:val="32"/>
          <w:szCs w:val="32"/>
        </w:rPr>
        <w:t>%。支出管理方面制定了内部财务管理制度、会计核算制度等，有完整的资金拨付审批程序与手续，资金使用坚持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厉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行节约。20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年“三公”经费预算数合计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20.6万元</w:t>
      </w:r>
      <w:r>
        <w:rPr>
          <w:rFonts w:hint="eastAsia" w:ascii="仿宋" w:hAnsi="仿宋" w:eastAsia="仿宋" w:cs="仿宋"/>
          <w:sz w:val="32"/>
          <w:szCs w:val="32"/>
        </w:rPr>
        <w:t>，其中公务用车运行维护费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12.00</w:t>
      </w:r>
      <w:r>
        <w:rPr>
          <w:rFonts w:hint="eastAsia" w:ascii="仿宋" w:hAnsi="仿宋" w:eastAsia="仿宋" w:cs="仿宋"/>
          <w:sz w:val="32"/>
          <w:szCs w:val="32"/>
        </w:rPr>
        <w:t>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元</w:t>
      </w:r>
      <w:r>
        <w:rPr>
          <w:rFonts w:hint="eastAsia" w:ascii="仿宋" w:hAnsi="仿宋" w:eastAsia="仿宋" w:cs="仿宋"/>
          <w:sz w:val="32"/>
          <w:szCs w:val="32"/>
        </w:rPr>
        <w:t>，公务接待费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8.60</w:t>
      </w:r>
      <w:r>
        <w:rPr>
          <w:rFonts w:hint="eastAsia" w:ascii="仿宋" w:hAnsi="仿宋" w:eastAsia="仿宋" w:cs="仿宋"/>
          <w:sz w:val="32"/>
          <w:szCs w:val="32"/>
        </w:rPr>
        <w:t>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元</w:t>
      </w:r>
      <w:r>
        <w:rPr>
          <w:rFonts w:hint="eastAsia" w:ascii="仿宋" w:hAnsi="仿宋" w:eastAsia="仿宋" w:cs="仿宋"/>
          <w:sz w:val="32"/>
          <w:szCs w:val="32"/>
        </w:rPr>
        <w:t>，20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年三公经费决算数据合计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12.90</w:t>
      </w:r>
      <w:r>
        <w:rPr>
          <w:rFonts w:hint="eastAsia" w:ascii="仿宋" w:hAnsi="仿宋" w:eastAsia="仿宋" w:cs="仿宋"/>
          <w:sz w:val="32"/>
          <w:szCs w:val="32"/>
        </w:rPr>
        <w:t>万元，其中公务运行维护费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5.10</w:t>
      </w:r>
      <w:r>
        <w:rPr>
          <w:rFonts w:hint="eastAsia" w:ascii="仿宋" w:hAnsi="仿宋" w:eastAsia="仿宋" w:cs="仿宋"/>
          <w:sz w:val="32"/>
          <w:szCs w:val="32"/>
        </w:rPr>
        <w:t>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元</w:t>
      </w:r>
      <w:r>
        <w:rPr>
          <w:rFonts w:hint="eastAsia" w:ascii="仿宋" w:hAnsi="仿宋" w:eastAsia="仿宋" w:cs="仿宋"/>
          <w:sz w:val="32"/>
          <w:szCs w:val="32"/>
        </w:rPr>
        <w:t>，公务接待费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7.80</w:t>
      </w:r>
      <w:r>
        <w:rPr>
          <w:rFonts w:hint="eastAsia" w:ascii="仿宋" w:hAnsi="仿宋" w:eastAsia="仿宋" w:cs="仿宋"/>
          <w:sz w:val="32"/>
          <w:szCs w:val="32"/>
        </w:rPr>
        <w:t>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元</w:t>
      </w:r>
      <w:r>
        <w:rPr>
          <w:rFonts w:hint="eastAsia" w:ascii="仿宋" w:hAnsi="仿宋" w:eastAsia="仿宋" w:cs="仿宋"/>
          <w:sz w:val="32"/>
          <w:szCs w:val="32"/>
        </w:rPr>
        <w:t>，总体支出数据控制在预算内，相比20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 w:cs="仿宋"/>
          <w:sz w:val="32"/>
          <w:szCs w:val="32"/>
        </w:rPr>
        <w:t>年决算数，下降了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1.53</w:t>
      </w:r>
      <w:r>
        <w:rPr>
          <w:rFonts w:hint="eastAsia" w:ascii="仿宋" w:hAnsi="仿宋" w:eastAsia="仿宋" w:cs="仿宋"/>
          <w:sz w:val="32"/>
          <w:szCs w:val="32"/>
        </w:rPr>
        <w:t>%，主要因为制定了一系列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厉</w:t>
      </w:r>
      <w:r>
        <w:rPr>
          <w:rFonts w:hint="eastAsia" w:ascii="仿宋" w:hAnsi="仿宋" w:eastAsia="仿宋" w:cs="仿宋"/>
          <w:sz w:val="32"/>
          <w:szCs w:val="32"/>
        </w:rPr>
        <w:t>行节约制度。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sz w:val="32"/>
          <w:szCs w:val="32"/>
        </w:rPr>
        <w:t>项目支出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年项目预算总计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480.31</w:t>
      </w:r>
      <w:r>
        <w:rPr>
          <w:rFonts w:hint="eastAsia" w:ascii="仿宋" w:hAnsi="仿宋" w:eastAsia="仿宋" w:cs="仿宋"/>
          <w:sz w:val="32"/>
          <w:szCs w:val="32"/>
        </w:rPr>
        <w:t>万元，决算支出合计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461.04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年政府性基金预算支出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308.94</w:t>
      </w:r>
      <w:r>
        <w:rPr>
          <w:rFonts w:hint="eastAsia" w:ascii="仿宋" w:hAnsi="仿宋" w:eastAsia="仿宋" w:cs="仿宋"/>
          <w:sz w:val="32"/>
          <w:szCs w:val="32"/>
        </w:rPr>
        <w:t>万，项目支出比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sz w:val="32"/>
          <w:szCs w:val="32"/>
        </w:rPr>
        <w:t>%。在进行各项目支出中均按照规定经过了评估论证，项目资金使用无截留、挤占、挪用、虚列等情况。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eastAsia="zh-CN"/>
        </w:rPr>
        <w:t>三、部门整体支出绩效情况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年整体支出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3097.19</w:t>
      </w:r>
      <w:r>
        <w:rPr>
          <w:rFonts w:hint="eastAsia" w:ascii="仿宋" w:hAnsi="仿宋" w:eastAsia="仿宋" w:cs="仿宋"/>
          <w:sz w:val="32"/>
          <w:szCs w:val="32"/>
        </w:rPr>
        <w:t>万元，基本支出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2636.15</w:t>
      </w:r>
      <w:r>
        <w:rPr>
          <w:rFonts w:hint="eastAsia" w:ascii="仿宋" w:hAnsi="仿宋" w:eastAsia="仿宋" w:cs="仿宋"/>
          <w:sz w:val="32"/>
          <w:szCs w:val="32"/>
        </w:rPr>
        <w:t>万元，主要用于工资福利的发放，一般商品服务支出比去年压缩10%以上，达到了财政部要求各部门过紧日子，要求一般性支出压缩10%以上要求。在压缩一般性支出的同时，通过制定相关措施，保证了单位正常运转，达到了相关绩效目标。项目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461.04</w:t>
      </w:r>
      <w:r>
        <w:rPr>
          <w:rFonts w:hint="eastAsia" w:ascii="仿宋" w:hAnsi="仿宋" w:eastAsia="仿宋" w:cs="仿宋"/>
          <w:sz w:val="32"/>
          <w:szCs w:val="32"/>
        </w:rPr>
        <w:t>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元</w:t>
      </w:r>
      <w:r>
        <w:rPr>
          <w:rFonts w:hint="eastAsia" w:ascii="仿宋" w:hAnsi="仿宋" w:eastAsia="仿宋" w:cs="仿宋"/>
          <w:sz w:val="32"/>
          <w:szCs w:val="32"/>
        </w:rPr>
        <w:t>，较去年有所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仿宋"/>
          <w:sz w:val="32"/>
          <w:szCs w:val="32"/>
        </w:rPr>
        <w:t>，主要因为项目的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仿宋"/>
          <w:sz w:val="32"/>
          <w:szCs w:val="32"/>
        </w:rPr>
        <w:t>，各项项目的资金到位率与预算执行率均达到预期，资金分配合理，有明确的绩效指标，服务对象满意度100%。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eastAsia="zh-CN"/>
        </w:rPr>
        <w:t>四、存在的问题以及下一步改进措施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预算支出执行偏离绩效目标中，预算完成率以及政府采购的执行率有所偏差，下一步进一步加强预算执行，切实保障预算支出的合理性与执行率。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eastAsia="zh-CN"/>
        </w:rPr>
        <w:t>五、绩效自评结果拟应用和公开情况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绩效自评结果均按照有关要求在中方县政府网上公开，对所有绩效的完成接受公众的监督与批评。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eastAsia="zh-CN"/>
        </w:rPr>
        <w:t>六、其他需要说明的情况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640" w:firstLineChars="200"/>
        <w:textAlignment w:val="auto"/>
      </w:pPr>
      <w:r>
        <w:rPr>
          <w:rFonts w:hint="eastAsia" w:ascii="仿宋" w:hAnsi="仿宋" w:eastAsia="仿宋" w:cs="仿宋"/>
          <w:sz w:val="32"/>
          <w:szCs w:val="32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0E7626"/>
    <w:rsid w:val="3CE418EE"/>
    <w:rsid w:val="64325C5F"/>
    <w:rsid w:val="FD7B8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before="100" w:beforeAutospacing="1" w:after="0"/>
      <w:ind w:left="0" w:firstLine="420" w:firstLineChars="200"/>
    </w:pPr>
    <w:rPr>
      <w:rFonts w:ascii="Calibri" w:hAnsi="Calibri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118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2021-10-19T09:03:00Z</dcterms:created>
  <dc:creator>Administrator</dc:creator>
  <cp:lastModifiedBy>greatwall</cp:lastModifiedBy>
  <dcterms:modified xsi:type="dcterms:W3CDTF">2026-07-12T19:13:31Z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630397E363A84FEEA14DB8AE4A1388F3</vt:lpwstr>
  </property>
</Properties>
</file>