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580" w:lineRule="exact"/>
        <w:ind w:left="0" w:right="0" w:firstLine="0"/>
        <w:jc w:val="center"/>
        <w:textAlignment w:val="auto"/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中方县</w:t>
      </w: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</w:rPr>
        <w:t>人民政府</w:t>
      </w: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关于县城主城区禁止和限制燃放</w:t>
      </w: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</w:rPr>
        <w:t>烟花爆竹的通告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25" w:afterAutospacing="0" w:line="580" w:lineRule="exact"/>
        <w:ind w:left="0" w:right="0" w:firstLine="0"/>
        <w:jc w:val="center"/>
        <w:textAlignment w:val="auto"/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</w:pP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（</w:t>
      </w: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征求意见稿</w:t>
      </w:r>
      <w:r>
        <w:rPr>
          <w:rStyle w:val="16"/>
          <w:rFonts w:ascii="方正公文小标宋" w:eastAsia="方正公文小标宋" w:cs="方正公文小标宋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44"/>
          <w:szCs w:val="44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）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bookmarkStart w:id="0" w:name="_GoBack"/>
      <w:bookmarkEnd w:id="0"/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Chars="200" w:firstLine="732"/>
        <w:jc w:val="both"/>
        <w:textAlignment w:val="auto"/>
        <w:rPr>
          <w:rFonts w:ascii="仿宋_GB2312" w:eastAsia="仿宋_GB2312" w:cs="仿宋_GB2312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根据《中华人民共和国大气污染防治法》《烟花爆竹安全管理条例》等法律法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规的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规定，现就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中方县县城主城区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禁止和限制燃放烟花爆竹有关事项通告如下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：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/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一、</w:t>
      </w: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禁止燃放</w:t>
      </w: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区域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香樟路以南、隆平大道以西、紫荆路以北、舞水河以东合围区域；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党、政、军机关办公场所；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文物保护单位；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车站、码头等交通枢纽以及铁路线路安全保护区内；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易燃、易爆危险物品生产储存场所及其周边100米范围内；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输变电、燃气、燃油等能源设施安全保护区内；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使用易燃可燃外保温材料的高层建筑、耐火等级较低的建筑物；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中小学校、幼儿园、医疗机构、敬老院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住宅小区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商场、超市、影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（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剧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eastAsia="zh-CN"/>
        </w:rPr>
        <w:t>）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院等人员密集场所；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公园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和林地、绿地、苗圃等重点防火区；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市、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县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人民政府确定公布的其他禁止燃放烟花爆竹区域。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二、</w:t>
      </w: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限制燃放</w:t>
      </w: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区域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县城主城区内禁止燃放区以外的区域为限制燃放区。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三、禁止和限制燃放要求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1、禁止燃放区域内全年禁止燃放烟花爆竹；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2、限制燃放烟花爆竹区域内，每年农历除夕至次年正月初三期间，以及每年正月十五、10月1日国庆节当日可燃放烟花爆竹，其他时间一律禁止燃放。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四、违法行为处置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凡违反本通告规定燃放烟花爆竹的当事人，依据《烟花爆竹安全管理条例》第四十二条规定由公安部门责令停止燃放，处100元以上500元以下的罚款；构成违反治安管理行为的，依法给予治安管理处罚。以危害公共安全和人身、财产安全的方式燃放烟花爆竹的，构成犯罪的，依法追究刑事责任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对在查处违规燃放行为过程中拒绝、阻碍依法执行公务的，由公安机关依照《中华人民共和国治安管理处罚法》予以处罚；构成犯罪的，依法追究刑事责任。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五、大型活动燃放要求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重大庆典和节日期间，确需举办焰火晚会或大型燃放活动的，应当经公安机关依法许可，并在指定地点按照安全规程实施燃放。未经许可举办烟火晚会或大型燃放活动的，依据《烟花爆竹安全管理条例》由公安部门责令停止燃放，对责任单位处以1万元以上5万元以下的罚款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六、大力倡导环保、文明、安全过节理念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主动制止和积极举报违反本通告规定燃放烟花爆竹的行为。市民群众举报查证属实的，对第一举报人予以奖励；对打击报复举报人的，依法从严处理。市长热线举报电话：12345。公安机关举报电话：110。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Chars="200" w:firstLine="732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Style w:val="16"/>
          <w:rFonts w:ascii="黑体" w:eastAsia="黑体" w:cs="黑体" w:hint="eastAsia"/>
          <w:b w:val="0"/>
          <w:bCs w:val="0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七、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根据《湖南省规范性文件管理办法》规定，本通告有效期5年，执行中如遇国家、省、市相关政策调整，从其规定。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57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特此通告。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57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57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 xml:space="preserve">                          中方县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人民政府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_GB2312" w:eastAsia="仿宋_GB2312" w:cs="仿宋_GB2312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2025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年</w:t>
      </w:r>
      <w:r>
        <w:rPr>
          <w:rFonts w:ascii="仿宋_GB2312" w:eastAsia="仿宋_GB2312" w:cs="仿宋_GB2312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xx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月</w:t>
      </w:r>
      <w:r>
        <w:rPr>
          <w:rFonts w:ascii="仿宋_GB2312" w:eastAsia="仿宋_GB2312" w:cs="仿宋_GB2312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  <w:lang w:val="en-US" w:eastAsia="zh-CN"/>
        </w:rPr>
        <w:t>xx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000000"/>
          <w:spacing w:val="23"/>
          <w:sz w:val="32"/>
          <w:szCs w:val="32"/>
          <w:shd w:val="clear" w:color="auto" w:fill="FFFFFF"/>
          <w14:textFill>
            <w14:solidFill>
              <w14:srgbClr w14:val="000000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 w:cs="仿宋_GB2312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公文小标宋">
    <w:altName w:val="仿宋_GB2312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仿宋_GB2312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DE79384"/>
    <w:multiLevelType w:val="singleLevel"/>
    <w:tmpl w:val="5DE79384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7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3</Pages>
  <Words>1008</Words>
  <Characters>1028</Characters>
  <Lines>66</Lines>
  <Paragraphs>31</Paragraphs>
  <CharactersWithSpaces>1054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淑瑞   安</dc:creator>
  <cp:lastModifiedBy>ft</cp:lastModifiedBy>
  <cp:revision>1</cp:revision>
  <dcterms:created xsi:type="dcterms:W3CDTF">2025-01-10T02:55:00Z</dcterms:created>
  <dcterms:modified xsi:type="dcterms:W3CDTF">2025-11-04T07:14:38Z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DE64132403D244F2972C6AAF1FC73E11_13</vt:lpwstr>
  </property>
  <property fmtid="{D5CDD505-2E9C-101B-9397-08002B2CF9AE}" pid="4" name="KSOTemplateDocerSaveRecord">
    <vt:lpwstr>eyJoZGlkIjoiNmNlMzIyNmRlZGM5YTUyYTc1YWQ5YTFkMmVmMmVhNDgiLCJ1c2VySWQiOiIxNzE1NzAwOTQ0In0=</vt:lpwstr>
  </property>
</Properties>
</file>