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2A586">
      <w:pPr>
        <w:jc w:val="center"/>
        <w:rPr>
          <w:rFonts w:ascii="Times New Roman" w:hAnsi="Times New Roman" w:cs="Times New Roman"/>
          <w:sz w:val="48"/>
          <w:szCs w:val="48"/>
        </w:rPr>
      </w:pPr>
    </w:p>
    <w:p w14:paraId="5B941891">
      <w:pPr>
        <w:jc w:val="center"/>
        <w:rPr>
          <w:rFonts w:ascii="Times New Roman" w:hAnsi="Times New Roman" w:cs="Times New Roman"/>
          <w:sz w:val="48"/>
          <w:szCs w:val="48"/>
        </w:rPr>
      </w:pPr>
      <w:r>
        <w:rPr>
          <w:rFonts w:hint="eastAsia" w:ascii="Times New Roman" w:hAnsi="Times New Roman" w:cs="Times New Roman"/>
          <w:sz w:val="48"/>
          <w:szCs w:val="48"/>
        </w:rPr>
        <w:t>中方县发展和改革局</w:t>
      </w:r>
    </w:p>
    <w:p w14:paraId="2D9E74B4">
      <w:pPr>
        <w:jc w:val="center"/>
        <w:rPr>
          <w:rFonts w:ascii="Times New Roman" w:hAnsi="Times New Roman" w:eastAsia="方正小标宋_GBK" w:cs="Times New Roman"/>
          <w:sz w:val="48"/>
          <w:szCs w:val="48"/>
        </w:rPr>
      </w:pPr>
      <w:r>
        <w:rPr>
          <w:rFonts w:ascii="Times New Roman" w:hAnsi="Times New Roman" w:eastAsia="方正小标宋_GBK" w:cs="Times New Roman"/>
          <w:sz w:val="48"/>
          <w:szCs w:val="48"/>
        </w:rPr>
        <w:t>20</w:t>
      </w:r>
      <w:r>
        <w:rPr>
          <w:rFonts w:ascii="Times New Roman" w:hAnsi="Times New Roman" w:cs="Times New Roman"/>
          <w:sz w:val="48"/>
          <w:szCs w:val="48"/>
        </w:rPr>
        <w:t>2</w:t>
      </w:r>
      <w:r>
        <w:rPr>
          <w:rFonts w:hint="eastAsia" w:ascii="Times New Roman" w:hAnsi="Times New Roman" w:cs="Times New Roman"/>
          <w:sz w:val="48"/>
          <w:szCs w:val="48"/>
        </w:rPr>
        <w:t>1</w:t>
      </w:r>
      <w:r>
        <w:rPr>
          <w:rFonts w:hint="eastAsia" w:ascii="宋体" w:hAnsi="宋体" w:cs="宋体"/>
          <w:sz w:val="48"/>
          <w:szCs w:val="48"/>
        </w:rPr>
        <w:t>年度部门整体支出绩效自评报告</w:t>
      </w:r>
    </w:p>
    <w:p w14:paraId="2172FEC7">
      <w:pPr>
        <w:jc w:val="center"/>
        <w:rPr>
          <w:rFonts w:ascii="Times New Roman" w:hAnsi="Times New Roman" w:eastAsia="黑体" w:cs="Times New Roman"/>
          <w:sz w:val="32"/>
          <w:szCs w:val="32"/>
        </w:rPr>
      </w:pPr>
    </w:p>
    <w:p w14:paraId="440E6B19">
      <w:pPr>
        <w:jc w:val="center"/>
        <w:rPr>
          <w:rFonts w:ascii="Times New Roman" w:hAnsi="Times New Roman" w:eastAsia="黑体" w:cs="Times New Roman"/>
          <w:sz w:val="32"/>
          <w:szCs w:val="32"/>
        </w:rPr>
      </w:pPr>
    </w:p>
    <w:p w14:paraId="4250CF8F">
      <w:pPr>
        <w:jc w:val="center"/>
        <w:rPr>
          <w:rFonts w:ascii="Times New Roman" w:hAnsi="Times New Roman" w:eastAsia="黑体" w:cs="Times New Roman"/>
          <w:sz w:val="32"/>
          <w:szCs w:val="32"/>
        </w:rPr>
      </w:pPr>
    </w:p>
    <w:p w14:paraId="0BC5F111">
      <w:pPr>
        <w:jc w:val="center"/>
        <w:rPr>
          <w:rFonts w:ascii="Times New Roman" w:hAnsi="Times New Roman" w:eastAsia="黑体" w:cs="Times New Roman"/>
          <w:sz w:val="32"/>
          <w:szCs w:val="32"/>
        </w:rPr>
      </w:pPr>
    </w:p>
    <w:p w14:paraId="7478BBF3">
      <w:pPr>
        <w:jc w:val="center"/>
        <w:rPr>
          <w:rFonts w:ascii="Times New Roman" w:hAnsi="Times New Roman" w:eastAsia="黑体" w:cs="Times New Roman"/>
          <w:sz w:val="32"/>
          <w:szCs w:val="32"/>
        </w:rPr>
      </w:pPr>
    </w:p>
    <w:p w14:paraId="6AFAD41C">
      <w:pPr>
        <w:jc w:val="center"/>
        <w:rPr>
          <w:rFonts w:ascii="Times New Roman" w:hAnsi="Times New Roman" w:eastAsia="黑体" w:cs="Times New Roman"/>
          <w:sz w:val="32"/>
          <w:szCs w:val="32"/>
        </w:rPr>
      </w:pPr>
    </w:p>
    <w:p w14:paraId="09485B2A">
      <w:pPr>
        <w:jc w:val="center"/>
        <w:rPr>
          <w:rFonts w:ascii="Times New Roman" w:hAnsi="Times New Roman" w:eastAsia="黑体" w:cs="Times New Roman"/>
          <w:sz w:val="32"/>
          <w:szCs w:val="32"/>
        </w:rPr>
      </w:pPr>
    </w:p>
    <w:p w14:paraId="0CC15A74">
      <w:pPr>
        <w:jc w:val="center"/>
        <w:rPr>
          <w:rFonts w:ascii="Times New Roman" w:hAnsi="Times New Roman" w:eastAsia="黑体" w:cs="Times New Roman"/>
          <w:sz w:val="32"/>
          <w:szCs w:val="32"/>
        </w:rPr>
      </w:pPr>
    </w:p>
    <w:p w14:paraId="49CA5C6F">
      <w:pPr>
        <w:jc w:val="center"/>
        <w:rPr>
          <w:rFonts w:ascii="Times New Roman" w:hAnsi="Times New Roman" w:eastAsia="黑体" w:cs="Times New Roman"/>
          <w:sz w:val="32"/>
          <w:szCs w:val="32"/>
        </w:rPr>
      </w:pPr>
    </w:p>
    <w:p w14:paraId="056AE94C">
      <w:pPr>
        <w:jc w:val="center"/>
        <w:rPr>
          <w:rFonts w:ascii="Times New Roman" w:hAnsi="Times New Roman" w:eastAsia="黑体" w:cs="Times New Roman"/>
          <w:sz w:val="32"/>
          <w:szCs w:val="32"/>
        </w:rPr>
      </w:pPr>
    </w:p>
    <w:p w14:paraId="57965C06">
      <w:pPr>
        <w:jc w:val="center"/>
        <w:rPr>
          <w:rFonts w:ascii="Times New Roman" w:hAnsi="Times New Roman" w:eastAsia="黑体" w:cs="Times New Roman"/>
          <w:sz w:val="32"/>
          <w:szCs w:val="32"/>
        </w:rPr>
      </w:pPr>
    </w:p>
    <w:p w14:paraId="56CAC3EE">
      <w:pPr>
        <w:jc w:val="center"/>
        <w:rPr>
          <w:rFonts w:ascii="Times New Roman" w:hAnsi="Times New Roman" w:eastAsia="黑体" w:cs="Times New Roman"/>
          <w:sz w:val="32"/>
          <w:szCs w:val="32"/>
        </w:rPr>
      </w:pPr>
    </w:p>
    <w:p w14:paraId="26C40324">
      <w:pPr>
        <w:jc w:val="center"/>
        <w:rPr>
          <w:rFonts w:ascii="Times New Roman" w:hAnsi="Times New Roman" w:eastAsia="黑体" w:cs="Times New Roman"/>
          <w:sz w:val="32"/>
          <w:szCs w:val="32"/>
        </w:rPr>
      </w:pPr>
    </w:p>
    <w:p w14:paraId="03410C6E">
      <w:pPr>
        <w:jc w:val="center"/>
        <w:rPr>
          <w:rFonts w:ascii="Times New Roman" w:hAnsi="Times New Roman" w:eastAsia="黑体" w:cs="Times New Roman"/>
          <w:sz w:val="44"/>
          <w:szCs w:val="44"/>
        </w:rPr>
      </w:pPr>
      <w:r>
        <w:rPr>
          <w:rFonts w:ascii="黑体" w:hAnsi="黑体" w:eastAsia="黑体" w:cs="Times New Roman"/>
          <w:sz w:val="44"/>
          <w:szCs w:val="44"/>
        </w:rPr>
        <w:t>单位名称（盖章）</w:t>
      </w:r>
      <w:r>
        <w:rPr>
          <w:rFonts w:hint="eastAsia" w:ascii="黑体" w:hAnsi="黑体" w:eastAsia="黑体" w:cs="Times New Roman"/>
          <w:sz w:val="44"/>
          <w:szCs w:val="44"/>
        </w:rPr>
        <w:t>：中方县发展和改革局</w:t>
      </w:r>
    </w:p>
    <w:p w14:paraId="0FD39E34">
      <w:pPr>
        <w:jc w:val="center"/>
        <w:rPr>
          <w:rFonts w:ascii="Times New Roman" w:hAnsi="Times New Roman" w:eastAsia="黑体" w:cs="Times New Roman"/>
          <w:sz w:val="32"/>
          <w:szCs w:val="32"/>
        </w:rPr>
      </w:pPr>
    </w:p>
    <w:p w14:paraId="1A9552B1">
      <w:pPr>
        <w:jc w:val="center"/>
        <w:rPr>
          <w:rFonts w:ascii="Times New Roman" w:hAnsi="Times New Roman" w:eastAsia="黑体" w:cs="Times New Roman"/>
          <w:sz w:val="32"/>
          <w:szCs w:val="32"/>
        </w:rPr>
      </w:pPr>
    </w:p>
    <w:p w14:paraId="49718E23">
      <w:pPr>
        <w:spacing w:line="580" w:lineRule="exact"/>
        <w:rPr>
          <w:rFonts w:ascii="楷体" w:hAnsi="楷体" w:eastAsia="楷体" w:cs="楷体"/>
          <w:bCs/>
          <w:sz w:val="36"/>
          <w:szCs w:val="36"/>
        </w:rPr>
      </w:pPr>
      <w:r>
        <w:rPr>
          <w:rFonts w:ascii="Times New Roman" w:hAnsi="Times New Roman" w:eastAsia="黑体"/>
          <w:sz w:val="32"/>
          <w:szCs w:val="32"/>
        </w:rPr>
        <w:br w:type="page"/>
      </w:r>
    </w:p>
    <w:p w14:paraId="7C8D5838">
      <w:pPr>
        <w:spacing w:after="0" w:line="600" w:lineRule="atLeast"/>
        <w:ind w:firstLine="640" w:firstLineChars="200"/>
        <w:rPr>
          <w:rFonts w:ascii="黑体" w:hAnsi="黑体" w:eastAsia="黑体" w:cs="黑体"/>
          <w:bCs/>
          <w:sz w:val="32"/>
          <w:szCs w:val="32"/>
        </w:rPr>
      </w:pPr>
      <w:r>
        <w:rPr>
          <w:rFonts w:hint="eastAsia" w:ascii="黑体" w:hAnsi="黑体" w:eastAsia="黑体" w:cs="黑体"/>
          <w:bCs/>
          <w:sz w:val="32"/>
          <w:szCs w:val="32"/>
        </w:rPr>
        <w:t>一、部门基本情况</w:t>
      </w:r>
    </w:p>
    <w:p w14:paraId="0191F8D5">
      <w:pPr>
        <w:pStyle w:val="7"/>
        <w:widowControl w:val="0"/>
        <w:shd w:val="clear" w:color="auto" w:fill="FFFFFF"/>
        <w:spacing w:beforeAutospacing="0" w:afterAutospacing="0" w:line="46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（一）部门职能与机构设置；</w:t>
      </w:r>
    </w:p>
    <w:p w14:paraId="4D3A3EB0">
      <w:pPr>
        <w:pStyle w:val="7"/>
        <w:widowControl w:val="0"/>
        <w:shd w:val="clear" w:color="auto" w:fill="FFFFFF"/>
        <w:spacing w:beforeAutospacing="0" w:afterAutospacing="0" w:line="460" w:lineRule="exact"/>
        <w:ind w:firstLine="640" w:firstLineChars="200"/>
        <w:jc w:val="both"/>
        <w:rPr>
          <w:rFonts w:ascii="仿宋" w:hAnsi="仿宋" w:eastAsia="仿宋" w:cs="仿宋"/>
          <w:sz w:val="32"/>
          <w:szCs w:val="32"/>
        </w:rPr>
      </w:pPr>
      <w:r>
        <w:rPr>
          <w:rFonts w:hint="eastAsia" w:ascii="仿宋" w:hAnsi="仿宋" w:eastAsia="仿宋" w:cs="仿宋"/>
          <w:kern w:val="1"/>
          <w:sz w:val="32"/>
          <w:szCs w:val="32"/>
        </w:rPr>
        <w:t>1、中方县发展和改革局主要职能是：</w:t>
      </w:r>
      <w:r>
        <w:rPr>
          <w:rFonts w:hint="eastAsia" w:ascii="仿宋" w:hAnsi="仿宋" w:eastAsia="仿宋" w:cs="仿宋"/>
          <w:sz w:val="32"/>
          <w:szCs w:val="32"/>
          <w:shd w:val="clear" w:color="auto" w:fill="FFFFFF"/>
        </w:rPr>
        <w:t>拟订并组织实施全县国民经济和社会发展战略、中长期规划和年度计划。研究提出加快建设现代化经济体系、推动高质量发展的总体目标、重大任务以及相关政策。研究提出全县国民经济和社会发展主要目标，监测预测预警宏观经济和社会发展态势趋势，提出宏观调控政策建议，综合协调宏观经济政策，牵头研究宏观经济应对措施。研究提出和综合协调全县经济体制改革有关工作，提出相关改革建议。研究提出全县利</w:t>
      </w:r>
      <w:r>
        <w:rPr>
          <w:rFonts w:hint="eastAsia" w:ascii="仿宋" w:hAnsi="仿宋" w:eastAsia="仿宋" w:cs="仿宋"/>
          <w:sz w:val="32"/>
          <w:szCs w:val="32"/>
          <w:shd w:val="clear" w:color="auto" w:fill="FFFFFF"/>
          <w:lang w:val="en-US" w:eastAsia="zh-CN"/>
        </w:rPr>
        <w:t>用</w:t>
      </w:r>
      <w:r>
        <w:rPr>
          <w:rFonts w:hint="eastAsia" w:ascii="仿宋" w:hAnsi="仿宋" w:eastAsia="仿宋" w:cs="仿宋"/>
          <w:sz w:val="32"/>
          <w:szCs w:val="32"/>
          <w:shd w:val="clear" w:color="auto" w:fill="FFFFFF"/>
        </w:rPr>
        <w:t>外资和境外投资的战略、规划、总量平衡和结构优化的政策。负责投资综合管理，拟订全县全社会固定资产投资总规模和投资结构的调控目标、政策及措施。推进落实区域协调发展战略、新型城镇化战略和重大政策、组织拟订相关区域规划和政策。组织拟订综合性产业政策，负责协调第一、二、三产业发展的重大问题并统筹衔接相关发展规划和重大政策。推动实施创新驱动发展战略。跟踪研判涉及经济安全、生态安全、资源安全、科技安全、社会安全等各类风险隐患，提出相关工作建议。负责社会发展与国民经济发展的政策衔接，组织拟订社会发展战略、总体规划。推进可持续发展战略，推动生态文明建</w:t>
      </w:r>
      <w:r>
        <w:rPr>
          <w:rFonts w:hint="eastAsia" w:ascii="仿宋" w:hAnsi="仿宋" w:eastAsia="仿宋" w:cs="仿宋"/>
          <w:sz w:val="32"/>
          <w:szCs w:val="32"/>
          <w:shd w:val="clear" w:color="auto" w:fill="FFFFFF"/>
          <w:lang w:val="en-US" w:eastAsia="zh-CN"/>
        </w:rPr>
        <w:t>设</w:t>
      </w:r>
      <w:r>
        <w:rPr>
          <w:rFonts w:hint="eastAsia" w:ascii="仿宋" w:hAnsi="仿宋" w:eastAsia="仿宋" w:cs="仿宋"/>
          <w:sz w:val="32"/>
          <w:szCs w:val="32"/>
          <w:shd w:val="clear" w:color="auto" w:fill="FFFFFF"/>
        </w:rPr>
        <w:t>和改革，协调生态环境保护与修复、能源资源节约和综合利用等工作。拟订全县价格改革方案和年度计划，研究提出价格调控目标和政策建议、组织实施价格总水平调控。指导、协调全县工程建设项目招标投标工作，负责权限内工程建设项目招标事项核准和监管。会同有关部门拟订全县经济建设与国防建设协调发展的战略和规划、协调有关重大问题。研究提出全县粮食宏观调控及粮食流通的中长期规划，拟订全县粮食市场体系建设与发展规划，承担全县粮食流通宏观调控的具体工作。研究提出全县战略物资储备规划建设。管理全县粮食、棉花和食糖储备，负责全县储备粮棉行政管理。拟订粮食和物资储备仓储管理有关技术标准和规范并组织实施。根据全县储备总体发展规划，统一负责储备基础设施建设和管理。负责对管理的政府储备、企业储备以及储备政策落实情况进行监督检查。负责粮食流通行业管理，制定行业发展规划、政策，拟订粮食流通和物资储备有关标准、粮食质量标准，制定有关技术规范并监督执行。完成县委和县政府交办的其他任务。</w:t>
      </w:r>
    </w:p>
    <w:p w14:paraId="50CD3FDC">
      <w:pPr>
        <w:spacing w:after="0" w:line="600" w:lineRule="atLeast"/>
        <w:ind w:firstLine="640" w:firstLineChars="200"/>
        <w:rPr>
          <w:rFonts w:ascii="仿宋" w:hAnsi="仿宋" w:eastAsia="仿宋" w:cs="仿宋"/>
          <w:sz w:val="32"/>
          <w:szCs w:val="32"/>
        </w:rPr>
      </w:pPr>
      <w:r>
        <w:rPr>
          <w:rFonts w:hint="eastAsia" w:ascii="仿宋" w:hAnsi="仿宋" w:eastAsia="仿宋" w:cs="仿宋"/>
          <w:color w:val="333333"/>
          <w:sz w:val="32"/>
          <w:szCs w:val="32"/>
          <w:shd w:val="clear" w:color="auto" w:fill="FFFFFF"/>
        </w:rPr>
        <w:t>2、机构设置：中方县发展和改革局为正科级行政单位，</w:t>
      </w:r>
      <w:r>
        <w:rPr>
          <w:rFonts w:hint="eastAsia" w:ascii="仿宋" w:hAnsi="仿宋" w:eastAsia="仿宋" w:cs="仿宋"/>
          <w:sz w:val="32"/>
          <w:szCs w:val="32"/>
          <w:shd w:val="clear" w:color="auto" w:fill="FFFFFF"/>
        </w:rPr>
        <w:t>局本级下设12个内设机构及6个二级非独立核算单位</w:t>
      </w:r>
      <w:r>
        <w:rPr>
          <w:rFonts w:hint="eastAsia" w:ascii="仿宋" w:hAnsi="仿宋" w:eastAsia="仿宋" w:cs="仿宋"/>
          <w:sz w:val="32"/>
          <w:szCs w:val="32"/>
        </w:rPr>
        <w:t>。内设机构分别为：办公室、行政审批服务股、国民经济综合规划与服务业股、法规和综合改革股、固定资产投资股、工业农业和基础设施股、社会发展与财贸外经股、湘西地区开发和能源股、价格管理股、粮食行业发展股、粮食和物资储备股、人事股。</w:t>
      </w:r>
      <w:r>
        <w:rPr>
          <w:rFonts w:hint="eastAsia" w:ascii="仿宋" w:hAnsi="仿宋" w:eastAsia="仿宋" w:cs="仿宋"/>
          <w:sz w:val="32"/>
          <w:szCs w:val="32"/>
          <w:shd w:val="clear" w:color="auto" w:fill="FFFFFF"/>
        </w:rPr>
        <w:t>二级非独立核算单位分别为：</w:t>
      </w:r>
      <w:r>
        <w:rPr>
          <w:rFonts w:hint="eastAsia" w:ascii="仿宋" w:hAnsi="仿宋" w:eastAsia="仿宋" w:cs="仿宋"/>
          <w:sz w:val="32"/>
          <w:szCs w:val="32"/>
        </w:rPr>
        <w:t>县重点建设项目服务中心；县招标投标服务中心；县物资行业服务中心；县价格调节基金征收服务中心；县装备动员办公室；县价格认证中心。</w:t>
      </w:r>
    </w:p>
    <w:p w14:paraId="35C783D0">
      <w:pPr>
        <w:pStyle w:val="7"/>
        <w:shd w:val="clear" w:color="auto" w:fill="FFFFFF"/>
        <w:spacing w:beforeAutospacing="0" w:afterAutospacing="0" w:line="520" w:lineRule="exact"/>
        <w:ind w:firstLine="640" w:firstLineChars="200"/>
        <w:contextualSpacing/>
        <w:rPr>
          <w:rFonts w:ascii="仿宋" w:hAnsi="仿宋" w:eastAsia="仿宋" w:cs="仿宋"/>
          <w:sz w:val="32"/>
          <w:szCs w:val="32"/>
        </w:rPr>
      </w:pPr>
      <w:r>
        <w:rPr>
          <w:rFonts w:hint="eastAsia" w:ascii="仿宋" w:hAnsi="仿宋" w:eastAsia="仿宋" w:cs="仿宋"/>
          <w:sz w:val="32"/>
          <w:szCs w:val="32"/>
        </w:rPr>
        <w:t>（二）人员情况；</w:t>
      </w:r>
    </w:p>
    <w:p w14:paraId="1D7177F7">
      <w:pPr>
        <w:pStyle w:val="7"/>
        <w:shd w:val="clear" w:color="auto" w:fill="FFFFFF"/>
        <w:spacing w:beforeAutospacing="0" w:afterAutospacing="0" w:line="520" w:lineRule="exact"/>
        <w:ind w:firstLine="640" w:firstLineChars="200"/>
        <w:contextualSpacing/>
        <w:rPr>
          <w:rFonts w:ascii="仿宋" w:hAnsi="仿宋" w:eastAsia="仿宋" w:cs="仿宋"/>
          <w:sz w:val="32"/>
          <w:szCs w:val="32"/>
        </w:rPr>
      </w:pPr>
      <w:r>
        <w:rPr>
          <w:rFonts w:hint="eastAsia" w:ascii="仿宋" w:hAnsi="仿宋" w:eastAsia="仿宋" w:cs="仿宋"/>
          <w:sz w:val="32"/>
          <w:szCs w:val="32"/>
        </w:rPr>
        <w:t>核定编制41人，其中：行政编制8人，后勤编制2人，事业编制31人；</w:t>
      </w:r>
      <w:r>
        <w:rPr>
          <w:rFonts w:hint="eastAsia" w:ascii="仿宋" w:hAnsi="仿宋" w:eastAsia="仿宋" w:cs="仿宋"/>
          <w:kern w:val="1"/>
          <w:sz w:val="32"/>
          <w:szCs w:val="32"/>
        </w:rPr>
        <w:t>实有人数51人，退休人员29人（含提前退休4人）。当年调入11人，调出3人，实有人数比上年增加8人，是因县城市基础设施投资中心改制并入10人，其他为正常调动。现有车辆1台。</w:t>
      </w:r>
    </w:p>
    <w:p w14:paraId="1D2C92B1">
      <w:pPr>
        <w:numPr>
          <w:ilvl w:val="0"/>
          <w:numId w:val="1"/>
        </w:numPr>
        <w:spacing w:after="0" w:line="600" w:lineRule="atLeast"/>
        <w:ind w:firstLine="640" w:firstLineChars="200"/>
        <w:rPr>
          <w:rFonts w:ascii="仿宋" w:hAnsi="仿宋" w:eastAsia="仿宋" w:cs="仿宋"/>
          <w:sz w:val="32"/>
          <w:szCs w:val="32"/>
        </w:rPr>
      </w:pPr>
      <w:r>
        <w:rPr>
          <w:rFonts w:hint="eastAsia" w:ascii="仿宋" w:hAnsi="仿宋" w:eastAsia="仿宋" w:cs="仿宋"/>
          <w:sz w:val="32"/>
          <w:szCs w:val="32"/>
        </w:rPr>
        <w:t>部门年度总体工作任务和重点工作任务；</w:t>
      </w:r>
    </w:p>
    <w:p w14:paraId="14F3C957">
      <w:pPr>
        <w:numPr>
          <w:ilvl w:val="0"/>
          <w:numId w:val="2"/>
        </w:numPr>
        <w:autoSpaceDE w:val="0"/>
        <w:autoSpaceDN w:val="0"/>
        <w:adjustRightInd/>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力争全县地区生产总值增长8%左右；</w:t>
      </w:r>
    </w:p>
    <w:p w14:paraId="407FF2ED">
      <w:pPr>
        <w:numPr>
          <w:ilvl w:val="0"/>
          <w:numId w:val="2"/>
        </w:numPr>
        <w:autoSpaceDE w:val="0"/>
        <w:autoSpaceDN w:val="0"/>
        <w:adjustRightInd/>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全社会固定资产投资增长10%左右；</w:t>
      </w:r>
    </w:p>
    <w:p w14:paraId="5D60297D">
      <w:pPr>
        <w:autoSpaceDE w:val="0"/>
        <w:autoSpaceDN w:val="0"/>
        <w:adjustRightInd/>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3、完成县委、县政府交办的其他事项。</w:t>
      </w:r>
    </w:p>
    <w:p w14:paraId="2A62A765">
      <w:pPr>
        <w:pStyle w:val="5"/>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4、科学编制年度发展计划和出台《中方县“十四五”规划纲要》。</w:t>
      </w:r>
    </w:p>
    <w:p w14:paraId="1A2E88D7">
      <w:pPr>
        <w:pStyle w:val="4"/>
        <w:ind w:left="0" w:leftChars="0"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5、扎实推进重点项目建设。</w:t>
      </w:r>
    </w:p>
    <w:p w14:paraId="71D7723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6、切实做好民生保障工作。</w:t>
      </w:r>
    </w:p>
    <w:p w14:paraId="3131D605">
      <w:pPr>
        <w:ind w:firstLine="640" w:firstLineChars="200"/>
        <w:rPr>
          <w:sz w:val="32"/>
          <w:szCs w:val="32"/>
        </w:rPr>
      </w:pPr>
      <w:r>
        <w:rPr>
          <w:rFonts w:hint="eastAsia" w:ascii="仿宋_GB2312" w:hAnsi="仿宋_GB2312" w:eastAsia="仿宋_GB2312" w:cs="仿宋_GB2312"/>
          <w:color w:val="000000"/>
          <w:sz w:val="32"/>
          <w:szCs w:val="32"/>
        </w:rPr>
        <w:t>7、进一步推进机关效能建设。</w:t>
      </w:r>
    </w:p>
    <w:p w14:paraId="68E1F3B0">
      <w:pPr>
        <w:spacing w:after="0" w:line="600" w:lineRule="atLeast"/>
        <w:ind w:firstLine="640" w:firstLineChars="200"/>
        <w:rPr>
          <w:rFonts w:ascii="仿宋" w:hAnsi="仿宋" w:eastAsia="仿宋" w:cs="仿宋"/>
          <w:sz w:val="32"/>
          <w:szCs w:val="32"/>
        </w:rPr>
      </w:pPr>
      <w:r>
        <w:rPr>
          <w:rFonts w:hint="eastAsia" w:ascii="仿宋" w:hAnsi="仿宋" w:eastAsia="仿宋" w:cs="仿宋"/>
          <w:sz w:val="32"/>
          <w:szCs w:val="32"/>
        </w:rPr>
        <w:t>（四）部门年度整体收支情况，包括当年预算收入、预算支出和专项资金管理情况、“三公”经费支出情况以及政府采购情况等。</w:t>
      </w:r>
    </w:p>
    <w:p w14:paraId="462CC681">
      <w:pPr>
        <w:spacing w:line="520" w:lineRule="atLeast"/>
        <w:ind w:firstLine="640" w:firstLineChars="200"/>
        <w:jc w:val="both"/>
        <w:rPr>
          <w:rFonts w:ascii="仿宋" w:hAnsi="仿宋" w:eastAsia="仿宋" w:cs="仿宋"/>
          <w:kern w:val="1"/>
          <w:sz w:val="32"/>
          <w:szCs w:val="32"/>
        </w:rPr>
      </w:pPr>
      <w:r>
        <w:rPr>
          <w:rFonts w:hint="eastAsia" w:ascii="仿宋" w:hAnsi="仿宋" w:eastAsia="仿宋" w:cs="仿宋"/>
          <w:kern w:val="1"/>
          <w:sz w:val="32"/>
          <w:szCs w:val="32"/>
        </w:rPr>
        <w:t>1、收入预算：</w:t>
      </w:r>
      <w:r>
        <w:rPr>
          <w:rFonts w:hint="eastAsia" w:ascii="仿宋" w:hAnsi="仿宋" w:eastAsia="仿宋" w:cs="仿宋"/>
          <w:kern w:val="1"/>
          <w:sz w:val="32"/>
          <w:szCs w:val="32"/>
          <w:lang w:val="zh-CN"/>
        </w:rPr>
        <w:t>20</w:t>
      </w:r>
      <w:r>
        <w:rPr>
          <w:rFonts w:hint="eastAsia" w:ascii="仿宋" w:hAnsi="仿宋" w:eastAsia="仿宋" w:cs="仿宋"/>
          <w:kern w:val="1"/>
          <w:sz w:val="32"/>
          <w:szCs w:val="32"/>
        </w:rPr>
        <w:t>21</w:t>
      </w:r>
      <w:r>
        <w:rPr>
          <w:rFonts w:hint="eastAsia" w:ascii="仿宋" w:hAnsi="仿宋" w:eastAsia="仿宋" w:cs="仿宋"/>
          <w:kern w:val="1"/>
          <w:sz w:val="32"/>
          <w:szCs w:val="32"/>
          <w:lang w:val="zh-CN"/>
        </w:rPr>
        <w:t>年初本单位</w:t>
      </w:r>
      <w:r>
        <w:rPr>
          <w:rFonts w:hint="eastAsia" w:ascii="仿宋" w:hAnsi="仿宋" w:eastAsia="仿宋" w:cs="仿宋"/>
          <w:kern w:val="1"/>
          <w:sz w:val="32"/>
          <w:szCs w:val="32"/>
        </w:rPr>
        <w:t>预算收入指标780.95万元，实际本年收入1527.55万元，其中一般公共预算拨款676.37万元，</w:t>
      </w:r>
      <w:r>
        <w:rPr>
          <w:rFonts w:hint="eastAsia" w:ascii="仿宋" w:hAnsi="仿宋" w:eastAsia="仿宋" w:cs="仿宋"/>
          <w:sz w:val="32"/>
          <w:szCs w:val="32"/>
        </w:rPr>
        <w:t>上级财政补助104.58万元；</w:t>
      </w:r>
      <w:r>
        <w:rPr>
          <w:rFonts w:hint="eastAsia" w:ascii="仿宋" w:hAnsi="仿宋" w:eastAsia="仿宋" w:cs="仿宋"/>
          <w:kern w:val="1"/>
          <w:sz w:val="32"/>
          <w:szCs w:val="32"/>
        </w:rPr>
        <w:t>本年收入比年初预算增加95.6%，差额746.6万元。增减变动原因：4.58万元是人员增加基本经费增加，742.02万是项目资金增加，如县重点项目集中开工、易地搬迁后扶奖补及电力配套建设专项、增收节支奖励、粮食仓房设施维修、粮食风险基金、以工代赈小流域治理专项、“县-乡-村”物流配送建设专项等等，因年初无上级资金文件和县委政府会议纪要无法报预算，只能年中追加预算的。</w:t>
      </w:r>
    </w:p>
    <w:p w14:paraId="009E2BF1">
      <w:pPr>
        <w:spacing w:line="520" w:lineRule="atLeast"/>
        <w:ind w:firstLine="640" w:firstLineChars="200"/>
        <w:rPr>
          <w:rFonts w:ascii="仿宋" w:hAnsi="仿宋" w:eastAsia="仿宋" w:cs="仿宋"/>
          <w:sz w:val="32"/>
          <w:szCs w:val="32"/>
        </w:rPr>
      </w:pPr>
      <w:r>
        <w:rPr>
          <w:rFonts w:hint="eastAsia" w:ascii="仿宋" w:hAnsi="仿宋" w:eastAsia="仿宋" w:cs="仿宋"/>
          <w:kern w:val="1"/>
          <w:sz w:val="32"/>
          <w:szCs w:val="32"/>
        </w:rPr>
        <w:t>2、支出预算：</w:t>
      </w:r>
      <w:r>
        <w:rPr>
          <w:rFonts w:ascii="仿宋" w:hAnsi="仿宋" w:eastAsia="仿宋" w:cs="仿宋_GB2312"/>
          <w:kern w:val="1"/>
          <w:sz w:val="32"/>
          <w:szCs w:val="32"/>
        </w:rPr>
        <w:t>20</w:t>
      </w:r>
      <w:r>
        <w:rPr>
          <w:rFonts w:hint="eastAsia" w:ascii="仿宋" w:hAnsi="仿宋" w:eastAsia="仿宋" w:cs="仿宋_GB2312"/>
          <w:kern w:val="1"/>
          <w:sz w:val="32"/>
          <w:szCs w:val="32"/>
        </w:rPr>
        <w:t>21</w:t>
      </w:r>
      <w:r>
        <w:rPr>
          <w:rFonts w:ascii="仿宋" w:hAnsi="仿宋" w:eastAsia="仿宋" w:cs="仿宋_GB2312"/>
          <w:kern w:val="1"/>
          <w:sz w:val="32"/>
          <w:szCs w:val="32"/>
        </w:rPr>
        <w:t>年初预算支出指标</w:t>
      </w:r>
      <w:r>
        <w:rPr>
          <w:rFonts w:hint="eastAsia" w:ascii="仿宋" w:hAnsi="仿宋" w:eastAsia="仿宋" w:cs="仿宋_GB2312"/>
          <w:kern w:val="1"/>
          <w:sz w:val="32"/>
          <w:szCs w:val="32"/>
        </w:rPr>
        <w:t>780.95</w:t>
      </w:r>
      <w:r>
        <w:rPr>
          <w:rFonts w:ascii="仿宋" w:hAnsi="仿宋" w:eastAsia="仿宋" w:cs="仿宋_GB2312"/>
          <w:kern w:val="1"/>
          <w:sz w:val="32"/>
          <w:szCs w:val="32"/>
        </w:rPr>
        <w:t>万元，实际本年支出</w:t>
      </w:r>
      <w:r>
        <w:rPr>
          <w:rFonts w:hint="eastAsia" w:ascii="仿宋" w:hAnsi="仿宋" w:eastAsia="仿宋" w:cs="仿宋_GB2312"/>
          <w:kern w:val="1"/>
          <w:sz w:val="32"/>
          <w:szCs w:val="32"/>
        </w:rPr>
        <w:t>1527.55</w:t>
      </w:r>
      <w:r>
        <w:rPr>
          <w:rFonts w:ascii="仿宋" w:hAnsi="仿宋" w:eastAsia="仿宋" w:cs="仿宋_GB2312"/>
          <w:kern w:val="1"/>
          <w:sz w:val="32"/>
          <w:szCs w:val="32"/>
        </w:rPr>
        <w:t>万元，本年</w:t>
      </w:r>
      <w:r>
        <w:rPr>
          <w:rFonts w:hint="eastAsia" w:ascii="仿宋" w:hAnsi="仿宋" w:eastAsia="仿宋" w:cs="仿宋_GB2312"/>
          <w:kern w:val="1"/>
          <w:sz w:val="32"/>
          <w:szCs w:val="32"/>
        </w:rPr>
        <w:t>支出</w:t>
      </w:r>
      <w:r>
        <w:rPr>
          <w:rFonts w:ascii="仿宋" w:hAnsi="仿宋" w:eastAsia="仿宋" w:cs="仿宋_GB2312"/>
          <w:kern w:val="1"/>
          <w:sz w:val="32"/>
          <w:szCs w:val="32"/>
        </w:rPr>
        <w:t>比</w:t>
      </w:r>
      <w:r>
        <w:rPr>
          <w:rFonts w:hint="eastAsia" w:ascii="仿宋" w:hAnsi="仿宋" w:eastAsia="仿宋" w:cs="仿宋_GB2312"/>
          <w:kern w:val="1"/>
          <w:sz w:val="32"/>
          <w:szCs w:val="32"/>
        </w:rPr>
        <w:t>年初预算增加95.6</w:t>
      </w:r>
      <w:r>
        <w:rPr>
          <w:rFonts w:ascii="仿宋" w:hAnsi="仿宋" w:eastAsia="仿宋" w:cs="仿宋_GB2312"/>
          <w:kern w:val="1"/>
          <w:sz w:val="32"/>
          <w:szCs w:val="32"/>
        </w:rPr>
        <w:t>%，差额</w:t>
      </w:r>
      <w:r>
        <w:rPr>
          <w:rFonts w:hint="eastAsia" w:ascii="仿宋" w:hAnsi="仿宋" w:eastAsia="仿宋" w:cs="仿宋"/>
          <w:kern w:val="1"/>
          <w:sz w:val="32"/>
          <w:szCs w:val="32"/>
        </w:rPr>
        <w:t>746.6</w:t>
      </w:r>
      <w:r>
        <w:rPr>
          <w:rFonts w:ascii="仿宋" w:hAnsi="仿宋" w:eastAsia="仿宋" w:cs="仿宋_GB2312"/>
          <w:kern w:val="1"/>
          <w:sz w:val="32"/>
          <w:szCs w:val="32"/>
        </w:rPr>
        <w:t>万元</w:t>
      </w:r>
      <w:r>
        <w:rPr>
          <w:rFonts w:hint="eastAsia" w:ascii="仿宋" w:hAnsi="仿宋" w:eastAsia="仿宋" w:cs="仿宋_GB2312"/>
          <w:kern w:val="1"/>
          <w:sz w:val="32"/>
          <w:szCs w:val="32"/>
        </w:rPr>
        <w:t>。</w:t>
      </w:r>
    </w:p>
    <w:p w14:paraId="77A9BB4F">
      <w:pPr>
        <w:spacing w:line="520" w:lineRule="atLeast"/>
        <w:ind w:firstLine="640" w:firstLineChars="200"/>
        <w:jc w:val="both"/>
        <w:rPr>
          <w:rFonts w:ascii="仿宋" w:hAnsi="仿宋" w:eastAsia="仿宋" w:cs="仿宋"/>
          <w:kern w:val="1"/>
          <w:sz w:val="32"/>
          <w:szCs w:val="32"/>
        </w:rPr>
      </w:pPr>
      <w:r>
        <w:rPr>
          <w:rFonts w:hint="eastAsia" w:ascii="仿宋" w:hAnsi="仿宋" w:eastAsia="仿宋" w:cs="仿宋"/>
          <w:sz w:val="32"/>
          <w:szCs w:val="32"/>
        </w:rPr>
        <w:t>3、专项资金管理情况</w:t>
      </w:r>
      <w:r>
        <w:rPr>
          <w:rFonts w:hint="eastAsia" w:ascii="仿宋" w:hAnsi="仿宋" w:eastAsia="仿宋" w:cs="仿宋"/>
          <w:kern w:val="1"/>
          <w:sz w:val="32"/>
          <w:szCs w:val="32"/>
        </w:rPr>
        <w:t>：</w:t>
      </w:r>
      <w:r>
        <w:rPr>
          <w:rFonts w:ascii="仿宋_GB2312" w:hAnsi="仿宋" w:eastAsia="仿宋_GB2312" w:cs="仿宋_GB2312"/>
          <w:color w:val="000000"/>
          <w:sz w:val="32"/>
          <w:szCs w:val="32"/>
          <w:shd w:val="clear" w:color="auto" w:fill="FFFFFF"/>
        </w:rPr>
        <w:t>2021年专项资金</w:t>
      </w:r>
      <w:r>
        <w:rPr>
          <w:rFonts w:hint="eastAsia" w:ascii="仿宋_GB2312" w:hAnsi="仿宋" w:eastAsia="仿宋_GB2312" w:cs="仿宋_GB2312"/>
          <w:color w:val="000000"/>
          <w:sz w:val="32"/>
          <w:szCs w:val="32"/>
          <w:shd w:val="clear" w:color="auto" w:fill="FFFFFF"/>
        </w:rPr>
        <w:t>934.6</w:t>
      </w:r>
      <w:r>
        <w:rPr>
          <w:rFonts w:ascii="仿宋_GB2312" w:hAnsi="仿宋" w:eastAsia="仿宋_GB2312" w:cs="仿宋_GB2312"/>
          <w:color w:val="000000"/>
          <w:sz w:val="32"/>
          <w:szCs w:val="32"/>
          <w:shd w:val="clear" w:color="auto" w:fill="FFFFFF"/>
        </w:rPr>
        <w:t>万元，其中一般公共服务</w:t>
      </w:r>
      <w:r>
        <w:rPr>
          <w:rFonts w:hint="eastAsia" w:ascii="仿宋_GB2312" w:hAnsi="仿宋" w:eastAsia="仿宋_GB2312" w:cs="仿宋_GB2312"/>
          <w:color w:val="000000"/>
          <w:sz w:val="32"/>
          <w:szCs w:val="32"/>
          <w:shd w:val="clear" w:color="auto" w:fill="FFFFFF"/>
        </w:rPr>
        <w:t>支出589.26</w:t>
      </w:r>
      <w:r>
        <w:rPr>
          <w:rFonts w:hint="eastAsia" w:ascii="仿宋" w:hAnsi="仿宋" w:eastAsia="仿宋" w:cs="仿宋"/>
          <w:color w:val="000000"/>
          <w:sz w:val="32"/>
          <w:szCs w:val="32"/>
          <w:shd w:val="clear" w:color="auto" w:fill="FFFFFF"/>
        </w:rPr>
        <w:t>万元（</w:t>
      </w:r>
      <w:r>
        <w:rPr>
          <w:rFonts w:hint="eastAsia" w:ascii="仿宋_GB2312" w:hAnsi="仿宋" w:eastAsia="仿宋_GB2312" w:cs="仿宋_GB2312"/>
          <w:color w:val="000000"/>
          <w:sz w:val="32"/>
          <w:szCs w:val="32"/>
          <w:shd w:val="clear" w:color="auto" w:fill="FFFFFF"/>
        </w:rPr>
        <w:t>含基本建设类527.85万元）</w:t>
      </w:r>
      <w:r>
        <w:rPr>
          <w:rFonts w:hint="eastAsia" w:ascii="仿宋" w:hAnsi="仿宋" w:eastAsia="仿宋" w:cs="仿宋"/>
          <w:color w:val="000000"/>
          <w:sz w:val="32"/>
          <w:szCs w:val="32"/>
          <w:shd w:val="clear" w:color="auto" w:fill="FFFFFF"/>
        </w:rPr>
        <w:t>，农林水支出256.36万元，粮油物资储备支出88.98万元。</w:t>
      </w:r>
      <w:r>
        <w:rPr>
          <w:rFonts w:ascii="仿宋_GB2312" w:hAnsi="仿宋" w:eastAsia="仿宋_GB2312" w:cs="仿宋_GB2312"/>
          <w:color w:val="333333"/>
          <w:sz w:val="32"/>
          <w:szCs w:val="32"/>
          <w:shd w:val="clear" w:color="auto" w:fill="FFFFFF"/>
        </w:rPr>
        <w:t>我局建立严格的专项资金管理体系，严格按照专项资金支出的条件和要求对专项资金使用情况进行管理。对专项资金实行国库集中支付和专账核算，使各项目资金真正做到专项管理，专款专用，确保资金无挤占、挪用、串用等现象。</w:t>
      </w:r>
    </w:p>
    <w:p w14:paraId="79855BC6">
      <w:pPr>
        <w:spacing w:line="520" w:lineRule="atLeast"/>
        <w:ind w:firstLine="640" w:firstLineChars="200"/>
        <w:rPr>
          <w:rFonts w:ascii="仿宋" w:hAnsi="仿宋" w:eastAsia="仿宋" w:cs="仿宋"/>
          <w:sz w:val="32"/>
          <w:szCs w:val="32"/>
          <w:lang w:val="zh-CN" w:bidi="zh-CN"/>
        </w:rPr>
      </w:pPr>
      <w:r>
        <w:rPr>
          <w:rFonts w:hint="eastAsia" w:ascii="仿宋" w:hAnsi="仿宋" w:eastAsia="仿宋" w:cs="仿宋"/>
          <w:kern w:val="1"/>
          <w:sz w:val="32"/>
          <w:szCs w:val="32"/>
        </w:rPr>
        <w:t>4、“三公”经费支出情况：2021年“三公”经费年初预算数20.03万元，其中公务接待费8.1万元，公务用车运行维护费11.93万元，公务用车购置费0万元,因公出国（境)费0万元；2021年“三公”经费实际支出总额3.03万元,其中公务接待费1.68万元,公务用车运行维护费1.35万元，公务用车购置费0万元,因公出国（境)费0万元。</w:t>
      </w:r>
    </w:p>
    <w:p w14:paraId="6DB158C9">
      <w:pPr>
        <w:spacing w:line="520" w:lineRule="atLeast"/>
        <w:ind w:firstLine="640" w:firstLineChars="200"/>
        <w:rPr>
          <w:rFonts w:ascii="仿宋" w:hAnsi="仿宋" w:eastAsia="仿宋" w:cs="仿宋"/>
          <w:kern w:val="1"/>
          <w:sz w:val="32"/>
          <w:szCs w:val="32"/>
        </w:rPr>
      </w:pPr>
      <w:r>
        <w:rPr>
          <w:rFonts w:hint="eastAsia" w:ascii="仿宋" w:hAnsi="仿宋" w:eastAsia="仿宋" w:cs="仿宋"/>
          <w:sz w:val="32"/>
          <w:szCs w:val="32"/>
          <w:lang w:bidi="zh-CN"/>
        </w:rPr>
        <w:t>5、政府采购情况：</w:t>
      </w:r>
      <w:r>
        <w:rPr>
          <w:rFonts w:hint="eastAsia" w:ascii="仿宋" w:hAnsi="仿宋" w:eastAsia="仿宋" w:cs="仿宋"/>
          <w:sz w:val="32"/>
          <w:szCs w:val="32"/>
          <w:shd w:val="clear" w:color="auto" w:fill="FFFFFF"/>
        </w:rPr>
        <w:t>2021</w:t>
      </w:r>
      <w:r>
        <w:rPr>
          <w:rFonts w:hint="eastAsia" w:ascii="仿宋" w:hAnsi="仿宋" w:eastAsia="仿宋" w:cs="仿宋"/>
          <w:sz w:val="32"/>
          <w:szCs w:val="32"/>
        </w:rPr>
        <w:t>年度本单位政府采购预算总额48.3 万元，其中</w:t>
      </w:r>
      <w:r>
        <w:rPr>
          <w:rFonts w:hint="eastAsia" w:ascii="仿宋" w:hAnsi="仿宋" w:eastAsia="仿宋" w:cs="仿宋_GB2312"/>
          <w:color w:val="333333"/>
          <w:sz w:val="32"/>
          <w:szCs w:val="32"/>
          <w:shd w:val="clear" w:color="auto" w:fill="FFFFFF"/>
        </w:rPr>
        <w:t>政府采购货物类预算13万元，工程类采购预算0万元，政府采购服务类预算35.3万元。</w:t>
      </w:r>
      <w:r>
        <w:rPr>
          <w:rFonts w:hint="eastAsia" w:ascii="仿宋" w:hAnsi="仿宋" w:eastAsia="仿宋" w:cs="仿宋"/>
          <w:sz w:val="32"/>
          <w:szCs w:val="32"/>
          <w:shd w:val="clear" w:color="auto" w:fill="FFFFFF"/>
        </w:rPr>
        <w:t>2021</w:t>
      </w:r>
      <w:r>
        <w:rPr>
          <w:rFonts w:hint="eastAsia" w:ascii="仿宋" w:hAnsi="仿宋" w:eastAsia="仿宋" w:cs="仿宋"/>
          <w:sz w:val="32"/>
          <w:szCs w:val="32"/>
        </w:rPr>
        <w:t>年度政府采购实际支出总额</w:t>
      </w:r>
      <w:r>
        <w:rPr>
          <w:rFonts w:hint="eastAsia" w:ascii="仿宋" w:hAnsi="仿宋" w:eastAsia="仿宋" w:cs="仿宋"/>
          <w:sz w:val="32"/>
          <w:szCs w:val="32"/>
          <w:shd w:val="clear" w:color="auto" w:fill="FFFFFF"/>
        </w:rPr>
        <w:t>191.62万元，其中政府采购货物支出12.48万元，政府采购工程类支出0万元，</w:t>
      </w:r>
      <w:r>
        <w:rPr>
          <w:rFonts w:hint="eastAsia" w:ascii="仿宋" w:hAnsi="仿宋" w:eastAsia="仿宋" w:cs="仿宋_GB2312"/>
          <w:color w:val="333333"/>
          <w:sz w:val="32"/>
          <w:szCs w:val="32"/>
          <w:shd w:val="clear" w:color="auto" w:fill="FFFFFF"/>
        </w:rPr>
        <w:t>政府采购</w:t>
      </w:r>
      <w:r>
        <w:rPr>
          <w:rFonts w:hint="eastAsia" w:ascii="仿宋" w:hAnsi="仿宋" w:eastAsia="仿宋" w:cs="仿宋"/>
          <w:sz w:val="32"/>
          <w:szCs w:val="32"/>
          <w:shd w:val="clear" w:color="auto" w:fill="FFFFFF"/>
        </w:rPr>
        <w:t>服务类支出179.14万元。</w:t>
      </w:r>
      <w:r>
        <w:rPr>
          <w:rFonts w:hint="eastAsia" w:ascii="仿宋" w:hAnsi="仿宋" w:eastAsia="仿宋" w:cs="仿宋"/>
          <w:kern w:val="1"/>
          <w:sz w:val="32"/>
          <w:szCs w:val="32"/>
        </w:rPr>
        <w:t>增加原因：项目资金因年初无上级资金文件和县委政府会议纪要无法报预算，只能年中追加预算的。</w:t>
      </w:r>
    </w:p>
    <w:p w14:paraId="59C3AA02">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(五）部门年度整体工作目标任务完成情况，包括：财政资金支出达到的效果情况、社会满意度认可情况等。</w:t>
      </w:r>
    </w:p>
    <w:p w14:paraId="611855F2">
      <w:pPr>
        <w:widowControl w:val="0"/>
        <w:adjustRightInd/>
        <w:snapToGrid/>
        <w:spacing w:line="540" w:lineRule="exact"/>
        <w:ind w:firstLine="640" w:firstLineChars="200"/>
      </w:pPr>
      <w:r>
        <w:rPr>
          <w:rFonts w:hint="eastAsia" w:ascii="仿宋" w:hAnsi="仿宋" w:eastAsia="仿宋" w:cs="仿宋"/>
          <w:sz w:val="32"/>
          <w:szCs w:val="32"/>
        </w:rPr>
        <w:t>概述单位工作开展情况及主要事业成效：</w:t>
      </w:r>
      <w:r>
        <w:rPr>
          <w:rFonts w:hint="eastAsia" w:ascii="仿宋" w:hAnsi="仿宋" w:eastAsia="仿宋" w:cs="仿宋"/>
          <w:bCs/>
          <w:sz w:val="32"/>
          <w:szCs w:val="32"/>
        </w:rPr>
        <w:t>全县固定资产投资1-11月完成51.72亿元，完成年度任务的94.8%，同比增长14.8%，超目标任务4.3个百分点；争取中央省预算内资金2777万元，争取专项债券资金31600万元。</w:t>
      </w:r>
      <w:r>
        <w:rPr>
          <w:rFonts w:hint="eastAsia" w:ascii="仿宋" w:hAnsi="仿宋" w:eastAsia="仿宋" w:cs="仿宋"/>
          <w:sz w:val="32"/>
          <w:szCs w:val="32"/>
        </w:rPr>
        <w:t>举行3次重点项目集中开（竣）工活动。窗口累计办件164件,</w:t>
      </w:r>
      <w:r>
        <w:rPr>
          <w:rFonts w:hint="eastAsia" w:ascii="仿宋" w:hAnsi="仿宋" w:eastAsia="仿宋" w:cs="仿宋"/>
          <w:color w:val="000000"/>
          <w:sz w:val="32"/>
          <w:szCs w:val="32"/>
        </w:rPr>
        <w:t>按期办结率达100%。</w:t>
      </w:r>
      <w:r>
        <w:rPr>
          <w:rFonts w:hint="eastAsia" w:ascii="仿宋" w:hAnsi="仿宋" w:eastAsia="仿宋" w:cs="仿宋"/>
          <w:bCs/>
          <w:color w:val="000000"/>
          <w:sz w:val="32"/>
          <w:szCs w:val="32"/>
        </w:rPr>
        <w:t>对我县78个</w:t>
      </w:r>
      <w:r>
        <w:rPr>
          <w:rFonts w:hint="eastAsia" w:ascii="仿宋" w:hAnsi="仿宋" w:eastAsia="仿宋" w:cs="仿宋"/>
          <w:bCs/>
          <w:color w:val="000000"/>
          <w:spacing w:val="8"/>
          <w:sz w:val="32"/>
          <w:szCs w:val="32"/>
        </w:rPr>
        <w:t>政府投资工程</w:t>
      </w:r>
      <w:r>
        <w:rPr>
          <w:rFonts w:hint="eastAsia" w:ascii="仿宋" w:hAnsi="仿宋" w:eastAsia="仿宋" w:cs="仿宋"/>
          <w:bCs/>
          <w:color w:val="000000"/>
          <w:sz w:val="32"/>
          <w:szCs w:val="32"/>
        </w:rPr>
        <w:t>项目进行</w:t>
      </w:r>
      <w:r>
        <w:rPr>
          <w:rFonts w:hint="eastAsia" w:ascii="仿宋" w:hAnsi="仿宋" w:eastAsia="仿宋" w:cs="仿宋"/>
          <w:bCs/>
          <w:color w:val="000000"/>
          <w:spacing w:val="8"/>
          <w:sz w:val="32"/>
          <w:szCs w:val="32"/>
        </w:rPr>
        <w:t>超概算问题专项整治</w:t>
      </w:r>
      <w:r>
        <w:rPr>
          <w:rFonts w:hint="eastAsia" w:ascii="仿宋" w:hAnsi="仿宋" w:eastAsia="仿宋" w:cs="仿宋"/>
          <w:bCs/>
          <w:color w:val="000000"/>
          <w:sz w:val="32"/>
          <w:szCs w:val="32"/>
        </w:rPr>
        <w:t>自查。</w:t>
      </w:r>
      <w:r>
        <w:rPr>
          <w:rFonts w:hint="eastAsia" w:ascii="仿宋" w:hAnsi="仿宋" w:eastAsia="仿宋" w:cs="仿宋"/>
          <w:color w:val="111111"/>
          <w:sz w:val="32"/>
          <w:szCs w:val="32"/>
        </w:rPr>
        <w:t>对23所普惠制幼儿园进行了收费备案。</w:t>
      </w:r>
      <w:r>
        <w:rPr>
          <w:rFonts w:hint="eastAsia" w:ascii="仿宋" w:hAnsi="仿宋" w:eastAsia="仿宋" w:cs="仿宋"/>
          <w:sz w:val="32"/>
          <w:szCs w:val="32"/>
        </w:rPr>
        <w:t>全年共办理价格认定方面各类案件价格认证40起，价格认定值44.23万元。</w:t>
      </w:r>
      <w:r>
        <w:rPr>
          <w:rFonts w:hint="eastAsia" w:ascii="仿宋" w:hAnsi="仿宋" w:eastAsia="仿宋" w:cs="仿宋"/>
          <w:color w:val="333333"/>
          <w:spacing w:val="8"/>
          <w:sz w:val="32"/>
          <w:szCs w:val="32"/>
          <w:shd w:val="clear" w:color="auto" w:fill="FFFFFF"/>
        </w:rPr>
        <w:t>日常</w:t>
      </w:r>
      <w:r>
        <w:rPr>
          <w:rFonts w:hint="eastAsia" w:ascii="仿宋" w:hAnsi="仿宋" w:eastAsia="仿宋" w:cs="仿宋"/>
          <w:color w:val="111111"/>
          <w:sz w:val="32"/>
          <w:szCs w:val="32"/>
        </w:rPr>
        <w:t>价格监测工作全年共上报价格日报表100余份，采集各类数据3000余条。</w:t>
      </w:r>
      <w:r>
        <w:rPr>
          <w:rFonts w:hint="eastAsia" w:ascii="仿宋" w:hAnsi="仿宋" w:eastAsia="仿宋" w:cs="仿宋"/>
          <w:color w:val="000000"/>
          <w:sz w:val="32"/>
          <w:szCs w:val="32"/>
        </w:rPr>
        <w:t>县级储备粮轮换任务1001吨。共落实县级储备粮3500吨，应急成品粮300吨。开展政策性粮食专项检查和“亮剑2021”专项执法行动20余次，检查企业10余家次，出动执法人员80余人次。从全县单位抽调9人组建3支驻社区工作队，进驻易地搬迁集中安置地。建立易地搬迁党支部3个，党小组9个。</w:t>
      </w:r>
      <w:r>
        <w:rPr>
          <w:rFonts w:hint="eastAsia" w:ascii="仿宋" w:hAnsi="仿宋" w:eastAsia="仿宋" w:cs="仿宋"/>
          <w:sz w:val="32"/>
          <w:szCs w:val="32"/>
        </w:rPr>
        <w:t>在集中安置区配套建设扶贫车间产业扶持覆盖1009户3840人，群众满意度达100%；对国网中方供电分公司等能源企业进行了重点巡查。</w:t>
      </w:r>
      <w:r>
        <w:rPr>
          <w:rFonts w:hint="eastAsia" w:ascii="仿宋" w:hAnsi="仿宋" w:eastAsia="仿宋" w:cs="仿宋"/>
          <w:bCs/>
          <w:sz w:val="32"/>
          <w:szCs w:val="32"/>
        </w:rPr>
        <w:t>巩固脱贫攻坚成果工作调度会30余次，调度党员、干部职工开展帮扶工作400多人次。</w:t>
      </w:r>
      <w:r>
        <w:rPr>
          <w:rFonts w:hint="eastAsia" w:ascii="仿宋" w:hAnsi="仿宋" w:eastAsia="仿宋" w:cs="仿宋"/>
          <w:bCs/>
          <w:spacing w:val="-6"/>
          <w:sz w:val="32"/>
          <w:szCs w:val="32"/>
        </w:rPr>
        <w:t>完成县级投稿任务17篇，市级媒体上稿8篇，省级媒体上稿2篇，公开信息22条。办理红网百姓呼声2条，各方面工作</w:t>
      </w:r>
      <w:r>
        <w:rPr>
          <w:rFonts w:hint="eastAsia" w:ascii="仿宋" w:hAnsi="仿宋" w:eastAsia="仿宋" w:cs="仿宋"/>
          <w:sz w:val="32"/>
          <w:szCs w:val="32"/>
        </w:rPr>
        <w:t>社会满意度</w:t>
      </w:r>
      <w:r>
        <w:rPr>
          <w:rFonts w:hint="eastAsia" w:ascii="仿宋" w:hAnsi="仿宋" w:eastAsia="仿宋" w:cs="仿宋"/>
          <w:bCs/>
          <w:spacing w:val="-6"/>
          <w:sz w:val="32"/>
          <w:szCs w:val="32"/>
        </w:rPr>
        <w:t>100%。</w:t>
      </w:r>
    </w:p>
    <w:p w14:paraId="57654C79">
      <w:pPr>
        <w:spacing w:after="0" w:line="600" w:lineRule="atLeast"/>
        <w:ind w:firstLine="640" w:firstLineChars="200"/>
        <w:rPr>
          <w:rFonts w:ascii="黑体" w:hAnsi="黑体" w:eastAsia="黑体" w:cs="黑体"/>
          <w:bCs/>
          <w:sz w:val="32"/>
          <w:szCs w:val="32"/>
        </w:rPr>
      </w:pPr>
      <w:r>
        <w:rPr>
          <w:rFonts w:hint="eastAsia" w:ascii="黑体" w:hAnsi="黑体" w:eastAsia="黑体" w:cs="黑体"/>
          <w:bCs/>
          <w:sz w:val="32"/>
          <w:szCs w:val="32"/>
        </w:rPr>
        <w:t>二、部门整体评价工作开展</w:t>
      </w:r>
    </w:p>
    <w:p w14:paraId="5FB82D9A">
      <w:pPr>
        <w:pStyle w:val="7"/>
        <w:shd w:val="clear" w:color="auto" w:fill="FFFFFF"/>
        <w:spacing w:before="0" w:beforeAutospacing="0" w:after="300" w:afterAutospacing="0" w:line="560" w:lineRule="exact"/>
        <w:ind w:left="638" w:leftChars="290"/>
        <w:contextualSpacing/>
        <w:rPr>
          <w:rFonts w:ascii="仿宋" w:hAnsi="仿宋" w:eastAsia="仿宋" w:cs="仿宋"/>
          <w:bCs/>
          <w:spacing w:val="-11"/>
          <w:sz w:val="32"/>
          <w:szCs w:val="32"/>
        </w:rPr>
      </w:pPr>
      <w:r>
        <w:rPr>
          <w:rFonts w:hint="eastAsia" w:ascii="仿宋" w:hAnsi="仿宋" w:eastAsia="仿宋" w:cs="仿宋"/>
          <w:spacing w:val="-11"/>
          <w:sz w:val="32"/>
          <w:szCs w:val="32"/>
        </w:rPr>
        <w:t>（一）绩效评价实施过程情况，</w:t>
      </w:r>
      <w:r>
        <w:rPr>
          <w:rFonts w:hint="eastAsia" w:ascii="仿宋" w:hAnsi="仿宋" w:eastAsia="仿宋" w:cs="仿宋"/>
          <w:bCs/>
          <w:spacing w:val="-11"/>
          <w:sz w:val="32"/>
          <w:szCs w:val="32"/>
        </w:rPr>
        <w:t>包括评价方法、工作程序</w:t>
      </w:r>
    </w:p>
    <w:p w14:paraId="0D703056">
      <w:pPr>
        <w:pStyle w:val="7"/>
        <w:shd w:val="clear" w:color="auto" w:fill="FFFFFF"/>
        <w:spacing w:before="0" w:beforeAutospacing="0" w:after="300" w:afterAutospacing="0" w:line="560" w:lineRule="exact"/>
        <w:ind w:firstLine="643" w:firstLineChars="200"/>
        <w:contextualSpacing/>
        <w:rPr>
          <w:rFonts w:ascii="仿宋_GB2312" w:hAnsi="Calibri" w:eastAsia="仿宋_GB2312" w:cs="Times New Roman"/>
          <w:kern w:val="2"/>
          <w:sz w:val="32"/>
          <w:szCs w:val="32"/>
        </w:rPr>
      </w:pPr>
      <w:r>
        <w:rPr>
          <w:rFonts w:hint="eastAsia" w:ascii="楷体" w:hAnsi="楷体" w:eastAsia="楷体" w:cs="楷体"/>
          <w:b/>
          <w:bCs/>
          <w:kern w:val="2"/>
          <w:sz w:val="32"/>
          <w:szCs w:val="32"/>
        </w:rPr>
        <w:t>1、前期准备阶段。</w:t>
      </w:r>
      <w:r>
        <w:rPr>
          <w:rFonts w:hint="eastAsia" w:ascii="仿宋_GB2312" w:hAnsi="Calibri" w:eastAsia="仿宋_GB2312" w:cs="Times New Roman"/>
          <w:kern w:val="2"/>
          <w:sz w:val="32"/>
          <w:szCs w:val="32"/>
        </w:rPr>
        <w:t>组建评价工作小组,制定具体的绩效评价工作方案。评价工作组与相关人员进行座谈、了解项目情况，结合本次绩效评价工作要求的基础上，制定绩效评价工作方案，明确评价对象和范围、评价目的、评价内容、评价方法、指标体系框架、组织形式、时间安排和工作要求等具体事项。</w:t>
      </w:r>
    </w:p>
    <w:p w14:paraId="4FB88970">
      <w:pPr>
        <w:pStyle w:val="7"/>
        <w:shd w:val="clear" w:color="auto" w:fill="FFFFFF"/>
        <w:spacing w:before="0" w:beforeAutospacing="0" w:after="300" w:afterAutospacing="0" w:line="560" w:lineRule="exact"/>
        <w:contextualSpacing/>
        <w:rPr>
          <w:rFonts w:ascii="仿宋_GB2312" w:hAnsi="Calibri" w:eastAsia="仿宋_GB2312" w:cs="Times New Roman"/>
          <w:kern w:val="2"/>
          <w:sz w:val="32"/>
          <w:szCs w:val="32"/>
        </w:rPr>
      </w:pPr>
      <w:r>
        <w:rPr>
          <w:rFonts w:hint="eastAsia" w:ascii="仿宋_GB2312" w:hAnsi="Calibri" w:eastAsia="仿宋_GB2312" w:cs="Times New Roman"/>
          <w:kern w:val="2"/>
          <w:sz w:val="32"/>
          <w:szCs w:val="32"/>
        </w:rPr>
        <w:t>　　</w:t>
      </w:r>
      <w:r>
        <w:rPr>
          <w:rFonts w:hint="eastAsia" w:ascii="楷体" w:hAnsi="楷体" w:eastAsia="楷体" w:cs="楷体"/>
          <w:b/>
          <w:bCs/>
          <w:kern w:val="2"/>
          <w:sz w:val="32"/>
          <w:szCs w:val="32"/>
        </w:rPr>
        <w:t>2、现场调研及审核阶段。</w:t>
      </w:r>
      <w:r>
        <w:rPr>
          <w:rFonts w:hint="eastAsia" w:ascii="仿宋_GB2312" w:hAnsi="Calibri" w:eastAsia="仿宋_GB2312" w:cs="Times New Roman"/>
          <w:kern w:val="2"/>
          <w:sz w:val="32"/>
          <w:szCs w:val="32"/>
        </w:rPr>
        <w:t>主要工作包括：听取项目的介绍，核查、收集与项目实施有关的文件材料，了解项目资金使用及效益情况。对本项目资金使用情况项目情况进行调查了解，收集、整理、填报评价基础数据资料，对有关内容进行审核，重点对评价基础数据的准确性、完整性及相应佐证材料的有效性进行审核，并将审核过程中发现的问题、审核意见记录清楚。在整理分析总体情况和项目资料之后，评价工作组根据现场调研情况，细化评价指标，明确指标权重和评分标准，制定评价指标体系。</w:t>
      </w:r>
    </w:p>
    <w:p w14:paraId="47C96F25">
      <w:pPr>
        <w:pStyle w:val="7"/>
        <w:shd w:val="clear" w:color="auto" w:fill="FFFFFF"/>
        <w:spacing w:before="0" w:beforeAutospacing="0" w:after="300" w:afterAutospacing="0" w:line="560" w:lineRule="exact"/>
        <w:ind w:firstLine="641"/>
        <w:contextualSpacing/>
        <w:rPr>
          <w:rFonts w:ascii="仿宋" w:hAnsi="仿宋" w:eastAsia="仿宋" w:cs="仿宋"/>
          <w:spacing w:val="-11"/>
          <w:sz w:val="32"/>
          <w:szCs w:val="32"/>
        </w:rPr>
      </w:pPr>
      <w:r>
        <w:rPr>
          <w:rFonts w:hint="eastAsia" w:ascii="楷体" w:hAnsi="楷体" w:eastAsia="楷体" w:cs="楷体"/>
          <w:b/>
          <w:bCs/>
          <w:kern w:val="2"/>
          <w:sz w:val="32"/>
          <w:szCs w:val="32"/>
        </w:rPr>
        <w:t>3、评价总结阶段。</w:t>
      </w:r>
      <w:r>
        <w:rPr>
          <w:rFonts w:hint="eastAsia" w:ascii="仿宋_GB2312" w:hAnsi="Calibri" w:eastAsia="仿宋_GB2312" w:cs="Times New Roman"/>
          <w:kern w:val="2"/>
          <w:sz w:val="32"/>
          <w:szCs w:val="32"/>
        </w:rPr>
        <w:t>主要工作包括：撰写绩效评价报告；沟通初步评价意见；形成绩效评价报告；报送绩效评价报告；归档绩效评价资料。</w:t>
      </w:r>
    </w:p>
    <w:p w14:paraId="3936CAD0">
      <w:pPr>
        <w:spacing w:after="0" w:line="600" w:lineRule="atLeast"/>
        <w:ind w:firstLine="640" w:firstLineChars="200"/>
        <w:rPr>
          <w:rFonts w:ascii="仿宋" w:hAnsi="仿宋" w:eastAsia="仿宋" w:cs="仿宋"/>
          <w:bCs/>
          <w:sz w:val="32"/>
          <w:szCs w:val="32"/>
        </w:rPr>
      </w:pPr>
      <w:r>
        <w:rPr>
          <w:rFonts w:hint="eastAsia" w:ascii="仿宋" w:hAnsi="仿宋" w:eastAsia="仿宋" w:cs="仿宋"/>
          <w:sz w:val="32"/>
          <w:szCs w:val="32"/>
        </w:rPr>
        <w:t>（二）绩效评价整体结果概况，</w:t>
      </w:r>
      <w:r>
        <w:rPr>
          <w:rFonts w:hint="eastAsia" w:ascii="仿宋" w:hAnsi="仿宋" w:eastAsia="仿宋" w:cs="仿宋"/>
          <w:bCs/>
          <w:sz w:val="32"/>
          <w:szCs w:val="32"/>
        </w:rPr>
        <w:t>如：得分情况（或档次）、预算编制和执行情况、节能降耗情况、三公经费控制情况，项目支出管理规范和绩效情况等。</w:t>
      </w:r>
    </w:p>
    <w:p w14:paraId="5E73B7D4">
      <w:pPr>
        <w:adjustRightInd/>
        <w:snapToGrid/>
        <w:spacing w:line="560" w:lineRule="exact"/>
        <w:ind w:firstLine="640" w:firstLineChars="200"/>
        <w:rPr>
          <w:sz w:val="32"/>
          <w:szCs w:val="32"/>
        </w:rPr>
      </w:pPr>
      <w:r>
        <w:rPr>
          <w:rFonts w:ascii="仿宋_GB2312" w:hAnsi="仿宋" w:eastAsia="仿宋_GB2312" w:cs="仿宋_GB2312"/>
          <w:color w:val="333333"/>
          <w:sz w:val="32"/>
          <w:szCs w:val="32"/>
          <w:shd w:val="clear" w:color="auto" w:fill="FFFFFF"/>
        </w:rPr>
        <w:t>根据资金绩效评价指标体系和绩效检查情况，财政资金整体绩效分值</w:t>
      </w:r>
      <w:r>
        <w:rPr>
          <w:rFonts w:hint="eastAsia" w:ascii="仿宋" w:hAnsi="仿宋" w:eastAsia="仿宋" w:cs="仿宋"/>
          <w:color w:val="333333"/>
          <w:sz w:val="32"/>
          <w:szCs w:val="32"/>
          <w:shd w:val="clear" w:color="auto" w:fill="FFFFFF"/>
        </w:rPr>
        <w:t>100分，从预算编制和执行情况、节能降耗情况、三公经费控制情况，项目支出管理规范和绩效情况等方面总体评价，实得</w:t>
      </w:r>
      <w:r>
        <w:rPr>
          <w:rFonts w:ascii="仿宋_GB2312" w:hAnsi="仿宋" w:eastAsia="仿宋_GB2312" w:cs="仿宋_GB2312"/>
          <w:color w:val="333333"/>
          <w:sz w:val="32"/>
          <w:szCs w:val="32"/>
          <w:shd w:val="clear" w:color="auto" w:fill="FFFFFF"/>
        </w:rPr>
        <w:t>9</w:t>
      </w:r>
      <w:r>
        <w:rPr>
          <w:rFonts w:hint="eastAsia" w:ascii="仿宋_GB2312" w:hAnsi="仿宋" w:eastAsia="仿宋_GB2312" w:cs="仿宋_GB2312"/>
          <w:color w:val="333333"/>
          <w:sz w:val="32"/>
          <w:szCs w:val="32"/>
          <w:shd w:val="clear" w:color="auto" w:fill="FFFFFF"/>
        </w:rPr>
        <w:t>0</w:t>
      </w:r>
      <w:r>
        <w:rPr>
          <w:rFonts w:ascii="仿宋_GB2312" w:hAnsi="仿宋" w:eastAsia="仿宋_GB2312" w:cs="仿宋_GB2312"/>
          <w:color w:val="333333"/>
          <w:sz w:val="32"/>
          <w:szCs w:val="32"/>
          <w:shd w:val="clear" w:color="auto" w:fill="FFFFFF"/>
        </w:rPr>
        <w:t>.8分，被评为</w:t>
      </w:r>
      <w:r>
        <w:rPr>
          <w:rFonts w:hint="eastAsia" w:ascii="仿宋" w:hAnsi="仿宋" w:eastAsia="仿宋" w:cs="仿宋"/>
          <w:color w:val="333333"/>
          <w:sz w:val="32"/>
          <w:szCs w:val="32"/>
          <w:shd w:val="clear" w:color="auto" w:fill="FFFFFF"/>
        </w:rPr>
        <w:t>“</w:t>
      </w:r>
      <w:r>
        <w:rPr>
          <w:rFonts w:ascii="仿宋_GB2312" w:hAnsi="仿宋" w:eastAsia="仿宋_GB2312" w:cs="仿宋_GB2312"/>
          <w:color w:val="333333"/>
          <w:sz w:val="32"/>
          <w:szCs w:val="32"/>
          <w:shd w:val="clear" w:color="auto" w:fill="FFFFFF"/>
        </w:rPr>
        <w:t>优”等级</w:t>
      </w:r>
      <w:r>
        <w:rPr>
          <w:rFonts w:hint="eastAsia" w:ascii="仿宋" w:hAnsi="仿宋" w:eastAsia="仿宋" w:cs="仿宋"/>
          <w:color w:val="333333"/>
          <w:sz w:val="32"/>
          <w:szCs w:val="32"/>
          <w:shd w:val="clear" w:color="auto" w:fill="FFFFFF"/>
        </w:rPr>
        <w:t> </w:t>
      </w:r>
      <w:r>
        <w:rPr>
          <w:rFonts w:ascii="仿宋_GB2312" w:hAnsi="仿宋" w:eastAsia="仿宋_GB2312" w:cs="仿宋_GB2312"/>
          <w:color w:val="333333"/>
          <w:sz w:val="32"/>
          <w:szCs w:val="32"/>
          <w:shd w:val="clear" w:color="auto" w:fill="FFFFFF"/>
        </w:rPr>
        <w:t>。（附件</w:t>
      </w:r>
      <w:r>
        <w:rPr>
          <w:rFonts w:hint="eastAsia" w:ascii="仿宋_GB2312" w:hAnsi="仿宋" w:eastAsia="仿宋_GB2312" w:cs="仿宋_GB2312"/>
          <w:color w:val="333333"/>
          <w:sz w:val="32"/>
          <w:szCs w:val="32"/>
          <w:shd w:val="clear" w:color="auto" w:fill="FFFFFF"/>
        </w:rPr>
        <w:t>1</w:t>
      </w:r>
      <w:r>
        <w:rPr>
          <w:rFonts w:hint="eastAsia" w:ascii="仿宋" w:hAnsi="仿宋" w:eastAsia="仿宋" w:cs="仿宋"/>
          <w:color w:val="333333"/>
          <w:sz w:val="32"/>
          <w:szCs w:val="32"/>
          <w:shd w:val="clear" w:color="auto" w:fill="FFFFFF"/>
        </w:rPr>
        <w:t>）</w:t>
      </w:r>
    </w:p>
    <w:p w14:paraId="70B3F974">
      <w:pPr>
        <w:spacing w:after="0" w:line="600" w:lineRule="atLeast"/>
        <w:ind w:firstLine="640" w:firstLineChars="200"/>
        <w:rPr>
          <w:rFonts w:ascii="黑体" w:hAnsi="黑体" w:eastAsia="黑体" w:cs="黑体"/>
          <w:bCs/>
          <w:sz w:val="32"/>
          <w:szCs w:val="32"/>
        </w:rPr>
      </w:pPr>
      <w:r>
        <w:rPr>
          <w:rFonts w:hint="eastAsia" w:ascii="黑体" w:hAnsi="黑体" w:eastAsia="黑体" w:cs="黑体"/>
          <w:bCs/>
          <w:sz w:val="32"/>
          <w:szCs w:val="32"/>
        </w:rPr>
        <w:t>三、部门整体支出绩效评价分析</w:t>
      </w:r>
    </w:p>
    <w:p w14:paraId="08BCCE29">
      <w:pPr>
        <w:spacing w:after="0" w:line="600" w:lineRule="atLeast"/>
        <w:ind w:firstLine="643" w:firstLineChars="200"/>
        <w:rPr>
          <w:rFonts w:ascii="仿宋" w:hAnsi="仿宋" w:eastAsia="仿宋" w:cs="仿宋"/>
          <w:bCs/>
          <w:sz w:val="32"/>
          <w:szCs w:val="32"/>
        </w:rPr>
      </w:pPr>
      <w:r>
        <w:rPr>
          <w:rFonts w:ascii="Times New Roman" w:hAnsi="Times New Roman" w:eastAsia="楷体_GB2312" w:cs="Times New Roman"/>
          <w:b/>
          <w:bCs/>
          <w:color w:val="000000"/>
          <w:sz w:val="32"/>
          <w:szCs w:val="32"/>
        </w:rPr>
        <w:t>1.固定资产投资平稳增长。</w:t>
      </w:r>
      <w:r>
        <w:rPr>
          <w:rFonts w:hint="eastAsia" w:ascii="仿宋" w:hAnsi="仿宋" w:eastAsia="仿宋" w:cs="仿宋"/>
          <w:bCs/>
          <w:sz w:val="32"/>
          <w:szCs w:val="32"/>
        </w:rPr>
        <w:t>全县固定资产投资超目标任务4.3个百分点。</w:t>
      </w:r>
    </w:p>
    <w:p w14:paraId="0E96313A">
      <w:pPr>
        <w:spacing w:after="0" w:line="600" w:lineRule="atLeast"/>
        <w:ind w:firstLine="643" w:firstLineChars="200"/>
        <w:rPr>
          <w:rFonts w:ascii="Times New Roman" w:hAnsi="Times New Roman" w:eastAsia="仿宋" w:cs="Times New Roman"/>
          <w:bCs/>
          <w:sz w:val="32"/>
          <w:szCs w:val="32"/>
        </w:rPr>
      </w:pPr>
      <w:r>
        <w:rPr>
          <w:rFonts w:ascii="Times New Roman" w:hAnsi="Times New Roman" w:eastAsia="楷体_GB2312" w:cs="Times New Roman"/>
          <w:b/>
          <w:bCs/>
          <w:color w:val="000000"/>
          <w:sz w:val="32"/>
          <w:szCs w:val="32"/>
        </w:rPr>
        <w:t>2.加大争资争项工作力度。</w:t>
      </w:r>
      <w:r>
        <w:rPr>
          <w:rFonts w:hint="eastAsia" w:ascii="Times New Roman" w:hAnsi="Times New Roman" w:eastAsia="楷体_GB2312" w:cs="Times New Roman"/>
          <w:b/>
          <w:bCs/>
          <w:color w:val="000000"/>
          <w:sz w:val="32"/>
          <w:szCs w:val="32"/>
        </w:rPr>
        <w:t>一是</w:t>
      </w:r>
      <w:r>
        <w:rPr>
          <w:rFonts w:ascii="Times New Roman" w:hAnsi="Times New Roman" w:eastAsia="仿宋" w:cs="Times New Roman"/>
          <w:bCs/>
          <w:sz w:val="32"/>
          <w:szCs w:val="32"/>
        </w:rPr>
        <w:t>今年共争取中央省预算内资金2777万元，争取专项债券资金31600万元，</w:t>
      </w:r>
      <w:r>
        <w:rPr>
          <w:rFonts w:ascii="Times New Roman" w:hAnsi="Times New Roman" w:eastAsia="仿宋" w:cs="Times New Roman"/>
          <w:b/>
          <w:sz w:val="32"/>
          <w:szCs w:val="32"/>
        </w:rPr>
        <w:t>二是</w:t>
      </w:r>
      <w:r>
        <w:rPr>
          <w:rFonts w:ascii="Times New Roman" w:hAnsi="Times New Roman" w:eastAsia="仿宋" w:cs="Times New Roman"/>
          <w:bCs/>
          <w:sz w:val="32"/>
          <w:szCs w:val="32"/>
        </w:rPr>
        <w:t>加强中央和省预算内投资项目资金监管。</w:t>
      </w:r>
      <w:r>
        <w:rPr>
          <w:rFonts w:ascii="Times New Roman" w:hAnsi="Times New Roman" w:eastAsia="仿宋" w:cs="Times New Roman"/>
          <w:b/>
          <w:sz w:val="32"/>
          <w:szCs w:val="32"/>
        </w:rPr>
        <w:t>三是</w:t>
      </w:r>
      <w:r>
        <w:rPr>
          <w:rFonts w:ascii="Times New Roman" w:hAnsi="Times New Roman" w:eastAsia="仿宋" w:cs="Times New Roman"/>
          <w:bCs/>
          <w:sz w:val="32"/>
          <w:szCs w:val="32"/>
        </w:rPr>
        <w:t>加强</w:t>
      </w:r>
      <w:r>
        <w:rPr>
          <w:rFonts w:hint="eastAsia" w:ascii="Times New Roman" w:hAnsi="Times New Roman" w:eastAsia="仿宋" w:cs="Times New Roman"/>
          <w:bCs/>
          <w:sz w:val="32"/>
          <w:szCs w:val="32"/>
        </w:rPr>
        <w:t>明</w:t>
      </w:r>
      <w:r>
        <w:rPr>
          <w:rFonts w:ascii="Times New Roman" w:hAnsi="Times New Roman" w:eastAsia="仿宋" w:cs="Times New Roman"/>
          <w:bCs/>
          <w:sz w:val="32"/>
          <w:szCs w:val="32"/>
        </w:rPr>
        <w:t>年中央预算内投资项目、专项债券项目的谋划和储备。</w:t>
      </w:r>
    </w:p>
    <w:p w14:paraId="342F1708">
      <w:pPr>
        <w:widowControl w:val="0"/>
        <w:adjustRightInd/>
        <w:snapToGrid/>
        <w:spacing w:line="54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color w:val="000000"/>
          <w:sz w:val="32"/>
          <w:szCs w:val="32"/>
        </w:rPr>
        <w:t>3.</w:t>
      </w:r>
      <w:r>
        <w:rPr>
          <w:rFonts w:ascii="Times New Roman" w:hAnsi="Times New Roman" w:eastAsia="楷体_GB2312" w:cs="Times New Roman"/>
          <w:b/>
          <w:bCs/>
          <w:sz w:val="32"/>
          <w:szCs w:val="32"/>
        </w:rPr>
        <w:t>积极发挥参谋助手作用。</w:t>
      </w:r>
      <w:r>
        <w:rPr>
          <w:rFonts w:ascii="Times New Roman" w:hAnsi="Times New Roman" w:eastAsia="仿宋" w:cs="Times New Roman"/>
          <w:bCs/>
          <w:sz w:val="32"/>
          <w:szCs w:val="32"/>
        </w:rPr>
        <w:t>认真编制年度国民经济和社会发展计划草案</w:t>
      </w:r>
      <w:r>
        <w:rPr>
          <w:rFonts w:hint="eastAsia" w:ascii="Times New Roman" w:hAnsi="Times New Roman" w:eastAsia="仿宋" w:cs="Times New Roman"/>
          <w:bCs/>
          <w:sz w:val="32"/>
          <w:szCs w:val="32"/>
        </w:rPr>
        <w:t>；</w:t>
      </w:r>
      <w:r>
        <w:rPr>
          <w:rFonts w:ascii="Times New Roman" w:hAnsi="Times New Roman" w:eastAsia="仿宋" w:cs="Times New Roman"/>
          <w:bCs/>
          <w:sz w:val="32"/>
          <w:szCs w:val="32"/>
        </w:rPr>
        <w:t>进一步修订了《中方县国民经济和社会发展第十四个五年规划和二</w:t>
      </w:r>
      <w:r>
        <w:rPr>
          <w:rFonts w:hint="eastAsia" w:ascii="Times New Roman" w:hAnsi="Times New Roman" w:eastAsia="仿宋" w:cs="Times New Roman"/>
          <w:bCs/>
          <w:sz w:val="32"/>
          <w:szCs w:val="32"/>
          <w:lang w:val="en-US" w:eastAsia="zh-CN"/>
        </w:rPr>
        <w:t>0</w:t>
      </w:r>
      <w:r>
        <w:rPr>
          <w:rFonts w:ascii="Times New Roman" w:hAnsi="Times New Roman" w:eastAsia="仿宋" w:cs="Times New Roman"/>
          <w:bCs/>
          <w:sz w:val="32"/>
          <w:szCs w:val="32"/>
        </w:rPr>
        <w:t>三五年远景目标纲要（草案）》</w:t>
      </w:r>
      <w:r>
        <w:rPr>
          <w:rFonts w:hint="eastAsia" w:ascii="Times New Roman" w:hAnsi="Times New Roman" w:eastAsia="仿宋" w:cs="Times New Roman"/>
          <w:bCs/>
          <w:sz w:val="32"/>
          <w:szCs w:val="32"/>
        </w:rPr>
        <w:t>；</w:t>
      </w:r>
      <w:r>
        <w:rPr>
          <w:rFonts w:ascii="Times New Roman" w:hAnsi="Times New Roman" w:eastAsia="仿宋" w:cs="Times New Roman"/>
          <w:bCs/>
          <w:sz w:val="32"/>
          <w:szCs w:val="32"/>
        </w:rPr>
        <w:t>强化县域经济运行分析和监测预测</w:t>
      </w:r>
      <w:r>
        <w:rPr>
          <w:rFonts w:hint="eastAsia" w:ascii="Times New Roman" w:hAnsi="Times New Roman" w:eastAsia="仿宋" w:cs="Times New Roman"/>
          <w:bCs/>
          <w:sz w:val="32"/>
          <w:szCs w:val="32"/>
        </w:rPr>
        <w:t>；</w:t>
      </w:r>
      <w:r>
        <w:rPr>
          <w:rFonts w:ascii="Times New Roman" w:hAnsi="Times New Roman" w:eastAsia="仿宋" w:cs="Times New Roman"/>
          <w:bCs/>
          <w:sz w:val="32"/>
          <w:szCs w:val="32"/>
        </w:rPr>
        <w:t>编制并印发了项目工作基本知识手册，宣传普及项目工作基本知识。</w:t>
      </w:r>
    </w:p>
    <w:p w14:paraId="5D43896D">
      <w:pPr>
        <w:pStyle w:val="7"/>
        <w:spacing w:before="0" w:beforeAutospacing="0" w:after="0" w:afterAutospacing="0" w:line="540" w:lineRule="exact"/>
        <w:ind w:firstLine="643" w:firstLineChars="200"/>
        <w:jc w:val="both"/>
        <w:rPr>
          <w:rFonts w:ascii="仿宋" w:hAnsi="仿宋" w:eastAsia="仿宋" w:cs="仿宋"/>
          <w:sz w:val="32"/>
          <w:szCs w:val="32"/>
        </w:rPr>
      </w:pPr>
      <w:r>
        <w:rPr>
          <w:rFonts w:ascii="Times New Roman" w:hAnsi="Times New Roman" w:eastAsia="楷体_GB2312" w:cs="Times New Roman"/>
          <w:b/>
          <w:bCs/>
          <w:color w:val="000000"/>
          <w:sz w:val="32"/>
          <w:szCs w:val="32"/>
        </w:rPr>
        <w:t>4.强力推进重大项目建设。</w:t>
      </w:r>
      <w:r>
        <w:rPr>
          <w:rFonts w:ascii="Times New Roman" w:hAnsi="Times New Roman" w:eastAsia="方正仿宋简体" w:cs="Times New Roman"/>
          <w:sz w:val="32"/>
          <w:szCs w:val="32"/>
        </w:rPr>
        <w:t>2</w:t>
      </w:r>
      <w:r>
        <w:rPr>
          <w:rFonts w:hint="eastAsia" w:ascii="仿宋" w:hAnsi="仿宋" w:eastAsia="仿宋" w:cs="仿宋"/>
          <w:sz w:val="32"/>
          <w:szCs w:val="32"/>
        </w:rPr>
        <w:t>021年11月底，全县61个重点建设项目开工51个，开工率83.6%，统计在库46个，完成投资41.8亿元，为年计划的90%，其中，17个市级重点项目开工15个，统计在库15个，完成投资22亿元，为年计划的117.6%。</w:t>
      </w:r>
    </w:p>
    <w:p w14:paraId="59795C1B">
      <w:pPr>
        <w:pStyle w:val="7"/>
        <w:spacing w:before="0" w:beforeAutospacing="0" w:after="0" w:afterAutospacing="0" w:line="540" w:lineRule="exact"/>
        <w:ind w:firstLine="643" w:firstLineChars="200"/>
        <w:jc w:val="both"/>
        <w:rPr>
          <w:rFonts w:ascii="Times New Roman" w:hAnsi="Times New Roman" w:eastAsia="仿宋" w:cs="Times New Roman"/>
          <w:color w:val="000000"/>
          <w:sz w:val="32"/>
          <w:szCs w:val="32"/>
        </w:rPr>
      </w:pPr>
      <w:r>
        <w:rPr>
          <w:rFonts w:ascii="Times New Roman" w:hAnsi="Times New Roman" w:eastAsia="楷体_GB2312" w:cs="Times New Roman"/>
          <w:b/>
          <w:bCs/>
          <w:color w:val="000000"/>
          <w:kern w:val="2"/>
          <w:sz w:val="32"/>
          <w:szCs w:val="32"/>
        </w:rPr>
        <w:t>5.着力优化营商环境。</w:t>
      </w:r>
      <w:r>
        <w:rPr>
          <w:rFonts w:ascii="Times New Roman" w:hAnsi="Times New Roman" w:eastAsia="仿宋_GB2312" w:cs="Times New Roman"/>
          <w:b/>
          <w:bCs/>
          <w:color w:val="111111"/>
          <w:kern w:val="2"/>
          <w:sz w:val="32"/>
          <w:szCs w:val="32"/>
        </w:rPr>
        <w:t>一是</w:t>
      </w:r>
      <w:r>
        <w:rPr>
          <w:rFonts w:ascii="Times New Roman" w:hAnsi="Times New Roman" w:eastAsia="仿宋" w:cs="Times New Roman"/>
          <w:sz w:val="32"/>
          <w:szCs w:val="32"/>
        </w:rPr>
        <w:t>根据政府服务“一件事一次办”工作要求，进一步改进办事流程、缩短工作时限，增强主动服务意识</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b/>
          <w:bCs/>
          <w:color w:val="000000"/>
          <w:sz w:val="32"/>
          <w:szCs w:val="32"/>
        </w:rPr>
        <w:t>二是</w:t>
      </w:r>
      <w:r>
        <w:rPr>
          <w:rFonts w:ascii="Times New Roman" w:hAnsi="Times New Roman" w:eastAsia="仿宋" w:cs="Times New Roman"/>
          <w:bCs/>
          <w:color w:val="000000"/>
          <w:spacing w:val="8"/>
          <w:sz w:val="32"/>
          <w:szCs w:val="32"/>
        </w:rPr>
        <w:t>开展政府投资工程项目超概算问题专项整治。联合县纪委监委</w:t>
      </w:r>
      <w:r>
        <w:rPr>
          <w:rFonts w:ascii="Times New Roman" w:hAnsi="Times New Roman" w:eastAsia="仿宋" w:cs="Times New Roman"/>
          <w:bCs/>
          <w:color w:val="000000"/>
          <w:sz w:val="32"/>
          <w:szCs w:val="32"/>
        </w:rPr>
        <w:t>对我先78个项目进行自查，自查发现其中超概算严重的有6个项目，目前这6个的审计已经完成，并按要求上报相关部门。</w:t>
      </w:r>
      <w:r>
        <w:rPr>
          <w:rFonts w:ascii="Times New Roman" w:hAnsi="Times New Roman" w:eastAsia="仿宋" w:cs="Times New Roman"/>
          <w:b/>
          <w:color w:val="000000"/>
          <w:sz w:val="32"/>
          <w:szCs w:val="32"/>
        </w:rPr>
        <w:t>三是</w:t>
      </w:r>
      <w:r>
        <w:rPr>
          <w:rFonts w:ascii="Times New Roman" w:hAnsi="Times New Roman" w:eastAsia="仿宋" w:cs="Times New Roman"/>
          <w:bCs/>
          <w:color w:val="000000"/>
          <w:spacing w:val="8"/>
          <w:sz w:val="32"/>
          <w:szCs w:val="32"/>
        </w:rPr>
        <w:t>整治建设工程招标投标领域出借挂靠资质、转包违法分包问题。对所有在建项目施工关键人员变更情况进行集中清查，</w:t>
      </w:r>
      <w:r>
        <w:rPr>
          <w:rFonts w:ascii="Times New Roman" w:hAnsi="Times New Roman" w:eastAsia="仿宋" w:cs="Times New Roman"/>
          <w:bCs/>
          <w:color w:val="000000"/>
          <w:sz w:val="32"/>
          <w:szCs w:val="32"/>
        </w:rPr>
        <w:t>全面完成有关工程建设项目人员履约人脸识别系统的录入。</w:t>
      </w:r>
    </w:p>
    <w:p w14:paraId="2718E3B3">
      <w:pPr>
        <w:spacing w:after="0" w:line="600" w:lineRule="atLeast"/>
        <w:ind w:firstLine="643" w:firstLineChars="200"/>
        <w:rPr>
          <w:rFonts w:ascii="仿宋" w:hAnsi="仿宋" w:eastAsia="仿宋" w:cs="仿宋"/>
          <w:sz w:val="32"/>
          <w:szCs w:val="32"/>
        </w:rPr>
      </w:pPr>
      <w:r>
        <w:rPr>
          <w:rFonts w:ascii="Times New Roman" w:hAnsi="Times New Roman" w:eastAsia="楷体_GB2312" w:cs="Times New Roman"/>
          <w:b/>
          <w:bCs/>
          <w:color w:val="000000"/>
          <w:sz w:val="32"/>
          <w:szCs w:val="32"/>
        </w:rPr>
        <w:t>6.抓好价格收费管理。</w:t>
      </w:r>
      <w:r>
        <w:rPr>
          <w:rFonts w:ascii="Times New Roman" w:hAnsi="Times New Roman" w:eastAsia="仿宋_GB2312" w:cs="Times New Roman"/>
          <w:sz w:val="32"/>
          <w:szCs w:val="32"/>
        </w:rPr>
        <w:t>全年共办理各类案件价格认证40起，价格认定值44.23万元，为中方司法部门办理案件提供科学的价格依据。</w:t>
      </w:r>
      <w:r>
        <w:rPr>
          <w:rFonts w:ascii="Times New Roman" w:hAnsi="Times New Roman" w:eastAsia="仿宋_GB2312" w:cs="Times New Roman"/>
          <w:color w:val="111111"/>
          <w:sz w:val="32"/>
          <w:szCs w:val="32"/>
        </w:rPr>
        <w:t>全年共上报价格日报表100余份，采集各类数据3000余条。</w:t>
      </w:r>
    </w:p>
    <w:p w14:paraId="5D986530">
      <w:pPr>
        <w:adjustRightInd/>
        <w:spacing w:line="540" w:lineRule="exact"/>
        <w:ind w:firstLine="643" w:firstLineChars="200"/>
        <w:rPr>
          <w:rFonts w:ascii="Times New Roman" w:hAnsi="Times New Roman" w:eastAsia="方正仿宋简体" w:cs="Times New Roman"/>
          <w:color w:val="000000"/>
          <w:sz w:val="32"/>
          <w:szCs w:val="32"/>
        </w:rPr>
      </w:pPr>
      <w:r>
        <w:rPr>
          <w:rFonts w:ascii="Times New Roman" w:hAnsi="Times New Roman" w:eastAsia="楷体_GB2312" w:cs="Times New Roman"/>
          <w:b/>
          <w:bCs/>
          <w:sz w:val="32"/>
          <w:szCs w:val="32"/>
        </w:rPr>
        <w:t>7.粮食工作有序开展。</w:t>
      </w:r>
      <w:r>
        <w:rPr>
          <w:rFonts w:hint="eastAsia" w:ascii="仿宋" w:hAnsi="仿宋" w:eastAsia="仿宋" w:cs="仿宋"/>
          <w:b/>
          <w:bCs/>
          <w:color w:val="000000"/>
          <w:sz w:val="32"/>
          <w:szCs w:val="32"/>
        </w:rPr>
        <w:t>一是</w:t>
      </w:r>
      <w:r>
        <w:rPr>
          <w:rFonts w:hint="eastAsia" w:ascii="仿宋" w:hAnsi="仿宋" w:eastAsia="仿宋" w:cs="仿宋"/>
          <w:color w:val="000000"/>
          <w:sz w:val="32"/>
          <w:szCs w:val="32"/>
        </w:rPr>
        <w:t>抓好粮食购销。今年我县县级储备粮轮换任务1001吨。</w:t>
      </w:r>
      <w:r>
        <w:rPr>
          <w:rFonts w:hint="eastAsia" w:ascii="仿宋" w:hAnsi="仿宋" w:eastAsia="仿宋" w:cs="仿宋"/>
          <w:b/>
          <w:bCs/>
          <w:color w:val="000000"/>
          <w:sz w:val="32"/>
          <w:szCs w:val="32"/>
        </w:rPr>
        <w:t>二是</w:t>
      </w:r>
      <w:r>
        <w:rPr>
          <w:rFonts w:hint="eastAsia" w:ascii="仿宋" w:hAnsi="仿宋" w:eastAsia="仿宋" w:cs="仿宋"/>
          <w:color w:val="000000"/>
          <w:sz w:val="32"/>
          <w:szCs w:val="32"/>
        </w:rPr>
        <w:t>抓好应急保供。目前我县共落实县级储备粮3500吨，应急成品粮300吨，形成全县粮油应急供应网络。</w:t>
      </w:r>
      <w:r>
        <w:rPr>
          <w:rFonts w:hint="eastAsia" w:ascii="仿宋" w:hAnsi="仿宋" w:eastAsia="仿宋" w:cs="仿宋"/>
          <w:b/>
          <w:bCs/>
          <w:sz w:val="32"/>
          <w:szCs w:val="32"/>
        </w:rPr>
        <w:t>三</w:t>
      </w:r>
      <w:r>
        <w:rPr>
          <w:rFonts w:hint="eastAsia" w:ascii="仿宋" w:hAnsi="仿宋" w:eastAsia="仿宋" w:cs="仿宋"/>
          <w:b/>
          <w:bCs/>
          <w:color w:val="000000"/>
          <w:sz w:val="32"/>
          <w:szCs w:val="32"/>
        </w:rPr>
        <w:t>是</w:t>
      </w:r>
      <w:r>
        <w:rPr>
          <w:rFonts w:hint="eastAsia" w:ascii="仿宋" w:hAnsi="仿宋" w:eastAsia="仿宋" w:cs="仿宋"/>
          <w:color w:val="000000"/>
          <w:sz w:val="32"/>
          <w:szCs w:val="32"/>
        </w:rPr>
        <w:t>粮食质量安全监管能力不断提升。全县粮油产品抽样60个送入第三方检测机构—湖南省粮油产品质量监测中心进行检测，合格率达99%。</w:t>
      </w:r>
      <w:r>
        <w:rPr>
          <w:rFonts w:hint="eastAsia" w:ascii="仿宋" w:hAnsi="仿宋" w:eastAsia="仿宋" w:cs="仿宋"/>
          <w:b/>
          <w:bCs/>
          <w:color w:val="000000"/>
          <w:sz w:val="32"/>
          <w:szCs w:val="32"/>
        </w:rPr>
        <w:t>四是</w:t>
      </w:r>
      <w:r>
        <w:rPr>
          <w:rFonts w:hint="eastAsia" w:ascii="仿宋" w:hAnsi="仿宋" w:eastAsia="仿宋" w:cs="仿宋"/>
          <w:color w:val="000000"/>
          <w:sz w:val="32"/>
          <w:szCs w:val="32"/>
        </w:rPr>
        <w:t>品牌影响不断提升。</w:t>
      </w:r>
      <w:r>
        <w:rPr>
          <w:rFonts w:hint="eastAsia" w:ascii="仿宋" w:hAnsi="仿宋" w:eastAsia="仿宋" w:cs="仿宋"/>
          <w:b/>
          <w:bCs/>
          <w:sz w:val="32"/>
          <w:szCs w:val="32"/>
        </w:rPr>
        <w:t>五是</w:t>
      </w:r>
      <w:r>
        <w:rPr>
          <w:rFonts w:hint="eastAsia" w:ascii="仿宋" w:hAnsi="仿宋" w:eastAsia="仿宋" w:cs="仿宋"/>
          <w:sz w:val="32"/>
          <w:szCs w:val="32"/>
        </w:rPr>
        <w:t>强化行政执法监督，保障粮食安全。</w:t>
      </w:r>
      <w:r>
        <w:rPr>
          <w:rFonts w:hint="eastAsia" w:ascii="仿宋" w:hAnsi="仿宋" w:eastAsia="仿宋" w:cs="仿宋"/>
          <w:color w:val="000000"/>
          <w:sz w:val="32"/>
          <w:szCs w:val="32"/>
        </w:rPr>
        <w:t>2021年，我县开展政策性粮食专项检查和“亮剑2021”专项执法行动20余次，检查企业10余家次，出动执法人员80余人次，对政策性粮食出入库、“转圈粮”、压级压价、掺杂使假、吃拿卡要等进行监督检查。</w:t>
      </w:r>
    </w:p>
    <w:p w14:paraId="2D9137BB">
      <w:pPr>
        <w:adjustRightInd/>
        <w:spacing w:line="540" w:lineRule="exact"/>
        <w:ind w:firstLine="643" w:firstLineChars="200"/>
        <w:rPr>
          <w:rFonts w:ascii="Times New Roman" w:hAnsi="Times New Roman" w:eastAsia="仿宋_GB2312" w:cs="Times New Roman"/>
          <w:color w:val="000000"/>
          <w:sz w:val="32"/>
          <w:szCs w:val="32"/>
          <w:shd w:val="clear" w:color="auto" w:fill="FFFFFF"/>
        </w:rPr>
      </w:pPr>
      <w:r>
        <w:rPr>
          <w:rFonts w:ascii="Times New Roman" w:hAnsi="Times New Roman" w:eastAsia="楷体_GB2312" w:cs="Times New Roman"/>
          <w:b/>
          <w:bCs/>
          <w:color w:val="000000"/>
          <w:sz w:val="32"/>
          <w:szCs w:val="32"/>
        </w:rPr>
        <w:t>8.做好易地扶贫搬迁后续帮扶工作。</w:t>
      </w:r>
      <w:r>
        <w:rPr>
          <w:rFonts w:ascii="Times New Roman" w:hAnsi="Times New Roman" w:eastAsia="仿宋_GB2312" w:cs="Times New Roman"/>
          <w:color w:val="000000"/>
          <w:sz w:val="32"/>
          <w:szCs w:val="32"/>
          <w:shd w:val="clear" w:color="auto" w:fill="FFFFFF"/>
        </w:rPr>
        <w:t>2021年，全县易地扶贫搬迁以后续帮扶工作为核心，对照怀化市关于加强易地扶贫搬迁集中安置区后续帮扶工作的二十条措施，持续巩固易地扶贫搬迁脱贫成果。</w:t>
      </w:r>
    </w:p>
    <w:p w14:paraId="7B605F52">
      <w:pPr>
        <w:adjustRightInd/>
        <w:spacing w:line="540" w:lineRule="exact"/>
        <w:ind w:firstLine="643" w:firstLineChars="200"/>
        <w:rPr>
          <w:rFonts w:ascii="Times New Roman" w:hAnsi="Times New Roman" w:eastAsia="仿宋_GB2312" w:cs="Times New Roman"/>
          <w:color w:val="000000"/>
          <w:sz w:val="32"/>
          <w:szCs w:val="32"/>
        </w:rPr>
      </w:pPr>
      <w:r>
        <w:rPr>
          <w:rFonts w:ascii="Times New Roman" w:hAnsi="Times New Roman" w:eastAsia="楷体_GB2312" w:cs="Times New Roman"/>
          <w:b/>
          <w:bCs/>
          <w:color w:val="000000"/>
          <w:sz w:val="32"/>
          <w:szCs w:val="32"/>
        </w:rPr>
        <w:t>9.狠抓能源安全生产工作。</w:t>
      </w:r>
      <w:r>
        <w:rPr>
          <w:rFonts w:ascii="Times New Roman" w:hAnsi="Times New Roman" w:eastAsia="仿宋_GB2312" w:cs="Times New Roman"/>
          <w:sz w:val="32"/>
          <w:szCs w:val="32"/>
        </w:rPr>
        <w:t>今年我局组织</w:t>
      </w:r>
      <w:r>
        <w:rPr>
          <w:rFonts w:ascii="Times New Roman" w:hAnsi="Times New Roman" w:eastAsia="仿宋" w:cs="Times New Roman"/>
          <w:sz w:val="32"/>
          <w:szCs w:val="32"/>
        </w:rPr>
        <w:t>开展两轮能源安全生产专项巡查工作，</w:t>
      </w:r>
      <w:r>
        <w:rPr>
          <w:rFonts w:ascii="Times New Roman" w:hAnsi="Times New Roman" w:eastAsia="仿宋_GB2312" w:cs="Times New Roman"/>
          <w:sz w:val="32"/>
          <w:szCs w:val="32"/>
        </w:rPr>
        <w:t>对国网中方供电分公司、中方油库、怀化冰宇燃气有限公司等能源企业进行了重点巡查，共查处安全隐患问题24个，向企业下达了立即整改通知书。光伏扶贫发电工作方面，我局</w:t>
      </w:r>
      <w:r>
        <w:rPr>
          <w:rFonts w:ascii="Times New Roman" w:hAnsi="Times New Roman" w:eastAsia="仿宋" w:cs="Times New Roman"/>
          <w:sz w:val="32"/>
          <w:szCs w:val="32"/>
        </w:rPr>
        <w:t>协调更改了光伏发电收益分配合同，进一步理顺后续维护管护机制和各相关部门职能，妥善处理光伏发电若干后续问题，配合做好光伏发电审计结算工作及农民工工资发放工作。</w:t>
      </w:r>
    </w:p>
    <w:p w14:paraId="65E475B1">
      <w:pPr>
        <w:adjustRightInd/>
        <w:spacing w:line="540" w:lineRule="exact"/>
        <w:ind w:firstLine="643" w:firstLineChars="200"/>
      </w:pPr>
      <w:r>
        <w:rPr>
          <w:rFonts w:ascii="Times New Roman" w:hAnsi="Times New Roman" w:eastAsia="楷体_GB2312" w:cs="Times New Roman"/>
          <w:b/>
          <w:bCs/>
          <w:color w:val="000000"/>
          <w:sz w:val="32"/>
          <w:szCs w:val="32"/>
        </w:rPr>
        <w:t>10.党的建设常抓不懈。</w:t>
      </w:r>
      <w:r>
        <w:rPr>
          <w:rFonts w:ascii="Times New Roman" w:hAnsi="Times New Roman" w:eastAsia="仿宋_GB2312" w:cs="Times New Roman"/>
          <w:b/>
          <w:bCs/>
          <w:sz w:val="32"/>
          <w:szCs w:val="32"/>
          <w:shd w:val="clear" w:color="auto" w:fill="FFFFFF"/>
        </w:rPr>
        <w:t>一是</w:t>
      </w:r>
      <w:r>
        <w:rPr>
          <w:rFonts w:ascii="Times New Roman" w:hAnsi="Times New Roman" w:eastAsia="仿宋_GB2312" w:cs="Times New Roman"/>
          <w:bCs/>
          <w:sz w:val="32"/>
          <w:szCs w:val="32"/>
        </w:rPr>
        <w:t>切实提高政治站位，进一步压实基层党建工作责任。局党组切实把党的政治建设摆在首位，坚决贯彻落实上级各项决策部署和主要领导重要指示批示，“一带头三表率模范机关”创建活动有效序开展。</w:t>
      </w:r>
      <w:r>
        <w:rPr>
          <w:rFonts w:ascii="Times New Roman" w:hAnsi="Times New Roman" w:eastAsia="仿宋_GB2312" w:cs="Times New Roman"/>
          <w:b/>
          <w:sz w:val="32"/>
          <w:szCs w:val="32"/>
        </w:rPr>
        <w:t>二是</w:t>
      </w:r>
      <w:r>
        <w:rPr>
          <w:rFonts w:ascii="Times New Roman" w:hAnsi="Times New Roman" w:eastAsia="仿宋_GB2312" w:cs="Times New Roman"/>
          <w:bCs/>
          <w:sz w:val="32"/>
          <w:szCs w:val="32"/>
        </w:rPr>
        <w:t>严肃党内政治生活。</w:t>
      </w:r>
      <w:r>
        <w:rPr>
          <w:rFonts w:ascii="Times New Roman" w:hAnsi="Times New Roman" w:eastAsia="仿宋_GB2312" w:cs="Times New Roman"/>
          <w:b/>
          <w:sz w:val="32"/>
          <w:szCs w:val="32"/>
        </w:rPr>
        <w:t>三是</w:t>
      </w:r>
      <w:r>
        <w:rPr>
          <w:rFonts w:ascii="Times New Roman" w:hAnsi="Times New Roman" w:eastAsia="仿宋_GB2312" w:cs="Times New Roman"/>
          <w:bCs/>
          <w:sz w:val="32"/>
          <w:szCs w:val="32"/>
        </w:rPr>
        <w:t>聚焦重点工作，进一步激励党员干部担当作为。扎实抓好驻村帮扶。</w:t>
      </w:r>
      <w:r>
        <w:rPr>
          <w:rFonts w:ascii="Times New Roman" w:hAnsi="Times New Roman" w:eastAsia="仿宋_GB2312" w:cs="Times New Roman"/>
          <w:b/>
          <w:sz w:val="32"/>
          <w:szCs w:val="32"/>
        </w:rPr>
        <w:t>四是</w:t>
      </w:r>
      <w:r>
        <w:rPr>
          <w:rFonts w:ascii="Times New Roman" w:hAnsi="Times New Roman" w:eastAsia="仿宋_GB2312" w:cs="Times New Roman"/>
          <w:bCs/>
          <w:spacing w:val="-6"/>
          <w:sz w:val="32"/>
          <w:szCs w:val="32"/>
        </w:rPr>
        <w:t>坚守思想舆论阵地，进一步加强意识形态引领。完成县级投稿任务17篇，市级媒体上稿8篇，省级媒体上稿2篇，公开信息22条。办理红网百姓呼声2条，满意率100%，未发生不良网络舆情事件。</w:t>
      </w:r>
      <w:r>
        <w:rPr>
          <w:rFonts w:ascii="Times New Roman" w:hAnsi="Times New Roman" w:eastAsia="仿宋_GB2312" w:cs="Times New Roman"/>
          <w:b/>
          <w:spacing w:val="-6"/>
          <w:sz w:val="32"/>
          <w:szCs w:val="32"/>
        </w:rPr>
        <w:t>五是</w:t>
      </w:r>
      <w:r>
        <w:rPr>
          <w:rFonts w:ascii="Times New Roman" w:hAnsi="Times New Roman" w:eastAsia="仿宋_GB2312" w:cs="Times New Roman"/>
          <w:bCs/>
          <w:sz w:val="32"/>
          <w:szCs w:val="32"/>
        </w:rPr>
        <w:t>抓好正风肃纪，进一步落实全面从严治党责任。</w:t>
      </w:r>
      <w:r>
        <w:rPr>
          <w:rFonts w:ascii="Times New Roman" w:hAnsi="Times New Roman" w:eastAsia="仿宋_GB2312" w:cs="Times New Roman"/>
          <w:b/>
          <w:sz w:val="32"/>
          <w:szCs w:val="32"/>
        </w:rPr>
        <w:t>六是</w:t>
      </w:r>
      <w:r>
        <w:rPr>
          <w:rFonts w:ascii="Times New Roman" w:hAnsi="Times New Roman" w:eastAsia="仿宋_GB2312" w:cs="Times New Roman"/>
          <w:bCs/>
          <w:sz w:val="32"/>
          <w:szCs w:val="32"/>
        </w:rPr>
        <w:t>抓好爱国主义统一战线工作。开展爱国主义教育，贯彻落党的民族宗教工作政策。</w:t>
      </w:r>
    </w:p>
    <w:p w14:paraId="15CDABEF">
      <w:pPr>
        <w:spacing w:after="0" w:line="600" w:lineRule="atLeast"/>
        <w:ind w:firstLine="640" w:firstLineChars="200"/>
        <w:rPr>
          <w:rFonts w:ascii="黑体" w:hAnsi="黑体" w:eastAsia="黑体" w:cs="黑体"/>
          <w:bCs/>
          <w:sz w:val="32"/>
          <w:szCs w:val="32"/>
        </w:rPr>
      </w:pPr>
      <w:r>
        <w:rPr>
          <w:rFonts w:hint="eastAsia" w:ascii="黑体" w:hAnsi="黑体" w:eastAsia="黑体" w:cs="黑体"/>
          <w:bCs/>
          <w:sz w:val="32"/>
          <w:szCs w:val="32"/>
        </w:rPr>
        <w:t>四、存在的问题</w:t>
      </w:r>
    </w:p>
    <w:p w14:paraId="652979E6">
      <w:pPr>
        <w:widowControl w:val="0"/>
        <w:adjustRightInd/>
        <w:spacing w:line="540" w:lineRule="exact"/>
        <w:ind w:firstLine="645"/>
        <w:rPr>
          <w:rFonts w:ascii="Times New Roman" w:hAnsi="Times New Roman" w:eastAsia="仿宋" w:cs="Times New Roman"/>
          <w:bCs/>
          <w:sz w:val="32"/>
          <w:szCs w:val="32"/>
        </w:rPr>
      </w:pPr>
      <w:r>
        <w:rPr>
          <w:rFonts w:hint="eastAsia" w:ascii="仿宋" w:hAnsi="仿宋" w:eastAsia="仿宋" w:cs="仿宋"/>
          <w:sz w:val="32"/>
          <w:szCs w:val="32"/>
        </w:rPr>
        <w:t>1、</w:t>
      </w:r>
      <w:r>
        <w:rPr>
          <w:rFonts w:ascii="Times New Roman" w:hAnsi="Times New Roman" w:eastAsia="仿宋" w:cs="Times New Roman"/>
          <w:bCs/>
          <w:sz w:val="32"/>
          <w:szCs w:val="32"/>
        </w:rPr>
        <w:t>投资结构不优。一是产业投资占比不高，产业投资占比难以达到60%，尤其是工业投资对产业投资支撑不足。二是高技术产业投资占比偏低。我县高技术制造业和高技术服务业发展滞后，高技术产业基础十分薄弱，投资总量很小。三是我县投资对房地产项目依赖性过高。</w:t>
      </w:r>
    </w:p>
    <w:p w14:paraId="48252946">
      <w:pPr>
        <w:adjustRightInd/>
        <w:spacing w:line="540" w:lineRule="exact"/>
        <w:ind w:firstLine="640" w:firstLineChars="200"/>
        <w:jc w:val="both"/>
        <w:rPr>
          <w:rFonts w:ascii="Times New Roman" w:hAnsi="Times New Roman" w:eastAsia="仿宋_GB2312" w:cs="Times New Roman"/>
          <w:b/>
          <w:bCs/>
          <w:color w:val="000000"/>
          <w:sz w:val="32"/>
          <w:szCs w:val="32"/>
          <w:shd w:val="clear" w:color="auto" w:fill="FFFFFF"/>
        </w:rPr>
      </w:pPr>
      <w:r>
        <w:rPr>
          <w:rFonts w:ascii="Times New Roman" w:hAnsi="Times New Roman" w:eastAsia="仿宋_GB2312" w:cs="Times New Roman"/>
          <w:color w:val="000000"/>
          <w:sz w:val="32"/>
          <w:szCs w:val="32"/>
          <w:shd w:val="clear" w:color="auto" w:fill="FFFFFF"/>
        </w:rPr>
        <w:t>2、</w:t>
      </w:r>
      <w:r>
        <w:rPr>
          <w:rFonts w:ascii="Times New Roman" w:hAnsi="Times New Roman" w:eastAsia="仿宋_GB2312" w:cs="Times New Roman"/>
          <w:sz w:val="32"/>
          <w:szCs w:val="32"/>
        </w:rPr>
        <w:t>重点项目进展缓慢</w:t>
      </w:r>
      <w:r>
        <w:rPr>
          <w:rFonts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sz w:val="32"/>
          <w:szCs w:val="32"/>
        </w:rPr>
        <w:t>由于资金不足、土地报批、调规、征地拆迁进度滞后，前期手续办理时间过长，或是遗留问题解决不到位，政策变更、市场订单不足等原因，导致部分项目进度滞后、推迟或取消，推进力度有待加大。</w:t>
      </w:r>
    </w:p>
    <w:p w14:paraId="57ECB9E6">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color w:val="000000"/>
          <w:sz w:val="32"/>
          <w:szCs w:val="32"/>
          <w:shd w:val="clear" w:color="auto" w:fill="FFFFFF"/>
        </w:rPr>
        <w:t>年初预算中基本支出安排不足。主要原因：一是按县委、县政府乡村振兴工作要求，本单位驻村帮扶坳头村及蒋家村两个村。到村资金、物资等所需资金量大，而年初预算中无本项工作经费，挤占了基本支出</w:t>
      </w:r>
      <w:r>
        <w:rPr>
          <w:rFonts w:hint="eastAsia" w:ascii="仿宋" w:hAnsi="仿宋" w:eastAsia="仿宋" w:cs="仿宋"/>
          <w:sz w:val="32"/>
          <w:szCs w:val="32"/>
        </w:rPr>
        <w:t>。二是我单位退休人员近30人，退休人员独生子女费无年初预算，</w:t>
      </w:r>
      <w:r>
        <w:rPr>
          <w:rFonts w:hint="eastAsia" w:ascii="仿宋" w:hAnsi="仿宋" w:eastAsia="仿宋" w:cs="仿宋"/>
          <w:color w:val="000000"/>
          <w:sz w:val="32"/>
          <w:szCs w:val="32"/>
          <w:shd w:val="clear" w:color="auto" w:fill="FFFFFF"/>
        </w:rPr>
        <w:t>挤占了基本支出</w:t>
      </w:r>
      <w:r>
        <w:rPr>
          <w:rFonts w:hint="eastAsia" w:ascii="仿宋" w:hAnsi="仿宋" w:eastAsia="仿宋" w:cs="仿宋"/>
          <w:sz w:val="32"/>
          <w:szCs w:val="32"/>
        </w:rPr>
        <w:t>。</w:t>
      </w:r>
    </w:p>
    <w:p w14:paraId="369FF236">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4、预算管理方面，制度执行总体较为有效，仍需进一步强化；资金使用管理需进一步加强。预算执行有待进一步加强，预算支出进度有前慢后快现象，前三季度支出较慢，第四季度支出较快。</w:t>
      </w:r>
    </w:p>
    <w:p w14:paraId="761443FF">
      <w:pPr>
        <w:spacing w:line="520" w:lineRule="exact"/>
        <w:ind w:firstLine="640" w:firstLineChars="200"/>
      </w:pPr>
      <w:r>
        <w:rPr>
          <w:rFonts w:hint="eastAsia" w:ascii="仿宋" w:hAnsi="仿宋" w:eastAsia="仿宋" w:cs="仿宋"/>
          <w:sz w:val="32"/>
          <w:szCs w:val="32"/>
        </w:rPr>
        <w:t>5、国家、省新增项目无文件和县委政府会议纪要等相关资料无法报年初预算,导致预决算数值差异。</w:t>
      </w:r>
    </w:p>
    <w:p w14:paraId="4F809692">
      <w:pPr>
        <w:spacing w:after="0" w:line="600" w:lineRule="atLeast"/>
        <w:ind w:firstLine="640" w:firstLineChars="200"/>
        <w:rPr>
          <w:rFonts w:ascii="黑体" w:hAnsi="黑体" w:eastAsia="黑体" w:cs="黑体"/>
          <w:bCs/>
          <w:sz w:val="32"/>
          <w:szCs w:val="32"/>
        </w:rPr>
      </w:pPr>
      <w:r>
        <w:rPr>
          <w:rFonts w:hint="eastAsia" w:ascii="黑体" w:hAnsi="黑体" w:eastAsia="黑体" w:cs="黑体"/>
          <w:bCs/>
          <w:sz w:val="32"/>
          <w:szCs w:val="32"/>
        </w:rPr>
        <w:t>五、整改措施或建议</w:t>
      </w:r>
    </w:p>
    <w:p w14:paraId="4788D07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1、按照财政支出绩效管理的要求，建立科学的财政资金效益考评体系，牢固树立行政成本意识，不断提高财政资金使用管理的水平和效率。</w:t>
      </w:r>
    </w:p>
    <w:p w14:paraId="45E758AF">
      <w:pPr>
        <w:spacing w:line="560" w:lineRule="exact"/>
        <w:ind w:firstLine="640" w:firstLineChars="200"/>
      </w:pPr>
      <w:r>
        <w:rPr>
          <w:rFonts w:hint="eastAsia" w:ascii="仿宋" w:hAnsi="仿宋" w:eastAsia="仿宋" w:cs="仿宋"/>
          <w:sz w:val="32"/>
          <w:szCs w:val="32"/>
        </w:rPr>
        <w:t>2、完善预算审核机制，细化、准确编制预算，合理安排预算。完善预算管理制度，进一步加强内部各股室的预算管理意识，严格按照预算编制的相关制度和要求，本着“勤俭节约、保障运转”的原则进行预算的编制；进一步提高预算编制的科学性、合理性、严谨性。</w:t>
      </w:r>
    </w:p>
    <w:p w14:paraId="3012F023">
      <w:pPr>
        <w:spacing w:after="0" w:line="600" w:lineRule="atLeast"/>
        <w:ind w:firstLine="440" w:firstLineChars="200"/>
        <w:sectPr>
          <w:footerReference r:id="rId4" w:type="default"/>
          <w:pgSz w:w="11906" w:h="16838"/>
          <w:pgMar w:top="1587" w:right="1587" w:bottom="1587" w:left="1587" w:header="708" w:footer="709" w:gutter="0"/>
          <w:cols w:space="0" w:num="1"/>
          <w:docGrid w:linePitch="360" w:charSpace="0"/>
        </w:sectPr>
      </w:pPr>
    </w:p>
    <w:p w14:paraId="2772FBF3">
      <w:pPr>
        <w:spacing w:line="400" w:lineRule="exact"/>
        <w:rPr>
          <w:rFonts w:ascii="黑体" w:hAnsi="仿宋_GB2312" w:eastAsia="黑体" w:cs="仿宋_GB2312"/>
          <w:sz w:val="28"/>
          <w:szCs w:val="28"/>
        </w:rPr>
      </w:pPr>
    </w:p>
    <w:p w14:paraId="110AE0A7">
      <w:pPr>
        <w:spacing w:line="400" w:lineRule="exact"/>
        <w:rPr>
          <w:rFonts w:ascii="黑体" w:hAnsi="仿宋_GB2312" w:eastAsia="黑体" w:cs="仿宋_GB2312"/>
          <w:sz w:val="32"/>
          <w:szCs w:val="32"/>
        </w:rPr>
      </w:pPr>
      <w:r>
        <w:rPr>
          <w:rFonts w:hint="eastAsia" w:ascii="黑体" w:hAnsi="仿宋_GB2312" w:eastAsia="黑体" w:cs="仿宋_GB2312"/>
          <w:sz w:val="28"/>
          <w:szCs w:val="28"/>
        </w:rPr>
        <w:t>附件1</w:t>
      </w:r>
      <w:r>
        <w:rPr>
          <w:rFonts w:hint="eastAsia" w:ascii="黑体" w:hAnsi="仿宋_GB2312" w:eastAsia="黑体" w:cs="仿宋_GB2312"/>
          <w:sz w:val="32"/>
          <w:szCs w:val="32"/>
        </w:rPr>
        <w:t>：</w:t>
      </w:r>
    </w:p>
    <w:p w14:paraId="4E9D8236">
      <w:pPr>
        <w:spacing w:after="0" w:line="700" w:lineRule="atLeas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color w:val="000000"/>
          <w:sz w:val="44"/>
          <w:szCs w:val="44"/>
        </w:rPr>
        <w:t>部门整体支出绩效评价指标体系评分表</w:t>
      </w:r>
    </w:p>
    <w:tbl>
      <w:tblPr>
        <w:tblStyle w:val="8"/>
        <w:tblW w:w="141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3"/>
        <w:gridCol w:w="803"/>
        <w:gridCol w:w="1182"/>
        <w:gridCol w:w="6911"/>
        <w:gridCol w:w="3423"/>
        <w:gridCol w:w="1090"/>
      </w:tblGrid>
      <w:tr w14:paraId="11E5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tblHeader/>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56AE12CD">
            <w:pPr>
              <w:spacing w:after="0" w:line="68" w:lineRule="atLeast"/>
              <w:jc w:val="center"/>
              <w:rPr>
                <w:rFonts w:ascii="宋体" w:hAnsi="宋体" w:eastAsia="宋体" w:cs="宋体"/>
              </w:rPr>
            </w:pPr>
            <w:r>
              <w:rPr>
                <w:rFonts w:hint="eastAsia" w:ascii="宋体" w:hAnsi="宋体" w:eastAsia="宋体" w:cs="宋体"/>
                <w:b/>
                <w:bCs/>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14:paraId="2CE22755">
            <w:pPr>
              <w:spacing w:after="0" w:line="68" w:lineRule="atLeast"/>
              <w:jc w:val="center"/>
              <w:rPr>
                <w:rFonts w:ascii="宋体" w:hAnsi="宋体" w:eastAsia="宋体" w:cs="宋体"/>
              </w:rPr>
            </w:pPr>
            <w:r>
              <w:rPr>
                <w:rFonts w:hint="eastAsia" w:ascii="宋体" w:hAnsi="宋体" w:eastAsia="宋体" w:cs="宋体"/>
                <w:b/>
                <w:bCs/>
              </w:rPr>
              <w:t>二级指标</w:t>
            </w:r>
          </w:p>
        </w:tc>
        <w:tc>
          <w:tcPr>
            <w:tcW w:w="8093" w:type="dxa"/>
            <w:gridSpan w:val="2"/>
            <w:tcBorders>
              <w:top w:val="single" w:color="000000" w:sz="4" w:space="0"/>
              <w:left w:val="single" w:color="000000" w:sz="4" w:space="0"/>
              <w:bottom w:val="single" w:color="000000" w:sz="4" w:space="0"/>
              <w:right w:val="single" w:color="auto" w:sz="4" w:space="0"/>
            </w:tcBorders>
            <w:vAlign w:val="center"/>
          </w:tcPr>
          <w:p w14:paraId="4BA9062A">
            <w:pPr>
              <w:spacing w:after="0" w:line="68" w:lineRule="atLeast"/>
              <w:jc w:val="center"/>
              <w:rPr>
                <w:rFonts w:ascii="宋体" w:hAnsi="宋体" w:eastAsia="宋体" w:cs="宋体"/>
              </w:rPr>
            </w:pPr>
            <w:r>
              <w:rPr>
                <w:rFonts w:hint="eastAsia" w:ascii="宋体" w:hAnsi="宋体" w:eastAsia="宋体" w:cs="宋体"/>
                <w:b/>
                <w:bCs/>
              </w:rPr>
              <w:t>三级指标</w:t>
            </w:r>
          </w:p>
        </w:tc>
        <w:tc>
          <w:tcPr>
            <w:tcW w:w="3423" w:type="dxa"/>
            <w:vMerge w:val="restart"/>
            <w:tcBorders>
              <w:top w:val="single" w:color="000000" w:sz="4" w:space="0"/>
              <w:left w:val="single" w:color="auto" w:sz="4" w:space="0"/>
              <w:bottom w:val="single" w:color="000000" w:sz="4" w:space="0"/>
              <w:right w:val="single" w:color="auto" w:sz="4" w:space="0"/>
            </w:tcBorders>
            <w:vAlign w:val="center"/>
          </w:tcPr>
          <w:p w14:paraId="2D9DBC3F">
            <w:pPr>
              <w:spacing w:after="0" w:line="68" w:lineRule="atLeast"/>
              <w:jc w:val="center"/>
              <w:rPr>
                <w:rFonts w:ascii="宋体" w:hAnsi="宋体" w:eastAsia="宋体" w:cs="宋体"/>
              </w:rPr>
            </w:pPr>
            <w:r>
              <w:rPr>
                <w:rFonts w:hint="eastAsia" w:ascii="宋体" w:hAnsi="宋体" w:eastAsia="宋体" w:cs="宋体"/>
                <w:b/>
                <w:bCs/>
              </w:rPr>
              <w:t>评分标准</w:t>
            </w:r>
          </w:p>
        </w:tc>
        <w:tc>
          <w:tcPr>
            <w:tcW w:w="1090" w:type="dxa"/>
            <w:vMerge w:val="restart"/>
            <w:tcBorders>
              <w:top w:val="single" w:color="000000" w:sz="4" w:space="0"/>
              <w:left w:val="single" w:color="auto" w:sz="4" w:space="0"/>
              <w:bottom w:val="single" w:color="000000" w:sz="4" w:space="0"/>
              <w:right w:val="single" w:color="auto" w:sz="4" w:space="0"/>
            </w:tcBorders>
            <w:vAlign w:val="center"/>
          </w:tcPr>
          <w:p w14:paraId="12B203E9">
            <w:pPr>
              <w:spacing w:after="0" w:line="68" w:lineRule="atLeast"/>
              <w:jc w:val="center"/>
              <w:rPr>
                <w:rFonts w:ascii="宋体" w:hAnsi="宋体" w:eastAsia="宋体" w:cs="宋体"/>
              </w:rPr>
            </w:pPr>
            <w:r>
              <w:rPr>
                <w:rFonts w:hint="eastAsia" w:ascii="宋体" w:hAnsi="宋体" w:eastAsia="宋体" w:cs="宋体"/>
                <w:b/>
                <w:bCs/>
              </w:rPr>
              <w:t>得分</w:t>
            </w:r>
          </w:p>
        </w:tc>
      </w:tr>
      <w:tr w14:paraId="0D27B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blHeader/>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8246859">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3F8FDEE9">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73585DCF">
            <w:pPr>
              <w:spacing w:after="0" w:line="68" w:lineRule="atLeast"/>
              <w:jc w:val="center"/>
              <w:rPr>
                <w:rFonts w:ascii="宋体" w:hAnsi="宋体" w:eastAsia="宋体" w:cs="宋体"/>
              </w:rPr>
            </w:pPr>
            <w:r>
              <w:rPr>
                <w:rFonts w:hint="eastAsia" w:ascii="宋体" w:hAnsi="宋体" w:eastAsia="宋体" w:cs="宋体"/>
                <w:b/>
                <w:bCs/>
              </w:rPr>
              <w:t>指标名称</w:t>
            </w:r>
          </w:p>
        </w:tc>
        <w:tc>
          <w:tcPr>
            <w:tcW w:w="6911" w:type="dxa"/>
            <w:tcBorders>
              <w:top w:val="single" w:color="000000" w:sz="4" w:space="0"/>
              <w:left w:val="single" w:color="auto" w:sz="4" w:space="0"/>
              <w:bottom w:val="single" w:color="000000" w:sz="4" w:space="0"/>
              <w:right w:val="single" w:color="auto" w:sz="4" w:space="0"/>
            </w:tcBorders>
            <w:vAlign w:val="center"/>
          </w:tcPr>
          <w:p w14:paraId="01EF01F9">
            <w:pPr>
              <w:spacing w:after="0" w:line="68" w:lineRule="atLeast"/>
              <w:jc w:val="center"/>
              <w:rPr>
                <w:rFonts w:ascii="宋体" w:hAnsi="宋体" w:eastAsia="宋体" w:cs="宋体"/>
              </w:rPr>
            </w:pPr>
            <w:r>
              <w:rPr>
                <w:rFonts w:hint="eastAsia" w:ascii="宋体" w:hAnsi="宋体" w:eastAsia="宋体" w:cs="宋体"/>
                <w:b/>
                <w:bCs/>
              </w:rPr>
              <w:t>指标解释说明</w:t>
            </w:r>
          </w:p>
        </w:tc>
        <w:tc>
          <w:tcPr>
            <w:tcW w:w="3423" w:type="dxa"/>
            <w:vMerge w:val="continue"/>
            <w:tcBorders>
              <w:top w:val="single" w:color="000000" w:sz="4" w:space="0"/>
              <w:left w:val="single" w:color="auto" w:sz="4" w:space="0"/>
              <w:bottom w:val="single" w:color="000000" w:sz="4" w:space="0"/>
              <w:right w:val="single" w:color="auto" w:sz="4" w:space="0"/>
            </w:tcBorders>
            <w:vAlign w:val="center"/>
          </w:tcPr>
          <w:p w14:paraId="492D33A1">
            <w:pPr>
              <w:spacing w:after="0"/>
              <w:rPr>
                <w:rFonts w:ascii="宋体" w:hAnsi="宋体" w:eastAsia="宋体" w:cs="宋体"/>
              </w:rPr>
            </w:pPr>
          </w:p>
        </w:tc>
        <w:tc>
          <w:tcPr>
            <w:tcW w:w="1090" w:type="dxa"/>
            <w:vMerge w:val="continue"/>
            <w:tcBorders>
              <w:top w:val="single" w:color="000000" w:sz="4" w:space="0"/>
              <w:left w:val="single" w:color="auto" w:sz="4" w:space="0"/>
              <w:bottom w:val="single" w:color="000000" w:sz="4" w:space="0"/>
              <w:right w:val="single" w:color="auto" w:sz="4" w:space="0"/>
            </w:tcBorders>
            <w:vAlign w:val="center"/>
          </w:tcPr>
          <w:p w14:paraId="28374D7A">
            <w:pPr>
              <w:spacing w:after="0"/>
              <w:jc w:val="center"/>
              <w:rPr>
                <w:rFonts w:ascii="宋体" w:hAnsi="宋体" w:eastAsia="宋体" w:cs="宋体"/>
              </w:rPr>
            </w:pPr>
          </w:p>
        </w:tc>
      </w:tr>
      <w:tr w14:paraId="3D72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jc w:val="center"/>
        </w:trPr>
        <w:tc>
          <w:tcPr>
            <w:tcW w:w="733" w:type="dxa"/>
            <w:vMerge w:val="restart"/>
            <w:tcBorders>
              <w:top w:val="single" w:color="000000" w:sz="4" w:space="0"/>
              <w:left w:val="single" w:color="000000" w:sz="4" w:space="0"/>
              <w:right w:val="single" w:color="000000" w:sz="4" w:space="0"/>
            </w:tcBorders>
          </w:tcPr>
          <w:p w14:paraId="2EB47CBF">
            <w:pPr>
              <w:spacing w:after="0" w:line="68" w:lineRule="atLeast"/>
              <w:rPr>
                <w:rFonts w:ascii="宋体" w:hAnsi="宋体" w:eastAsia="宋体" w:cs="宋体"/>
              </w:rPr>
            </w:pPr>
          </w:p>
          <w:p w14:paraId="5202A3E3">
            <w:pPr>
              <w:spacing w:after="0" w:line="68" w:lineRule="atLeast"/>
              <w:rPr>
                <w:rFonts w:ascii="宋体" w:hAnsi="宋体" w:eastAsia="宋体" w:cs="宋体"/>
              </w:rPr>
            </w:pPr>
          </w:p>
          <w:p w14:paraId="17AD2718">
            <w:pPr>
              <w:spacing w:after="0" w:line="68" w:lineRule="atLeast"/>
              <w:rPr>
                <w:rFonts w:ascii="宋体" w:hAnsi="宋体" w:eastAsia="宋体" w:cs="宋体"/>
              </w:rPr>
            </w:pPr>
          </w:p>
          <w:p w14:paraId="1C8D754B">
            <w:pPr>
              <w:spacing w:after="0" w:line="68" w:lineRule="atLeast"/>
              <w:rPr>
                <w:rFonts w:ascii="宋体" w:hAnsi="宋体" w:eastAsia="宋体" w:cs="宋体"/>
              </w:rPr>
            </w:pPr>
          </w:p>
          <w:p w14:paraId="51891AFC">
            <w:pPr>
              <w:spacing w:after="0" w:line="68" w:lineRule="atLeast"/>
              <w:rPr>
                <w:rFonts w:ascii="宋体" w:hAnsi="宋体" w:eastAsia="宋体" w:cs="宋体"/>
              </w:rPr>
            </w:pPr>
          </w:p>
          <w:p w14:paraId="20B5CF9E">
            <w:pPr>
              <w:spacing w:after="0" w:line="68" w:lineRule="atLeast"/>
              <w:rPr>
                <w:rFonts w:ascii="宋体" w:hAnsi="宋体" w:eastAsia="宋体" w:cs="宋体"/>
              </w:rPr>
            </w:pPr>
          </w:p>
          <w:p w14:paraId="25B91217">
            <w:pPr>
              <w:spacing w:after="0" w:line="68" w:lineRule="atLeast"/>
              <w:rPr>
                <w:rFonts w:ascii="宋体" w:hAnsi="宋体" w:eastAsia="宋体" w:cs="宋体"/>
              </w:rPr>
            </w:pPr>
          </w:p>
          <w:p w14:paraId="6CD6ED82">
            <w:pPr>
              <w:spacing w:after="0" w:line="68" w:lineRule="atLeast"/>
              <w:rPr>
                <w:rFonts w:ascii="宋体" w:hAnsi="宋体" w:eastAsia="宋体" w:cs="宋体"/>
              </w:rPr>
            </w:pPr>
          </w:p>
          <w:p w14:paraId="29B9290B">
            <w:pPr>
              <w:spacing w:after="0" w:line="68" w:lineRule="atLeast"/>
              <w:rPr>
                <w:rFonts w:ascii="宋体" w:hAnsi="宋体" w:eastAsia="宋体" w:cs="宋体"/>
              </w:rPr>
            </w:pPr>
          </w:p>
          <w:p w14:paraId="5FF2848E">
            <w:pPr>
              <w:spacing w:after="0" w:line="68" w:lineRule="atLeast"/>
              <w:rPr>
                <w:rFonts w:ascii="宋体" w:hAnsi="宋体" w:eastAsia="宋体" w:cs="宋体"/>
              </w:rPr>
            </w:pPr>
          </w:p>
          <w:p w14:paraId="167DCD77">
            <w:pPr>
              <w:spacing w:after="0" w:line="68" w:lineRule="atLeast"/>
              <w:rPr>
                <w:rFonts w:ascii="宋体" w:hAnsi="宋体" w:eastAsia="宋体" w:cs="宋体"/>
              </w:rPr>
            </w:pPr>
            <w:r>
              <w:rPr>
                <w:rFonts w:hint="eastAsia" w:ascii="宋体" w:hAnsi="宋体" w:eastAsia="宋体" w:cs="宋体"/>
              </w:rPr>
              <w:t>投入（15分）</w:t>
            </w:r>
          </w:p>
          <w:p w14:paraId="59B20147">
            <w:pPr>
              <w:spacing w:after="0" w:line="68" w:lineRule="atLeast"/>
              <w:rPr>
                <w:rFonts w:ascii="宋体" w:hAnsi="宋体" w:eastAsia="宋体" w:cs="宋体"/>
              </w:rPr>
            </w:pPr>
          </w:p>
          <w:p w14:paraId="7DDD7B74">
            <w:pPr>
              <w:spacing w:after="0" w:line="68" w:lineRule="atLeast"/>
              <w:rPr>
                <w:rFonts w:ascii="宋体" w:hAnsi="宋体" w:eastAsia="宋体" w:cs="宋体"/>
              </w:rPr>
            </w:pPr>
          </w:p>
          <w:p w14:paraId="58428A35">
            <w:pPr>
              <w:spacing w:after="0" w:line="68" w:lineRule="atLeast"/>
              <w:rPr>
                <w:rFonts w:ascii="宋体" w:hAnsi="宋体" w:eastAsia="宋体" w:cs="宋体"/>
              </w:rPr>
            </w:pPr>
          </w:p>
          <w:p w14:paraId="716AC75A">
            <w:pPr>
              <w:spacing w:after="0" w:line="68" w:lineRule="atLeast"/>
              <w:rPr>
                <w:rFonts w:ascii="宋体" w:hAnsi="宋体" w:eastAsia="宋体" w:cs="宋体"/>
              </w:rPr>
            </w:pPr>
          </w:p>
          <w:p w14:paraId="216C9587">
            <w:pPr>
              <w:spacing w:after="0" w:line="68" w:lineRule="atLeast"/>
              <w:rPr>
                <w:rFonts w:ascii="宋体" w:hAnsi="宋体" w:eastAsia="宋体" w:cs="宋体"/>
              </w:rPr>
            </w:pPr>
          </w:p>
          <w:p w14:paraId="5A53238D">
            <w:pPr>
              <w:spacing w:after="0" w:line="68" w:lineRule="atLeast"/>
              <w:rPr>
                <w:rFonts w:ascii="宋体" w:hAnsi="宋体" w:eastAsia="宋体" w:cs="宋体"/>
              </w:rPr>
            </w:pPr>
          </w:p>
          <w:p w14:paraId="7FEDB95D">
            <w:pPr>
              <w:spacing w:after="0" w:line="68" w:lineRule="atLeast"/>
              <w:rPr>
                <w:rFonts w:ascii="宋体" w:hAnsi="宋体" w:eastAsia="宋体" w:cs="宋体"/>
              </w:rPr>
            </w:pPr>
          </w:p>
          <w:p w14:paraId="68796306">
            <w:pPr>
              <w:spacing w:after="0" w:line="68" w:lineRule="atLeast"/>
              <w:rPr>
                <w:rFonts w:ascii="宋体" w:hAnsi="宋体" w:eastAsia="宋体" w:cs="宋体"/>
              </w:rPr>
            </w:pPr>
          </w:p>
          <w:p w14:paraId="20D907F8">
            <w:pPr>
              <w:spacing w:after="0" w:line="68" w:lineRule="atLeast"/>
              <w:rPr>
                <w:rFonts w:ascii="宋体" w:hAnsi="宋体" w:eastAsia="宋体" w:cs="宋体"/>
              </w:rPr>
            </w:pPr>
          </w:p>
          <w:p w14:paraId="64256DC5">
            <w:pPr>
              <w:spacing w:after="0" w:line="68" w:lineRule="atLeast"/>
              <w:rPr>
                <w:rFonts w:ascii="宋体" w:hAnsi="宋体" w:eastAsia="宋体" w:cs="宋体"/>
              </w:rPr>
            </w:pPr>
          </w:p>
          <w:p w14:paraId="195DCED2">
            <w:pPr>
              <w:spacing w:after="0" w:line="68" w:lineRule="atLeast"/>
              <w:rPr>
                <w:rFonts w:ascii="宋体" w:hAnsi="宋体" w:eastAsia="宋体" w:cs="宋体"/>
              </w:rPr>
            </w:pPr>
          </w:p>
          <w:p w14:paraId="13FC10D9">
            <w:pPr>
              <w:spacing w:after="0" w:line="68" w:lineRule="atLeast"/>
              <w:rPr>
                <w:rFonts w:ascii="宋体" w:hAnsi="宋体" w:eastAsia="宋体" w:cs="宋体"/>
              </w:rPr>
            </w:pPr>
          </w:p>
          <w:p w14:paraId="533C88E1">
            <w:pPr>
              <w:spacing w:after="0" w:line="68" w:lineRule="atLeast"/>
              <w:rPr>
                <w:rFonts w:ascii="宋体" w:hAnsi="宋体" w:eastAsia="宋体" w:cs="宋体"/>
              </w:rPr>
            </w:pPr>
          </w:p>
          <w:p w14:paraId="5842130D">
            <w:pPr>
              <w:spacing w:after="0" w:line="68" w:lineRule="atLeast"/>
              <w:rPr>
                <w:rFonts w:ascii="宋体" w:hAnsi="宋体" w:eastAsia="宋体" w:cs="宋体"/>
              </w:rPr>
            </w:pPr>
          </w:p>
          <w:p w14:paraId="3DDEA1FD">
            <w:pPr>
              <w:spacing w:after="0" w:line="68" w:lineRule="atLeast"/>
              <w:rPr>
                <w:rFonts w:ascii="宋体" w:hAnsi="宋体" w:eastAsia="宋体" w:cs="宋体"/>
              </w:rPr>
            </w:pPr>
          </w:p>
          <w:p w14:paraId="1DB7AF78">
            <w:pPr>
              <w:spacing w:after="0" w:line="68" w:lineRule="atLeast"/>
              <w:rPr>
                <w:rFonts w:ascii="宋体" w:hAnsi="宋体" w:eastAsia="宋体" w:cs="宋体"/>
              </w:rPr>
            </w:pPr>
          </w:p>
          <w:p w14:paraId="35286CE8">
            <w:pPr>
              <w:spacing w:after="0" w:line="68" w:lineRule="atLeast"/>
              <w:rPr>
                <w:rFonts w:ascii="宋体" w:hAnsi="宋体" w:eastAsia="宋体" w:cs="宋体"/>
              </w:rPr>
            </w:pPr>
          </w:p>
          <w:p w14:paraId="1CFB4662">
            <w:pPr>
              <w:spacing w:after="0" w:line="68" w:lineRule="atLeast"/>
              <w:rPr>
                <w:rFonts w:ascii="宋体" w:hAnsi="宋体" w:eastAsia="宋体" w:cs="宋体"/>
              </w:rPr>
            </w:pPr>
          </w:p>
          <w:p w14:paraId="48D01C92">
            <w:pPr>
              <w:spacing w:after="0" w:line="68" w:lineRule="atLeast"/>
              <w:rPr>
                <w:rFonts w:ascii="宋体" w:hAnsi="宋体" w:eastAsia="宋体" w:cs="宋体"/>
              </w:rPr>
            </w:pPr>
          </w:p>
          <w:p w14:paraId="6CFAA862">
            <w:pPr>
              <w:spacing w:after="0" w:line="68" w:lineRule="atLeast"/>
              <w:rPr>
                <w:rFonts w:ascii="宋体" w:hAnsi="宋体" w:eastAsia="宋体" w:cs="宋体"/>
              </w:rPr>
            </w:pPr>
            <w:r>
              <w:rPr>
                <w:rFonts w:hint="eastAsia" w:ascii="宋体" w:hAnsi="宋体" w:eastAsia="宋体" w:cs="宋体"/>
              </w:rPr>
              <w:t>投入（15分）</w:t>
            </w:r>
          </w:p>
        </w:tc>
        <w:tc>
          <w:tcPr>
            <w:tcW w:w="803" w:type="dxa"/>
            <w:vMerge w:val="restart"/>
            <w:tcBorders>
              <w:top w:val="single" w:color="000000" w:sz="4" w:space="0"/>
              <w:left w:val="single" w:color="000000" w:sz="4" w:space="0"/>
              <w:right w:val="single" w:color="000000" w:sz="4" w:space="0"/>
            </w:tcBorders>
          </w:tcPr>
          <w:p w14:paraId="683767E5">
            <w:pPr>
              <w:spacing w:after="0" w:line="240" w:lineRule="exact"/>
              <w:rPr>
                <w:rFonts w:ascii="宋体" w:hAnsi="宋体" w:eastAsia="宋体" w:cs="宋体"/>
              </w:rPr>
            </w:pPr>
          </w:p>
          <w:p w14:paraId="550AC834">
            <w:pPr>
              <w:spacing w:after="0" w:line="240" w:lineRule="exact"/>
              <w:rPr>
                <w:rFonts w:ascii="宋体" w:hAnsi="宋体" w:eastAsia="宋体" w:cs="宋体"/>
              </w:rPr>
            </w:pPr>
          </w:p>
          <w:p w14:paraId="15C45618">
            <w:pPr>
              <w:spacing w:after="0" w:line="240" w:lineRule="exact"/>
              <w:rPr>
                <w:rFonts w:ascii="宋体" w:hAnsi="宋体" w:eastAsia="宋体" w:cs="宋体"/>
              </w:rPr>
            </w:pPr>
          </w:p>
          <w:p w14:paraId="276A8AC8">
            <w:pPr>
              <w:spacing w:after="0" w:line="240" w:lineRule="exact"/>
              <w:rPr>
                <w:rFonts w:ascii="宋体" w:hAnsi="宋体" w:eastAsia="宋体" w:cs="宋体"/>
              </w:rPr>
            </w:pPr>
          </w:p>
          <w:p w14:paraId="2CA035F6">
            <w:pPr>
              <w:spacing w:after="0" w:line="240" w:lineRule="exact"/>
              <w:rPr>
                <w:rFonts w:ascii="宋体" w:hAnsi="宋体" w:eastAsia="宋体" w:cs="宋体"/>
              </w:rPr>
            </w:pPr>
          </w:p>
          <w:p w14:paraId="60A2510B">
            <w:pPr>
              <w:spacing w:after="0" w:line="240" w:lineRule="exact"/>
              <w:rPr>
                <w:rFonts w:ascii="宋体" w:hAnsi="宋体" w:eastAsia="宋体" w:cs="宋体"/>
              </w:rPr>
            </w:pPr>
          </w:p>
          <w:p w14:paraId="30314C4A">
            <w:pPr>
              <w:spacing w:after="0" w:line="240" w:lineRule="exact"/>
              <w:rPr>
                <w:rFonts w:ascii="宋体" w:hAnsi="宋体" w:eastAsia="宋体" w:cs="宋体"/>
              </w:rPr>
            </w:pPr>
          </w:p>
          <w:p w14:paraId="5F427DF4">
            <w:pPr>
              <w:spacing w:after="0" w:line="240" w:lineRule="exact"/>
              <w:rPr>
                <w:rFonts w:ascii="宋体" w:hAnsi="宋体" w:eastAsia="宋体" w:cs="宋体"/>
              </w:rPr>
            </w:pPr>
          </w:p>
          <w:p w14:paraId="7060DCE0">
            <w:pPr>
              <w:spacing w:after="0" w:line="240" w:lineRule="exact"/>
              <w:rPr>
                <w:rFonts w:ascii="宋体" w:hAnsi="宋体" w:eastAsia="宋体" w:cs="宋体"/>
              </w:rPr>
            </w:pPr>
          </w:p>
          <w:p w14:paraId="26446466">
            <w:pPr>
              <w:spacing w:after="0" w:line="240" w:lineRule="exact"/>
              <w:rPr>
                <w:rFonts w:ascii="宋体" w:hAnsi="宋体" w:eastAsia="宋体" w:cs="宋体"/>
              </w:rPr>
            </w:pPr>
          </w:p>
          <w:p w14:paraId="7A96E673">
            <w:pPr>
              <w:spacing w:after="0" w:line="240" w:lineRule="exact"/>
              <w:rPr>
                <w:rFonts w:ascii="宋体" w:hAnsi="宋体" w:eastAsia="宋体" w:cs="宋体"/>
              </w:rPr>
            </w:pPr>
          </w:p>
          <w:p w14:paraId="511C267E">
            <w:pPr>
              <w:spacing w:after="0" w:line="240" w:lineRule="exact"/>
              <w:rPr>
                <w:rFonts w:ascii="宋体" w:hAnsi="宋体" w:eastAsia="宋体" w:cs="宋体"/>
              </w:rPr>
            </w:pPr>
          </w:p>
          <w:p w14:paraId="035AE79F">
            <w:pPr>
              <w:spacing w:after="0" w:line="240" w:lineRule="exact"/>
              <w:rPr>
                <w:rFonts w:ascii="宋体" w:hAnsi="宋体" w:eastAsia="宋体" w:cs="宋体"/>
              </w:rPr>
            </w:pPr>
          </w:p>
          <w:p w14:paraId="23C876A7">
            <w:pPr>
              <w:spacing w:after="0" w:line="240" w:lineRule="exact"/>
              <w:rPr>
                <w:rFonts w:ascii="宋体" w:hAnsi="宋体" w:eastAsia="宋体" w:cs="宋体"/>
              </w:rPr>
            </w:pPr>
            <w:r>
              <w:rPr>
                <w:rFonts w:hint="eastAsia" w:ascii="宋体" w:hAnsi="宋体" w:eastAsia="宋体" w:cs="宋体"/>
              </w:rPr>
              <w:t>目标设定</w:t>
            </w:r>
          </w:p>
          <w:p w14:paraId="1CF6C544">
            <w:pPr>
              <w:spacing w:after="0" w:line="68" w:lineRule="atLeast"/>
              <w:rPr>
                <w:rFonts w:ascii="宋体" w:hAnsi="宋体" w:eastAsia="宋体" w:cs="宋体"/>
              </w:rPr>
            </w:pPr>
            <w:r>
              <w:rPr>
                <w:rFonts w:hint="eastAsia" w:ascii="宋体" w:hAnsi="宋体" w:eastAsia="宋体" w:cs="宋体"/>
              </w:rPr>
              <w:t>（5分）</w:t>
            </w:r>
          </w:p>
        </w:tc>
        <w:tc>
          <w:tcPr>
            <w:tcW w:w="1182" w:type="dxa"/>
            <w:tcBorders>
              <w:top w:val="single" w:color="000000" w:sz="4" w:space="0"/>
              <w:left w:val="single" w:color="000000" w:sz="4" w:space="0"/>
              <w:bottom w:val="single" w:color="auto" w:sz="4" w:space="0"/>
              <w:right w:val="single" w:color="auto" w:sz="4" w:space="0"/>
            </w:tcBorders>
            <w:vAlign w:val="center"/>
          </w:tcPr>
          <w:p w14:paraId="587A3FFA">
            <w:pPr>
              <w:spacing w:after="0" w:line="68" w:lineRule="atLeast"/>
              <w:jc w:val="center"/>
              <w:rPr>
                <w:rFonts w:ascii="宋体" w:hAnsi="宋体" w:eastAsia="宋体" w:cs="宋体"/>
              </w:rPr>
            </w:pPr>
            <w:r>
              <w:rPr>
                <w:rFonts w:hint="eastAsia" w:ascii="宋体" w:hAnsi="宋体" w:eastAsia="宋体" w:cs="宋体"/>
              </w:rPr>
              <w:t>职责明确（1分）</w:t>
            </w:r>
          </w:p>
        </w:tc>
        <w:tc>
          <w:tcPr>
            <w:tcW w:w="6911" w:type="dxa"/>
            <w:tcBorders>
              <w:top w:val="single" w:color="000000" w:sz="4" w:space="0"/>
              <w:left w:val="single" w:color="auto" w:sz="4" w:space="0"/>
              <w:bottom w:val="single" w:color="auto" w:sz="4" w:space="0"/>
              <w:right w:val="single" w:color="auto" w:sz="4" w:space="0"/>
            </w:tcBorders>
            <w:vAlign w:val="center"/>
          </w:tcPr>
          <w:p w14:paraId="1248D9B6">
            <w:pPr>
              <w:spacing w:after="0" w:line="68" w:lineRule="atLeast"/>
              <w:jc w:val="center"/>
              <w:rPr>
                <w:rFonts w:ascii="宋体" w:hAnsi="宋体" w:eastAsia="宋体" w:cs="宋体"/>
              </w:rPr>
            </w:pPr>
            <w:r>
              <w:rPr>
                <w:rFonts w:hint="eastAsia" w:ascii="宋体" w:hAnsi="宋体" w:eastAsia="宋体" w:cs="宋体"/>
              </w:rPr>
              <w:t>部门的职责设定是否符合“三定”方案中所赋予的职责和年度承担的重点工作，用以反映和评价部门工作的目的性与计划性。</w:t>
            </w:r>
          </w:p>
        </w:tc>
        <w:tc>
          <w:tcPr>
            <w:tcW w:w="3423" w:type="dxa"/>
            <w:tcBorders>
              <w:top w:val="single" w:color="000000" w:sz="4" w:space="0"/>
              <w:left w:val="single" w:color="auto" w:sz="4" w:space="0"/>
              <w:bottom w:val="single" w:color="auto" w:sz="4" w:space="0"/>
              <w:right w:val="single" w:color="auto" w:sz="4" w:space="0"/>
            </w:tcBorders>
            <w:vAlign w:val="center"/>
          </w:tcPr>
          <w:p w14:paraId="7516EA9E">
            <w:pPr>
              <w:spacing w:after="0" w:line="240" w:lineRule="exact"/>
              <w:jc w:val="center"/>
              <w:rPr>
                <w:rFonts w:ascii="宋体" w:hAnsi="宋体" w:eastAsia="宋体" w:cs="宋体"/>
              </w:rPr>
            </w:pPr>
            <w:r>
              <w:rPr>
                <w:rFonts w:hint="eastAsia" w:ascii="宋体" w:hAnsi="宋体" w:eastAsia="宋体" w:cs="宋体"/>
              </w:rPr>
              <w:t>符合（1分）；</w:t>
            </w:r>
          </w:p>
          <w:p w14:paraId="607A064E">
            <w:pPr>
              <w:spacing w:after="0" w:line="68" w:lineRule="atLeast"/>
              <w:jc w:val="center"/>
              <w:rPr>
                <w:rFonts w:ascii="宋体" w:hAnsi="宋体" w:eastAsia="宋体" w:cs="宋体"/>
              </w:rPr>
            </w:pPr>
            <w:r>
              <w:rPr>
                <w:rFonts w:hint="eastAsia" w:ascii="宋体" w:hAnsi="宋体" w:eastAsia="宋体" w:cs="宋体"/>
              </w:rPr>
              <w:t>不符合（0分）。</w:t>
            </w:r>
          </w:p>
        </w:tc>
        <w:tc>
          <w:tcPr>
            <w:tcW w:w="1090" w:type="dxa"/>
            <w:tcBorders>
              <w:top w:val="single" w:color="000000" w:sz="4" w:space="0"/>
              <w:left w:val="single" w:color="auto" w:sz="4" w:space="0"/>
              <w:bottom w:val="single" w:color="auto" w:sz="4" w:space="0"/>
              <w:right w:val="single" w:color="000000" w:sz="4" w:space="0"/>
            </w:tcBorders>
            <w:vAlign w:val="center"/>
          </w:tcPr>
          <w:p w14:paraId="453AC089">
            <w:pPr>
              <w:spacing w:after="0" w:line="68" w:lineRule="atLeast"/>
              <w:jc w:val="center"/>
              <w:rPr>
                <w:rFonts w:ascii="宋体" w:hAnsi="宋体" w:eastAsia="宋体" w:cs="宋体"/>
              </w:rPr>
            </w:pPr>
            <w:r>
              <w:rPr>
                <w:rFonts w:hint="eastAsia" w:ascii="宋体" w:hAnsi="宋体" w:eastAsia="宋体" w:cs="宋体"/>
              </w:rPr>
              <w:t>1</w:t>
            </w:r>
          </w:p>
        </w:tc>
      </w:tr>
      <w:tr w14:paraId="6BB6B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4" w:hRule="atLeast"/>
          <w:jc w:val="center"/>
        </w:trPr>
        <w:tc>
          <w:tcPr>
            <w:tcW w:w="733" w:type="dxa"/>
            <w:vMerge w:val="continue"/>
            <w:tcBorders>
              <w:left w:val="single" w:color="000000" w:sz="4" w:space="0"/>
              <w:right w:val="single" w:color="000000" w:sz="4" w:space="0"/>
            </w:tcBorders>
            <w:vAlign w:val="center"/>
          </w:tcPr>
          <w:p w14:paraId="70C17C01">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5239D252">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1E276BEC">
            <w:pPr>
              <w:spacing w:after="0" w:line="68" w:lineRule="atLeast"/>
              <w:rPr>
                <w:rFonts w:ascii="宋体" w:hAnsi="宋体" w:eastAsia="宋体" w:cs="宋体"/>
              </w:rPr>
            </w:pPr>
            <w:r>
              <w:rPr>
                <w:rFonts w:hint="eastAsia" w:ascii="宋体" w:hAnsi="宋体" w:eastAsia="宋体" w:cs="宋体"/>
              </w:rPr>
              <w:t>活动合规性（1分）</w:t>
            </w:r>
          </w:p>
        </w:tc>
        <w:tc>
          <w:tcPr>
            <w:tcW w:w="6911" w:type="dxa"/>
            <w:tcBorders>
              <w:top w:val="single" w:color="000000" w:sz="4" w:space="0"/>
              <w:left w:val="single" w:color="auto" w:sz="4" w:space="0"/>
              <w:bottom w:val="single" w:color="auto" w:sz="4" w:space="0"/>
              <w:right w:val="single" w:color="auto" w:sz="4" w:space="0"/>
            </w:tcBorders>
            <w:vAlign w:val="center"/>
          </w:tcPr>
          <w:p w14:paraId="2E0E2A0C">
            <w:pPr>
              <w:spacing w:after="0" w:line="240" w:lineRule="exact"/>
              <w:rPr>
                <w:rFonts w:ascii="宋体" w:hAnsi="宋体" w:eastAsia="宋体" w:cs="宋体"/>
              </w:rPr>
            </w:pPr>
            <w:r>
              <w:rPr>
                <w:rFonts w:hint="eastAsia" w:ascii="宋体" w:hAnsi="宋体" w:eastAsia="宋体" w:cs="宋体"/>
              </w:rPr>
              <w:t>部门的活动是否在职责范围之内并符合部门中长期规划，用以反映和评价部门活动目标与部门履职、年度工作任务的相符性情况。</w:t>
            </w:r>
          </w:p>
          <w:p w14:paraId="2161909E">
            <w:pPr>
              <w:spacing w:after="0" w:line="240" w:lineRule="exact"/>
              <w:rPr>
                <w:rFonts w:ascii="宋体" w:hAnsi="宋体" w:eastAsia="宋体" w:cs="宋体"/>
              </w:rPr>
            </w:pPr>
            <w:r>
              <w:rPr>
                <w:rFonts w:hint="eastAsia" w:ascii="宋体" w:hAnsi="宋体" w:eastAsia="宋体" w:cs="宋体"/>
              </w:rPr>
              <w:t>评价要点：</w:t>
            </w:r>
          </w:p>
          <w:p w14:paraId="7C17942B">
            <w:pPr>
              <w:spacing w:after="0" w:line="240" w:lineRule="exact"/>
              <w:rPr>
                <w:rFonts w:ascii="宋体" w:hAnsi="宋体" w:eastAsia="宋体" w:cs="宋体"/>
              </w:rPr>
            </w:pPr>
            <w:r>
              <w:rPr>
                <w:rFonts w:hint="eastAsia" w:ascii="宋体" w:hAnsi="宋体" w:eastAsia="宋体" w:cs="宋体"/>
              </w:rPr>
              <w:t>1.部门活动的设定在部门所确定的职责范围之内；</w:t>
            </w:r>
          </w:p>
          <w:p w14:paraId="1E5D4B6C">
            <w:pPr>
              <w:spacing w:after="0" w:line="68" w:lineRule="atLeast"/>
              <w:rPr>
                <w:rFonts w:ascii="宋体" w:hAnsi="宋体" w:eastAsia="宋体" w:cs="宋体"/>
              </w:rPr>
            </w:pPr>
            <w:r>
              <w:rPr>
                <w:rFonts w:hint="eastAsia" w:ascii="宋体" w:hAnsi="宋体" w:eastAsia="宋体" w:cs="宋体"/>
              </w:rPr>
              <w:t>2.部门活动符合市委、市政府的发展规划及本部门的年度工作安排与发展规划。</w:t>
            </w:r>
          </w:p>
        </w:tc>
        <w:tc>
          <w:tcPr>
            <w:tcW w:w="3423" w:type="dxa"/>
            <w:tcBorders>
              <w:top w:val="single" w:color="000000" w:sz="4" w:space="0"/>
              <w:left w:val="single" w:color="auto" w:sz="4" w:space="0"/>
              <w:bottom w:val="single" w:color="auto" w:sz="4" w:space="0"/>
              <w:right w:val="single" w:color="auto" w:sz="4" w:space="0"/>
            </w:tcBorders>
            <w:vAlign w:val="center"/>
          </w:tcPr>
          <w:p w14:paraId="496DF8EB">
            <w:pPr>
              <w:spacing w:after="0" w:line="240" w:lineRule="exact"/>
              <w:rPr>
                <w:rFonts w:ascii="宋体" w:hAnsi="宋体" w:eastAsia="宋体" w:cs="宋体"/>
              </w:rPr>
            </w:pPr>
            <w:r>
              <w:rPr>
                <w:rFonts w:hint="eastAsia" w:ascii="宋体" w:hAnsi="宋体" w:eastAsia="宋体" w:cs="宋体"/>
              </w:rPr>
              <w:t>全部符合（1分）；</w:t>
            </w:r>
          </w:p>
          <w:p w14:paraId="06029B84">
            <w:pPr>
              <w:spacing w:after="0" w:line="68" w:lineRule="atLeast"/>
              <w:rPr>
                <w:rFonts w:ascii="宋体" w:hAnsi="宋体" w:eastAsia="宋体" w:cs="宋体"/>
              </w:rPr>
            </w:pPr>
            <w:r>
              <w:rPr>
                <w:rFonts w:hint="eastAsia" w:ascii="宋体" w:hAnsi="宋体" w:eastAsia="宋体" w:cs="宋体"/>
              </w:rPr>
              <w:t>其中一项不符合（0分）。</w:t>
            </w:r>
          </w:p>
        </w:tc>
        <w:tc>
          <w:tcPr>
            <w:tcW w:w="1090" w:type="dxa"/>
            <w:tcBorders>
              <w:top w:val="single" w:color="000000" w:sz="4" w:space="0"/>
              <w:left w:val="single" w:color="auto" w:sz="4" w:space="0"/>
              <w:bottom w:val="single" w:color="auto" w:sz="4" w:space="0"/>
              <w:right w:val="single" w:color="000000" w:sz="4" w:space="0"/>
            </w:tcBorders>
            <w:vAlign w:val="center"/>
          </w:tcPr>
          <w:p w14:paraId="7411E195">
            <w:pPr>
              <w:spacing w:after="0" w:line="68" w:lineRule="atLeast"/>
              <w:jc w:val="center"/>
              <w:rPr>
                <w:rFonts w:ascii="宋体" w:hAnsi="宋体" w:eastAsia="宋体" w:cs="宋体"/>
              </w:rPr>
            </w:pPr>
            <w:r>
              <w:rPr>
                <w:rFonts w:hint="eastAsia" w:ascii="宋体" w:hAnsi="宋体" w:eastAsia="宋体" w:cs="宋体"/>
              </w:rPr>
              <w:t>1</w:t>
            </w:r>
          </w:p>
        </w:tc>
      </w:tr>
      <w:tr w14:paraId="0699F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2" w:hRule="atLeast"/>
          <w:jc w:val="center"/>
        </w:trPr>
        <w:tc>
          <w:tcPr>
            <w:tcW w:w="733" w:type="dxa"/>
            <w:vMerge w:val="continue"/>
            <w:tcBorders>
              <w:left w:val="single" w:color="000000" w:sz="4" w:space="0"/>
              <w:right w:val="single" w:color="000000" w:sz="4" w:space="0"/>
            </w:tcBorders>
            <w:vAlign w:val="center"/>
          </w:tcPr>
          <w:p w14:paraId="19573C35">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3EBCF0F4">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7245C9F9">
            <w:pPr>
              <w:spacing w:after="0" w:line="68" w:lineRule="atLeast"/>
              <w:rPr>
                <w:rFonts w:ascii="宋体" w:hAnsi="宋体" w:eastAsia="宋体" w:cs="宋体"/>
              </w:rPr>
            </w:pPr>
            <w:r>
              <w:rPr>
                <w:rFonts w:hint="eastAsia" w:ascii="宋体" w:hAnsi="宋体" w:eastAsia="宋体" w:cs="宋体"/>
              </w:rPr>
              <w:t>活动合理性（1分）</w:t>
            </w:r>
          </w:p>
        </w:tc>
        <w:tc>
          <w:tcPr>
            <w:tcW w:w="6911" w:type="dxa"/>
            <w:tcBorders>
              <w:top w:val="single" w:color="000000" w:sz="4" w:space="0"/>
              <w:left w:val="single" w:color="auto" w:sz="4" w:space="0"/>
              <w:bottom w:val="single" w:color="auto" w:sz="4" w:space="0"/>
              <w:right w:val="single" w:color="auto" w:sz="4" w:space="0"/>
            </w:tcBorders>
            <w:vAlign w:val="center"/>
          </w:tcPr>
          <w:p w14:paraId="67E00CAB">
            <w:pPr>
              <w:spacing w:after="0" w:line="240" w:lineRule="exact"/>
              <w:rPr>
                <w:rFonts w:ascii="宋体" w:hAnsi="宋体" w:eastAsia="宋体" w:cs="宋体"/>
              </w:rPr>
            </w:pPr>
            <w:r>
              <w:rPr>
                <w:rFonts w:hint="eastAsia" w:ascii="宋体" w:hAnsi="宋体" w:eastAsia="宋体" w:cs="宋体"/>
              </w:rPr>
              <w:t>部门所设立的活动是否明确合理、活动的关键性指标设置是否可衡量，用以反映和评价部门活动目标设定的合理性。</w:t>
            </w:r>
          </w:p>
          <w:p w14:paraId="58ACAAC4">
            <w:pPr>
              <w:spacing w:after="0" w:line="240" w:lineRule="exact"/>
              <w:rPr>
                <w:rFonts w:ascii="宋体" w:hAnsi="宋体" w:eastAsia="宋体" w:cs="宋体"/>
              </w:rPr>
            </w:pPr>
            <w:r>
              <w:rPr>
                <w:rFonts w:hint="eastAsia" w:ascii="宋体" w:hAnsi="宋体" w:eastAsia="宋体" w:cs="宋体"/>
              </w:rPr>
              <w:t>评价要点：</w:t>
            </w:r>
          </w:p>
          <w:p w14:paraId="48753447">
            <w:pPr>
              <w:spacing w:after="0" w:line="240" w:lineRule="exact"/>
              <w:rPr>
                <w:rFonts w:ascii="宋体" w:hAnsi="宋体" w:eastAsia="宋体" w:cs="宋体"/>
              </w:rPr>
            </w:pPr>
            <w:r>
              <w:rPr>
                <w:rFonts w:hint="eastAsia" w:ascii="宋体" w:hAnsi="宋体" w:eastAsia="宋体" w:cs="宋体"/>
              </w:rPr>
              <w:t>1.活动目标的设定是可量化的，可通过清晰、可衡量的关键指标值予以体现；</w:t>
            </w:r>
          </w:p>
          <w:p w14:paraId="77EA68F0">
            <w:pPr>
              <w:spacing w:after="0" w:line="68" w:lineRule="atLeast"/>
              <w:rPr>
                <w:rFonts w:ascii="宋体" w:hAnsi="宋体" w:eastAsia="宋体" w:cs="宋体"/>
              </w:rPr>
            </w:pPr>
            <w:r>
              <w:rPr>
                <w:rFonts w:hint="eastAsia" w:ascii="宋体" w:hAnsi="宋体" w:eastAsia="宋体" w:cs="宋体"/>
              </w:rPr>
              <w:t>2.在活动目标设定时，将关键指标明细分解为具体的达成目标与工作任务。</w:t>
            </w:r>
          </w:p>
        </w:tc>
        <w:tc>
          <w:tcPr>
            <w:tcW w:w="3423" w:type="dxa"/>
            <w:tcBorders>
              <w:top w:val="single" w:color="000000" w:sz="4" w:space="0"/>
              <w:left w:val="single" w:color="auto" w:sz="4" w:space="0"/>
              <w:bottom w:val="single" w:color="auto" w:sz="4" w:space="0"/>
              <w:right w:val="single" w:color="auto" w:sz="4" w:space="0"/>
            </w:tcBorders>
            <w:vAlign w:val="center"/>
          </w:tcPr>
          <w:p w14:paraId="1E2500E6">
            <w:pPr>
              <w:spacing w:after="0" w:line="240" w:lineRule="exact"/>
              <w:rPr>
                <w:rFonts w:ascii="宋体" w:hAnsi="宋体" w:eastAsia="宋体" w:cs="宋体"/>
              </w:rPr>
            </w:pPr>
            <w:r>
              <w:rPr>
                <w:rFonts w:hint="eastAsia" w:ascii="宋体" w:hAnsi="宋体" w:eastAsia="宋体" w:cs="宋体"/>
              </w:rPr>
              <w:t>全部符合（1分）；</w:t>
            </w:r>
          </w:p>
          <w:p w14:paraId="341E76C2">
            <w:pPr>
              <w:spacing w:after="0" w:line="68" w:lineRule="atLeast"/>
              <w:rPr>
                <w:rFonts w:ascii="宋体" w:hAnsi="宋体" w:eastAsia="宋体" w:cs="宋体"/>
              </w:rPr>
            </w:pPr>
            <w:r>
              <w:rPr>
                <w:rFonts w:hint="eastAsia" w:ascii="宋体" w:hAnsi="宋体" w:eastAsia="宋体" w:cs="宋体"/>
              </w:rPr>
              <w:t>其中一项不符合（0分）。</w:t>
            </w:r>
          </w:p>
        </w:tc>
        <w:tc>
          <w:tcPr>
            <w:tcW w:w="1090" w:type="dxa"/>
            <w:tcBorders>
              <w:top w:val="single" w:color="000000" w:sz="4" w:space="0"/>
              <w:left w:val="single" w:color="auto" w:sz="4" w:space="0"/>
              <w:bottom w:val="single" w:color="auto" w:sz="4" w:space="0"/>
              <w:right w:val="single" w:color="000000" w:sz="4" w:space="0"/>
            </w:tcBorders>
            <w:vAlign w:val="center"/>
          </w:tcPr>
          <w:p w14:paraId="3EAD2DE9">
            <w:pPr>
              <w:spacing w:after="0" w:line="68" w:lineRule="atLeast"/>
              <w:jc w:val="center"/>
              <w:rPr>
                <w:rFonts w:ascii="宋体" w:hAnsi="宋体" w:eastAsia="宋体" w:cs="宋体"/>
              </w:rPr>
            </w:pPr>
            <w:r>
              <w:rPr>
                <w:rFonts w:hint="eastAsia" w:ascii="宋体" w:hAnsi="宋体" w:eastAsia="宋体" w:cs="宋体"/>
              </w:rPr>
              <w:t>1</w:t>
            </w:r>
          </w:p>
        </w:tc>
      </w:tr>
      <w:tr w14:paraId="01FC5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4" w:hRule="atLeast"/>
          <w:jc w:val="center"/>
        </w:trPr>
        <w:tc>
          <w:tcPr>
            <w:tcW w:w="733" w:type="dxa"/>
            <w:vMerge w:val="continue"/>
            <w:tcBorders>
              <w:left w:val="single" w:color="000000" w:sz="4" w:space="0"/>
              <w:right w:val="single" w:color="000000" w:sz="4" w:space="0"/>
            </w:tcBorders>
            <w:vAlign w:val="center"/>
          </w:tcPr>
          <w:p w14:paraId="5474EE3F">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4C8E7B7F">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45735C6F">
            <w:pPr>
              <w:spacing w:after="0" w:line="68" w:lineRule="atLeast"/>
              <w:rPr>
                <w:rFonts w:ascii="宋体" w:hAnsi="宋体" w:eastAsia="宋体" w:cs="宋体"/>
              </w:rPr>
            </w:pPr>
            <w:r>
              <w:rPr>
                <w:rFonts w:hint="eastAsia" w:ascii="宋体" w:hAnsi="宋体" w:eastAsia="宋体" w:cs="宋体"/>
              </w:rPr>
              <w:t>目标覆盖率（1分）</w:t>
            </w:r>
          </w:p>
        </w:tc>
        <w:tc>
          <w:tcPr>
            <w:tcW w:w="6911" w:type="dxa"/>
            <w:tcBorders>
              <w:top w:val="single" w:color="000000" w:sz="4" w:space="0"/>
              <w:left w:val="single" w:color="auto" w:sz="4" w:space="0"/>
              <w:bottom w:val="single" w:color="auto" w:sz="4" w:space="0"/>
              <w:right w:val="single" w:color="auto" w:sz="4" w:space="0"/>
            </w:tcBorders>
            <w:vAlign w:val="center"/>
          </w:tcPr>
          <w:p w14:paraId="0D7B9FC9">
            <w:pPr>
              <w:spacing w:after="0" w:line="240" w:lineRule="exact"/>
              <w:rPr>
                <w:rFonts w:ascii="宋体" w:hAnsi="宋体" w:eastAsia="宋体" w:cs="宋体"/>
              </w:rPr>
            </w:pPr>
            <w:r>
              <w:rPr>
                <w:rFonts w:hint="eastAsia" w:ascii="宋体" w:hAnsi="宋体" w:eastAsia="宋体" w:cs="宋体"/>
              </w:rPr>
              <w:t>部门年度申报绩效目标项目资金额与部门项目预算资金总额的比率，用以反映部门落实财政部门绩效目标申报要求的资金覆盖情况。</w:t>
            </w:r>
          </w:p>
          <w:p w14:paraId="33E1195E">
            <w:pPr>
              <w:spacing w:after="0" w:line="240" w:lineRule="exact"/>
              <w:rPr>
                <w:rFonts w:ascii="宋体" w:hAnsi="宋体" w:eastAsia="宋体" w:cs="宋体"/>
              </w:rPr>
            </w:pPr>
            <w:r>
              <w:rPr>
                <w:rFonts w:hint="eastAsia" w:ascii="宋体" w:hAnsi="宋体" w:eastAsia="宋体" w:cs="宋体"/>
              </w:rPr>
              <w:t>覆盖率=实际申报绩效目标项目资金总额/部门项目预算资金总额×100%</w:t>
            </w:r>
          </w:p>
        </w:tc>
        <w:tc>
          <w:tcPr>
            <w:tcW w:w="3423" w:type="dxa"/>
            <w:tcBorders>
              <w:top w:val="single" w:color="000000" w:sz="4" w:space="0"/>
              <w:left w:val="single" w:color="auto" w:sz="4" w:space="0"/>
              <w:bottom w:val="single" w:color="auto" w:sz="4" w:space="0"/>
              <w:right w:val="single" w:color="auto" w:sz="4" w:space="0"/>
            </w:tcBorders>
            <w:vAlign w:val="center"/>
          </w:tcPr>
          <w:p w14:paraId="00EABBAC">
            <w:pPr>
              <w:spacing w:after="0" w:line="240" w:lineRule="exact"/>
              <w:rPr>
                <w:rFonts w:ascii="宋体" w:hAnsi="宋体" w:eastAsia="宋体" w:cs="宋体"/>
              </w:rPr>
            </w:pPr>
            <w:r>
              <w:rPr>
                <w:rFonts w:hint="eastAsia" w:ascii="宋体" w:hAnsi="宋体" w:eastAsia="宋体" w:cs="宋体"/>
              </w:rPr>
              <w:t>达到目标值得1分，未达到目标值采用完成比率法计分：得分=覆盖率/目标值×1，超过目标值不加分。</w:t>
            </w:r>
          </w:p>
        </w:tc>
        <w:tc>
          <w:tcPr>
            <w:tcW w:w="1090" w:type="dxa"/>
            <w:tcBorders>
              <w:top w:val="single" w:color="000000" w:sz="4" w:space="0"/>
              <w:left w:val="single" w:color="auto" w:sz="4" w:space="0"/>
              <w:bottom w:val="single" w:color="auto" w:sz="4" w:space="0"/>
              <w:right w:val="single" w:color="000000" w:sz="4" w:space="0"/>
            </w:tcBorders>
            <w:vAlign w:val="center"/>
          </w:tcPr>
          <w:p w14:paraId="5FE76998">
            <w:pPr>
              <w:spacing w:after="0" w:line="68" w:lineRule="atLeast"/>
              <w:jc w:val="center"/>
              <w:rPr>
                <w:rFonts w:ascii="宋体" w:hAnsi="宋体" w:eastAsia="宋体" w:cs="宋体"/>
              </w:rPr>
            </w:pPr>
            <w:r>
              <w:rPr>
                <w:rFonts w:hint="eastAsia" w:ascii="宋体" w:hAnsi="宋体" w:eastAsia="宋体" w:cs="宋体"/>
              </w:rPr>
              <w:t>1</w:t>
            </w:r>
          </w:p>
        </w:tc>
      </w:tr>
      <w:tr w14:paraId="38149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2" w:hRule="atLeast"/>
          <w:jc w:val="center"/>
        </w:trPr>
        <w:tc>
          <w:tcPr>
            <w:tcW w:w="733" w:type="dxa"/>
            <w:vMerge w:val="continue"/>
            <w:tcBorders>
              <w:left w:val="single" w:color="000000" w:sz="4" w:space="0"/>
              <w:right w:val="single" w:color="000000" w:sz="4" w:space="0"/>
            </w:tcBorders>
            <w:vAlign w:val="center"/>
          </w:tcPr>
          <w:p w14:paraId="215960D2">
            <w:pPr>
              <w:spacing w:after="0"/>
              <w:rPr>
                <w:rFonts w:ascii="宋体" w:hAnsi="宋体" w:eastAsia="宋体" w:cs="宋体"/>
              </w:rPr>
            </w:pPr>
          </w:p>
        </w:tc>
        <w:tc>
          <w:tcPr>
            <w:tcW w:w="803" w:type="dxa"/>
            <w:vMerge w:val="continue"/>
            <w:tcBorders>
              <w:left w:val="single" w:color="000000" w:sz="4" w:space="0"/>
              <w:bottom w:val="single" w:color="000000" w:sz="4" w:space="0"/>
              <w:right w:val="single" w:color="000000" w:sz="4" w:space="0"/>
            </w:tcBorders>
            <w:vAlign w:val="center"/>
          </w:tcPr>
          <w:p w14:paraId="01C802C4">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0BC4B5E1">
            <w:pPr>
              <w:spacing w:after="0" w:line="68" w:lineRule="atLeast"/>
              <w:rPr>
                <w:rFonts w:ascii="宋体" w:hAnsi="宋体" w:eastAsia="宋体" w:cs="宋体"/>
              </w:rPr>
            </w:pPr>
            <w:r>
              <w:rPr>
                <w:rFonts w:hint="eastAsia" w:ascii="宋体" w:hAnsi="宋体" w:eastAsia="宋体" w:cs="宋体"/>
              </w:rPr>
              <w:t>目标管理创新（1分）</w:t>
            </w:r>
          </w:p>
        </w:tc>
        <w:tc>
          <w:tcPr>
            <w:tcW w:w="6911" w:type="dxa"/>
            <w:tcBorders>
              <w:top w:val="single" w:color="000000" w:sz="4" w:space="0"/>
              <w:left w:val="single" w:color="auto" w:sz="4" w:space="0"/>
              <w:bottom w:val="single" w:color="auto" w:sz="4" w:space="0"/>
              <w:right w:val="single" w:color="auto" w:sz="4" w:space="0"/>
            </w:tcBorders>
            <w:vAlign w:val="center"/>
          </w:tcPr>
          <w:p w14:paraId="01246377">
            <w:pPr>
              <w:spacing w:after="0" w:line="240" w:lineRule="exact"/>
              <w:rPr>
                <w:rFonts w:ascii="宋体" w:hAnsi="宋体" w:eastAsia="宋体" w:cs="宋体"/>
              </w:rPr>
            </w:pPr>
            <w:r>
              <w:rPr>
                <w:rFonts w:hint="eastAsia" w:ascii="宋体" w:hAnsi="宋体" w:eastAsia="宋体" w:cs="宋体"/>
              </w:rPr>
              <w:t>部门编报整体绩效目标和申报项目绩效目标的数量超过规定的要求。用以反映和考核部门绩效目标管理创新工作情况。</w:t>
            </w:r>
          </w:p>
          <w:p w14:paraId="316F9389">
            <w:pPr>
              <w:spacing w:after="0" w:line="240" w:lineRule="exact"/>
              <w:rPr>
                <w:rFonts w:ascii="宋体" w:hAnsi="宋体" w:eastAsia="宋体" w:cs="宋体"/>
              </w:rPr>
            </w:pPr>
            <w:r>
              <w:rPr>
                <w:rFonts w:hint="eastAsia" w:ascii="宋体" w:hAnsi="宋体" w:eastAsia="宋体" w:cs="宋体"/>
              </w:rPr>
              <w:t>项目绩效目标创新=部门绩效目标编报数量-按财政部门要求的绩效目标填报数量</w:t>
            </w:r>
          </w:p>
        </w:tc>
        <w:tc>
          <w:tcPr>
            <w:tcW w:w="3423" w:type="dxa"/>
            <w:tcBorders>
              <w:top w:val="single" w:color="000000" w:sz="4" w:space="0"/>
              <w:left w:val="single" w:color="auto" w:sz="4" w:space="0"/>
              <w:bottom w:val="single" w:color="auto" w:sz="4" w:space="0"/>
              <w:right w:val="single" w:color="auto" w:sz="4" w:space="0"/>
            </w:tcBorders>
            <w:vAlign w:val="center"/>
          </w:tcPr>
          <w:p w14:paraId="5E3CEC2B">
            <w:pPr>
              <w:spacing w:after="0" w:line="240" w:lineRule="exact"/>
              <w:rPr>
                <w:rFonts w:ascii="宋体" w:hAnsi="宋体" w:eastAsia="宋体" w:cs="宋体"/>
              </w:rPr>
            </w:pPr>
            <w:r>
              <w:rPr>
                <w:rFonts w:hint="eastAsia" w:ascii="宋体" w:hAnsi="宋体" w:eastAsia="宋体" w:cs="宋体"/>
              </w:rPr>
              <w:t>每超过1项得0.1分，满分1分。</w:t>
            </w:r>
          </w:p>
        </w:tc>
        <w:tc>
          <w:tcPr>
            <w:tcW w:w="1090" w:type="dxa"/>
            <w:tcBorders>
              <w:top w:val="single" w:color="000000" w:sz="4" w:space="0"/>
              <w:left w:val="single" w:color="auto" w:sz="4" w:space="0"/>
              <w:bottom w:val="single" w:color="auto" w:sz="4" w:space="0"/>
              <w:right w:val="single" w:color="000000" w:sz="4" w:space="0"/>
            </w:tcBorders>
            <w:vAlign w:val="center"/>
          </w:tcPr>
          <w:p w14:paraId="44DFDB3A">
            <w:pPr>
              <w:spacing w:after="0" w:line="68" w:lineRule="atLeast"/>
              <w:jc w:val="center"/>
              <w:rPr>
                <w:rFonts w:ascii="宋体" w:hAnsi="宋体" w:eastAsia="宋体" w:cs="宋体"/>
              </w:rPr>
            </w:pPr>
            <w:r>
              <w:rPr>
                <w:rFonts w:hint="eastAsia" w:ascii="宋体" w:hAnsi="宋体" w:eastAsia="宋体" w:cs="宋体"/>
              </w:rPr>
              <w:t>1</w:t>
            </w:r>
          </w:p>
        </w:tc>
      </w:tr>
      <w:tr w14:paraId="23C23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95" w:hRule="atLeast"/>
          <w:jc w:val="center"/>
        </w:trPr>
        <w:tc>
          <w:tcPr>
            <w:tcW w:w="733" w:type="dxa"/>
            <w:vMerge w:val="continue"/>
            <w:tcBorders>
              <w:left w:val="single" w:color="000000" w:sz="4" w:space="0"/>
              <w:right w:val="single" w:color="000000" w:sz="4" w:space="0"/>
            </w:tcBorders>
            <w:vAlign w:val="center"/>
          </w:tcPr>
          <w:p w14:paraId="3B4F4A10">
            <w:pPr>
              <w:spacing w:after="0"/>
              <w:rPr>
                <w:rFonts w:ascii="宋体" w:hAnsi="宋体" w:eastAsia="宋体" w:cs="宋体"/>
              </w:rPr>
            </w:pPr>
          </w:p>
        </w:tc>
        <w:tc>
          <w:tcPr>
            <w:tcW w:w="803" w:type="dxa"/>
            <w:vMerge w:val="restart"/>
            <w:tcBorders>
              <w:top w:val="single" w:color="000000" w:sz="4" w:space="0"/>
              <w:left w:val="single" w:color="000000" w:sz="4" w:space="0"/>
              <w:right w:val="single" w:color="000000" w:sz="4" w:space="0"/>
            </w:tcBorders>
            <w:vAlign w:val="center"/>
          </w:tcPr>
          <w:p w14:paraId="66E5394C">
            <w:pPr>
              <w:spacing w:after="0" w:line="68" w:lineRule="atLeast"/>
              <w:rPr>
                <w:rFonts w:ascii="宋体" w:hAnsi="宋体" w:eastAsia="宋体" w:cs="宋体"/>
              </w:rPr>
            </w:pPr>
            <w:r>
              <w:rPr>
                <w:rFonts w:hint="eastAsia" w:ascii="宋体" w:hAnsi="宋体" w:eastAsia="宋体" w:cs="宋体"/>
              </w:rPr>
              <w:t>预算配置(10分)</w:t>
            </w:r>
          </w:p>
        </w:tc>
        <w:tc>
          <w:tcPr>
            <w:tcW w:w="1182" w:type="dxa"/>
            <w:tcBorders>
              <w:top w:val="single" w:color="auto" w:sz="4" w:space="0"/>
              <w:left w:val="single" w:color="000000" w:sz="4" w:space="0"/>
              <w:bottom w:val="single" w:color="000000" w:sz="4" w:space="0"/>
              <w:right w:val="single" w:color="auto" w:sz="4" w:space="0"/>
            </w:tcBorders>
            <w:vAlign w:val="center"/>
          </w:tcPr>
          <w:p w14:paraId="2CFDE9F8">
            <w:pPr>
              <w:spacing w:after="0" w:line="68" w:lineRule="atLeast"/>
              <w:rPr>
                <w:rFonts w:ascii="宋体" w:hAnsi="宋体" w:eastAsia="宋体" w:cs="宋体"/>
              </w:rPr>
            </w:pPr>
            <w:r>
              <w:rPr>
                <w:rFonts w:hint="eastAsia" w:ascii="宋体" w:hAnsi="宋体" w:eastAsia="宋体" w:cs="宋体"/>
              </w:rPr>
              <w:t>财政供养人员控制率（3分）</w:t>
            </w:r>
          </w:p>
        </w:tc>
        <w:tc>
          <w:tcPr>
            <w:tcW w:w="6911" w:type="dxa"/>
            <w:tcBorders>
              <w:top w:val="single" w:color="auto" w:sz="4" w:space="0"/>
              <w:left w:val="single" w:color="auto" w:sz="4" w:space="0"/>
              <w:bottom w:val="single" w:color="000000" w:sz="4" w:space="0"/>
              <w:right w:val="single" w:color="auto" w:sz="4" w:space="0"/>
            </w:tcBorders>
            <w:vAlign w:val="center"/>
          </w:tcPr>
          <w:p w14:paraId="1C161956">
            <w:pPr>
              <w:spacing w:after="0" w:line="240" w:lineRule="exact"/>
              <w:rPr>
                <w:rFonts w:ascii="宋体" w:hAnsi="宋体" w:eastAsia="宋体" w:cs="宋体"/>
              </w:rPr>
            </w:pPr>
            <w:r>
              <w:rPr>
                <w:rFonts w:hint="eastAsia" w:ascii="宋体" w:hAnsi="宋体" w:eastAsia="宋体" w:cs="宋体"/>
              </w:rPr>
              <w:t>部门本年度实际在职人员数与编制数的比率，用以反映和评价部门对人员成本的控制程度。</w:t>
            </w:r>
          </w:p>
          <w:p w14:paraId="2C932724">
            <w:pPr>
              <w:spacing w:after="0" w:line="240" w:lineRule="exact"/>
              <w:rPr>
                <w:rFonts w:ascii="宋体" w:hAnsi="宋体" w:eastAsia="宋体" w:cs="宋体"/>
              </w:rPr>
            </w:pPr>
            <w:r>
              <w:rPr>
                <w:rFonts w:hint="eastAsia" w:ascii="宋体" w:hAnsi="宋体" w:eastAsia="宋体" w:cs="宋体"/>
              </w:rPr>
              <w:t>在职人员控制率=（在职人员数/编制数）×100%。</w:t>
            </w:r>
          </w:p>
          <w:p w14:paraId="2D1B8093">
            <w:pPr>
              <w:spacing w:after="0" w:line="240" w:lineRule="exact"/>
              <w:rPr>
                <w:rFonts w:ascii="宋体" w:hAnsi="宋体" w:eastAsia="宋体" w:cs="宋体"/>
              </w:rPr>
            </w:pPr>
            <w:r>
              <w:rPr>
                <w:rFonts w:hint="eastAsia" w:ascii="宋体" w:hAnsi="宋体" w:eastAsia="宋体" w:cs="宋体"/>
              </w:rPr>
              <w:t>在职人员数：部门实际在职人数，以财政部确定的部门决算编制口径为准，由编制部门和人劳部门批复同意的临聘人员除外。</w:t>
            </w:r>
          </w:p>
          <w:p w14:paraId="093AD8B0">
            <w:pPr>
              <w:spacing w:after="0" w:line="68" w:lineRule="atLeast"/>
              <w:rPr>
                <w:rFonts w:ascii="宋体" w:hAnsi="宋体" w:eastAsia="宋体" w:cs="宋体"/>
              </w:rPr>
            </w:pPr>
            <w:r>
              <w:rPr>
                <w:rFonts w:hint="eastAsia" w:ascii="宋体" w:hAnsi="宋体" w:eastAsia="宋体" w:cs="宋体"/>
              </w:rPr>
              <w:t>编制数：机构编制部门核定批复的部门人员编制数。</w:t>
            </w:r>
          </w:p>
        </w:tc>
        <w:tc>
          <w:tcPr>
            <w:tcW w:w="3423" w:type="dxa"/>
            <w:tcBorders>
              <w:top w:val="single" w:color="auto" w:sz="4" w:space="0"/>
              <w:left w:val="single" w:color="auto" w:sz="4" w:space="0"/>
              <w:bottom w:val="single" w:color="000000" w:sz="4" w:space="0"/>
              <w:right w:val="single" w:color="auto" w:sz="4" w:space="0"/>
            </w:tcBorders>
            <w:vAlign w:val="center"/>
          </w:tcPr>
          <w:p w14:paraId="30C4846C">
            <w:pPr>
              <w:spacing w:after="0" w:line="68" w:lineRule="atLeast"/>
              <w:rPr>
                <w:rFonts w:ascii="宋体" w:hAnsi="宋体" w:eastAsia="宋体" w:cs="宋体"/>
              </w:rPr>
            </w:pPr>
            <w:r>
              <w:rPr>
                <w:rFonts w:hint="eastAsia" w:ascii="宋体" w:hAnsi="宋体" w:eastAsia="宋体" w:cs="宋体"/>
              </w:rPr>
              <w:t>目标值≤100%；达到目标值得3分，每超出1人扣0.1分，扣完为止。</w:t>
            </w:r>
          </w:p>
        </w:tc>
        <w:tc>
          <w:tcPr>
            <w:tcW w:w="1090" w:type="dxa"/>
            <w:tcBorders>
              <w:top w:val="single" w:color="auto" w:sz="4" w:space="0"/>
              <w:left w:val="single" w:color="auto" w:sz="4" w:space="0"/>
              <w:bottom w:val="single" w:color="000000" w:sz="4" w:space="0"/>
              <w:right w:val="single" w:color="000000" w:sz="4" w:space="0"/>
            </w:tcBorders>
            <w:vAlign w:val="center"/>
          </w:tcPr>
          <w:p w14:paraId="678D63F5">
            <w:pPr>
              <w:spacing w:after="0" w:line="68" w:lineRule="atLeast"/>
              <w:jc w:val="center"/>
              <w:rPr>
                <w:rFonts w:ascii="宋体" w:hAnsi="宋体" w:eastAsia="宋体" w:cs="宋体"/>
              </w:rPr>
            </w:pPr>
            <w:r>
              <w:rPr>
                <w:rFonts w:hint="eastAsia" w:ascii="宋体" w:hAnsi="宋体" w:eastAsia="宋体" w:cs="宋体"/>
              </w:rPr>
              <w:t>2</w:t>
            </w:r>
          </w:p>
        </w:tc>
      </w:tr>
      <w:tr w14:paraId="36E0C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5" w:hRule="atLeast"/>
          <w:jc w:val="center"/>
        </w:trPr>
        <w:tc>
          <w:tcPr>
            <w:tcW w:w="733" w:type="dxa"/>
            <w:vMerge w:val="continue"/>
            <w:tcBorders>
              <w:left w:val="single" w:color="000000" w:sz="4" w:space="0"/>
              <w:right w:val="single" w:color="000000" w:sz="4" w:space="0"/>
            </w:tcBorders>
            <w:vAlign w:val="center"/>
          </w:tcPr>
          <w:p w14:paraId="0167C322">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61B6CCC7">
            <w:pPr>
              <w:spacing w:after="0"/>
              <w:rPr>
                <w:rFonts w:ascii="宋体" w:hAnsi="宋体" w:eastAsia="宋体" w:cs="宋体"/>
              </w:rPr>
            </w:pPr>
          </w:p>
        </w:tc>
        <w:tc>
          <w:tcPr>
            <w:tcW w:w="1182" w:type="dxa"/>
            <w:tcBorders>
              <w:top w:val="single" w:color="auto" w:sz="4" w:space="0"/>
              <w:left w:val="single" w:color="000000" w:sz="4" w:space="0"/>
              <w:bottom w:val="single" w:color="000000" w:sz="4" w:space="0"/>
              <w:right w:val="single" w:color="auto" w:sz="4" w:space="0"/>
            </w:tcBorders>
            <w:vAlign w:val="center"/>
          </w:tcPr>
          <w:p w14:paraId="2F1281FE">
            <w:pPr>
              <w:spacing w:after="0" w:line="68" w:lineRule="atLeast"/>
              <w:rPr>
                <w:rFonts w:ascii="宋体" w:hAnsi="宋体" w:eastAsia="宋体" w:cs="宋体"/>
              </w:rPr>
            </w:pPr>
            <w:r>
              <w:rPr>
                <w:rFonts w:hint="eastAsia" w:ascii="宋体" w:hAnsi="宋体" w:eastAsia="宋体" w:cs="宋体"/>
              </w:rPr>
              <w:t>“三公经费”变动率（4分）</w:t>
            </w:r>
          </w:p>
        </w:tc>
        <w:tc>
          <w:tcPr>
            <w:tcW w:w="6911" w:type="dxa"/>
            <w:tcBorders>
              <w:top w:val="single" w:color="auto" w:sz="4" w:space="0"/>
              <w:left w:val="single" w:color="auto" w:sz="4" w:space="0"/>
              <w:bottom w:val="single" w:color="000000" w:sz="4" w:space="0"/>
              <w:right w:val="single" w:color="auto" w:sz="4" w:space="0"/>
            </w:tcBorders>
            <w:vAlign w:val="center"/>
          </w:tcPr>
          <w:p w14:paraId="5A0F268C">
            <w:pPr>
              <w:spacing w:after="0" w:line="240" w:lineRule="exact"/>
              <w:rPr>
                <w:rFonts w:ascii="宋体" w:hAnsi="宋体" w:eastAsia="宋体" w:cs="宋体"/>
              </w:rPr>
            </w:pPr>
            <w:r>
              <w:rPr>
                <w:rFonts w:hint="eastAsia" w:ascii="宋体" w:hAnsi="宋体" w:eastAsia="宋体" w:cs="宋体"/>
              </w:rPr>
              <w:t>部门本年度“三公经费”预算数与上年度“三公经费”预算数的变动比率，用以反映和考核部门对控制重点行政成本的努力程度。</w:t>
            </w:r>
          </w:p>
          <w:p w14:paraId="799F82F4">
            <w:pPr>
              <w:spacing w:after="0" w:line="240" w:lineRule="exact"/>
              <w:rPr>
                <w:rFonts w:ascii="宋体" w:hAnsi="宋体" w:eastAsia="宋体" w:cs="宋体"/>
              </w:rPr>
            </w:pPr>
            <w:r>
              <w:rPr>
                <w:rFonts w:hint="eastAsia" w:ascii="宋体" w:hAnsi="宋体" w:eastAsia="宋体" w:cs="宋体"/>
              </w:rPr>
              <w:t>“三公经费”变动率=〔（本年度“三公经费”总额-上年度“三公经费”总额）/上年度“三公经费”总额〕×100%</w:t>
            </w:r>
          </w:p>
          <w:p w14:paraId="38D34264">
            <w:pPr>
              <w:spacing w:after="0" w:line="240" w:lineRule="exact"/>
              <w:rPr>
                <w:rFonts w:ascii="宋体" w:hAnsi="宋体" w:eastAsia="宋体" w:cs="宋体"/>
              </w:rPr>
            </w:pPr>
            <w:r>
              <w:rPr>
                <w:rFonts w:hint="eastAsia" w:ascii="宋体" w:hAnsi="宋体" w:eastAsia="宋体" w:cs="宋体"/>
              </w:rPr>
              <w:t>“三公经费”：年度预算安排的因公出国（境）费、公务车辆购置及运行费和公务招待费。</w:t>
            </w:r>
          </w:p>
        </w:tc>
        <w:tc>
          <w:tcPr>
            <w:tcW w:w="3423" w:type="dxa"/>
            <w:tcBorders>
              <w:top w:val="single" w:color="auto" w:sz="4" w:space="0"/>
              <w:left w:val="single" w:color="auto" w:sz="4" w:space="0"/>
              <w:bottom w:val="single" w:color="000000" w:sz="4" w:space="0"/>
              <w:right w:val="single" w:color="auto" w:sz="4" w:space="0"/>
            </w:tcBorders>
            <w:vAlign w:val="center"/>
          </w:tcPr>
          <w:p w14:paraId="5B37D9D7">
            <w:pPr>
              <w:spacing w:after="0" w:line="240" w:lineRule="exact"/>
              <w:rPr>
                <w:rFonts w:ascii="宋体" w:hAnsi="宋体" w:eastAsia="宋体" w:cs="宋体"/>
              </w:rPr>
            </w:pPr>
            <w:r>
              <w:rPr>
                <w:rFonts w:hint="eastAsia" w:ascii="宋体" w:hAnsi="宋体" w:eastAsia="宋体" w:cs="宋体"/>
              </w:rPr>
              <w:t>目标值≤0；达到目标值得4分，未达到目标值的采用比率扣分法：扣分值=“三公经费”变动率×4×10，变动率达10%以上的扣4分。</w:t>
            </w:r>
          </w:p>
        </w:tc>
        <w:tc>
          <w:tcPr>
            <w:tcW w:w="1090" w:type="dxa"/>
            <w:tcBorders>
              <w:top w:val="single" w:color="auto" w:sz="4" w:space="0"/>
              <w:left w:val="single" w:color="auto" w:sz="4" w:space="0"/>
              <w:bottom w:val="single" w:color="000000" w:sz="4" w:space="0"/>
              <w:right w:val="single" w:color="000000" w:sz="4" w:space="0"/>
            </w:tcBorders>
            <w:vAlign w:val="center"/>
          </w:tcPr>
          <w:p w14:paraId="1536B0CC">
            <w:pPr>
              <w:spacing w:after="0" w:line="68" w:lineRule="atLeast"/>
              <w:jc w:val="center"/>
              <w:rPr>
                <w:rFonts w:ascii="宋体" w:hAnsi="宋体" w:eastAsia="宋体" w:cs="宋体"/>
              </w:rPr>
            </w:pPr>
            <w:r>
              <w:rPr>
                <w:rFonts w:hint="eastAsia" w:ascii="宋体" w:hAnsi="宋体" w:eastAsia="宋体" w:cs="宋体"/>
              </w:rPr>
              <w:t>4</w:t>
            </w:r>
          </w:p>
        </w:tc>
      </w:tr>
      <w:tr w14:paraId="235C0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7" w:hRule="atLeast"/>
          <w:jc w:val="center"/>
        </w:trPr>
        <w:tc>
          <w:tcPr>
            <w:tcW w:w="733" w:type="dxa"/>
            <w:vMerge w:val="continue"/>
            <w:tcBorders>
              <w:left w:val="single" w:color="000000" w:sz="4" w:space="0"/>
              <w:bottom w:val="single" w:color="000000" w:sz="4" w:space="0"/>
              <w:right w:val="single" w:color="000000" w:sz="4" w:space="0"/>
            </w:tcBorders>
            <w:vAlign w:val="center"/>
          </w:tcPr>
          <w:p w14:paraId="521F8926">
            <w:pPr>
              <w:spacing w:after="0"/>
              <w:rPr>
                <w:rFonts w:ascii="宋体" w:hAnsi="宋体" w:eastAsia="宋体" w:cs="宋体"/>
              </w:rPr>
            </w:pPr>
          </w:p>
        </w:tc>
        <w:tc>
          <w:tcPr>
            <w:tcW w:w="803" w:type="dxa"/>
            <w:vMerge w:val="continue"/>
            <w:tcBorders>
              <w:left w:val="single" w:color="000000" w:sz="4" w:space="0"/>
              <w:bottom w:val="single" w:color="000000" w:sz="4" w:space="0"/>
              <w:right w:val="single" w:color="000000" w:sz="4" w:space="0"/>
            </w:tcBorders>
            <w:vAlign w:val="center"/>
          </w:tcPr>
          <w:p w14:paraId="7D4A5351">
            <w:pPr>
              <w:spacing w:after="0"/>
              <w:rPr>
                <w:rFonts w:ascii="宋体" w:hAnsi="宋体" w:eastAsia="宋体" w:cs="宋体"/>
              </w:rPr>
            </w:pPr>
          </w:p>
        </w:tc>
        <w:tc>
          <w:tcPr>
            <w:tcW w:w="1182" w:type="dxa"/>
            <w:tcBorders>
              <w:top w:val="single" w:color="auto" w:sz="4" w:space="0"/>
              <w:left w:val="single" w:color="000000" w:sz="4" w:space="0"/>
              <w:bottom w:val="single" w:color="000000" w:sz="4" w:space="0"/>
              <w:right w:val="single" w:color="auto" w:sz="4" w:space="0"/>
            </w:tcBorders>
            <w:vAlign w:val="center"/>
          </w:tcPr>
          <w:p w14:paraId="10C8FF44">
            <w:pPr>
              <w:spacing w:after="0" w:line="68" w:lineRule="atLeast"/>
              <w:rPr>
                <w:rFonts w:ascii="宋体" w:hAnsi="宋体" w:eastAsia="宋体" w:cs="宋体"/>
              </w:rPr>
            </w:pPr>
            <w:r>
              <w:rPr>
                <w:rFonts w:hint="eastAsia" w:ascii="宋体" w:hAnsi="宋体" w:eastAsia="宋体" w:cs="宋体"/>
              </w:rPr>
              <w:t>重点支出安排率（3分）</w:t>
            </w:r>
          </w:p>
        </w:tc>
        <w:tc>
          <w:tcPr>
            <w:tcW w:w="6911" w:type="dxa"/>
            <w:tcBorders>
              <w:top w:val="single" w:color="auto" w:sz="4" w:space="0"/>
              <w:left w:val="single" w:color="auto" w:sz="4" w:space="0"/>
              <w:bottom w:val="single" w:color="000000" w:sz="4" w:space="0"/>
              <w:right w:val="single" w:color="auto" w:sz="4" w:space="0"/>
            </w:tcBorders>
            <w:vAlign w:val="center"/>
          </w:tcPr>
          <w:p w14:paraId="02F842FA">
            <w:pPr>
              <w:spacing w:after="0" w:line="240" w:lineRule="exact"/>
              <w:rPr>
                <w:rFonts w:ascii="宋体" w:hAnsi="宋体" w:eastAsia="宋体" w:cs="宋体"/>
              </w:rPr>
            </w:pPr>
            <w:r>
              <w:rPr>
                <w:rFonts w:hint="eastAsia" w:ascii="宋体" w:hAnsi="宋体" w:eastAsia="宋体" w:cs="宋体"/>
              </w:rPr>
              <w:t>部门（单位）本年度预算安排的重点项目支出与部门项目总支出的比率，用以反映和考核部门（单位）对履行主要职责或完成重点任务的保障程度。重点支出安排率=（重点项目支出/项目总支出）×100%。</w:t>
            </w:r>
          </w:p>
          <w:p w14:paraId="0542594A">
            <w:pPr>
              <w:spacing w:after="0" w:line="240" w:lineRule="exact"/>
              <w:rPr>
                <w:rFonts w:ascii="宋体" w:hAnsi="宋体" w:eastAsia="宋体" w:cs="宋体"/>
              </w:rPr>
            </w:pPr>
            <w:r>
              <w:rPr>
                <w:rFonts w:hint="eastAsia" w:ascii="宋体" w:hAnsi="宋体" w:eastAsia="宋体" w:cs="宋体"/>
              </w:rPr>
              <w:t>重点项目支出：部门（单位）年度预算安排的，与本部门履职和发展密切相关、具有明显社会和经济影响、党委政府关心或社会比较关注的项目支出总额。具体由被评价部门提出后经对口部门预算管理处审核确定。</w:t>
            </w:r>
          </w:p>
          <w:p w14:paraId="0C884667">
            <w:pPr>
              <w:spacing w:after="0" w:line="240" w:lineRule="exact"/>
              <w:rPr>
                <w:rFonts w:ascii="宋体" w:hAnsi="宋体" w:eastAsia="宋体" w:cs="宋体"/>
              </w:rPr>
            </w:pPr>
            <w:r>
              <w:rPr>
                <w:rFonts w:hint="eastAsia" w:ascii="宋体" w:hAnsi="宋体" w:eastAsia="宋体" w:cs="宋体"/>
              </w:rPr>
              <w:t>项目总支出：部门（单位）年度预算安排的项目支出总额。</w:t>
            </w:r>
          </w:p>
        </w:tc>
        <w:tc>
          <w:tcPr>
            <w:tcW w:w="3423" w:type="dxa"/>
            <w:tcBorders>
              <w:top w:val="single" w:color="auto" w:sz="4" w:space="0"/>
              <w:left w:val="single" w:color="auto" w:sz="4" w:space="0"/>
              <w:bottom w:val="single" w:color="000000" w:sz="4" w:space="0"/>
              <w:right w:val="single" w:color="auto" w:sz="4" w:space="0"/>
            </w:tcBorders>
            <w:vAlign w:val="center"/>
          </w:tcPr>
          <w:p w14:paraId="64A6DAC9">
            <w:pPr>
              <w:spacing w:after="0" w:line="240" w:lineRule="exact"/>
              <w:rPr>
                <w:rFonts w:ascii="宋体" w:hAnsi="宋体" w:eastAsia="宋体" w:cs="宋体"/>
              </w:rPr>
            </w:pPr>
            <w:r>
              <w:rPr>
                <w:rFonts w:hint="eastAsia" w:ascii="宋体" w:hAnsi="宋体" w:eastAsia="宋体" w:cs="宋体"/>
              </w:rPr>
              <w:t>目标值≥70%；以3分为上限，采用完成比率法计分：得分=重点支出安排率/70%×100%×3，超出目标值不加分。</w:t>
            </w:r>
          </w:p>
        </w:tc>
        <w:tc>
          <w:tcPr>
            <w:tcW w:w="1090" w:type="dxa"/>
            <w:tcBorders>
              <w:top w:val="single" w:color="auto" w:sz="4" w:space="0"/>
              <w:left w:val="single" w:color="auto" w:sz="4" w:space="0"/>
              <w:bottom w:val="single" w:color="000000" w:sz="4" w:space="0"/>
              <w:right w:val="single" w:color="000000" w:sz="4" w:space="0"/>
            </w:tcBorders>
            <w:vAlign w:val="center"/>
          </w:tcPr>
          <w:p w14:paraId="5567E650">
            <w:pPr>
              <w:spacing w:after="0" w:line="68" w:lineRule="atLeast"/>
              <w:jc w:val="center"/>
              <w:rPr>
                <w:rFonts w:ascii="宋体" w:hAnsi="宋体" w:eastAsia="宋体" w:cs="宋体"/>
              </w:rPr>
            </w:pPr>
            <w:r>
              <w:rPr>
                <w:rFonts w:hint="eastAsia" w:ascii="宋体" w:hAnsi="宋体" w:eastAsia="宋体" w:cs="宋体"/>
              </w:rPr>
              <w:t>3</w:t>
            </w:r>
          </w:p>
        </w:tc>
      </w:tr>
      <w:tr w14:paraId="7BD7D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6" w:hRule="atLeast"/>
          <w:jc w:val="center"/>
        </w:trPr>
        <w:tc>
          <w:tcPr>
            <w:tcW w:w="733" w:type="dxa"/>
            <w:vMerge w:val="restart"/>
            <w:tcBorders>
              <w:top w:val="single" w:color="000000" w:sz="4" w:space="0"/>
              <w:left w:val="single" w:color="000000" w:sz="4" w:space="0"/>
              <w:right w:val="single" w:color="000000" w:sz="4" w:space="0"/>
            </w:tcBorders>
            <w:vAlign w:val="center"/>
          </w:tcPr>
          <w:p w14:paraId="0EB0EE22">
            <w:pPr>
              <w:spacing w:after="0" w:line="68" w:lineRule="atLeast"/>
              <w:jc w:val="center"/>
              <w:rPr>
                <w:rFonts w:ascii="宋体" w:hAnsi="宋体" w:eastAsia="宋体" w:cs="宋体"/>
              </w:rPr>
            </w:pPr>
          </w:p>
          <w:p w14:paraId="5D165246">
            <w:pPr>
              <w:spacing w:after="0" w:line="68" w:lineRule="atLeast"/>
              <w:jc w:val="center"/>
              <w:rPr>
                <w:rFonts w:ascii="宋体" w:hAnsi="宋体" w:eastAsia="宋体" w:cs="宋体"/>
              </w:rPr>
            </w:pPr>
          </w:p>
          <w:p w14:paraId="35028344">
            <w:pPr>
              <w:spacing w:after="0" w:line="68" w:lineRule="atLeast"/>
              <w:jc w:val="center"/>
              <w:rPr>
                <w:rFonts w:ascii="宋体" w:hAnsi="宋体" w:eastAsia="宋体" w:cs="宋体"/>
              </w:rPr>
            </w:pPr>
          </w:p>
          <w:p w14:paraId="390C9030">
            <w:pPr>
              <w:spacing w:after="0" w:line="68" w:lineRule="atLeast"/>
              <w:jc w:val="center"/>
              <w:rPr>
                <w:rFonts w:ascii="宋体" w:hAnsi="宋体" w:eastAsia="宋体" w:cs="宋体"/>
              </w:rPr>
            </w:pPr>
          </w:p>
          <w:p w14:paraId="4512C419">
            <w:pPr>
              <w:spacing w:after="0" w:line="68" w:lineRule="atLeast"/>
              <w:jc w:val="center"/>
              <w:rPr>
                <w:rFonts w:ascii="宋体" w:hAnsi="宋体" w:eastAsia="宋体" w:cs="宋体"/>
              </w:rPr>
            </w:pPr>
          </w:p>
          <w:p w14:paraId="447A4879">
            <w:pPr>
              <w:spacing w:after="0" w:line="68" w:lineRule="atLeast"/>
              <w:jc w:val="center"/>
              <w:rPr>
                <w:rFonts w:ascii="宋体" w:hAnsi="宋体" w:eastAsia="宋体" w:cs="宋体"/>
              </w:rPr>
            </w:pPr>
          </w:p>
          <w:p w14:paraId="677BD094">
            <w:pPr>
              <w:spacing w:after="0" w:line="68" w:lineRule="atLeast"/>
              <w:jc w:val="center"/>
              <w:rPr>
                <w:rFonts w:ascii="宋体" w:hAnsi="宋体" w:eastAsia="宋体" w:cs="宋体"/>
              </w:rPr>
            </w:pPr>
          </w:p>
          <w:p w14:paraId="66AF68E2">
            <w:pPr>
              <w:spacing w:after="0" w:line="68" w:lineRule="atLeast"/>
              <w:jc w:val="center"/>
              <w:rPr>
                <w:rFonts w:ascii="宋体" w:hAnsi="宋体" w:eastAsia="宋体" w:cs="宋体"/>
              </w:rPr>
            </w:pPr>
          </w:p>
          <w:p w14:paraId="62850A19">
            <w:pPr>
              <w:spacing w:after="0" w:line="68" w:lineRule="atLeast"/>
              <w:jc w:val="center"/>
              <w:rPr>
                <w:rFonts w:ascii="宋体" w:hAnsi="宋体" w:eastAsia="宋体" w:cs="宋体"/>
              </w:rPr>
            </w:pPr>
          </w:p>
          <w:p w14:paraId="51E79D72">
            <w:pPr>
              <w:spacing w:after="0" w:line="68" w:lineRule="atLeast"/>
              <w:jc w:val="center"/>
              <w:rPr>
                <w:rFonts w:ascii="宋体" w:hAnsi="宋体" w:eastAsia="宋体" w:cs="宋体"/>
              </w:rPr>
            </w:pPr>
          </w:p>
          <w:p w14:paraId="172C446D">
            <w:pPr>
              <w:spacing w:after="0" w:line="68" w:lineRule="atLeast"/>
              <w:jc w:val="center"/>
              <w:rPr>
                <w:rFonts w:ascii="宋体" w:hAnsi="宋体" w:eastAsia="宋体" w:cs="宋体"/>
              </w:rPr>
            </w:pPr>
            <w:r>
              <w:rPr>
                <w:rFonts w:hint="eastAsia" w:ascii="宋体" w:hAnsi="宋体" w:eastAsia="宋体" w:cs="宋体"/>
              </w:rPr>
              <w:t>过程(55分)</w:t>
            </w:r>
          </w:p>
          <w:p w14:paraId="36F35C8F">
            <w:pPr>
              <w:spacing w:after="0" w:line="68" w:lineRule="atLeast"/>
              <w:jc w:val="center"/>
              <w:rPr>
                <w:rFonts w:ascii="宋体" w:hAnsi="宋体" w:eastAsia="宋体" w:cs="宋体"/>
              </w:rPr>
            </w:pPr>
          </w:p>
          <w:p w14:paraId="4128425F">
            <w:pPr>
              <w:spacing w:after="0" w:line="68" w:lineRule="atLeast"/>
              <w:jc w:val="center"/>
              <w:rPr>
                <w:rFonts w:ascii="宋体" w:hAnsi="宋体" w:eastAsia="宋体" w:cs="宋体"/>
              </w:rPr>
            </w:pPr>
          </w:p>
          <w:p w14:paraId="3AD42360">
            <w:pPr>
              <w:spacing w:after="0" w:line="68" w:lineRule="atLeast"/>
              <w:jc w:val="center"/>
              <w:rPr>
                <w:rFonts w:ascii="宋体" w:hAnsi="宋体" w:eastAsia="宋体" w:cs="宋体"/>
              </w:rPr>
            </w:pPr>
          </w:p>
          <w:p w14:paraId="693B27ED">
            <w:pPr>
              <w:spacing w:after="0" w:line="68" w:lineRule="atLeast"/>
              <w:jc w:val="center"/>
              <w:rPr>
                <w:rFonts w:ascii="宋体" w:hAnsi="宋体" w:eastAsia="宋体" w:cs="宋体"/>
              </w:rPr>
            </w:pPr>
          </w:p>
          <w:p w14:paraId="4EBD56EA">
            <w:pPr>
              <w:spacing w:after="0" w:line="68" w:lineRule="atLeast"/>
              <w:jc w:val="center"/>
              <w:rPr>
                <w:rFonts w:ascii="宋体" w:hAnsi="宋体" w:eastAsia="宋体" w:cs="宋体"/>
              </w:rPr>
            </w:pPr>
          </w:p>
          <w:p w14:paraId="1E89B1C5">
            <w:pPr>
              <w:spacing w:after="0" w:line="68" w:lineRule="atLeast"/>
              <w:jc w:val="center"/>
              <w:rPr>
                <w:rFonts w:ascii="宋体" w:hAnsi="宋体" w:eastAsia="宋体" w:cs="宋体"/>
              </w:rPr>
            </w:pPr>
          </w:p>
          <w:p w14:paraId="6EFF0196">
            <w:pPr>
              <w:spacing w:after="0" w:line="68" w:lineRule="atLeast"/>
              <w:jc w:val="center"/>
              <w:rPr>
                <w:rFonts w:ascii="宋体" w:hAnsi="宋体" w:eastAsia="宋体" w:cs="宋体"/>
              </w:rPr>
            </w:pPr>
          </w:p>
          <w:p w14:paraId="053B6F8B">
            <w:pPr>
              <w:spacing w:after="0" w:line="68" w:lineRule="atLeast"/>
              <w:jc w:val="center"/>
              <w:rPr>
                <w:rFonts w:ascii="宋体" w:hAnsi="宋体" w:eastAsia="宋体" w:cs="宋体"/>
              </w:rPr>
            </w:pPr>
          </w:p>
          <w:p w14:paraId="5A84349C">
            <w:pPr>
              <w:spacing w:after="0" w:line="68" w:lineRule="atLeast"/>
              <w:jc w:val="center"/>
              <w:rPr>
                <w:rFonts w:ascii="宋体" w:hAnsi="宋体" w:eastAsia="宋体" w:cs="宋体"/>
              </w:rPr>
            </w:pPr>
          </w:p>
          <w:p w14:paraId="372EEF01">
            <w:pPr>
              <w:spacing w:after="0" w:line="68" w:lineRule="atLeast"/>
              <w:jc w:val="center"/>
              <w:rPr>
                <w:rFonts w:ascii="宋体" w:hAnsi="宋体" w:eastAsia="宋体" w:cs="宋体"/>
              </w:rPr>
            </w:pPr>
          </w:p>
          <w:p w14:paraId="607613D0">
            <w:pPr>
              <w:spacing w:after="0" w:line="68" w:lineRule="atLeast"/>
              <w:jc w:val="center"/>
              <w:rPr>
                <w:rFonts w:ascii="宋体" w:hAnsi="宋体" w:eastAsia="宋体" w:cs="宋体"/>
              </w:rPr>
            </w:pPr>
          </w:p>
          <w:p w14:paraId="00071AF7">
            <w:pPr>
              <w:spacing w:after="0" w:line="68" w:lineRule="atLeast"/>
              <w:jc w:val="center"/>
              <w:rPr>
                <w:rFonts w:ascii="宋体" w:hAnsi="宋体" w:eastAsia="宋体" w:cs="宋体"/>
              </w:rPr>
            </w:pPr>
          </w:p>
          <w:p w14:paraId="48A0A6E1">
            <w:pPr>
              <w:spacing w:after="0" w:line="68" w:lineRule="atLeast"/>
              <w:jc w:val="center"/>
              <w:rPr>
                <w:rFonts w:ascii="宋体" w:hAnsi="宋体" w:eastAsia="宋体" w:cs="宋体"/>
              </w:rPr>
            </w:pPr>
          </w:p>
          <w:p w14:paraId="1588A60B">
            <w:pPr>
              <w:spacing w:after="0" w:line="68" w:lineRule="atLeast"/>
              <w:jc w:val="center"/>
              <w:rPr>
                <w:rFonts w:ascii="宋体" w:hAnsi="宋体" w:eastAsia="宋体" w:cs="宋体"/>
              </w:rPr>
            </w:pPr>
          </w:p>
          <w:p w14:paraId="57191E68">
            <w:pPr>
              <w:spacing w:after="0" w:line="68" w:lineRule="atLeast"/>
              <w:jc w:val="center"/>
              <w:rPr>
                <w:rFonts w:ascii="宋体" w:hAnsi="宋体" w:eastAsia="宋体" w:cs="宋体"/>
              </w:rPr>
            </w:pPr>
          </w:p>
          <w:p w14:paraId="691FA4C5">
            <w:pPr>
              <w:spacing w:after="0" w:line="68" w:lineRule="atLeast"/>
              <w:jc w:val="center"/>
              <w:rPr>
                <w:rFonts w:ascii="宋体" w:hAnsi="宋体" w:eastAsia="宋体" w:cs="宋体"/>
              </w:rPr>
            </w:pPr>
          </w:p>
          <w:p w14:paraId="51704063">
            <w:pPr>
              <w:spacing w:after="0" w:line="68" w:lineRule="atLeast"/>
              <w:jc w:val="center"/>
              <w:rPr>
                <w:rFonts w:ascii="宋体" w:hAnsi="宋体" w:eastAsia="宋体" w:cs="宋体"/>
              </w:rPr>
            </w:pPr>
          </w:p>
          <w:p w14:paraId="515F820C">
            <w:pPr>
              <w:spacing w:after="0" w:line="68" w:lineRule="atLeast"/>
              <w:jc w:val="center"/>
              <w:rPr>
                <w:rFonts w:ascii="宋体" w:hAnsi="宋体" w:eastAsia="宋体" w:cs="宋体"/>
              </w:rPr>
            </w:pPr>
          </w:p>
          <w:p w14:paraId="2DF43620">
            <w:pPr>
              <w:spacing w:after="0" w:line="68" w:lineRule="atLeast"/>
              <w:jc w:val="center"/>
              <w:rPr>
                <w:rFonts w:ascii="宋体" w:hAnsi="宋体" w:eastAsia="宋体" w:cs="宋体"/>
              </w:rPr>
            </w:pPr>
          </w:p>
          <w:p w14:paraId="401D2204">
            <w:pPr>
              <w:spacing w:after="0" w:line="68" w:lineRule="atLeast"/>
              <w:jc w:val="center"/>
              <w:rPr>
                <w:rFonts w:ascii="宋体" w:hAnsi="宋体" w:eastAsia="宋体" w:cs="宋体"/>
              </w:rPr>
            </w:pPr>
            <w:r>
              <w:rPr>
                <w:rFonts w:hint="eastAsia" w:ascii="宋体" w:hAnsi="宋体" w:eastAsia="宋体" w:cs="宋体"/>
              </w:rPr>
              <w:t>过程(55分)</w:t>
            </w:r>
          </w:p>
          <w:p w14:paraId="317A701E">
            <w:pPr>
              <w:spacing w:after="0" w:line="68" w:lineRule="atLeast"/>
              <w:jc w:val="center"/>
              <w:rPr>
                <w:rFonts w:ascii="宋体" w:hAnsi="宋体" w:eastAsia="宋体" w:cs="宋体"/>
              </w:rPr>
            </w:pPr>
          </w:p>
          <w:p w14:paraId="53B89A6D">
            <w:pPr>
              <w:spacing w:after="0" w:line="68" w:lineRule="atLeast"/>
              <w:jc w:val="center"/>
              <w:rPr>
                <w:rFonts w:ascii="宋体" w:hAnsi="宋体" w:eastAsia="宋体" w:cs="宋体"/>
              </w:rPr>
            </w:pPr>
          </w:p>
          <w:p w14:paraId="1E6A42D3">
            <w:pPr>
              <w:spacing w:after="0" w:line="68" w:lineRule="atLeast"/>
              <w:jc w:val="center"/>
              <w:rPr>
                <w:rFonts w:ascii="宋体" w:hAnsi="宋体" w:eastAsia="宋体" w:cs="宋体"/>
              </w:rPr>
            </w:pPr>
          </w:p>
          <w:p w14:paraId="02EA6E13">
            <w:pPr>
              <w:spacing w:after="0" w:line="68" w:lineRule="atLeast"/>
              <w:jc w:val="center"/>
              <w:rPr>
                <w:rFonts w:ascii="宋体" w:hAnsi="宋体" w:eastAsia="宋体" w:cs="宋体"/>
              </w:rPr>
            </w:pPr>
          </w:p>
          <w:p w14:paraId="00694E2F">
            <w:pPr>
              <w:spacing w:after="0" w:line="68" w:lineRule="atLeast"/>
              <w:jc w:val="center"/>
              <w:rPr>
                <w:rFonts w:ascii="宋体" w:hAnsi="宋体" w:eastAsia="宋体" w:cs="宋体"/>
              </w:rPr>
            </w:pPr>
          </w:p>
          <w:p w14:paraId="7E26F456">
            <w:pPr>
              <w:spacing w:after="0" w:line="68" w:lineRule="atLeast"/>
              <w:jc w:val="center"/>
              <w:rPr>
                <w:rFonts w:ascii="宋体" w:hAnsi="宋体" w:eastAsia="宋体" w:cs="宋体"/>
              </w:rPr>
            </w:pPr>
          </w:p>
          <w:p w14:paraId="428CD2A7">
            <w:pPr>
              <w:spacing w:after="0" w:line="68" w:lineRule="atLeast"/>
              <w:jc w:val="center"/>
              <w:rPr>
                <w:rFonts w:ascii="宋体" w:hAnsi="宋体" w:eastAsia="宋体" w:cs="宋体"/>
              </w:rPr>
            </w:pPr>
          </w:p>
          <w:p w14:paraId="417EFE8B">
            <w:pPr>
              <w:spacing w:after="0" w:line="68" w:lineRule="atLeast"/>
              <w:jc w:val="center"/>
              <w:rPr>
                <w:rFonts w:ascii="宋体" w:hAnsi="宋体" w:eastAsia="宋体" w:cs="宋体"/>
              </w:rPr>
            </w:pPr>
          </w:p>
          <w:p w14:paraId="684A4D53">
            <w:pPr>
              <w:spacing w:after="0" w:line="68" w:lineRule="atLeast"/>
              <w:jc w:val="center"/>
              <w:rPr>
                <w:rFonts w:ascii="宋体" w:hAnsi="宋体" w:eastAsia="宋体" w:cs="宋体"/>
              </w:rPr>
            </w:pPr>
          </w:p>
          <w:p w14:paraId="203403C9">
            <w:pPr>
              <w:spacing w:after="0" w:line="68" w:lineRule="atLeast"/>
              <w:jc w:val="center"/>
              <w:rPr>
                <w:rFonts w:ascii="宋体" w:hAnsi="宋体" w:eastAsia="宋体" w:cs="宋体"/>
              </w:rPr>
            </w:pPr>
          </w:p>
          <w:p w14:paraId="4A84B47C">
            <w:pPr>
              <w:spacing w:after="0" w:line="68" w:lineRule="atLeast"/>
              <w:jc w:val="center"/>
              <w:rPr>
                <w:rFonts w:ascii="宋体" w:hAnsi="宋体" w:eastAsia="宋体" w:cs="宋体"/>
              </w:rPr>
            </w:pPr>
          </w:p>
          <w:p w14:paraId="79E1E0CC">
            <w:pPr>
              <w:spacing w:after="0" w:line="68" w:lineRule="atLeast"/>
              <w:jc w:val="center"/>
              <w:rPr>
                <w:rFonts w:ascii="宋体" w:hAnsi="宋体" w:eastAsia="宋体" w:cs="宋体"/>
              </w:rPr>
            </w:pPr>
          </w:p>
          <w:p w14:paraId="37EA54AC">
            <w:pPr>
              <w:spacing w:after="0" w:line="68" w:lineRule="atLeast"/>
              <w:jc w:val="center"/>
              <w:rPr>
                <w:rFonts w:ascii="宋体" w:hAnsi="宋体" w:eastAsia="宋体" w:cs="宋体"/>
              </w:rPr>
            </w:pPr>
          </w:p>
          <w:p w14:paraId="2026B2AB">
            <w:pPr>
              <w:spacing w:after="0" w:line="68" w:lineRule="atLeast"/>
              <w:jc w:val="center"/>
              <w:rPr>
                <w:rFonts w:ascii="宋体" w:hAnsi="宋体" w:eastAsia="宋体" w:cs="宋体"/>
              </w:rPr>
            </w:pPr>
          </w:p>
          <w:p w14:paraId="744499A6">
            <w:pPr>
              <w:spacing w:after="0" w:line="68" w:lineRule="atLeast"/>
              <w:jc w:val="center"/>
              <w:rPr>
                <w:rFonts w:ascii="宋体" w:hAnsi="宋体" w:eastAsia="宋体" w:cs="宋体"/>
              </w:rPr>
            </w:pPr>
          </w:p>
          <w:p w14:paraId="575685D6">
            <w:pPr>
              <w:spacing w:after="0" w:line="68" w:lineRule="atLeast"/>
              <w:jc w:val="center"/>
              <w:rPr>
                <w:rFonts w:ascii="宋体" w:hAnsi="宋体" w:eastAsia="宋体" w:cs="宋体"/>
              </w:rPr>
            </w:pPr>
          </w:p>
          <w:p w14:paraId="505A5E74">
            <w:pPr>
              <w:spacing w:after="0" w:line="68" w:lineRule="atLeast"/>
              <w:jc w:val="center"/>
              <w:rPr>
                <w:rFonts w:ascii="宋体" w:hAnsi="宋体" w:eastAsia="宋体" w:cs="宋体"/>
              </w:rPr>
            </w:pPr>
          </w:p>
          <w:p w14:paraId="5E6A171E">
            <w:pPr>
              <w:spacing w:after="0" w:line="68" w:lineRule="atLeast"/>
              <w:jc w:val="center"/>
              <w:rPr>
                <w:rFonts w:ascii="宋体" w:hAnsi="宋体" w:eastAsia="宋体" w:cs="宋体"/>
              </w:rPr>
            </w:pPr>
          </w:p>
          <w:p w14:paraId="3FAF877C">
            <w:pPr>
              <w:spacing w:after="0" w:line="68" w:lineRule="atLeast"/>
              <w:jc w:val="center"/>
              <w:rPr>
                <w:rFonts w:ascii="宋体" w:hAnsi="宋体" w:eastAsia="宋体" w:cs="宋体"/>
              </w:rPr>
            </w:pPr>
          </w:p>
          <w:p w14:paraId="501F4B1C">
            <w:pPr>
              <w:spacing w:after="0" w:line="68" w:lineRule="atLeast"/>
              <w:jc w:val="center"/>
              <w:rPr>
                <w:rFonts w:ascii="宋体" w:hAnsi="宋体" w:eastAsia="宋体" w:cs="宋体"/>
              </w:rPr>
            </w:pPr>
          </w:p>
          <w:p w14:paraId="6B728775">
            <w:pPr>
              <w:spacing w:after="0" w:line="68" w:lineRule="atLeast"/>
              <w:jc w:val="center"/>
              <w:rPr>
                <w:rFonts w:ascii="宋体" w:hAnsi="宋体" w:eastAsia="宋体" w:cs="宋体"/>
              </w:rPr>
            </w:pPr>
          </w:p>
          <w:p w14:paraId="125800EF">
            <w:pPr>
              <w:spacing w:after="0" w:line="68" w:lineRule="atLeast"/>
              <w:jc w:val="center"/>
              <w:rPr>
                <w:rFonts w:ascii="宋体" w:hAnsi="宋体" w:eastAsia="宋体" w:cs="宋体"/>
              </w:rPr>
            </w:pPr>
          </w:p>
          <w:p w14:paraId="2F1E87F1">
            <w:pPr>
              <w:spacing w:after="0" w:line="68" w:lineRule="atLeast"/>
              <w:jc w:val="center"/>
              <w:rPr>
                <w:rFonts w:ascii="宋体" w:hAnsi="宋体" w:eastAsia="宋体" w:cs="宋体"/>
              </w:rPr>
            </w:pPr>
          </w:p>
          <w:p w14:paraId="06BA77D5">
            <w:pPr>
              <w:spacing w:after="0" w:line="68" w:lineRule="atLeast"/>
              <w:jc w:val="center"/>
              <w:rPr>
                <w:rFonts w:ascii="宋体" w:hAnsi="宋体" w:eastAsia="宋体" w:cs="宋体"/>
              </w:rPr>
            </w:pPr>
          </w:p>
          <w:p w14:paraId="5CE7F209">
            <w:pPr>
              <w:spacing w:after="0" w:line="68" w:lineRule="atLeast"/>
              <w:jc w:val="center"/>
              <w:rPr>
                <w:rFonts w:ascii="宋体" w:hAnsi="宋体" w:eastAsia="宋体" w:cs="宋体"/>
              </w:rPr>
            </w:pPr>
          </w:p>
          <w:p w14:paraId="2D3F7246">
            <w:pPr>
              <w:spacing w:after="0" w:line="68" w:lineRule="atLeast"/>
              <w:jc w:val="center"/>
              <w:rPr>
                <w:rFonts w:ascii="宋体" w:hAnsi="宋体" w:eastAsia="宋体" w:cs="宋体"/>
              </w:rPr>
            </w:pPr>
            <w:r>
              <w:rPr>
                <w:rFonts w:hint="eastAsia" w:ascii="宋体" w:hAnsi="宋体" w:eastAsia="宋体" w:cs="宋体"/>
              </w:rPr>
              <w:t>过程(55分)</w:t>
            </w:r>
          </w:p>
          <w:p w14:paraId="7B633608">
            <w:pPr>
              <w:spacing w:after="0" w:line="68" w:lineRule="atLeast"/>
              <w:jc w:val="center"/>
              <w:rPr>
                <w:rFonts w:ascii="宋体" w:hAnsi="宋体" w:eastAsia="宋体" w:cs="宋体"/>
              </w:rPr>
            </w:pPr>
          </w:p>
          <w:p w14:paraId="59808EBB">
            <w:pPr>
              <w:spacing w:after="0" w:line="68" w:lineRule="atLeast"/>
              <w:jc w:val="center"/>
              <w:rPr>
                <w:rFonts w:ascii="宋体" w:hAnsi="宋体" w:eastAsia="宋体" w:cs="宋体"/>
              </w:rPr>
            </w:pPr>
          </w:p>
          <w:p w14:paraId="36865978">
            <w:pPr>
              <w:spacing w:after="0" w:line="68" w:lineRule="atLeast"/>
              <w:jc w:val="center"/>
              <w:rPr>
                <w:rFonts w:ascii="宋体" w:hAnsi="宋体" w:eastAsia="宋体" w:cs="宋体"/>
              </w:rPr>
            </w:pPr>
          </w:p>
          <w:p w14:paraId="3D08BA56">
            <w:pPr>
              <w:spacing w:after="0" w:line="68" w:lineRule="atLeast"/>
              <w:jc w:val="center"/>
              <w:rPr>
                <w:rFonts w:ascii="宋体" w:hAnsi="宋体" w:eastAsia="宋体" w:cs="宋体"/>
              </w:rPr>
            </w:pPr>
          </w:p>
          <w:p w14:paraId="25BCC657">
            <w:pPr>
              <w:spacing w:after="0" w:line="68" w:lineRule="atLeast"/>
              <w:jc w:val="center"/>
              <w:rPr>
                <w:rFonts w:ascii="宋体" w:hAnsi="宋体" w:eastAsia="宋体" w:cs="宋体"/>
              </w:rPr>
            </w:pPr>
          </w:p>
          <w:p w14:paraId="2A8CA5A9">
            <w:pPr>
              <w:spacing w:after="0" w:line="68" w:lineRule="atLeast"/>
              <w:jc w:val="center"/>
              <w:rPr>
                <w:rFonts w:ascii="宋体" w:hAnsi="宋体" w:eastAsia="宋体" w:cs="宋体"/>
              </w:rPr>
            </w:pPr>
          </w:p>
          <w:p w14:paraId="6C104862">
            <w:pPr>
              <w:spacing w:after="0" w:line="68" w:lineRule="atLeast"/>
              <w:jc w:val="center"/>
              <w:rPr>
                <w:rFonts w:ascii="宋体" w:hAnsi="宋体" w:eastAsia="宋体" w:cs="宋体"/>
              </w:rPr>
            </w:pPr>
          </w:p>
          <w:p w14:paraId="0263FA72">
            <w:pPr>
              <w:spacing w:after="0" w:line="68" w:lineRule="atLeast"/>
              <w:jc w:val="center"/>
              <w:rPr>
                <w:rFonts w:ascii="宋体" w:hAnsi="宋体" w:eastAsia="宋体" w:cs="宋体"/>
              </w:rPr>
            </w:pPr>
          </w:p>
          <w:p w14:paraId="714C0794">
            <w:pPr>
              <w:spacing w:after="0" w:line="68" w:lineRule="atLeast"/>
              <w:rPr>
                <w:rFonts w:ascii="宋体" w:hAnsi="宋体" w:eastAsia="宋体" w:cs="宋体"/>
              </w:rPr>
            </w:pPr>
          </w:p>
          <w:p w14:paraId="52818136">
            <w:pPr>
              <w:spacing w:after="0" w:line="68" w:lineRule="atLeast"/>
              <w:rPr>
                <w:rFonts w:ascii="宋体" w:hAnsi="宋体" w:eastAsia="宋体" w:cs="宋体"/>
              </w:rPr>
            </w:pPr>
          </w:p>
          <w:p w14:paraId="799FE10D">
            <w:pPr>
              <w:spacing w:after="0" w:line="68" w:lineRule="atLeast"/>
              <w:rPr>
                <w:rFonts w:ascii="宋体" w:hAnsi="宋体" w:eastAsia="宋体" w:cs="宋体"/>
              </w:rPr>
            </w:pPr>
          </w:p>
          <w:p w14:paraId="755BD1A2">
            <w:pPr>
              <w:spacing w:after="0" w:line="68" w:lineRule="atLeast"/>
              <w:rPr>
                <w:rFonts w:ascii="宋体" w:hAnsi="宋体" w:eastAsia="宋体" w:cs="宋体"/>
              </w:rPr>
            </w:pPr>
          </w:p>
          <w:p w14:paraId="3E156300">
            <w:pPr>
              <w:spacing w:after="0" w:line="68" w:lineRule="atLeast"/>
              <w:rPr>
                <w:rFonts w:ascii="宋体" w:hAnsi="宋体" w:eastAsia="宋体" w:cs="宋体"/>
              </w:rPr>
            </w:pPr>
          </w:p>
          <w:p w14:paraId="0AC04E6D">
            <w:pPr>
              <w:spacing w:after="0" w:line="68" w:lineRule="atLeast"/>
              <w:jc w:val="center"/>
              <w:rPr>
                <w:rFonts w:ascii="宋体" w:hAnsi="宋体" w:eastAsia="宋体" w:cs="宋体"/>
              </w:rPr>
            </w:pPr>
            <w:r>
              <w:rPr>
                <w:rFonts w:hint="eastAsia" w:ascii="宋体" w:hAnsi="宋体" w:eastAsia="宋体" w:cs="宋体"/>
              </w:rPr>
              <w:t>过程(55分)</w:t>
            </w:r>
          </w:p>
          <w:p w14:paraId="40068FFE">
            <w:pPr>
              <w:spacing w:after="0" w:line="68" w:lineRule="atLeast"/>
              <w:rPr>
                <w:rFonts w:ascii="宋体" w:hAnsi="宋体" w:eastAsia="宋体" w:cs="宋体"/>
              </w:rPr>
            </w:pPr>
          </w:p>
        </w:tc>
        <w:tc>
          <w:tcPr>
            <w:tcW w:w="803" w:type="dxa"/>
            <w:vMerge w:val="restart"/>
            <w:tcBorders>
              <w:top w:val="single" w:color="000000" w:sz="4" w:space="0"/>
              <w:left w:val="single" w:color="000000" w:sz="4" w:space="0"/>
              <w:bottom w:val="single" w:color="000000" w:sz="4" w:space="0"/>
              <w:right w:val="single" w:color="000000" w:sz="4" w:space="0"/>
            </w:tcBorders>
            <w:vAlign w:val="center"/>
          </w:tcPr>
          <w:p w14:paraId="6074DB9C">
            <w:pPr>
              <w:spacing w:after="0" w:line="68" w:lineRule="atLeast"/>
              <w:rPr>
                <w:rFonts w:ascii="宋体" w:hAnsi="宋体" w:eastAsia="宋体" w:cs="宋体"/>
              </w:rPr>
            </w:pPr>
            <w:r>
              <w:rPr>
                <w:rFonts w:hint="eastAsia" w:ascii="宋体" w:hAnsi="宋体" w:eastAsia="宋体" w:cs="宋体"/>
              </w:rPr>
              <w:t>预算执行(27分)</w:t>
            </w:r>
          </w:p>
        </w:tc>
        <w:tc>
          <w:tcPr>
            <w:tcW w:w="1182" w:type="dxa"/>
            <w:tcBorders>
              <w:top w:val="single" w:color="000000" w:sz="4" w:space="0"/>
              <w:left w:val="single" w:color="000000" w:sz="4" w:space="0"/>
              <w:bottom w:val="single" w:color="000000" w:sz="4" w:space="0"/>
              <w:right w:val="single" w:color="auto" w:sz="4" w:space="0"/>
            </w:tcBorders>
            <w:vAlign w:val="center"/>
          </w:tcPr>
          <w:p w14:paraId="624FEE9A">
            <w:pPr>
              <w:spacing w:after="0" w:line="68" w:lineRule="atLeast"/>
              <w:rPr>
                <w:rFonts w:ascii="宋体" w:hAnsi="宋体" w:eastAsia="宋体" w:cs="宋体"/>
              </w:rPr>
            </w:pPr>
            <w:r>
              <w:rPr>
                <w:rFonts w:hint="eastAsia" w:ascii="宋体" w:hAnsi="宋体" w:eastAsia="宋体" w:cs="宋体"/>
              </w:rPr>
              <w:t>预算完成率（3分）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0C58C01D">
            <w:pPr>
              <w:spacing w:after="0" w:line="240" w:lineRule="exact"/>
              <w:rPr>
                <w:rFonts w:ascii="宋体" w:hAnsi="宋体" w:eastAsia="宋体" w:cs="宋体"/>
              </w:rPr>
            </w:pPr>
            <w:r>
              <w:rPr>
                <w:rFonts w:hint="eastAsia" w:ascii="宋体" w:hAnsi="宋体" w:eastAsia="宋体" w:cs="宋体"/>
              </w:rPr>
              <w:t>通过对部门本年度预算完成数与预算数的比较，反映和评价部门预算的完成程度。</w:t>
            </w:r>
          </w:p>
          <w:p w14:paraId="1B5AB0D9">
            <w:pPr>
              <w:spacing w:after="0" w:line="68" w:lineRule="atLeast"/>
              <w:rPr>
                <w:rFonts w:ascii="宋体" w:hAnsi="宋体" w:eastAsia="宋体" w:cs="宋体"/>
              </w:rPr>
            </w:pPr>
            <w:r>
              <w:rPr>
                <w:rFonts w:hint="eastAsia" w:ascii="宋体" w:hAnsi="宋体" w:eastAsia="宋体" w:cs="宋体"/>
              </w:rPr>
              <w:t>预算完成率=（预算完成数/预算数）×100%。</w:t>
            </w:r>
          </w:p>
        </w:tc>
        <w:tc>
          <w:tcPr>
            <w:tcW w:w="3423" w:type="dxa"/>
            <w:tcBorders>
              <w:top w:val="single" w:color="000000" w:sz="4" w:space="0"/>
              <w:left w:val="single" w:color="auto" w:sz="4" w:space="0"/>
              <w:bottom w:val="single" w:color="000000" w:sz="4" w:space="0"/>
              <w:right w:val="single" w:color="auto" w:sz="4" w:space="0"/>
            </w:tcBorders>
            <w:vAlign w:val="center"/>
          </w:tcPr>
          <w:p w14:paraId="17B51BC3">
            <w:pPr>
              <w:spacing w:after="0" w:line="68" w:lineRule="atLeast"/>
              <w:rPr>
                <w:rFonts w:ascii="宋体" w:hAnsi="宋体" w:eastAsia="宋体" w:cs="宋体"/>
              </w:rPr>
            </w:pPr>
            <w:r>
              <w:rPr>
                <w:rFonts w:hint="eastAsia" w:ascii="宋体" w:hAnsi="宋体" w:eastAsia="宋体" w:cs="宋体"/>
              </w:rPr>
              <w:t>目标值≥100%；</w:t>
            </w:r>
          </w:p>
          <w:p w14:paraId="6EFD4CF5">
            <w:pPr>
              <w:spacing w:after="0" w:line="68" w:lineRule="atLeast"/>
              <w:rPr>
                <w:rFonts w:ascii="宋体" w:hAnsi="宋体" w:eastAsia="宋体" w:cs="宋体"/>
              </w:rPr>
            </w:pPr>
            <w:r>
              <w:rPr>
                <w:rFonts w:hint="eastAsia" w:ascii="宋体" w:hAnsi="宋体" w:eastAsia="宋体" w:cs="宋体"/>
              </w:rPr>
              <w:t>达到目标值的得3分；</w:t>
            </w:r>
          </w:p>
          <w:p w14:paraId="4D342811">
            <w:pPr>
              <w:spacing w:after="0" w:line="68" w:lineRule="atLeast"/>
              <w:rPr>
                <w:rFonts w:ascii="宋体" w:hAnsi="宋体" w:eastAsia="宋体" w:cs="宋体"/>
              </w:rPr>
            </w:pPr>
            <w:r>
              <w:rPr>
                <w:rFonts w:hint="eastAsia" w:ascii="宋体" w:hAnsi="宋体" w:eastAsia="宋体" w:cs="宋体"/>
              </w:rPr>
              <w:t>100%＞结果≥90%，得3分；</w:t>
            </w:r>
          </w:p>
          <w:p w14:paraId="48010E8E">
            <w:pPr>
              <w:spacing w:after="0" w:line="68" w:lineRule="atLeast"/>
              <w:rPr>
                <w:rFonts w:ascii="宋体" w:hAnsi="宋体" w:eastAsia="宋体" w:cs="宋体"/>
              </w:rPr>
            </w:pPr>
            <w:r>
              <w:rPr>
                <w:rFonts w:hint="eastAsia" w:ascii="宋体" w:hAnsi="宋体" w:eastAsia="宋体" w:cs="宋体"/>
              </w:rPr>
              <w:t>90%＞结果≥80%，得1分；</w:t>
            </w:r>
          </w:p>
          <w:p w14:paraId="2C869314">
            <w:pPr>
              <w:spacing w:after="0" w:line="68" w:lineRule="atLeast"/>
              <w:rPr>
                <w:rFonts w:ascii="宋体" w:hAnsi="宋体" w:eastAsia="宋体" w:cs="宋体"/>
              </w:rPr>
            </w:pPr>
            <w:r>
              <w:rPr>
                <w:rFonts w:hint="eastAsia" w:ascii="宋体" w:hAnsi="宋体" w:eastAsia="宋体" w:cs="宋体"/>
              </w:rPr>
              <w:t>结果＜80%得0分。</w:t>
            </w:r>
          </w:p>
        </w:tc>
        <w:tc>
          <w:tcPr>
            <w:tcW w:w="1090" w:type="dxa"/>
            <w:tcBorders>
              <w:top w:val="single" w:color="000000" w:sz="4" w:space="0"/>
              <w:left w:val="single" w:color="auto" w:sz="4" w:space="0"/>
              <w:bottom w:val="single" w:color="000000" w:sz="4" w:space="0"/>
              <w:right w:val="single" w:color="000000" w:sz="4" w:space="0"/>
            </w:tcBorders>
            <w:vAlign w:val="center"/>
          </w:tcPr>
          <w:p w14:paraId="21292686">
            <w:pPr>
              <w:spacing w:after="0" w:line="68" w:lineRule="atLeast"/>
              <w:jc w:val="center"/>
              <w:rPr>
                <w:rFonts w:ascii="宋体" w:hAnsi="宋体" w:eastAsia="宋体" w:cs="宋体"/>
              </w:rPr>
            </w:pPr>
            <w:r>
              <w:rPr>
                <w:rFonts w:hint="eastAsia" w:ascii="宋体" w:hAnsi="宋体" w:eastAsia="宋体" w:cs="宋体"/>
              </w:rPr>
              <w:t>3</w:t>
            </w:r>
          </w:p>
        </w:tc>
      </w:tr>
      <w:tr w14:paraId="6A2F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5" w:hRule="atLeast"/>
          <w:jc w:val="center"/>
        </w:trPr>
        <w:tc>
          <w:tcPr>
            <w:tcW w:w="733" w:type="dxa"/>
            <w:vMerge w:val="continue"/>
            <w:tcBorders>
              <w:left w:val="single" w:color="000000" w:sz="4" w:space="0"/>
              <w:right w:val="single" w:color="000000" w:sz="4" w:space="0"/>
            </w:tcBorders>
            <w:vAlign w:val="center"/>
          </w:tcPr>
          <w:p w14:paraId="5A52470A">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4E145C68">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3321603B">
            <w:pPr>
              <w:spacing w:after="0" w:line="68" w:lineRule="atLeast"/>
              <w:rPr>
                <w:rFonts w:ascii="宋体" w:hAnsi="宋体" w:eastAsia="宋体" w:cs="宋体"/>
              </w:rPr>
            </w:pPr>
            <w:r>
              <w:rPr>
                <w:rFonts w:hint="eastAsia" w:ascii="宋体" w:hAnsi="宋体" w:eastAsia="宋体" w:cs="宋体"/>
              </w:rPr>
              <w:t>预算调整率（3分）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1D505A1E">
            <w:pPr>
              <w:spacing w:after="0" w:line="240" w:lineRule="exact"/>
              <w:rPr>
                <w:rFonts w:ascii="宋体" w:hAnsi="宋体" w:eastAsia="宋体" w:cs="宋体"/>
              </w:rPr>
            </w:pPr>
            <w:r>
              <w:rPr>
                <w:rFonts w:hint="eastAsia" w:ascii="宋体" w:hAnsi="宋体" w:eastAsia="宋体" w:cs="宋体"/>
              </w:rPr>
              <w:t>部门本年度预算调整数与预算数的比率，用以反映和评价部门预算的调整程度。</w:t>
            </w:r>
          </w:p>
          <w:p w14:paraId="10624F9D">
            <w:pPr>
              <w:spacing w:after="0" w:line="68" w:lineRule="atLeast"/>
              <w:rPr>
                <w:rFonts w:ascii="宋体" w:hAnsi="宋体" w:eastAsia="宋体" w:cs="宋体"/>
              </w:rPr>
            </w:pPr>
            <w:r>
              <w:rPr>
                <w:rFonts w:hint="eastAsia" w:ascii="宋体" w:hAnsi="宋体" w:eastAsia="宋体" w:cs="宋体"/>
              </w:rPr>
              <w:t>预算调整率=（预算调整数/预算数）×100%。</w:t>
            </w:r>
          </w:p>
        </w:tc>
        <w:tc>
          <w:tcPr>
            <w:tcW w:w="3423" w:type="dxa"/>
            <w:tcBorders>
              <w:top w:val="single" w:color="000000" w:sz="4" w:space="0"/>
              <w:left w:val="single" w:color="auto" w:sz="4" w:space="0"/>
              <w:bottom w:val="single" w:color="000000" w:sz="4" w:space="0"/>
              <w:right w:val="single" w:color="auto" w:sz="4" w:space="0"/>
            </w:tcBorders>
            <w:vAlign w:val="center"/>
          </w:tcPr>
          <w:p w14:paraId="444A06A3">
            <w:pPr>
              <w:spacing w:after="0" w:line="68" w:lineRule="atLeast"/>
              <w:rPr>
                <w:rFonts w:ascii="宋体" w:hAnsi="宋体" w:eastAsia="宋体" w:cs="宋体"/>
              </w:rPr>
            </w:pPr>
            <w:r>
              <w:rPr>
                <w:rFonts w:hint="eastAsia" w:ascii="宋体" w:hAnsi="宋体" w:eastAsia="宋体" w:cs="宋体"/>
              </w:rPr>
              <w:t>目标值为10%；达到目标值得3分，未达到目标值的每增加0.1个百分点扣0.1分，扣完为止。</w:t>
            </w:r>
          </w:p>
        </w:tc>
        <w:tc>
          <w:tcPr>
            <w:tcW w:w="1090" w:type="dxa"/>
            <w:tcBorders>
              <w:top w:val="single" w:color="000000" w:sz="4" w:space="0"/>
              <w:left w:val="single" w:color="auto" w:sz="4" w:space="0"/>
              <w:bottom w:val="single" w:color="000000" w:sz="4" w:space="0"/>
              <w:right w:val="single" w:color="000000" w:sz="4" w:space="0"/>
            </w:tcBorders>
            <w:vAlign w:val="center"/>
          </w:tcPr>
          <w:p w14:paraId="092E05AA">
            <w:pPr>
              <w:spacing w:after="0" w:line="68" w:lineRule="atLeast"/>
              <w:jc w:val="center"/>
              <w:rPr>
                <w:rFonts w:ascii="宋体" w:hAnsi="宋体" w:eastAsia="宋体" w:cs="宋体"/>
              </w:rPr>
            </w:pPr>
            <w:r>
              <w:rPr>
                <w:rFonts w:hint="eastAsia" w:ascii="宋体" w:hAnsi="宋体" w:eastAsia="宋体" w:cs="宋体"/>
              </w:rPr>
              <w:t>2</w:t>
            </w:r>
          </w:p>
        </w:tc>
      </w:tr>
      <w:tr w14:paraId="09900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jc w:val="center"/>
        </w:trPr>
        <w:tc>
          <w:tcPr>
            <w:tcW w:w="733" w:type="dxa"/>
            <w:vMerge w:val="continue"/>
            <w:tcBorders>
              <w:left w:val="single" w:color="000000" w:sz="4" w:space="0"/>
              <w:right w:val="single" w:color="000000" w:sz="4" w:space="0"/>
            </w:tcBorders>
            <w:vAlign w:val="center"/>
          </w:tcPr>
          <w:p w14:paraId="11E29842">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5FCCABC7">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1AE14D6D">
            <w:pPr>
              <w:spacing w:after="0" w:line="240" w:lineRule="exact"/>
              <w:rPr>
                <w:rFonts w:ascii="宋体" w:hAnsi="宋体" w:eastAsia="宋体" w:cs="宋体"/>
              </w:rPr>
            </w:pPr>
            <w:r>
              <w:rPr>
                <w:rFonts w:hint="eastAsia" w:ascii="宋体" w:hAnsi="宋体" w:eastAsia="宋体" w:cs="宋体"/>
                <w:color w:val="000000"/>
              </w:rPr>
              <w:t>支付进度率</w:t>
            </w:r>
            <w:r>
              <w:rPr>
                <w:rFonts w:hint="eastAsia" w:ascii="宋体" w:hAnsi="宋体" w:eastAsia="宋体" w:cs="宋体"/>
              </w:rPr>
              <w:t>（6分）</w:t>
            </w:r>
          </w:p>
        </w:tc>
        <w:tc>
          <w:tcPr>
            <w:tcW w:w="6911" w:type="dxa"/>
            <w:tcBorders>
              <w:top w:val="single" w:color="000000" w:sz="4" w:space="0"/>
              <w:left w:val="single" w:color="auto" w:sz="4" w:space="0"/>
              <w:bottom w:val="single" w:color="000000" w:sz="4" w:space="0"/>
              <w:right w:val="single" w:color="auto" w:sz="4" w:space="0"/>
            </w:tcBorders>
            <w:vAlign w:val="center"/>
          </w:tcPr>
          <w:p w14:paraId="28742C40">
            <w:pPr>
              <w:spacing w:after="0" w:line="240" w:lineRule="exact"/>
              <w:rPr>
                <w:rFonts w:ascii="宋体" w:hAnsi="宋体" w:eastAsia="宋体" w:cs="宋体"/>
              </w:rPr>
            </w:pPr>
            <w:r>
              <w:rPr>
                <w:rFonts w:hint="eastAsia" w:ascii="宋体" w:hAnsi="宋体" w:eastAsia="宋体" w:cs="宋体"/>
              </w:rPr>
              <w:t>部门年度支付数与年度预算（调整）数的比率，用以反映和评价部门预算执行的及时和均衡程度。</w:t>
            </w:r>
          </w:p>
          <w:p w14:paraId="7A52F3AB">
            <w:pPr>
              <w:spacing w:after="0" w:line="240" w:lineRule="exact"/>
              <w:rPr>
                <w:rFonts w:ascii="宋体" w:hAnsi="宋体" w:eastAsia="宋体" w:cs="宋体"/>
              </w:rPr>
            </w:pPr>
            <w:r>
              <w:rPr>
                <w:rFonts w:hint="eastAsia" w:ascii="宋体" w:hAnsi="宋体" w:eastAsia="宋体" w:cs="宋体"/>
              </w:rPr>
              <w:t>半年支付进度=部门上半年实际支出÷（上年结余结转+本年部门预算安排+上半年执行中追加追减）×100%</w:t>
            </w:r>
          </w:p>
          <w:p w14:paraId="5240B9F2">
            <w:pPr>
              <w:spacing w:after="0" w:line="240" w:lineRule="exact"/>
              <w:rPr>
                <w:rFonts w:ascii="宋体" w:hAnsi="宋体" w:eastAsia="宋体" w:cs="宋体"/>
              </w:rPr>
            </w:pPr>
            <w:r>
              <w:rPr>
                <w:rFonts w:hint="eastAsia" w:ascii="宋体" w:hAnsi="宋体" w:eastAsia="宋体" w:cs="宋体"/>
              </w:rPr>
              <w:t>全年支付进度=部门全年实际支出÷（上年结余结转+本年部门预算安排+全年执行中追加追减）×100%</w:t>
            </w:r>
          </w:p>
        </w:tc>
        <w:tc>
          <w:tcPr>
            <w:tcW w:w="3423" w:type="dxa"/>
            <w:tcBorders>
              <w:top w:val="single" w:color="000000" w:sz="4" w:space="0"/>
              <w:left w:val="single" w:color="auto" w:sz="4" w:space="0"/>
              <w:bottom w:val="single" w:color="000000" w:sz="4" w:space="0"/>
              <w:right w:val="single" w:color="auto" w:sz="4" w:space="0"/>
            </w:tcBorders>
            <w:vAlign w:val="center"/>
          </w:tcPr>
          <w:p w14:paraId="10367ACE">
            <w:pPr>
              <w:spacing w:after="0" w:line="240" w:lineRule="exact"/>
              <w:rPr>
                <w:rFonts w:ascii="宋体" w:hAnsi="宋体" w:eastAsia="宋体" w:cs="宋体"/>
              </w:rPr>
            </w:pPr>
            <w:r>
              <w:rPr>
                <w:rFonts w:hint="eastAsia" w:ascii="宋体" w:hAnsi="宋体" w:eastAsia="宋体" w:cs="宋体"/>
              </w:rPr>
              <w:t>半年进度：结果≥50%，得2分；50%＞结果≥40%，得1分；结果＜40%，得0分。</w:t>
            </w:r>
          </w:p>
          <w:p w14:paraId="05541D94">
            <w:pPr>
              <w:spacing w:after="0" w:line="240" w:lineRule="exact"/>
              <w:rPr>
                <w:rFonts w:ascii="宋体" w:hAnsi="宋体" w:eastAsia="宋体" w:cs="宋体"/>
              </w:rPr>
            </w:pPr>
            <w:r>
              <w:rPr>
                <w:rFonts w:hint="eastAsia" w:ascii="宋体" w:hAnsi="宋体" w:eastAsia="宋体" w:cs="宋体"/>
              </w:rPr>
              <w:t>全年进度：结果≥100%，得4分；100%＞结果≥95%，得3分；95%＞结果≥90%，得2分；90%＞结果≥85%，得2分；结果＜85%，得0分。</w:t>
            </w:r>
          </w:p>
        </w:tc>
        <w:tc>
          <w:tcPr>
            <w:tcW w:w="1090" w:type="dxa"/>
            <w:tcBorders>
              <w:top w:val="single" w:color="000000" w:sz="4" w:space="0"/>
              <w:left w:val="single" w:color="auto" w:sz="4" w:space="0"/>
              <w:bottom w:val="single" w:color="000000" w:sz="4" w:space="0"/>
              <w:right w:val="single" w:color="000000" w:sz="4" w:space="0"/>
            </w:tcBorders>
            <w:vAlign w:val="center"/>
          </w:tcPr>
          <w:p w14:paraId="5B7DA6A9">
            <w:pPr>
              <w:spacing w:after="0" w:line="240" w:lineRule="exact"/>
              <w:jc w:val="center"/>
              <w:rPr>
                <w:rFonts w:ascii="宋体" w:hAnsi="宋体" w:eastAsia="宋体" w:cs="宋体"/>
              </w:rPr>
            </w:pPr>
            <w:r>
              <w:rPr>
                <w:rFonts w:hint="eastAsia" w:ascii="宋体" w:hAnsi="宋体" w:eastAsia="宋体" w:cs="宋体"/>
              </w:rPr>
              <w:t>4</w:t>
            </w:r>
          </w:p>
        </w:tc>
      </w:tr>
      <w:tr w14:paraId="0882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jc w:val="center"/>
        </w:trPr>
        <w:tc>
          <w:tcPr>
            <w:tcW w:w="733" w:type="dxa"/>
            <w:vMerge w:val="continue"/>
            <w:tcBorders>
              <w:left w:val="single" w:color="000000" w:sz="4" w:space="0"/>
              <w:right w:val="single" w:color="000000" w:sz="4" w:space="0"/>
            </w:tcBorders>
            <w:vAlign w:val="center"/>
          </w:tcPr>
          <w:p w14:paraId="593485B1">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7BD7B26F">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4D385349">
            <w:pPr>
              <w:spacing w:after="0" w:line="240" w:lineRule="exact"/>
              <w:rPr>
                <w:rFonts w:ascii="宋体" w:hAnsi="宋体" w:eastAsia="宋体" w:cs="宋体"/>
              </w:rPr>
            </w:pPr>
            <w:r>
              <w:rPr>
                <w:rFonts w:hint="eastAsia" w:ascii="宋体" w:hAnsi="宋体" w:eastAsia="宋体" w:cs="宋体"/>
              </w:rPr>
              <w:t>结转结余率（3分）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60F6A3A6">
            <w:pPr>
              <w:spacing w:after="0" w:line="240" w:lineRule="exact"/>
              <w:rPr>
                <w:rFonts w:ascii="宋体" w:hAnsi="宋体" w:eastAsia="宋体" w:cs="宋体"/>
              </w:rPr>
            </w:pPr>
            <w:r>
              <w:rPr>
                <w:rFonts w:hint="eastAsia" w:ascii="宋体" w:hAnsi="宋体" w:eastAsia="宋体" w:cs="宋体"/>
              </w:rPr>
              <w:t>通过对部门本年度结转结余总额与支出预算数的比较，反映和评价部门对本年度结转结余资金的实际控制程度。</w:t>
            </w:r>
          </w:p>
          <w:p w14:paraId="778F2AE9">
            <w:pPr>
              <w:spacing w:after="0" w:line="240" w:lineRule="exact"/>
              <w:rPr>
                <w:rFonts w:ascii="宋体" w:hAnsi="宋体" w:eastAsia="宋体" w:cs="宋体"/>
              </w:rPr>
            </w:pPr>
            <w:r>
              <w:rPr>
                <w:rFonts w:hint="eastAsia" w:ascii="宋体" w:hAnsi="宋体" w:eastAsia="宋体" w:cs="宋体"/>
              </w:rPr>
              <w:t>结转结余率=（结转结余总额/支出预算数）×100%。</w:t>
            </w:r>
          </w:p>
        </w:tc>
        <w:tc>
          <w:tcPr>
            <w:tcW w:w="3423" w:type="dxa"/>
            <w:tcBorders>
              <w:top w:val="single" w:color="000000" w:sz="4" w:space="0"/>
              <w:left w:val="single" w:color="auto" w:sz="4" w:space="0"/>
              <w:bottom w:val="single" w:color="000000" w:sz="4" w:space="0"/>
              <w:right w:val="single" w:color="auto" w:sz="4" w:space="0"/>
            </w:tcBorders>
            <w:vAlign w:val="center"/>
          </w:tcPr>
          <w:p w14:paraId="78CDC303">
            <w:pPr>
              <w:spacing w:after="0" w:line="240" w:lineRule="exact"/>
              <w:rPr>
                <w:rFonts w:ascii="宋体" w:hAnsi="宋体" w:eastAsia="宋体" w:cs="宋体"/>
              </w:rPr>
            </w:pPr>
            <w:r>
              <w:rPr>
                <w:rFonts w:hint="eastAsia" w:ascii="宋体" w:hAnsi="宋体" w:eastAsia="宋体" w:cs="宋体"/>
              </w:rPr>
              <w:t>目标值为0；达到目标值得3分，未达到目标值的每增加0.1个百分点扣0.1分，扣完为止。</w:t>
            </w:r>
          </w:p>
        </w:tc>
        <w:tc>
          <w:tcPr>
            <w:tcW w:w="1090" w:type="dxa"/>
            <w:tcBorders>
              <w:top w:val="single" w:color="000000" w:sz="4" w:space="0"/>
              <w:left w:val="single" w:color="auto" w:sz="4" w:space="0"/>
              <w:bottom w:val="single" w:color="000000" w:sz="4" w:space="0"/>
              <w:right w:val="single" w:color="000000" w:sz="4" w:space="0"/>
            </w:tcBorders>
            <w:vAlign w:val="center"/>
          </w:tcPr>
          <w:p w14:paraId="0A648D1C">
            <w:pPr>
              <w:spacing w:after="0" w:line="240" w:lineRule="exact"/>
              <w:jc w:val="center"/>
              <w:rPr>
                <w:rFonts w:ascii="宋体" w:hAnsi="宋体" w:eastAsia="宋体" w:cs="宋体"/>
              </w:rPr>
            </w:pPr>
            <w:r>
              <w:rPr>
                <w:rFonts w:hint="eastAsia" w:ascii="宋体" w:hAnsi="宋体" w:eastAsia="宋体" w:cs="宋体"/>
              </w:rPr>
              <w:t>3</w:t>
            </w:r>
          </w:p>
        </w:tc>
      </w:tr>
      <w:tr w14:paraId="220C9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7" w:hRule="atLeast"/>
          <w:jc w:val="center"/>
        </w:trPr>
        <w:tc>
          <w:tcPr>
            <w:tcW w:w="733" w:type="dxa"/>
            <w:vMerge w:val="continue"/>
            <w:tcBorders>
              <w:left w:val="single" w:color="000000" w:sz="4" w:space="0"/>
              <w:right w:val="single" w:color="000000" w:sz="4" w:space="0"/>
            </w:tcBorders>
            <w:vAlign w:val="center"/>
          </w:tcPr>
          <w:p w14:paraId="4F820E42">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78D2F275">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0274D8E9">
            <w:pPr>
              <w:spacing w:after="0" w:line="240" w:lineRule="exact"/>
              <w:rPr>
                <w:rFonts w:ascii="宋体" w:hAnsi="宋体" w:eastAsia="宋体" w:cs="宋体"/>
              </w:rPr>
            </w:pPr>
            <w:r>
              <w:rPr>
                <w:rFonts w:hint="eastAsia" w:ascii="宋体" w:hAnsi="宋体" w:eastAsia="宋体" w:cs="宋体"/>
              </w:rPr>
              <w:t>结转结余变动率(3分）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1C4D225A">
            <w:pPr>
              <w:spacing w:after="0" w:line="240" w:lineRule="exact"/>
              <w:rPr>
                <w:rFonts w:ascii="宋体" w:hAnsi="宋体" w:eastAsia="宋体" w:cs="宋体"/>
              </w:rPr>
            </w:pPr>
            <w:r>
              <w:rPr>
                <w:rFonts w:hint="eastAsia" w:ascii="宋体" w:hAnsi="宋体" w:eastAsia="宋体" w:cs="宋体"/>
              </w:rPr>
              <w:t>部门本年度结转结余资金总额与上年度结转结余资金总额的变动比率，用以反映和考核部门对控制结转结余资金的努力程度。</w:t>
            </w:r>
          </w:p>
          <w:p w14:paraId="3C089C26">
            <w:pPr>
              <w:spacing w:after="0" w:line="240" w:lineRule="exact"/>
              <w:rPr>
                <w:rFonts w:ascii="宋体" w:hAnsi="宋体" w:eastAsia="宋体" w:cs="宋体"/>
              </w:rPr>
            </w:pPr>
            <w:r>
              <w:rPr>
                <w:rFonts w:hint="eastAsia" w:ascii="宋体" w:hAnsi="宋体" w:eastAsia="宋体" w:cs="宋体"/>
              </w:rPr>
              <w:t>结转结余变动率=〔（本年度累计结转结余资金总额-上年度累计结转结余资金总额）/上年度累计结转结余资金总额〕×100%。</w:t>
            </w:r>
          </w:p>
        </w:tc>
        <w:tc>
          <w:tcPr>
            <w:tcW w:w="3423" w:type="dxa"/>
            <w:tcBorders>
              <w:top w:val="single" w:color="000000" w:sz="4" w:space="0"/>
              <w:left w:val="single" w:color="auto" w:sz="4" w:space="0"/>
              <w:bottom w:val="single" w:color="000000" w:sz="4" w:space="0"/>
              <w:right w:val="single" w:color="auto" w:sz="4" w:space="0"/>
            </w:tcBorders>
            <w:vAlign w:val="center"/>
          </w:tcPr>
          <w:p w14:paraId="448B82B2">
            <w:pPr>
              <w:spacing w:after="0" w:line="240" w:lineRule="exact"/>
              <w:rPr>
                <w:rFonts w:ascii="宋体" w:hAnsi="宋体" w:eastAsia="宋体" w:cs="宋体"/>
              </w:rPr>
            </w:pPr>
            <w:r>
              <w:rPr>
                <w:rFonts w:hint="eastAsia" w:ascii="宋体" w:hAnsi="宋体" w:eastAsia="宋体" w:cs="宋体"/>
              </w:rPr>
              <w:t>目标值为≤0%；达到目标值得3分，未达到目标值的采用比率扣分法：扣分值=结转结余变动率×2×10，变动率达10%以上的扣2分。</w:t>
            </w:r>
          </w:p>
        </w:tc>
        <w:tc>
          <w:tcPr>
            <w:tcW w:w="1090" w:type="dxa"/>
            <w:tcBorders>
              <w:top w:val="single" w:color="000000" w:sz="4" w:space="0"/>
              <w:left w:val="single" w:color="auto" w:sz="4" w:space="0"/>
              <w:bottom w:val="single" w:color="000000" w:sz="4" w:space="0"/>
              <w:right w:val="single" w:color="000000" w:sz="4" w:space="0"/>
            </w:tcBorders>
            <w:vAlign w:val="center"/>
          </w:tcPr>
          <w:p w14:paraId="5753C27A">
            <w:pPr>
              <w:spacing w:after="0" w:line="240" w:lineRule="exact"/>
              <w:jc w:val="center"/>
              <w:rPr>
                <w:rFonts w:ascii="宋体" w:hAnsi="宋体" w:eastAsia="宋体" w:cs="宋体"/>
              </w:rPr>
            </w:pPr>
            <w:r>
              <w:rPr>
                <w:rFonts w:hint="eastAsia" w:ascii="宋体" w:hAnsi="宋体" w:eastAsia="宋体" w:cs="宋体"/>
              </w:rPr>
              <w:t>3</w:t>
            </w:r>
          </w:p>
        </w:tc>
      </w:tr>
      <w:tr w14:paraId="7CF05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5" w:hRule="atLeast"/>
          <w:jc w:val="center"/>
        </w:trPr>
        <w:tc>
          <w:tcPr>
            <w:tcW w:w="733" w:type="dxa"/>
            <w:vMerge w:val="continue"/>
            <w:tcBorders>
              <w:left w:val="single" w:color="000000" w:sz="4" w:space="0"/>
              <w:right w:val="single" w:color="000000" w:sz="4" w:space="0"/>
            </w:tcBorders>
            <w:vAlign w:val="center"/>
          </w:tcPr>
          <w:p w14:paraId="24393BD7">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61D130E7">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3AB0B697">
            <w:pPr>
              <w:spacing w:after="0" w:line="240" w:lineRule="exact"/>
              <w:rPr>
                <w:rFonts w:ascii="宋体" w:hAnsi="宋体" w:eastAsia="宋体" w:cs="宋体"/>
              </w:rPr>
            </w:pPr>
            <w:r>
              <w:rPr>
                <w:rFonts w:hint="eastAsia" w:ascii="宋体" w:hAnsi="宋体" w:eastAsia="宋体" w:cs="宋体"/>
              </w:rPr>
              <w:t>公用经费控制率（3分）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56D3D676">
            <w:pPr>
              <w:spacing w:after="0" w:line="240" w:lineRule="exact"/>
              <w:rPr>
                <w:rFonts w:ascii="宋体" w:hAnsi="宋体" w:eastAsia="宋体" w:cs="宋体"/>
              </w:rPr>
            </w:pPr>
            <w:r>
              <w:rPr>
                <w:rFonts w:hint="eastAsia" w:ascii="宋体" w:hAnsi="宋体" w:eastAsia="宋体" w:cs="宋体"/>
              </w:rPr>
              <w:t>通过对部门本年度实际支出的公用经费总额与预算安排的公用经费总额的比率，反映和评价部门对机构运转成本的实际控制程度。</w:t>
            </w:r>
          </w:p>
          <w:p w14:paraId="4B83CD5E">
            <w:pPr>
              <w:spacing w:after="0" w:line="240" w:lineRule="exact"/>
              <w:rPr>
                <w:rFonts w:ascii="宋体" w:hAnsi="宋体" w:eastAsia="宋体" w:cs="宋体"/>
              </w:rPr>
            </w:pPr>
            <w:r>
              <w:rPr>
                <w:rFonts w:hint="eastAsia" w:ascii="宋体" w:hAnsi="宋体" w:eastAsia="宋体" w:cs="宋体"/>
              </w:rPr>
              <w:t>公用经费控制率=（实际支出公用经费总额/预算安排公用经费总额）×100%。</w:t>
            </w:r>
          </w:p>
        </w:tc>
        <w:tc>
          <w:tcPr>
            <w:tcW w:w="3423" w:type="dxa"/>
            <w:tcBorders>
              <w:top w:val="single" w:color="000000" w:sz="4" w:space="0"/>
              <w:left w:val="single" w:color="auto" w:sz="4" w:space="0"/>
              <w:bottom w:val="single" w:color="000000" w:sz="4" w:space="0"/>
              <w:right w:val="single" w:color="auto" w:sz="4" w:space="0"/>
            </w:tcBorders>
            <w:vAlign w:val="center"/>
          </w:tcPr>
          <w:p w14:paraId="437D9D6B">
            <w:pPr>
              <w:spacing w:after="0" w:line="240" w:lineRule="exact"/>
              <w:rPr>
                <w:rFonts w:ascii="宋体" w:hAnsi="宋体" w:eastAsia="宋体" w:cs="宋体"/>
              </w:rPr>
            </w:pPr>
            <w:r>
              <w:rPr>
                <w:rFonts w:hint="eastAsia" w:ascii="宋体" w:hAnsi="宋体" w:eastAsia="宋体" w:cs="宋体"/>
              </w:rPr>
              <w:t>目标值为≤100%；达到目标值得3分，未达到目标值的每增加0.1个百分点扣0.1分，扣完为止。</w:t>
            </w:r>
          </w:p>
        </w:tc>
        <w:tc>
          <w:tcPr>
            <w:tcW w:w="1090" w:type="dxa"/>
            <w:tcBorders>
              <w:top w:val="single" w:color="000000" w:sz="4" w:space="0"/>
              <w:left w:val="single" w:color="auto" w:sz="4" w:space="0"/>
              <w:bottom w:val="single" w:color="000000" w:sz="4" w:space="0"/>
              <w:right w:val="single" w:color="000000" w:sz="4" w:space="0"/>
            </w:tcBorders>
            <w:vAlign w:val="center"/>
          </w:tcPr>
          <w:p w14:paraId="135EB4C1">
            <w:pPr>
              <w:spacing w:after="0" w:line="240" w:lineRule="exact"/>
              <w:jc w:val="center"/>
              <w:rPr>
                <w:rFonts w:ascii="宋体" w:hAnsi="宋体" w:eastAsia="宋体" w:cs="宋体"/>
              </w:rPr>
            </w:pPr>
            <w:r>
              <w:rPr>
                <w:rFonts w:hint="eastAsia" w:ascii="宋体" w:hAnsi="宋体" w:eastAsia="宋体" w:cs="宋体"/>
              </w:rPr>
              <w:t>1</w:t>
            </w:r>
          </w:p>
        </w:tc>
      </w:tr>
      <w:tr w14:paraId="5A27D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3" w:hRule="atLeast"/>
          <w:jc w:val="center"/>
        </w:trPr>
        <w:tc>
          <w:tcPr>
            <w:tcW w:w="733" w:type="dxa"/>
            <w:vMerge w:val="continue"/>
            <w:tcBorders>
              <w:left w:val="single" w:color="000000" w:sz="4" w:space="0"/>
              <w:right w:val="single" w:color="000000" w:sz="4" w:space="0"/>
            </w:tcBorders>
            <w:vAlign w:val="center"/>
          </w:tcPr>
          <w:p w14:paraId="05AF10A2">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6E5608BF">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501E4C65">
            <w:pPr>
              <w:spacing w:after="0" w:line="240" w:lineRule="exact"/>
              <w:rPr>
                <w:rFonts w:ascii="宋体" w:hAnsi="宋体" w:eastAsia="宋体" w:cs="宋体"/>
              </w:rPr>
            </w:pPr>
            <w:r>
              <w:rPr>
                <w:rFonts w:hint="eastAsia" w:ascii="宋体" w:hAnsi="宋体" w:eastAsia="宋体" w:cs="宋体"/>
              </w:rPr>
              <w:t>“三公经费”控制率（3分）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2D63A479">
            <w:pPr>
              <w:spacing w:after="0" w:line="240" w:lineRule="exact"/>
              <w:rPr>
                <w:rFonts w:ascii="宋体" w:hAnsi="宋体" w:eastAsia="宋体" w:cs="宋体"/>
              </w:rPr>
            </w:pPr>
            <w:r>
              <w:rPr>
                <w:rFonts w:hint="eastAsia" w:ascii="宋体" w:hAnsi="宋体" w:eastAsia="宋体" w:cs="宋体"/>
              </w:rPr>
              <w:t>部门（单位）本年度“三公经费”实际支出数与预算安排数的比率，用以反映和考核部门（单位）对“三公经费”的实际控制程度。</w:t>
            </w:r>
          </w:p>
          <w:p w14:paraId="79821500">
            <w:pPr>
              <w:spacing w:after="0" w:line="240" w:lineRule="exact"/>
              <w:rPr>
                <w:rFonts w:ascii="宋体" w:hAnsi="宋体" w:eastAsia="宋体" w:cs="宋体"/>
              </w:rPr>
            </w:pPr>
            <w:r>
              <w:rPr>
                <w:rFonts w:hint="eastAsia" w:ascii="宋体" w:hAnsi="宋体" w:eastAsia="宋体" w:cs="宋体"/>
              </w:rPr>
              <w:t>“三公经费”控制率=（“三公经费”实际支出/“三公经费”预算安排数）×100%</w:t>
            </w:r>
          </w:p>
        </w:tc>
        <w:tc>
          <w:tcPr>
            <w:tcW w:w="3423" w:type="dxa"/>
            <w:tcBorders>
              <w:top w:val="single" w:color="000000" w:sz="4" w:space="0"/>
              <w:left w:val="single" w:color="auto" w:sz="4" w:space="0"/>
              <w:bottom w:val="single" w:color="000000" w:sz="4" w:space="0"/>
              <w:right w:val="single" w:color="auto" w:sz="4" w:space="0"/>
            </w:tcBorders>
            <w:vAlign w:val="center"/>
          </w:tcPr>
          <w:p w14:paraId="506FA0D6">
            <w:pPr>
              <w:spacing w:after="0" w:line="240" w:lineRule="exact"/>
              <w:rPr>
                <w:rFonts w:ascii="宋体" w:hAnsi="宋体" w:eastAsia="宋体" w:cs="宋体"/>
              </w:rPr>
            </w:pPr>
            <w:r>
              <w:rPr>
                <w:rFonts w:hint="eastAsia" w:ascii="宋体" w:hAnsi="宋体" w:eastAsia="宋体" w:cs="宋体"/>
              </w:rPr>
              <w:t>目标值为≤100%；达到目标值得3分，未达到目标值的每增加0.1个百分点扣0.1分，扣完为止。</w:t>
            </w:r>
          </w:p>
        </w:tc>
        <w:tc>
          <w:tcPr>
            <w:tcW w:w="1090" w:type="dxa"/>
            <w:tcBorders>
              <w:top w:val="single" w:color="000000" w:sz="4" w:space="0"/>
              <w:left w:val="single" w:color="auto" w:sz="4" w:space="0"/>
              <w:bottom w:val="single" w:color="000000" w:sz="4" w:space="0"/>
              <w:right w:val="single" w:color="000000" w:sz="4" w:space="0"/>
            </w:tcBorders>
            <w:vAlign w:val="center"/>
          </w:tcPr>
          <w:p w14:paraId="70403361">
            <w:pPr>
              <w:spacing w:after="0" w:line="240" w:lineRule="exact"/>
              <w:jc w:val="center"/>
              <w:rPr>
                <w:rFonts w:ascii="宋体" w:hAnsi="宋体" w:eastAsia="宋体" w:cs="宋体"/>
              </w:rPr>
            </w:pPr>
            <w:r>
              <w:rPr>
                <w:rFonts w:hint="eastAsia" w:ascii="宋体" w:hAnsi="宋体" w:eastAsia="宋体" w:cs="宋体"/>
              </w:rPr>
              <w:t>3</w:t>
            </w:r>
          </w:p>
        </w:tc>
      </w:tr>
      <w:tr w14:paraId="650B8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1" w:hRule="atLeast"/>
          <w:jc w:val="center"/>
        </w:trPr>
        <w:tc>
          <w:tcPr>
            <w:tcW w:w="733" w:type="dxa"/>
            <w:vMerge w:val="continue"/>
            <w:tcBorders>
              <w:left w:val="single" w:color="000000" w:sz="4" w:space="0"/>
              <w:right w:val="single" w:color="000000" w:sz="4" w:space="0"/>
            </w:tcBorders>
            <w:vAlign w:val="center"/>
          </w:tcPr>
          <w:p w14:paraId="135BE028">
            <w:pPr>
              <w:spacing w:after="0"/>
              <w:rPr>
                <w:rFonts w:ascii="宋体" w:hAnsi="宋体" w:eastAsia="宋体" w:cs="宋体"/>
              </w:rPr>
            </w:pPr>
          </w:p>
        </w:tc>
        <w:tc>
          <w:tcPr>
            <w:tcW w:w="803" w:type="dxa"/>
            <w:vMerge w:val="continue"/>
            <w:tcBorders>
              <w:top w:val="single" w:color="000000" w:sz="4" w:space="0"/>
              <w:left w:val="single" w:color="000000" w:sz="4" w:space="0"/>
              <w:bottom w:val="single" w:color="000000" w:sz="4" w:space="0"/>
              <w:right w:val="single" w:color="000000" w:sz="4" w:space="0"/>
            </w:tcBorders>
            <w:vAlign w:val="center"/>
          </w:tcPr>
          <w:p w14:paraId="3281852E">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5E96E915">
            <w:pPr>
              <w:spacing w:after="0" w:line="240" w:lineRule="exact"/>
              <w:rPr>
                <w:rFonts w:ascii="宋体" w:hAnsi="宋体" w:eastAsia="宋体" w:cs="宋体"/>
              </w:rPr>
            </w:pPr>
            <w:r>
              <w:rPr>
                <w:rFonts w:hint="eastAsia" w:ascii="宋体" w:hAnsi="宋体" w:eastAsia="宋体" w:cs="宋体"/>
              </w:rPr>
              <w:t>政府采购执行率（3分）</w:t>
            </w:r>
          </w:p>
        </w:tc>
        <w:tc>
          <w:tcPr>
            <w:tcW w:w="6911" w:type="dxa"/>
            <w:tcBorders>
              <w:top w:val="single" w:color="000000" w:sz="4" w:space="0"/>
              <w:left w:val="single" w:color="auto" w:sz="4" w:space="0"/>
              <w:bottom w:val="single" w:color="000000" w:sz="4" w:space="0"/>
              <w:right w:val="single" w:color="auto" w:sz="4" w:space="0"/>
            </w:tcBorders>
            <w:vAlign w:val="center"/>
          </w:tcPr>
          <w:p w14:paraId="6FEC7CED">
            <w:pPr>
              <w:spacing w:after="0" w:line="240" w:lineRule="exact"/>
              <w:rPr>
                <w:rFonts w:ascii="宋体" w:hAnsi="宋体" w:eastAsia="宋体" w:cs="宋体"/>
              </w:rPr>
            </w:pPr>
            <w:r>
              <w:rPr>
                <w:rFonts w:hint="eastAsia" w:ascii="宋体" w:hAnsi="宋体" w:eastAsia="宋体" w:cs="宋体"/>
              </w:rPr>
              <w:t>通过对部门本年度实际政府采购预算项目个数与政府采购预算项目个数的比较，反映和评价部门政府采购预算执行情况。</w:t>
            </w:r>
          </w:p>
          <w:p w14:paraId="260E352E">
            <w:pPr>
              <w:spacing w:after="0" w:line="240" w:lineRule="exact"/>
              <w:rPr>
                <w:rFonts w:ascii="宋体" w:hAnsi="宋体" w:eastAsia="宋体" w:cs="宋体"/>
              </w:rPr>
            </w:pPr>
            <w:r>
              <w:rPr>
                <w:rFonts w:hint="eastAsia" w:ascii="宋体" w:hAnsi="宋体" w:eastAsia="宋体" w:cs="宋体"/>
              </w:rPr>
              <w:t>政府采购执行率=（实际政府采购预算项目个数/政府采购预算项目个数）×100%。</w:t>
            </w:r>
          </w:p>
          <w:p w14:paraId="00EB773A">
            <w:pPr>
              <w:spacing w:after="0" w:line="240" w:lineRule="exact"/>
              <w:rPr>
                <w:rFonts w:ascii="宋体" w:hAnsi="宋体" w:eastAsia="宋体" w:cs="宋体"/>
              </w:rPr>
            </w:pPr>
            <w:r>
              <w:rPr>
                <w:rFonts w:hint="eastAsia" w:ascii="宋体" w:hAnsi="宋体" w:eastAsia="宋体" w:cs="宋体"/>
              </w:rPr>
              <w:t>政府采购项目中非预算内安排的项目除外。</w:t>
            </w:r>
          </w:p>
        </w:tc>
        <w:tc>
          <w:tcPr>
            <w:tcW w:w="3423" w:type="dxa"/>
            <w:tcBorders>
              <w:top w:val="single" w:color="000000" w:sz="4" w:space="0"/>
              <w:left w:val="single" w:color="auto" w:sz="4" w:space="0"/>
              <w:bottom w:val="single" w:color="000000" w:sz="4" w:space="0"/>
              <w:right w:val="single" w:color="auto" w:sz="4" w:space="0"/>
            </w:tcBorders>
            <w:vAlign w:val="center"/>
          </w:tcPr>
          <w:p w14:paraId="639A8ACD">
            <w:pPr>
              <w:spacing w:after="0" w:line="240" w:lineRule="exact"/>
              <w:rPr>
                <w:rFonts w:ascii="宋体" w:hAnsi="宋体" w:eastAsia="宋体" w:cs="宋体"/>
              </w:rPr>
            </w:pPr>
            <w:r>
              <w:rPr>
                <w:rFonts w:hint="eastAsia" w:ascii="宋体" w:hAnsi="宋体" w:eastAsia="宋体" w:cs="宋体"/>
              </w:rPr>
              <w:t>目标值为100%；以3分为上限，采用完成比率法计分：得分=政府采购执行率×3。</w:t>
            </w:r>
          </w:p>
        </w:tc>
        <w:tc>
          <w:tcPr>
            <w:tcW w:w="1090" w:type="dxa"/>
            <w:tcBorders>
              <w:top w:val="single" w:color="000000" w:sz="4" w:space="0"/>
              <w:left w:val="single" w:color="auto" w:sz="4" w:space="0"/>
              <w:bottom w:val="single" w:color="000000" w:sz="4" w:space="0"/>
              <w:right w:val="single" w:color="000000" w:sz="4" w:space="0"/>
            </w:tcBorders>
            <w:vAlign w:val="center"/>
          </w:tcPr>
          <w:p w14:paraId="1E61767F">
            <w:pPr>
              <w:spacing w:after="0" w:line="240" w:lineRule="exact"/>
              <w:jc w:val="center"/>
              <w:rPr>
                <w:rFonts w:ascii="宋体" w:hAnsi="宋体" w:eastAsia="宋体" w:cs="宋体"/>
              </w:rPr>
            </w:pPr>
            <w:r>
              <w:rPr>
                <w:rFonts w:hint="eastAsia" w:ascii="宋体" w:hAnsi="宋体" w:eastAsia="宋体" w:cs="宋体"/>
              </w:rPr>
              <w:t>3</w:t>
            </w:r>
          </w:p>
        </w:tc>
      </w:tr>
      <w:tr w14:paraId="467F6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4" w:hRule="atLeast"/>
          <w:jc w:val="center"/>
        </w:trPr>
        <w:tc>
          <w:tcPr>
            <w:tcW w:w="733" w:type="dxa"/>
            <w:vMerge w:val="continue"/>
            <w:tcBorders>
              <w:left w:val="single" w:color="000000" w:sz="4" w:space="0"/>
              <w:right w:val="single" w:color="000000" w:sz="4" w:space="0"/>
            </w:tcBorders>
            <w:vAlign w:val="center"/>
          </w:tcPr>
          <w:p w14:paraId="4C5602F8">
            <w:pPr>
              <w:spacing w:after="0"/>
              <w:rPr>
                <w:rFonts w:ascii="宋体" w:hAnsi="宋体" w:eastAsia="宋体" w:cs="宋体"/>
              </w:rPr>
            </w:pPr>
          </w:p>
        </w:tc>
        <w:tc>
          <w:tcPr>
            <w:tcW w:w="803" w:type="dxa"/>
            <w:vMerge w:val="restart"/>
            <w:tcBorders>
              <w:top w:val="single" w:color="000000" w:sz="4" w:space="0"/>
              <w:left w:val="single" w:color="000000" w:sz="4" w:space="0"/>
              <w:right w:val="single" w:color="000000" w:sz="4" w:space="0"/>
            </w:tcBorders>
            <w:vAlign w:val="center"/>
          </w:tcPr>
          <w:p w14:paraId="1A696D2C">
            <w:pPr>
              <w:spacing w:after="0" w:line="240" w:lineRule="exact"/>
              <w:jc w:val="center"/>
              <w:rPr>
                <w:rFonts w:ascii="宋体" w:hAnsi="宋体" w:eastAsia="宋体" w:cs="宋体"/>
              </w:rPr>
            </w:pPr>
            <w:r>
              <w:rPr>
                <w:rFonts w:hint="eastAsia" w:ascii="宋体" w:hAnsi="宋体" w:eastAsia="宋体" w:cs="宋体"/>
              </w:rPr>
              <w:t>预算管理</w:t>
            </w:r>
          </w:p>
          <w:p w14:paraId="26B7A76A">
            <w:pPr>
              <w:spacing w:after="0" w:line="68" w:lineRule="atLeast"/>
              <w:jc w:val="center"/>
              <w:rPr>
                <w:rFonts w:ascii="宋体" w:hAnsi="宋体" w:eastAsia="宋体" w:cs="宋体"/>
              </w:rPr>
            </w:pPr>
            <w:r>
              <w:rPr>
                <w:rFonts w:hint="eastAsia" w:ascii="宋体" w:hAnsi="宋体" w:eastAsia="宋体" w:cs="宋体"/>
              </w:rPr>
              <w:t>（18分）</w:t>
            </w:r>
          </w:p>
        </w:tc>
        <w:tc>
          <w:tcPr>
            <w:tcW w:w="1182" w:type="dxa"/>
            <w:tcBorders>
              <w:top w:val="single" w:color="000000" w:sz="4" w:space="0"/>
              <w:left w:val="single" w:color="000000" w:sz="4" w:space="0"/>
              <w:bottom w:val="single" w:color="000000" w:sz="4" w:space="0"/>
              <w:right w:val="single" w:color="auto" w:sz="4" w:space="0"/>
            </w:tcBorders>
            <w:vAlign w:val="center"/>
          </w:tcPr>
          <w:p w14:paraId="6610F12D">
            <w:pPr>
              <w:spacing w:after="0" w:line="240" w:lineRule="exact"/>
              <w:rPr>
                <w:rFonts w:ascii="宋体" w:hAnsi="宋体" w:eastAsia="宋体" w:cs="宋体"/>
              </w:rPr>
            </w:pPr>
            <w:r>
              <w:rPr>
                <w:rFonts w:hint="eastAsia" w:ascii="宋体" w:hAnsi="宋体" w:eastAsia="宋体" w:cs="宋体"/>
              </w:rPr>
              <w:t>管理制度健全性</w:t>
            </w:r>
          </w:p>
          <w:p w14:paraId="448FA913">
            <w:pPr>
              <w:spacing w:after="0" w:line="240" w:lineRule="exact"/>
              <w:rPr>
                <w:rFonts w:ascii="宋体" w:hAnsi="宋体" w:eastAsia="宋体" w:cs="宋体"/>
              </w:rPr>
            </w:pPr>
            <w:r>
              <w:rPr>
                <w:rFonts w:hint="eastAsia" w:ascii="宋体" w:hAnsi="宋体" w:eastAsia="宋体" w:cs="宋体"/>
              </w:rPr>
              <w:t>（2分）</w:t>
            </w:r>
          </w:p>
        </w:tc>
        <w:tc>
          <w:tcPr>
            <w:tcW w:w="6911" w:type="dxa"/>
            <w:tcBorders>
              <w:top w:val="single" w:color="000000" w:sz="4" w:space="0"/>
              <w:left w:val="single" w:color="auto" w:sz="4" w:space="0"/>
              <w:bottom w:val="single" w:color="000000" w:sz="4" w:space="0"/>
              <w:right w:val="single" w:color="auto" w:sz="4" w:space="0"/>
            </w:tcBorders>
            <w:vAlign w:val="center"/>
          </w:tcPr>
          <w:p w14:paraId="0A33172E">
            <w:pPr>
              <w:spacing w:after="0" w:line="240" w:lineRule="exact"/>
              <w:rPr>
                <w:rFonts w:ascii="宋体" w:hAnsi="宋体" w:eastAsia="宋体" w:cs="宋体"/>
              </w:rPr>
            </w:pPr>
            <w:r>
              <w:rPr>
                <w:rFonts w:hint="eastAsia" w:ascii="宋体" w:hAnsi="宋体" w:eastAsia="宋体" w:cs="宋体"/>
              </w:rPr>
              <w:t>部门为加强预算管理，规范财务行为而制定的管理制度是否健全完整，用以反映和考核部门预算管理制度对完成主要职责或促进事业发展的保障情况。</w:t>
            </w:r>
          </w:p>
          <w:p w14:paraId="10DF643A">
            <w:pPr>
              <w:spacing w:after="0" w:line="240" w:lineRule="exact"/>
              <w:rPr>
                <w:rFonts w:ascii="宋体" w:hAnsi="宋体" w:eastAsia="宋体" w:cs="宋体"/>
              </w:rPr>
            </w:pPr>
            <w:r>
              <w:rPr>
                <w:rFonts w:hint="eastAsia" w:ascii="宋体" w:hAnsi="宋体" w:eastAsia="宋体" w:cs="宋体"/>
              </w:rPr>
              <w:t>评价要点：</w:t>
            </w:r>
          </w:p>
          <w:p w14:paraId="71EEF0A6">
            <w:pPr>
              <w:spacing w:after="0" w:line="240" w:lineRule="exact"/>
              <w:rPr>
                <w:rFonts w:ascii="宋体" w:hAnsi="宋体" w:eastAsia="宋体" w:cs="宋体"/>
              </w:rPr>
            </w:pPr>
            <w:r>
              <w:rPr>
                <w:rFonts w:hint="eastAsia" w:ascii="宋体" w:hAnsi="宋体" w:eastAsia="宋体" w:cs="宋体"/>
              </w:rPr>
              <w:t>1．是否已制定或具有预算资金管理办法、内部财务管理制度、会计核算制度等管理制度；</w:t>
            </w:r>
          </w:p>
          <w:p w14:paraId="71E4AE1E">
            <w:pPr>
              <w:spacing w:after="0" w:line="240" w:lineRule="exact"/>
              <w:rPr>
                <w:rFonts w:ascii="宋体" w:hAnsi="宋体" w:eastAsia="宋体" w:cs="宋体"/>
              </w:rPr>
            </w:pPr>
            <w:r>
              <w:rPr>
                <w:rFonts w:hint="eastAsia" w:ascii="宋体" w:hAnsi="宋体" w:eastAsia="宋体" w:cs="宋体"/>
              </w:rPr>
              <w:t>2.相关管理制度是否合法、合规、完整；</w:t>
            </w:r>
          </w:p>
          <w:p w14:paraId="578207F2">
            <w:pPr>
              <w:spacing w:after="0" w:line="240" w:lineRule="exact"/>
              <w:rPr>
                <w:rFonts w:ascii="宋体" w:hAnsi="宋体" w:eastAsia="宋体" w:cs="宋体"/>
              </w:rPr>
            </w:pPr>
            <w:r>
              <w:rPr>
                <w:rFonts w:hint="eastAsia" w:ascii="宋体" w:hAnsi="宋体" w:eastAsia="宋体" w:cs="宋体"/>
              </w:rPr>
              <w:t>3.相关管理制度是否得到有效执行。</w:t>
            </w:r>
          </w:p>
        </w:tc>
        <w:tc>
          <w:tcPr>
            <w:tcW w:w="3423" w:type="dxa"/>
            <w:tcBorders>
              <w:top w:val="single" w:color="000000" w:sz="4" w:space="0"/>
              <w:left w:val="single" w:color="auto" w:sz="4" w:space="0"/>
              <w:bottom w:val="single" w:color="000000" w:sz="4" w:space="0"/>
              <w:right w:val="single" w:color="auto" w:sz="4" w:space="0"/>
            </w:tcBorders>
            <w:vAlign w:val="center"/>
          </w:tcPr>
          <w:p w14:paraId="6B397B8A">
            <w:pPr>
              <w:spacing w:after="0" w:line="240" w:lineRule="exact"/>
              <w:rPr>
                <w:rFonts w:ascii="宋体" w:hAnsi="宋体" w:eastAsia="宋体" w:cs="宋体"/>
              </w:rPr>
            </w:pPr>
            <w:r>
              <w:rPr>
                <w:rFonts w:hint="eastAsia" w:ascii="宋体" w:hAnsi="宋体" w:eastAsia="宋体" w:cs="宋体"/>
              </w:rPr>
              <w:t>全部符合（2分）；</w:t>
            </w:r>
          </w:p>
          <w:p w14:paraId="09F98A47">
            <w:pPr>
              <w:spacing w:after="0" w:line="240" w:lineRule="exact"/>
              <w:rPr>
                <w:rFonts w:ascii="宋体" w:hAnsi="宋体" w:eastAsia="宋体" w:cs="宋体"/>
              </w:rPr>
            </w:pPr>
            <w:r>
              <w:rPr>
                <w:rFonts w:hint="eastAsia" w:ascii="宋体" w:hAnsi="宋体" w:eastAsia="宋体" w:cs="宋体"/>
              </w:rPr>
              <w:t>符合其中两项（1分）</w:t>
            </w:r>
          </w:p>
          <w:p w14:paraId="7653ECA5">
            <w:pPr>
              <w:spacing w:after="0" w:line="240" w:lineRule="exact"/>
              <w:rPr>
                <w:rFonts w:ascii="宋体" w:hAnsi="宋体" w:eastAsia="宋体" w:cs="宋体"/>
              </w:rPr>
            </w:pPr>
            <w:r>
              <w:rPr>
                <w:rFonts w:hint="eastAsia" w:ascii="宋体" w:hAnsi="宋体" w:eastAsia="宋体" w:cs="宋体"/>
              </w:rPr>
              <w:t>符合其中一项及以下（0分）。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2B289EE6">
            <w:pPr>
              <w:spacing w:after="0" w:line="240" w:lineRule="exact"/>
              <w:jc w:val="center"/>
              <w:rPr>
                <w:rFonts w:ascii="宋体" w:hAnsi="宋体" w:eastAsia="宋体" w:cs="宋体"/>
              </w:rPr>
            </w:pPr>
            <w:r>
              <w:rPr>
                <w:rFonts w:hint="eastAsia" w:ascii="宋体" w:hAnsi="宋体" w:eastAsia="宋体" w:cs="宋体"/>
              </w:rPr>
              <w:t>1.8</w:t>
            </w:r>
          </w:p>
        </w:tc>
      </w:tr>
      <w:tr w14:paraId="2D715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5" w:hRule="atLeast"/>
          <w:jc w:val="center"/>
        </w:trPr>
        <w:tc>
          <w:tcPr>
            <w:tcW w:w="733" w:type="dxa"/>
            <w:vMerge w:val="continue"/>
            <w:tcBorders>
              <w:left w:val="single" w:color="000000" w:sz="4" w:space="0"/>
              <w:right w:val="single" w:color="000000" w:sz="4" w:space="0"/>
            </w:tcBorders>
            <w:vAlign w:val="center"/>
          </w:tcPr>
          <w:p w14:paraId="650AA82B">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3A834A0C">
            <w:pPr>
              <w:spacing w:after="0" w:line="68" w:lineRule="atLeast"/>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16EBD580">
            <w:pPr>
              <w:spacing w:after="0" w:line="68" w:lineRule="atLeast"/>
              <w:rPr>
                <w:rFonts w:ascii="宋体" w:hAnsi="宋体" w:eastAsia="宋体" w:cs="宋体"/>
              </w:rPr>
            </w:pPr>
            <w:r>
              <w:rPr>
                <w:rFonts w:hint="eastAsia" w:ascii="宋体" w:hAnsi="宋体" w:eastAsia="宋体" w:cs="宋体"/>
              </w:rPr>
              <w:t>资金使用合规性</w:t>
            </w:r>
          </w:p>
          <w:p w14:paraId="290CC1EE">
            <w:pPr>
              <w:spacing w:after="0" w:line="68" w:lineRule="atLeast"/>
              <w:rPr>
                <w:rFonts w:ascii="宋体" w:hAnsi="宋体" w:eastAsia="宋体" w:cs="宋体"/>
              </w:rPr>
            </w:pPr>
            <w:r>
              <w:rPr>
                <w:rFonts w:hint="eastAsia" w:ascii="宋体" w:hAnsi="宋体" w:eastAsia="宋体" w:cs="宋体"/>
              </w:rPr>
              <w:t>（9分）</w:t>
            </w:r>
          </w:p>
        </w:tc>
        <w:tc>
          <w:tcPr>
            <w:tcW w:w="6911" w:type="dxa"/>
            <w:tcBorders>
              <w:top w:val="single" w:color="000000" w:sz="4" w:space="0"/>
              <w:left w:val="single" w:color="auto" w:sz="4" w:space="0"/>
              <w:bottom w:val="single" w:color="000000" w:sz="4" w:space="0"/>
              <w:right w:val="single" w:color="auto" w:sz="4" w:space="0"/>
            </w:tcBorders>
            <w:vAlign w:val="center"/>
          </w:tcPr>
          <w:p w14:paraId="69202572">
            <w:pPr>
              <w:spacing w:after="0" w:line="240" w:lineRule="exact"/>
              <w:rPr>
                <w:rFonts w:ascii="宋体" w:hAnsi="宋体" w:eastAsia="宋体" w:cs="宋体"/>
              </w:rPr>
            </w:pPr>
            <w:r>
              <w:rPr>
                <w:rFonts w:hint="eastAsia" w:ascii="宋体" w:hAnsi="宋体" w:eastAsia="宋体" w:cs="宋体"/>
              </w:rPr>
              <w:t>部门使用预算资金是否符合相关的预算财务管理制度的规定，反映和评价部门预算资金的规范运行情况。</w:t>
            </w:r>
          </w:p>
          <w:p w14:paraId="4E022BDD">
            <w:pPr>
              <w:spacing w:after="0" w:line="240" w:lineRule="exact"/>
              <w:rPr>
                <w:rFonts w:ascii="宋体" w:hAnsi="宋体" w:eastAsia="宋体" w:cs="宋体"/>
              </w:rPr>
            </w:pPr>
            <w:r>
              <w:rPr>
                <w:rFonts w:hint="eastAsia" w:ascii="宋体" w:hAnsi="宋体" w:eastAsia="宋体" w:cs="宋体"/>
              </w:rPr>
              <w:t>评价要点：</w:t>
            </w:r>
          </w:p>
          <w:p w14:paraId="1795F3C7">
            <w:pPr>
              <w:spacing w:after="0" w:line="240" w:lineRule="exact"/>
              <w:rPr>
                <w:rFonts w:ascii="宋体" w:hAnsi="宋体" w:eastAsia="宋体" w:cs="宋体"/>
              </w:rPr>
            </w:pPr>
            <w:r>
              <w:rPr>
                <w:rFonts w:hint="eastAsia" w:ascii="宋体" w:hAnsi="宋体" w:eastAsia="宋体" w:cs="宋体"/>
              </w:rPr>
              <w:t>1.符合国家财经法规和财务管理制度规定以及有关部门资金管理办法的规定；</w:t>
            </w:r>
          </w:p>
          <w:p w14:paraId="0EB163E8">
            <w:pPr>
              <w:spacing w:after="0" w:line="240" w:lineRule="exact"/>
              <w:rPr>
                <w:rFonts w:ascii="宋体" w:hAnsi="宋体" w:eastAsia="宋体" w:cs="宋体"/>
              </w:rPr>
            </w:pPr>
            <w:r>
              <w:rPr>
                <w:rFonts w:hint="eastAsia" w:ascii="宋体" w:hAnsi="宋体" w:eastAsia="宋体" w:cs="宋体"/>
              </w:rPr>
              <w:t>2.资金的拨付有完整的审批过程和手续；</w:t>
            </w:r>
          </w:p>
          <w:p w14:paraId="086D7880">
            <w:pPr>
              <w:spacing w:after="0" w:line="240" w:lineRule="exact"/>
              <w:rPr>
                <w:rFonts w:ascii="宋体" w:hAnsi="宋体" w:eastAsia="宋体" w:cs="宋体"/>
              </w:rPr>
            </w:pPr>
            <w:r>
              <w:rPr>
                <w:rFonts w:hint="eastAsia" w:ascii="宋体" w:hAnsi="宋体" w:eastAsia="宋体" w:cs="宋体"/>
              </w:rPr>
              <w:t>3.项目的重大开支经过评估论证；</w:t>
            </w:r>
          </w:p>
          <w:p w14:paraId="42E19583">
            <w:pPr>
              <w:spacing w:after="0" w:line="240" w:lineRule="exact"/>
              <w:rPr>
                <w:rFonts w:ascii="宋体" w:hAnsi="宋体" w:eastAsia="宋体" w:cs="宋体"/>
              </w:rPr>
            </w:pPr>
            <w:r>
              <w:rPr>
                <w:rFonts w:hint="eastAsia" w:ascii="宋体" w:hAnsi="宋体" w:eastAsia="宋体" w:cs="宋体"/>
              </w:rPr>
              <w:t>4.符合部门预算批复的用途；</w:t>
            </w:r>
          </w:p>
          <w:p w14:paraId="32CB66A2">
            <w:pPr>
              <w:spacing w:after="0" w:line="240" w:lineRule="exact"/>
              <w:rPr>
                <w:rFonts w:ascii="宋体" w:hAnsi="宋体" w:eastAsia="宋体" w:cs="宋体"/>
              </w:rPr>
            </w:pPr>
            <w:r>
              <w:rPr>
                <w:rFonts w:hint="eastAsia" w:ascii="宋体" w:hAnsi="宋体" w:eastAsia="宋体" w:cs="宋体"/>
              </w:rPr>
              <w:t>5.不存在截留情况；6.不存在挤占情况；</w:t>
            </w:r>
          </w:p>
          <w:p w14:paraId="2FA804C1">
            <w:pPr>
              <w:spacing w:after="0" w:line="240" w:lineRule="exact"/>
              <w:rPr>
                <w:rFonts w:ascii="宋体" w:hAnsi="宋体" w:eastAsia="宋体" w:cs="宋体"/>
              </w:rPr>
            </w:pPr>
            <w:r>
              <w:rPr>
                <w:rFonts w:hint="eastAsia" w:ascii="宋体" w:hAnsi="宋体" w:eastAsia="宋体" w:cs="宋体"/>
              </w:rPr>
              <w:t>7.不存在挪用情况；8.不存在虚列支出情况。</w:t>
            </w:r>
          </w:p>
        </w:tc>
        <w:tc>
          <w:tcPr>
            <w:tcW w:w="3423" w:type="dxa"/>
            <w:tcBorders>
              <w:top w:val="single" w:color="000000" w:sz="4" w:space="0"/>
              <w:left w:val="single" w:color="auto" w:sz="4" w:space="0"/>
              <w:bottom w:val="single" w:color="000000" w:sz="4" w:space="0"/>
              <w:right w:val="single" w:color="auto" w:sz="4" w:space="0"/>
            </w:tcBorders>
            <w:vAlign w:val="center"/>
          </w:tcPr>
          <w:p w14:paraId="59927202">
            <w:pPr>
              <w:spacing w:after="0" w:line="240" w:lineRule="exact"/>
              <w:rPr>
                <w:rFonts w:ascii="宋体" w:hAnsi="宋体" w:eastAsia="宋体" w:cs="宋体"/>
              </w:rPr>
            </w:pPr>
            <w:r>
              <w:rPr>
                <w:rFonts w:hint="eastAsia" w:ascii="宋体" w:hAnsi="宋体" w:eastAsia="宋体" w:cs="宋体"/>
              </w:rPr>
              <w:t>全部符合（9分）；</w:t>
            </w:r>
          </w:p>
          <w:p w14:paraId="3086687D">
            <w:pPr>
              <w:spacing w:after="0" w:line="240" w:lineRule="exact"/>
              <w:rPr>
                <w:rFonts w:ascii="宋体" w:hAnsi="宋体" w:eastAsia="宋体" w:cs="宋体"/>
              </w:rPr>
            </w:pPr>
            <w:r>
              <w:rPr>
                <w:rFonts w:hint="eastAsia" w:ascii="宋体" w:hAnsi="宋体" w:eastAsia="宋体" w:cs="宋体"/>
              </w:rPr>
              <w:t>符合其中七项（8分）；</w:t>
            </w:r>
          </w:p>
          <w:p w14:paraId="1DA4D3FA">
            <w:pPr>
              <w:spacing w:after="0" w:line="240" w:lineRule="exact"/>
              <w:rPr>
                <w:rFonts w:ascii="宋体" w:hAnsi="宋体" w:eastAsia="宋体" w:cs="宋体"/>
              </w:rPr>
            </w:pPr>
            <w:r>
              <w:rPr>
                <w:rFonts w:hint="eastAsia" w:ascii="宋体" w:hAnsi="宋体" w:eastAsia="宋体" w:cs="宋体"/>
              </w:rPr>
              <w:t>符合其中六项（5分）；</w:t>
            </w:r>
          </w:p>
          <w:p w14:paraId="0E3BE3F2">
            <w:pPr>
              <w:spacing w:after="0" w:line="240" w:lineRule="exact"/>
              <w:rPr>
                <w:rFonts w:ascii="宋体" w:hAnsi="宋体" w:eastAsia="宋体" w:cs="宋体"/>
              </w:rPr>
            </w:pPr>
            <w:r>
              <w:rPr>
                <w:rFonts w:hint="eastAsia" w:ascii="宋体" w:hAnsi="宋体" w:eastAsia="宋体" w:cs="宋体"/>
              </w:rPr>
              <w:t>符合其中五项（3分）；</w:t>
            </w:r>
          </w:p>
          <w:p w14:paraId="413508E5">
            <w:pPr>
              <w:spacing w:after="0" w:line="68" w:lineRule="atLeast"/>
              <w:rPr>
                <w:rFonts w:ascii="宋体" w:hAnsi="宋体" w:eastAsia="宋体" w:cs="宋体"/>
              </w:rPr>
            </w:pPr>
            <w:r>
              <w:rPr>
                <w:rFonts w:hint="eastAsia" w:ascii="宋体" w:hAnsi="宋体" w:eastAsia="宋体" w:cs="宋体"/>
              </w:rPr>
              <w:t>符合其中四项及以下（0分）。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312F57B0">
            <w:pPr>
              <w:spacing w:after="0" w:line="68" w:lineRule="atLeast"/>
              <w:jc w:val="center"/>
              <w:rPr>
                <w:rFonts w:ascii="宋体" w:hAnsi="宋体" w:eastAsia="宋体" w:cs="宋体"/>
              </w:rPr>
            </w:pPr>
            <w:r>
              <w:rPr>
                <w:rFonts w:hint="eastAsia" w:ascii="宋体" w:hAnsi="宋体" w:eastAsia="宋体" w:cs="宋体"/>
              </w:rPr>
              <w:t>9</w:t>
            </w:r>
          </w:p>
        </w:tc>
      </w:tr>
      <w:tr w14:paraId="3F6ED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3" w:hRule="atLeast"/>
          <w:jc w:val="center"/>
        </w:trPr>
        <w:tc>
          <w:tcPr>
            <w:tcW w:w="733" w:type="dxa"/>
            <w:vMerge w:val="continue"/>
            <w:tcBorders>
              <w:left w:val="single" w:color="000000" w:sz="4" w:space="0"/>
              <w:right w:val="single" w:color="000000" w:sz="4" w:space="0"/>
            </w:tcBorders>
            <w:vAlign w:val="center"/>
          </w:tcPr>
          <w:p w14:paraId="1DAA91E3">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390DE88C">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3A5A5ED5">
            <w:pPr>
              <w:spacing w:after="0" w:line="68" w:lineRule="atLeast"/>
              <w:rPr>
                <w:rFonts w:ascii="宋体" w:hAnsi="宋体" w:eastAsia="宋体" w:cs="宋体"/>
              </w:rPr>
            </w:pPr>
            <w:r>
              <w:rPr>
                <w:rFonts w:hint="eastAsia" w:ascii="宋体" w:hAnsi="宋体" w:eastAsia="宋体" w:cs="宋体"/>
              </w:rPr>
              <w:t>预决算信息公开性（3分）</w:t>
            </w:r>
          </w:p>
        </w:tc>
        <w:tc>
          <w:tcPr>
            <w:tcW w:w="6911" w:type="dxa"/>
            <w:tcBorders>
              <w:top w:val="single" w:color="000000" w:sz="4" w:space="0"/>
              <w:left w:val="single" w:color="auto" w:sz="4" w:space="0"/>
              <w:bottom w:val="single" w:color="000000" w:sz="4" w:space="0"/>
              <w:right w:val="single" w:color="auto" w:sz="4" w:space="0"/>
            </w:tcBorders>
            <w:vAlign w:val="center"/>
          </w:tcPr>
          <w:p w14:paraId="3F52EF62">
            <w:pPr>
              <w:spacing w:after="0" w:line="240" w:lineRule="exact"/>
              <w:rPr>
                <w:rFonts w:ascii="宋体" w:hAnsi="宋体" w:eastAsia="宋体" w:cs="宋体"/>
              </w:rPr>
            </w:pPr>
            <w:r>
              <w:rPr>
                <w:rFonts w:hint="eastAsia" w:ascii="宋体" w:hAnsi="宋体" w:eastAsia="宋体" w:cs="宋体"/>
              </w:rPr>
              <w:t>部门是否按照政府信息公开有关规定公开相关预决算信息，用以反映和评价部门预决算管理的公开透明情况。</w:t>
            </w:r>
          </w:p>
          <w:p w14:paraId="69C53F49">
            <w:pPr>
              <w:spacing w:after="0" w:line="240" w:lineRule="exact"/>
              <w:rPr>
                <w:rFonts w:ascii="宋体" w:hAnsi="宋体" w:eastAsia="宋体" w:cs="宋体"/>
              </w:rPr>
            </w:pPr>
            <w:r>
              <w:rPr>
                <w:rFonts w:hint="eastAsia" w:ascii="宋体" w:hAnsi="宋体" w:eastAsia="宋体" w:cs="宋体"/>
              </w:rPr>
              <w:t>预决算信息是指与部门预算、执行、决算、监督、绩效等管理相关的信息。</w:t>
            </w:r>
          </w:p>
          <w:p w14:paraId="3FBAE2AA">
            <w:pPr>
              <w:spacing w:after="0" w:line="240" w:lineRule="exact"/>
              <w:rPr>
                <w:rFonts w:ascii="宋体" w:hAnsi="宋体" w:eastAsia="宋体" w:cs="宋体"/>
              </w:rPr>
            </w:pPr>
            <w:r>
              <w:rPr>
                <w:rFonts w:hint="eastAsia" w:ascii="宋体" w:hAnsi="宋体" w:eastAsia="宋体" w:cs="宋体"/>
              </w:rPr>
              <w:t>评价要点：</w:t>
            </w:r>
          </w:p>
          <w:p w14:paraId="3C1B176C">
            <w:pPr>
              <w:spacing w:after="0" w:line="240" w:lineRule="exact"/>
              <w:rPr>
                <w:rFonts w:ascii="宋体" w:hAnsi="宋体" w:eastAsia="宋体" w:cs="宋体"/>
              </w:rPr>
            </w:pPr>
            <w:r>
              <w:rPr>
                <w:rFonts w:hint="eastAsia" w:ascii="宋体" w:hAnsi="宋体" w:eastAsia="宋体" w:cs="宋体"/>
              </w:rPr>
              <w:t>1.公开预决算信息；</w:t>
            </w:r>
          </w:p>
          <w:p w14:paraId="6742DC15">
            <w:pPr>
              <w:spacing w:after="0" w:line="240" w:lineRule="exact"/>
              <w:rPr>
                <w:rFonts w:ascii="宋体" w:hAnsi="宋体" w:eastAsia="宋体" w:cs="宋体"/>
              </w:rPr>
            </w:pPr>
            <w:r>
              <w:rPr>
                <w:rFonts w:hint="eastAsia" w:ascii="宋体" w:hAnsi="宋体" w:eastAsia="宋体" w:cs="宋体"/>
              </w:rPr>
              <w:t>2.按规定内容公开预决算信息；</w:t>
            </w:r>
          </w:p>
          <w:p w14:paraId="5478D7C8">
            <w:pPr>
              <w:spacing w:after="0" w:line="68" w:lineRule="atLeast"/>
              <w:rPr>
                <w:rFonts w:ascii="宋体" w:hAnsi="宋体" w:eastAsia="宋体" w:cs="宋体"/>
              </w:rPr>
            </w:pPr>
            <w:r>
              <w:rPr>
                <w:rFonts w:hint="eastAsia" w:ascii="宋体" w:hAnsi="宋体" w:eastAsia="宋体" w:cs="宋体"/>
              </w:rPr>
              <w:t>3.按规定时限公开预决算信息。</w:t>
            </w:r>
          </w:p>
        </w:tc>
        <w:tc>
          <w:tcPr>
            <w:tcW w:w="3423" w:type="dxa"/>
            <w:tcBorders>
              <w:top w:val="single" w:color="000000" w:sz="4" w:space="0"/>
              <w:left w:val="single" w:color="auto" w:sz="4" w:space="0"/>
              <w:bottom w:val="single" w:color="000000" w:sz="4" w:space="0"/>
              <w:right w:val="single" w:color="auto" w:sz="4" w:space="0"/>
            </w:tcBorders>
            <w:vAlign w:val="center"/>
          </w:tcPr>
          <w:p w14:paraId="038D6AB9">
            <w:pPr>
              <w:spacing w:after="0" w:line="240" w:lineRule="exact"/>
              <w:rPr>
                <w:rFonts w:ascii="宋体" w:hAnsi="宋体" w:eastAsia="宋体" w:cs="宋体"/>
              </w:rPr>
            </w:pPr>
            <w:r>
              <w:rPr>
                <w:rFonts w:hint="eastAsia" w:ascii="宋体" w:hAnsi="宋体" w:eastAsia="宋体" w:cs="宋体"/>
              </w:rPr>
              <w:t>全部符合（3分）；</w:t>
            </w:r>
          </w:p>
          <w:p w14:paraId="4BC6921C">
            <w:pPr>
              <w:spacing w:after="0" w:line="240" w:lineRule="exact"/>
              <w:rPr>
                <w:rFonts w:ascii="宋体" w:hAnsi="宋体" w:eastAsia="宋体" w:cs="宋体"/>
              </w:rPr>
            </w:pPr>
            <w:r>
              <w:rPr>
                <w:rFonts w:hint="eastAsia" w:ascii="宋体" w:hAnsi="宋体" w:eastAsia="宋体" w:cs="宋体"/>
              </w:rPr>
              <w:t>符合其中两项（2分）</w:t>
            </w:r>
          </w:p>
          <w:p w14:paraId="284C0857">
            <w:pPr>
              <w:spacing w:after="0" w:line="68" w:lineRule="atLeast"/>
              <w:rPr>
                <w:rFonts w:ascii="宋体" w:hAnsi="宋体" w:eastAsia="宋体" w:cs="宋体"/>
              </w:rPr>
            </w:pPr>
            <w:r>
              <w:rPr>
                <w:rFonts w:hint="eastAsia" w:ascii="宋体" w:hAnsi="宋体" w:eastAsia="宋体" w:cs="宋体"/>
              </w:rPr>
              <w:t>符合其中一项及以下（0分）。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3C2CD24D">
            <w:pPr>
              <w:spacing w:after="0" w:line="68" w:lineRule="atLeast"/>
              <w:jc w:val="center"/>
              <w:rPr>
                <w:rFonts w:ascii="宋体" w:hAnsi="宋体" w:eastAsia="宋体" w:cs="宋体"/>
              </w:rPr>
            </w:pPr>
            <w:r>
              <w:rPr>
                <w:rFonts w:hint="eastAsia" w:ascii="宋体" w:hAnsi="宋体" w:eastAsia="宋体" w:cs="宋体"/>
              </w:rPr>
              <w:t>3</w:t>
            </w:r>
          </w:p>
        </w:tc>
      </w:tr>
      <w:tr w14:paraId="5CEFA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4" w:hRule="atLeast"/>
          <w:jc w:val="center"/>
        </w:trPr>
        <w:tc>
          <w:tcPr>
            <w:tcW w:w="733" w:type="dxa"/>
            <w:vMerge w:val="continue"/>
            <w:tcBorders>
              <w:left w:val="single" w:color="000000" w:sz="4" w:space="0"/>
              <w:right w:val="single" w:color="000000" w:sz="4" w:space="0"/>
            </w:tcBorders>
            <w:vAlign w:val="center"/>
          </w:tcPr>
          <w:p w14:paraId="540CD466">
            <w:pPr>
              <w:spacing w:after="0"/>
              <w:rPr>
                <w:rFonts w:ascii="宋体" w:hAnsi="宋体" w:eastAsia="宋体" w:cs="宋体"/>
              </w:rPr>
            </w:pPr>
          </w:p>
        </w:tc>
        <w:tc>
          <w:tcPr>
            <w:tcW w:w="803" w:type="dxa"/>
            <w:vMerge w:val="continue"/>
            <w:tcBorders>
              <w:left w:val="single" w:color="000000" w:sz="4" w:space="0"/>
              <w:bottom w:val="single" w:color="000000" w:sz="4" w:space="0"/>
              <w:right w:val="single" w:color="000000" w:sz="4" w:space="0"/>
            </w:tcBorders>
            <w:vAlign w:val="center"/>
          </w:tcPr>
          <w:p w14:paraId="34A46FE2">
            <w:pPr>
              <w:spacing w:after="0"/>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02C481BB">
            <w:pPr>
              <w:spacing w:after="0" w:line="68" w:lineRule="atLeast"/>
              <w:rPr>
                <w:rFonts w:ascii="宋体" w:hAnsi="宋体" w:eastAsia="宋体" w:cs="宋体"/>
                <w:color w:val="000000"/>
              </w:rPr>
            </w:pPr>
            <w:r>
              <w:rPr>
                <w:rFonts w:hint="eastAsia" w:ascii="宋体" w:hAnsi="宋体" w:eastAsia="宋体" w:cs="宋体"/>
                <w:color w:val="000000"/>
              </w:rPr>
              <w:t>基础信息完善性</w:t>
            </w:r>
          </w:p>
          <w:p w14:paraId="0F8027DF">
            <w:pPr>
              <w:spacing w:after="0" w:line="68" w:lineRule="atLeast"/>
              <w:rPr>
                <w:rFonts w:ascii="宋体" w:hAnsi="宋体" w:eastAsia="宋体" w:cs="宋体"/>
              </w:rPr>
            </w:pPr>
            <w:r>
              <w:rPr>
                <w:rFonts w:hint="eastAsia" w:ascii="宋体" w:hAnsi="宋体" w:eastAsia="宋体" w:cs="宋体"/>
              </w:rPr>
              <w:t>（4分）</w:t>
            </w:r>
          </w:p>
        </w:tc>
        <w:tc>
          <w:tcPr>
            <w:tcW w:w="6911" w:type="dxa"/>
            <w:tcBorders>
              <w:top w:val="single" w:color="000000" w:sz="4" w:space="0"/>
              <w:left w:val="single" w:color="auto" w:sz="4" w:space="0"/>
              <w:bottom w:val="single" w:color="000000" w:sz="4" w:space="0"/>
              <w:right w:val="single" w:color="auto" w:sz="4" w:space="0"/>
            </w:tcBorders>
            <w:vAlign w:val="center"/>
          </w:tcPr>
          <w:p w14:paraId="5D5624A8">
            <w:pPr>
              <w:spacing w:after="0" w:line="240" w:lineRule="exact"/>
              <w:rPr>
                <w:rFonts w:ascii="宋体" w:hAnsi="宋体" w:eastAsia="宋体" w:cs="宋体"/>
              </w:rPr>
            </w:pPr>
            <w:r>
              <w:rPr>
                <w:rFonts w:hint="eastAsia" w:ascii="宋体" w:hAnsi="宋体" w:eastAsia="宋体" w:cs="宋体"/>
              </w:rPr>
              <w:t>部门基础信息是否完善，用以反映和评价基础信息对预算管理工作的支撑情况。</w:t>
            </w:r>
          </w:p>
          <w:p w14:paraId="7462C59B">
            <w:pPr>
              <w:spacing w:after="0" w:line="240" w:lineRule="exact"/>
              <w:rPr>
                <w:rFonts w:ascii="宋体" w:hAnsi="宋体" w:eastAsia="宋体" w:cs="宋体"/>
              </w:rPr>
            </w:pPr>
            <w:r>
              <w:rPr>
                <w:rFonts w:hint="eastAsia" w:ascii="宋体" w:hAnsi="宋体" w:eastAsia="宋体" w:cs="宋体"/>
              </w:rPr>
              <w:t>评价要点：</w:t>
            </w:r>
          </w:p>
          <w:p w14:paraId="315C9C6A">
            <w:pPr>
              <w:spacing w:after="0" w:line="240" w:lineRule="exact"/>
              <w:rPr>
                <w:rFonts w:ascii="宋体" w:hAnsi="宋体" w:eastAsia="宋体" w:cs="宋体"/>
              </w:rPr>
            </w:pPr>
            <w:r>
              <w:rPr>
                <w:rFonts w:hint="eastAsia" w:ascii="宋体" w:hAnsi="宋体" w:eastAsia="宋体" w:cs="宋体"/>
              </w:rPr>
              <w:t>1.基本财务管理制度健全；</w:t>
            </w:r>
          </w:p>
          <w:p w14:paraId="7C69A4D7">
            <w:pPr>
              <w:spacing w:after="0" w:line="240" w:lineRule="exact"/>
              <w:rPr>
                <w:rFonts w:ascii="宋体" w:hAnsi="宋体" w:eastAsia="宋体" w:cs="宋体"/>
              </w:rPr>
            </w:pPr>
            <w:r>
              <w:rPr>
                <w:rFonts w:hint="eastAsia" w:ascii="宋体" w:hAnsi="宋体" w:eastAsia="宋体" w:cs="宋体"/>
              </w:rPr>
              <w:t>2.基础数据信息和会计信息资料真实；</w:t>
            </w:r>
          </w:p>
          <w:p w14:paraId="3A868BEC">
            <w:pPr>
              <w:spacing w:after="0" w:line="240" w:lineRule="exact"/>
              <w:rPr>
                <w:rFonts w:ascii="宋体" w:hAnsi="宋体" w:eastAsia="宋体" w:cs="宋体"/>
              </w:rPr>
            </w:pPr>
            <w:r>
              <w:rPr>
                <w:rFonts w:hint="eastAsia" w:ascii="宋体" w:hAnsi="宋体" w:eastAsia="宋体" w:cs="宋体"/>
              </w:rPr>
              <w:t>3.基础数据信息和会计信息资料完整；</w:t>
            </w:r>
          </w:p>
          <w:p w14:paraId="180E8CFF">
            <w:pPr>
              <w:spacing w:after="0" w:line="68" w:lineRule="atLeast"/>
              <w:rPr>
                <w:rFonts w:ascii="宋体" w:hAnsi="宋体" w:eastAsia="宋体" w:cs="宋体"/>
              </w:rPr>
            </w:pPr>
            <w:r>
              <w:rPr>
                <w:rFonts w:hint="eastAsia" w:ascii="宋体" w:hAnsi="宋体" w:eastAsia="宋体" w:cs="宋体"/>
              </w:rPr>
              <w:t>4.基础数据信息和会计信息资料准确。</w:t>
            </w:r>
          </w:p>
        </w:tc>
        <w:tc>
          <w:tcPr>
            <w:tcW w:w="3423" w:type="dxa"/>
            <w:tcBorders>
              <w:top w:val="single" w:color="000000" w:sz="4" w:space="0"/>
              <w:left w:val="single" w:color="auto" w:sz="4" w:space="0"/>
              <w:bottom w:val="single" w:color="000000" w:sz="4" w:space="0"/>
              <w:right w:val="single" w:color="auto" w:sz="4" w:space="0"/>
            </w:tcBorders>
            <w:vAlign w:val="center"/>
          </w:tcPr>
          <w:p w14:paraId="714AFB89">
            <w:pPr>
              <w:spacing w:after="0" w:line="240" w:lineRule="exact"/>
              <w:rPr>
                <w:rFonts w:ascii="宋体" w:hAnsi="宋体" w:eastAsia="宋体" w:cs="宋体"/>
              </w:rPr>
            </w:pPr>
            <w:r>
              <w:rPr>
                <w:rFonts w:hint="eastAsia" w:ascii="宋体" w:hAnsi="宋体" w:eastAsia="宋体" w:cs="宋体"/>
              </w:rPr>
              <w:t>符合全部四项（4分）；</w:t>
            </w:r>
          </w:p>
          <w:p w14:paraId="1F2CDE97">
            <w:pPr>
              <w:spacing w:after="0" w:line="240" w:lineRule="exact"/>
              <w:rPr>
                <w:rFonts w:ascii="宋体" w:hAnsi="宋体" w:eastAsia="宋体" w:cs="宋体"/>
              </w:rPr>
            </w:pPr>
            <w:r>
              <w:rPr>
                <w:rFonts w:hint="eastAsia" w:ascii="宋体" w:hAnsi="宋体" w:eastAsia="宋体" w:cs="宋体"/>
              </w:rPr>
              <w:t>符合其中三项（2分）；</w:t>
            </w:r>
          </w:p>
          <w:p w14:paraId="40BD2950">
            <w:pPr>
              <w:spacing w:after="0" w:line="240" w:lineRule="exact"/>
              <w:rPr>
                <w:rFonts w:ascii="宋体" w:hAnsi="宋体" w:eastAsia="宋体" w:cs="宋体"/>
              </w:rPr>
            </w:pPr>
            <w:r>
              <w:rPr>
                <w:rFonts w:hint="eastAsia" w:ascii="宋体" w:hAnsi="宋体" w:eastAsia="宋体" w:cs="宋体"/>
              </w:rPr>
              <w:t>符合其中两项（1分）；</w:t>
            </w:r>
          </w:p>
          <w:p w14:paraId="512B7F4F">
            <w:pPr>
              <w:spacing w:after="0" w:line="68" w:lineRule="atLeast"/>
              <w:rPr>
                <w:rFonts w:ascii="宋体" w:hAnsi="宋体" w:eastAsia="宋体" w:cs="宋体"/>
              </w:rPr>
            </w:pPr>
            <w:r>
              <w:rPr>
                <w:rFonts w:hint="eastAsia" w:ascii="宋体" w:hAnsi="宋体" w:eastAsia="宋体" w:cs="宋体"/>
              </w:rPr>
              <w:t>符合其中一项及以下（0分）。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0330C630">
            <w:pPr>
              <w:spacing w:after="0" w:line="68" w:lineRule="atLeast"/>
              <w:jc w:val="center"/>
              <w:rPr>
                <w:rFonts w:ascii="宋体" w:hAnsi="宋体" w:eastAsia="宋体" w:cs="宋体"/>
              </w:rPr>
            </w:pPr>
            <w:r>
              <w:rPr>
                <w:rFonts w:hint="eastAsia" w:ascii="宋体" w:hAnsi="宋体" w:eastAsia="宋体" w:cs="宋体"/>
              </w:rPr>
              <w:t>4</w:t>
            </w:r>
          </w:p>
        </w:tc>
      </w:tr>
      <w:tr w14:paraId="454A9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5" w:hRule="atLeast"/>
          <w:jc w:val="center"/>
        </w:trPr>
        <w:tc>
          <w:tcPr>
            <w:tcW w:w="733" w:type="dxa"/>
            <w:vMerge w:val="continue"/>
            <w:tcBorders>
              <w:left w:val="single" w:color="000000" w:sz="4" w:space="0"/>
              <w:right w:val="single" w:color="000000" w:sz="4" w:space="0"/>
            </w:tcBorders>
            <w:vAlign w:val="center"/>
          </w:tcPr>
          <w:p w14:paraId="7E41081F">
            <w:pPr>
              <w:spacing w:after="0"/>
              <w:rPr>
                <w:rFonts w:ascii="宋体" w:hAnsi="宋体" w:eastAsia="宋体" w:cs="宋体"/>
              </w:rPr>
            </w:pPr>
          </w:p>
        </w:tc>
        <w:tc>
          <w:tcPr>
            <w:tcW w:w="803" w:type="dxa"/>
            <w:vMerge w:val="restart"/>
            <w:tcBorders>
              <w:left w:val="single" w:color="000000" w:sz="4" w:space="0"/>
              <w:right w:val="single" w:color="000000" w:sz="4" w:space="0"/>
            </w:tcBorders>
            <w:vAlign w:val="center"/>
          </w:tcPr>
          <w:p w14:paraId="2623D1A2">
            <w:pPr>
              <w:spacing w:after="0" w:line="68" w:lineRule="atLeast"/>
              <w:rPr>
                <w:rFonts w:ascii="宋体" w:hAnsi="宋体" w:eastAsia="宋体" w:cs="宋体"/>
              </w:rPr>
            </w:pPr>
            <w:r>
              <w:rPr>
                <w:rFonts w:hint="eastAsia" w:ascii="宋体" w:hAnsi="宋体" w:eastAsia="宋体" w:cs="宋体"/>
              </w:rPr>
              <w:t>资产管理（8分）</w:t>
            </w:r>
          </w:p>
        </w:tc>
        <w:tc>
          <w:tcPr>
            <w:tcW w:w="1182" w:type="dxa"/>
            <w:tcBorders>
              <w:top w:val="single" w:color="000000" w:sz="4" w:space="0"/>
              <w:left w:val="single" w:color="000000" w:sz="4" w:space="0"/>
              <w:bottom w:val="single" w:color="000000" w:sz="4" w:space="0"/>
              <w:right w:val="single" w:color="auto" w:sz="4" w:space="0"/>
            </w:tcBorders>
            <w:vAlign w:val="center"/>
          </w:tcPr>
          <w:p w14:paraId="1FBC4244">
            <w:pPr>
              <w:spacing w:after="0" w:line="68" w:lineRule="atLeast"/>
              <w:rPr>
                <w:rFonts w:ascii="宋体" w:hAnsi="宋体" w:eastAsia="宋体" w:cs="宋体"/>
                <w:color w:val="000000"/>
              </w:rPr>
            </w:pPr>
            <w:r>
              <w:rPr>
                <w:rFonts w:hint="eastAsia" w:ascii="宋体" w:hAnsi="宋体" w:eastAsia="宋体" w:cs="宋体"/>
                <w:color w:val="000000"/>
              </w:rPr>
              <w:t>管理制度健全性</w:t>
            </w:r>
          </w:p>
          <w:p w14:paraId="0B936A08">
            <w:pPr>
              <w:spacing w:after="0" w:line="68" w:lineRule="atLeast"/>
              <w:rPr>
                <w:rFonts w:ascii="宋体" w:hAnsi="宋体" w:eastAsia="宋体" w:cs="宋体"/>
                <w:color w:val="000000"/>
              </w:rPr>
            </w:pPr>
            <w:r>
              <w:rPr>
                <w:rFonts w:hint="eastAsia" w:ascii="宋体" w:hAnsi="宋体" w:eastAsia="宋体" w:cs="宋体"/>
                <w:color w:val="000000"/>
              </w:rPr>
              <w:t>（2分）</w:t>
            </w:r>
          </w:p>
        </w:tc>
        <w:tc>
          <w:tcPr>
            <w:tcW w:w="6911" w:type="dxa"/>
            <w:tcBorders>
              <w:top w:val="single" w:color="000000" w:sz="4" w:space="0"/>
              <w:left w:val="single" w:color="auto" w:sz="4" w:space="0"/>
              <w:bottom w:val="single" w:color="000000" w:sz="4" w:space="0"/>
              <w:right w:val="single" w:color="auto" w:sz="4" w:space="0"/>
            </w:tcBorders>
            <w:vAlign w:val="center"/>
          </w:tcPr>
          <w:p w14:paraId="26D98490">
            <w:pPr>
              <w:spacing w:after="0" w:line="240" w:lineRule="exact"/>
              <w:rPr>
                <w:rFonts w:ascii="宋体" w:hAnsi="宋体" w:eastAsia="宋体" w:cs="宋体"/>
              </w:rPr>
            </w:pPr>
            <w:r>
              <w:rPr>
                <w:rFonts w:hint="eastAsia" w:ascii="宋体" w:hAnsi="宋体" w:eastAsia="宋体" w:cs="宋体"/>
              </w:rPr>
              <w:t>部门为加强资产管理、规范资产管理行为而制定的管理制度是否健全完整，用以反映和考核部门资产管理制度对完成主要职责或促进社会发展的保障情况。</w:t>
            </w:r>
          </w:p>
          <w:p w14:paraId="57FC3FD2">
            <w:pPr>
              <w:spacing w:after="0" w:line="240" w:lineRule="exact"/>
              <w:rPr>
                <w:rFonts w:ascii="宋体" w:hAnsi="宋体" w:eastAsia="宋体" w:cs="宋体"/>
              </w:rPr>
            </w:pPr>
            <w:r>
              <w:rPr>
                <w:rFonts w:hint="eastAsia" w:ascii="宋体" w:hAnsi="宋体" w:eastAsia="宋体" w:cs="宋体"/>
              </w:rPr>
              <w:t>评价要点：</w:t>
            </w:r>
          </w:p>
          <w:p w14:paraId="77CE5368">
            <w:pPr>
              <w:spacing w:after="0" w:line="240" w:lineRule="exact"/>
              <w:rPr>
                <w:rFonts w:ascii="宋体" w:hAnsi="宋体" w:eastAsia="宋体" w:cs="宋体"/>
              </w:rPr>
            </w:pPr>
            <w:r>
              <w:rPr>
                <w:rFonts w:hint="eastAsia" w:ascii="宋体" w:hAnsi="宋体" w:eastAsia="宋体" w:cs="宋体"/>
              </w:rPr>
              <w:t>1.是否已制定或具有资产管理制度；</w:t>
            </w:r>
          </w:p>
          <w:p w14:paraId="44C429B0">
            <w:pPr>
              <w:spacing w:after="0" w:line="240" w:lineRule="exact"/>
              <w:rPr>
                <w:rFonts w:ascii="宋体" w:hAnsi="宋体" w:eastAsia="宋体" w:cs="宋体"/>
              </w:rPr>
            </w:pPr>
            <w:r>
              <w:rPr>
                <w:rFonts w:hint="eastAsia" w:ascii="宋体" w:hAnsi="宋体" w:eastAsia="宋体" w:cs="宋体"/>
              </w:rPr>
              <w:t>2.相关资金管理制度是否合法、合规、完整；</w:t>
            </w:r>
          </w:p>
          <w:p w14:paraId="0D18A2A6">
            <w:pPr>
              <w:spacing w:after="0" w:line="240" w:lineRule="exact"/>
              <w:rPr>
                <w:rFonts w:ascii="宋体" w:hAnsi="宋体" w:eastAsia="宋体" w:cs="宋体"/>
              </w:rPr>
            </w:pPr>
            <w:r>
              <w:rPr>
                <w:rFonts w:hint="eastAsia" w:ascii="宋体" w:hAnsi="宋体" w:eastAsia="宋体" w:cs="宋体"/>
              </w:rPr>
              <w:t>3.相关资产管理制度是否得到有效执行。</w:t>
            </w:r>
          </w:p>
        </w:tc>
        <w:tc>
          <w:tcPr>
            <w:tcW w:w="3423" w:type="dxa"/>
            <w:tcBorders>
              <w:top w:val="single" w:color="000000" w:sz="4" w:space="0"/>
              <w:left w:val="single" w:color="auto" w:sz="4" w:space="0"/>
              <w:bottom w:val="single" w:color="000000" w:sz="4" w:space="0"/>
              <w:right w:val="single" w:color="auto" w:sz="4" w:space="0"/>
            </w:tcBorders>
            <w:vAlign w:val="center"/>
          </w:tcPr>
          <w:p w14:paraId="75888C38">
            <w:pPr>
              <w:spacing w:after="0" w:line="240" w:lineRule="exact"/>
              <w:rPr>
                <w:rFonts w:ascii="宋体" w:hAnsi="宋体" w:eastAsia="宋体" w:cs="宋体"/>
              </w:rPr>
            </w:pPr>
            <w:r>
              <w:rPr>
                <w:rFonts w:hint="eastAsia" w:ascii="宋体" w:hAnsi="宋体" w:eastAsia="宋体" w:cs="宋体"/>
              </w:rPr>
              <w:t>全部符合（2分）；</w:t>
            </w:r>
          </w:p>
          <w:p w14:paraId="64D69079">
            <w:pPr>
              <w:spacing w:after="0" w:line="240" w:lineRule="exact"/>
              <w:rPr>
                <w:rFonts w:ascii="宋体" w:hAnsi="宋体" w:eastAsia="宋体" w:cs="宋体"/>
              </w:rPr>
            </w:pPr>
            <w:r>
              <w:rPr>
                <w:rFonts w:hint="eastAsia" w:ascii="宋体" w:hAnsi="宋体" w:eastAsia="宋体" w:cs="宋体"/>
              </w:rPr>
              <w:t>符合其中两项（1分）</w:t>
            </w:r>
          </w:p>
          <w:p w14:paraId="0CD89842">
            <w:pPr>
              <w:spacing w:after="0" w:line="240" w:lineRule="exact"/>
              <w:rPr>
                <w:rFonts w:ascii="宋体" w:hAnsi="宋体" w:eastAsia="宋体" w:cs="宋体"/>
              </w:rPr>
            </w:pPr>
            <w:r>
              <w:rPr>
                <w:rFonts w:hint="eastAsia" w:ascii="宋体" w:hAnsi="宋体" w:eastAsia="宋体" w:cs="宋体"/>
              </w:rPr>
              <w:t>符合其中一项及以下（0分）。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1257C201">
            <w:pPr>
              <w:spacing w:after="0" w:line="68" w:lineRule="atLeast"/>
              <w:jc w:val="center"/>
              <w:rPr>
                <w:rFonts w:ascii="宋体" w:hAnsi="宋体" w:eastAsia="宋体" w:cs="宋体"/>
              </w:rPr>
            </w:pPr>
            <w:r>
              <w:rPr>
                <w:rFonts w:hint="eastAsia" w:ascii="宋体" w:hAnsi="宋体" w:eastAsia="宋体" w:cs="宋体"/>
              </w:rPr>
              <w:t>2</w:t>
            </w:r>
          </w:p>
        </w:tc>
      </w:tr>
      <w:tr w14:paraId="40757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6" w:hRule="atLeast"/>
          <w:jc w:val="center"/>
        </w:trPr>
        <w:tc>
          <w:tcPr>
            <w:tcW w:w="733" w:type="dxa"/>
            <w:vMerge w:val="continue"/>
            <w:tcBorders>
              <w:left w:val="single" w:color="000000" w:sz="4" w:space="0"/>
              <w:right w:val="single" w:color="000000" w:sz="4" w:space="0"/>
            </w:tcBorders>
            <w:vAlign w:val="center"/>
          </w:tcPr>
          <w:p w14:paraId="3DFFE6DB">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3C76C869">
            <w:pPr>
              <w:spacing w:after="0" w:line="68" w:lineRule="atLeast"/>
              <w:rPr>
                <w:rFonts w:ascii="宋体" w:hAnsi="宋体" w:eastAsia="宋体" w:cs="宋体"/>
              </w:rPr>
            </w:pPr>
          </w:p>
        </w:tc>
        <w:tc>
          <w:tcPr>
            <w:tcW w:w="1182" w:type="dxa"/>
            <w:tcBorders>
              <w:top w:val="single" w:color="auto" w:sz="4" w:space="0"/>
              <w:left w:val="single" w:color="000000" w:sz="4" w:space="0"/>
              <w:bottom w:val="single" w:color="000000" w:sz="4" w:space="0"/>
              <w:right w:val="single" w:color="auto" w:sz="4" w:space="0"/>
            </w:tcBorders>
            <w:vAlign w:val="center"/>
          </w:tcPr>
          <w:p w14:paraId="2617CBF9">
            <w:pPr>
              <w:spacing w:after="0" w:line="68" w:lineRule="atLeast"/>
              <w:rPr>
                <w:rFonts w:ascii="宋体" w:hAnsi="宋体" w:eastAsia="宋体" w:cs="宋体"/>
              </w:rPr>
            </w:pPr>
            <w:r>
              <w:rPr>
                <w:rFonts w:hint="eastAsia" w:ascii="宋体" w:hAnsi="宋体" w:eastAsia="宋体" w:cs="宋体"/>
              </w:rPr>
              <w:t>资产管理完全性</w:t>
            </w:r>
          </w:p>
          <w:p w14:paraId="673D751A">
            <w:pPr>
              <w:spacing w:after="0" w:line="68" w:lineRule="atLeast"/>
              <w:rPr>
                <w:rFonts w:ascii="宋体" w:hAnsi="宋体" w:eastAsia="宋体" w:cs="宋体"/>
              </w:rPr>
            </w:pPr>
            <w:r>
              <w:rPr>
                <w:rFonts w:hint="eastAsia" w:ascii="宋体" w:hAnsi="宋体" w:eastAsia="宋体" w:cs="宋体"/>
              </w:rPr>
              <w:t>（3分）</w:t>
            </w:r>
          </w:p>
        </w:tc>
        <w:tc>
          <w:tcPr>
            <w:tcW w:w="6911" w:type="dxa"/>
            <w:tcBorders>
              <w:top w:val="single" w:color="auto" w:sz="4" w:space="0"/>
              <w:left w:val="single" w:color="auto" w:sz="4" w:space="0"/>
              <w:bottom w:val="single" w:color="000000" w:sz="4" w:space="0"/>
              <w:right w:val="single" w:color="auto" w:sz="4" w:space="0"/>
            </w:tcBorders>
            <w:vAlign w:val="center"/>
          </w:tcPr>
          <w:p w14:paraId="22528A76">
            <w:pPr>
              <w:spacing w:after="0" w:line="240" w:lineRule="exact"/>
              <w:rPr>
                <w:rFonts w:ascii="宋体" w:hAnsi="宋体" w:eastAsia="宋体" w:cs="宋体"/>
              </w:rPr>
            </w:pPr>
            <w:r>
              <w:rPr>
                <w:rFonts w:hint="eastAsia" w:ascii="宋体" w:hAnsi="宋体" w:eastAsia="宋体" w:cs="宋体"/>
              </w:rPr>
              <w:t>部门的资产是否保存完整、使用合规、收入及时足额上缴，用以反映和评价部门资产运行情况。</w:t>
            </w:r>
          </w:p>
          <w:p w14:paraId="3D45B185">
            <w:pPr>
              <w:spacing w:after="0" w:line="240" w:lineRule="exact"/>
              <w:rPr>
                <w:rFonts w:ascii="宋体" w:hAnsi="宋体" w:eastAsia="宋体" w:cs="宋体"/>
              </w:rPr>
            </w:pPr>
            <w:r>
              <w:rPr>
                <w:rFonts w:hint="eastAsia" w:ascii="宋体" w:hAnsi="宋体" w:eastAsia="宋体" w:cs="宋体"/>
              </w:rPr>
              <w:t>评价要点：</w:t>
            </w:r>
          </w:p>
          <w:p w14:paraId="64F70BB4">
            <w:pPr>
              <w:spacing w:after="0" w:line="240" w:lineRule="exact"/>
              <w:rPr>
                <w:rFonts w:ascii="宋体" w:hAnsi="宋体" w:eastAsia="宋体" w:cs="宋体"/>
              </w:rPr>
            </w:pPr>
            <w:r>
              <w:rPr>
                <w:rFonts w:hint="eastAsia" w:ascii="宋体" w:hAnsi="宋体" w:eastAsia="宋体" w:cs="宋体"/>
              </w:rPr>
              <w:t>1.资产保存完整；</w:t>
            </w:r>
          </w:p>
          <w:p w14:paraId="7BCE3AA0">
            <w:pPr>
              <w:spacing w:after="0" w:line="240" w:lineRule="exact"/>
              <w:rPr>
                <w:rFonts w:ascii="宋体" w:hAnsi="宋体" w:eastAsia="宋体" w:cs="宋体"/>
              </w:rPr>
            </w:pPr>
            <w:r>
              <w:rPr>
                <w:rFonts w:hint="eastAsia" w:ascii="宋体" w:hAnsi="宋体" w:eastAsia="宋体" w:cs="宋体"/>
              </w:rPr>
              <w:t>2.资产账务管理是否合规，</w:t>
            </w:r>
            <w:r>
              <w:rPr>
                <w:rFonts w:hint="eastAsia" w:ascii="宋体" w:hAnsi="宋体" w:eastAsia="宋体" w:cs="宋体"/>
                <w:lang w:val="en-US" w:eastAsia="zh-CN"/>
              </w:rPr>
              <w:t>账</w:t>
            </w:r>
            <w:r>
              <w:rPr>
                <w:rFonts w:hint="eastAsia" w:ascii="宋体" w:hAnsi="宋体" w:eastAsia="宋体" w:cs="宋体"/>
              </w:rPr>
              <w:t>实相符；</w:t>
            </w:r>
          </w:p>
          <w:p w14:paraId="6A15FB1D">
            <w:pPr>
              <w:spacing w:after="0" w:line="68" w:lineRule="atLeast"/>
              <w:rPr>
                <w:rFonts w:ascii="宋体" w:hAnsi="宋体" w:eastAsia="宋体" w:cs="宋体"/>
              </w:rPr>
            </w:pPr>
            <w:r>
              <w:rPr>
                <w:rFonts w:hint="eastAsia" w:ascii="宋体" w:hAnsi="宋体" w:eastAsia="宋体" w:cs="宋体"/>
              </w:rPr>
              <w:t>3.资产有偿使用及处置收入及时足额上缴。</w:t>
            </w:r>
          </w:p>
        </w:tc>
        <w:tc>
          <w:tcPr>
            <w:tcW w:w="3423" w:type="dxa"/>
            <w:tcBorders>
              <w:top w:val="single" w:color="auto" w:sz="4" w:space="0"/>
              <w:left w:val="single" w:color="auto" w:sz="4" w:space="0"/>
              <w:bottom w:val="single" w:color="000000" w:sz="4" w:space="0"/>
              <w:right w:val="single" w:color="auto" w:sz="4" w:space="0"/>
            </w:tcBorders>
            <w:vAlign w:val="center"/>
          </w:tcPr>
          <w:p w14:paraId="7858E8BF">
            <w:pPr>
              <w:spacing w:after="0" w:line="240" w:lineRule="exact"/>
              <w:rPr>
                <w:rFonts w:ascii="宋体" w:hAnsi="宋体" w:eastAsia="宋体" w:cs="宋体"/>
              </w:rPr>
            </w:pPr>
            <w:r>
              <w:rPr>
                <w:rFonts w:hint="eastAsia" w:ascii="宋体" w:hAnsi="宋体" w:eastAsia="宋体" w:cs="宋体"/>
              </w:rPr>
              <w:t>符合全部三项（3分）；</w:t>
            </w:r>
          </w:p>
          <w:p w14:paraId="45EC2ADE">
            <w:pPr>
              <w:spacing w:after="0" w:line="240" w:lineRule="exact"/>
              <w:rPr>
                <w:rFonts w:ascii="宋体" w:hAnsi="宋体" w:eastAsia="宋体" w:cs="宋体"/>
              </w:rPr>
            </w:pPr>
            <w:r>
              <w:rPr>
                <w:rFonts w:hint="eastAsia" w:ascii="宋体" w:hAnsi="宋体" w:eastAsia="宋体" w:cs="宋体"/>
              </w:rPr>
              <w:t>符合其中两项（2分）；</w:t>
            </w:r>
          </w:p>
          <w:p w14:paraId="0CF549F0">
            <w:pPr>
              <w:spacing w:after="0" w:line="240" w:lineRule="exact"/>
              <w:rPr>
                <w:rFonts w:ascii="宋体" w:hAnsi="宋体" w:eastAsia="宋体" w:cs="宋体"/>
              </w:rPr>
            </w:pPr>
            <w:r>
              <w:rPr>
                <w:rFonts w:hint="eastAsia" w:ascii="宋体" w:hAnsi="宋体" w:eastAsia="宋体" w:cs="宋体"/>
              </w:rPr>
              <w:t>符合其中一项（1分）；</w:t>
            </w:r>
          </w:p>
          <w:p w14:paraId="5B765D72">
            <w:pPr>
              <w:spacing w:after="0" w:line="68" w:lineRule="atLeast"/>
              <w:rPr>
                <w:rFonts w:ascii="宋体" w:hAnsi="宋体" w:eastAsia="宋体" w:cs="宋体"/>
              </w:rPr>
            </w:pPr>
            <w:r>
              <w:rPr>
                <w:rFonts w:hint="eastAsia" w:ascii="宋体" w:hAnsi="宋体" w:eastAsia="宋体" w:cs="宋体"/>
              </w:rPr>
              <w:t>符合零项（0分）。</w:t>
            </w:r>
          </w:p>
        </w:tc>
        <w:tc>
          <w:tcPr>
            <w:tcW w:w="1090" w:type="dxa"/>
            <w:tcBorders>
              <w:top w:val="single" w:color="auto" w:sz="4" w:space="0"/>
              <w:left w:val="single" w:color="auto" w:sz="4" w:space="0"/>
              <w:bottom w:val="single" w:color="000000" w:sz="4" w:space="0"/>
              <w:right w:val="single" w:color="000000" w:sz="4" w:space="0"/>
            </w:tcBorders>
            <w:vAlign w:val="center"/>
          </w:tcPr>
          <w:p w14:paraId="40FCD15F">
            <w:pPr>
              <w:spacing w:after="0" w:line="68" w:lineRule="atLeast"/>
              <w:jc w:val="center"/>
              <w:rPr>
                <w:rFonts w:ascii="宋体" w:hAnsi="宋体" w:eastAsia="宋体" w:cs="宋体"/>
              </w:rPr>
            </w:pPr>
            <w:r>
              <w:rPr>
                <w:rFonts w:hint="eastAsia" w:ascii="宋体" w:hAnsi="宋体" w:eastAsia="宋体" w:cs="宋体"/>
              </w:rPr>
              <w:t>3</w:t>
            </w:r>
          </w:p>
        </w:tc>
      </w:tr>
      <w:tr w14:paraId="1F73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9" w:hRule="atLeast"/>
          <w:jc w:val="center"/>
        </w:trPr>
        <w:tc>
          <w:tcPr>
            <w:tcW w:w="733" w:type="dxa"/>
            <w:vMerge w:val="continue"/>
            <w:tcBorders>
              <w:left w:val="single" w:color="000000" w:sz="4" w:space="0"/>
              <w:right w:val="single" w:color="000000" w:sz="4" w:space="0"/>
            </w:tcBorders>
            <w:vAlign w:val="center"/>
          </w:tcPr>
          <w:p w14:paraId="1FDC8D29">
            <w:pPr>
              <w:spacing w:after="0"/>
              <w:rPr>
                <w:rFonts w:ascii="宋体" w:hAnsi="宋体" w:eastAsia="宋体" w:cs="宋体"/>
              </w:rPr>
            </w:pPr>
          </w:p>
        </w:tc>
        <w:tc>
          <w:tcPr>
            <w:tcW w:w="803" w:type="dxa"/>
            <w:vMerge w:val="continue"/>
            <w:tcBorders>
              <w:left w:val="single" w:color="000000" w:sz="4" w:space="0"/>
              <w:bottom w:val="single" w:color="000000" w:sz="4" w:space="0"/>
              <w:right w:val="single" w:color="000000" w:sz="4" w:space="0"/>
            </w:tcBorders>
            <w:vAlign w:val="center"/>
          </w:tcPr>
          <w:p w14:paraId="085D0842">
            <w:pPr>
              <w:spacing w:after="0"/>
              <w:rPr>
                <w:rFonts w:ascii="宋体" w:hAnsi="宋体" w:eastAsia="宋体" w:cs="宋体"/>
              </w:rPr>
            </w:pPr>
          </w:p>
        </w:tc>
        <w:tc>
          <w:tcPr>
            <w:tcW w:w="1182" w:type="dxa"/>
            <w:tcBorders>
              <w:top w:val="single" w:color="auto" w:sz="4" w:space="0"/>
              <w:left w:val="single" w:color="000000" w:sz="4" w:space="0"/>
              <w:bottom w:val="single" w:color="000000" w:sz="4" w:space="0"/>
              <w:right w:val="single" w:color="auto" w:sz="4" w:space="0"/>
            </w:tcBorders>
            <w:vAlign w:val="center"/>
          </w:tcPr>
          <w:p w14:paraId="0D57FE44">
            <w:pPr>
              <w:spacing w:after="0" w:line="68" w:lineRule="atLeast"/>
              <w:rPr>
                <w:rFonts w:ascii="宋体" w:hAnsi="宋体" w:eastAsia="宋体" w:cs="宋体"/>
              </w:rPr>
            </w:pPr>
            <w:r>
              <w:rPr>
                <w:rFonts w:hint="eastAsia" w:ascii="宋体" w:hAnsi="宋体" w:eastAsia="宋体" w:cs="宋体"/>
              </w:rPr>
              <w:t>固定资产利用率</w:t>
            </w:r>
          </w:p>
          <w:p w14:paraId="1AB1489A">
            <w:pPr>
              <w:spacing w:after="0" w:line="68" w:lineRule="atLeast"/>
              <w:rPr>
                <w:rFonts w:ascii="宋体" w:hAnsi="宋体" w:eastAsia="宋体" w:cs="宋体"/>
              </w:rPr>
            </w:pPr>
            <w:r>
              <w:rPr>
                <w:rFonts w:hint="eastAsia" w:ascii="宋体" w:hAnsi="宋体" w:eastAsia="宋体" w:cs="宋体"/>
              </w:rPr>
              <w:t>（3分）</w:t>
            </w:r>
          </w:p>
        </w:tc>
        <w:tc>
          <w:tcPr>
            <w:tcW w:w="6911" w:type="dxa"/>
            <w:tcBorders>
              <w:top w:val="single" w:color="auto" w:sz="4" w:space="0"/>
              <w:left w:val="single" w:color="auto" w:sz="4" w:space="0"/>
              <w:bottom w:val="single" w:color="000000" w:sz="4" w:space="0"/>
              <w:right w:val="single" w:color="auto" w:sz="4" w:space="0"/>
            </w:tcBorders>
            <w:vAlign w:val="center"/>
          </w:tcPr>
          <w:p w14:paraId="507326D1">
            <w:pPr>
              <w:spacing w:after="0" w:line="240" w:lineRule="exact"/>
              <w:rPr>
                <w:rFonts w:ascii="宋体" w:hAnsi="宋体" w:eastAsia="宋体" w:cs="宋体"/>
              </w:rPr>
            </w:pPr>
            <w:r>
              <w:rPr>
                <w:rFonts w:hint="eastAsia" w:ascii="宋体" w:hAnsi="宋体" w:eastAsia="宋体" w:cs="宋体"/>
              </w:rPr>
              <w:t>部门实际在用固定资产总额与所有固定资产总额的比率，用以反映和评价部门固定资产使用效率。</w:t>
            </w:r>
          </w:p>
          <w:p w14:paraId="585D6C5D">
            <w:pPr>
              <w:spacing w:after="0" w:line="68" w:lineRule="atLeast"/>
              <w:rPr>
                <w:rFonts w:ascii="宋体" w:hAnsi="宋体" w:eastAsia="宋体" w:cs="宋体"/>
              </w:rPr>
            </w:pPr>
            <w:r>
              <w:rPr>
                <w:rFonts w:hint="eastAsia" w:ascii="宋体" w:hAnsi="宋体" w:eastAsia="宋体" w:cs="宋体"/>
              </w:rPr>
              <w:t>固定资产利用率=（实际在用固定资产总额/所有固定资产总额）×100%。</w:t>
            </w:r>
          </w:p>
        </w:tc>
        <w:tc>
          <w:tcPr>
            <w:tcW w:w="3423" w:type="dxa"/>
            <w:tcBorders>
              <w:top w:val="single" w:color="auto" w:sz="4" w:space="0"/>
              <w:left w:val="single" w:color="auto" w:sz="4" w:space="0"/>
              <w:bottom w:val="single" w:color="000000" w:sz="4" w:space="0"/>
              <w:right w:val="single" w:color="auto" w:sz="4" w:space="0"/>
            </w:tcBorders>
            <w:vAlign w:val="center"/>
          </w:tcPr>
          <w:p w14:paraId="4040B1CA">
            <w:pPr>
              <w:spacing w:after="0" w:line="68" w:lineRule="atLeast"/>
              <w:rPr>
                <w:rFonts w:ascii="宋体" w:hAnsi="宋体" w:eastAsia="宋体" w:cs="宋体"/>
              </w:rPr>
            </w:pPr>
            <w:r>
              <w:rPr>
                <w:rFonts w:hint="eastAsia" w:ascii="宋体" w:hAnsi="宋体" w:eastAsia="宋体" w:cs="宋体"/>
              </w:rPr>
              <w:t>目标值为80%；以3分为上限，采用完成比率法计分：得分=固定资产利用率/80%×100%×3，超出目标值不加分。</w:t>
            </w:r>
          </w:p>
        </w:tc>
        <w:tc>
          <w:tcPr>
            <w:tcW w:w="1090" w:type="dxa"/>
            <w:tcBorders>
              <w:top w:val="single" w:color="auto" w:sz="4" w:space="0"/>
              <w:left w:val="single" w:color="auto" w:sz="4" w:space="0"/>
              <w:bottom w:val="single" w:color="000000" w:sz="4" w:space="0"/>
              <w:right w:val="single" w:color="000000" w:sz="4" w:space="0"/>
            </w:tcBorders>
            <w:vAlign w:val="center"/>
          </w:tcPr>
          <w:p w14:paraId="4DF3DE38">
            <w:pPr>
              <w:spacing w:after="0" w:line="68" w:lineRule="atLeast"/>
              <w:jc w:val="center"/>
              <w:rPr>
                <w:rFonts w:ascii="宋体" w:hAnsi="宋体" w:eastAsia="宋体" w:cs="宋体"/>
              </w:rPr>
            </w:pPr>
            <w:r>
              <w:rPr>
                <w:rFonts w:hint="eastAsia" w:ascii="宋体" w:hAnsi="宋体" w:eastAsia="宋体" w:cs="宋体"/>
              </w:rPr>
              <w:t>2.5</w:t>
            </w:r>
          </w:p>
        </w:tc>
      </w:tr>
      <w:tr w14:paraId="3990A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6" w:hRule="atLeast"/>
          <w:jc w:val="center"/>
        </w:trPr>
        <w:tc>
          <w:tcPr>
            <w:tcW w:w="733" w:type="dxa"/>
            <w:vMerge w:val="continue"/>
            <w:tcBorders>
              <w:left w:val="single" w:color="000000" w:sz="4" w:space="0"/>
              <w:bottom w:val="single" w:color="000000" w:sz="4" w:space="0"/>
              <w:right w:val="single" w:color="000000" w:sz="4" w:space="0"/>
            </w:tcBorders>
            <w:vAlign w:val="center"/>
          </w:tcPr>
          <w:p w14:paraId="593E13FA">
            <w:pPr>
              <w:spacing w:after="0"/>
              <w:rPr>
                <w:rFonts w:ascii="宋体" w:hAnsi="宋体" w:eastAsia="宋体" w:cs="宋体"/>
              </w:rPr>
            </w:pPr>
          </w:p>
        </w:tc>
        <w:tc>
          <w:tcPr>
            <w:tcW w:w="803" w:type="dxa"/>
            <w:tcBorders>
              <w:left w:val="single" w:color="000000" w:sz="4" w:space="0"/>
              <w:bottom w:val="single" w:color="000000" w:sz="4" w:space="0"/>
              <w:right w:val="single" w:color="000000" w:sz="4" w:space="0"/>
            </w:tcBorders>
            <w:vAlign w:val="center"/>
          </w:tcPr>
          <w:p w14:paraId="65B547FF">
            <w:pPr>
              <w:spacing w:after="0"/>
              <w:rPr>
                <w:rFonts w:ascii="宋体" w:hAnsi="宋体" w:eastAsia="宋体" w:cs="宋体"/>
              </w:rPr>
            </w:pPr>
            <w:r>
              <w:rPr>
                <w:rFonts w:hint="eastAsia" w:ascii="宋体" w:hAnsi="宋体" w:eastAsia="宋体" w:cs="宋体"/>
              </w:rPr>
              <w:t>预算绩效监控管理（2分）</w:t>
            </w:r>
          </w:p>
        </w:tc>
        <w:tc>
          <w:tcPr>
            <w:tcW w:w="1182" w:type="dxa"/>
            <w:tcBorders>
              <w:top w:val="single" w:color="auto" w:sz="4" w:space="0"/>
              <w:left w:val="single" w:color="000000" w:sz="4" w:space="0"/>
              <w:bottom w:val="single" w:color="000000" w:sz="4" w:space="0"/>
              <w:right w:val="single" w:color="auto" w:sz="4" w:space="0"/>
            </w:tcBorders>
            <w:vAlign w:val="center"/>
          </w:tcPr>
          <w:p w14:paraId="39F037D1">
            <w:pPr>
              <w:spacing w:after="0" w:line="68" w:lineRule="atLeast"/>
              <w:rPr>
                <w:rFonts w:ascii="宋体" w:hAnsi="宋体" w:eastAsia="宋体" w:cs="宋体"/>
              </w:rPr>
            </w:pPr>
            <w:r>
              <w:rPr>
                <w:rFonts w:hint="eastAsia" w:ascii="宋体" w:hAnsi="宋体" w:eastAsia="宋体" w:cs="宋体"/>
              </w:rPr>
              <w:t>监控率（2分）</w:t>
            </w:r>
          </w:p>
        </w:tc>
        <w:tc>
          <w:tcPr>
            <w:tcW w:w="6911" w:type="dxa"/>
            <w:tcBorders>
              <w:top w:val="single" w:color="auto" w:sz="4" w:space="0"/>
              <w:left w:val="single" w:color="auto" w:sz="4" w:space="0"/>
              <w:bottom w:val="single" w:color="000000" w:sz="4" w:space="0"/>
              <w:right w:val="single" w:color="auto" w:sz="4" w:space="0"/>
            </w:tcBorders>
            <w:vAlign w:val="center"/>
          </w:tcPr>
          <w:p w14:paraId="4B98F692">
            <w:pPr>
              <w:spacing w:after="0" w:line="240" w:lineRule="exact"/>
              <w:rPr>
                <w:rFonts w:ascii="宋体" w:hAnsi="宋体" w:eastAsia="宋体" w:cs="宋体"/>
              </w:rPr>
            </w:pPr>
            <w:r>
              <w:rPr>
                <w:rFonts w:hint="eastAsia" w:ascii="宋体" w:hAnsi="宋体" w:eastAsia="宋体" w:cs="宋体"/>
              </w:rPr>
              <w:t>部门（单位）纳入绩效监控的项目数量占实际申报绩效目标项目数量的比重，用以反映和考核部门（单位）在项目运行中实施绩效管理的水平和程度。</w:t>
            </w:r>
          </w:p>
          <w:p w14:paraId="78203C77">
            <w:pPr>
              <w:spacing w:after="0" w:line="240" w:lineRule="exact"/>
              <w:rPr>
                <w:rFonts w:ascii="宋体" w:hAnsi="宋体" w:eastAsia="宋体" w:cs="宋体"/>
              </w:rPr>
            </w:pPr>
            <w:r>
              <w:rPr>
                <w:rFonts w:hint="eastAsia" w:ascii="宋体" w:hAnsi="宋体" w:eastAsia="宋体" w:cs="宋体"/>
              </w:rPr>
              <w:t>监控率=实施绩效监控项目数/实际申报绩效目标项目数×100%</w:t>
            </w:r>
          </w:p>
        </w:tc>
        <w:tc>
          <w:tcPr>
            <w:tcW w:w="3423" w:type="dxa"/>
            <w:tcBorders>
              <w:top w:val="single" w:color="auto" w:sz="4" w:space="0"/>
              <w:left w:val="single" w:color="auto" w:sz="4" w:space="0"/>
              <w:bottom w:val="single" w:color="000000" w:sz="4" w:space="0"/>
              <w:right w:val="single" w:color="auto" w:sz="4" w:space="0"/>
            </w:tcBorders>
            <w:vAlign w:val="center"/>
          </w:tcPr>
          <w:p w14:paraId="0AB304F6">
            <w:pPr>
              <w:spacing w:after="0" w:line="68" w:lineRule="atLeast"/>
              <w:rPr>
                <w:rFonts w:ascii="宋体" w:hAnsi="宋体" w:eastAsia="宋体" w:cs="宋体"/>
              </w:rPr>
            </w:pPr>
            <w:r>
              <w:rPr>
                <w:rFonts w:hint="eastAsia" w:ascii="宋体" w:hAnsi="宋体" w:eastAsia="宋体" w:cs="宋体"/>
              </w:rPr>
              <w:t>目标值为90%；以2分为上限，采用完成比率法计分：得分=监控率×2，超出目标值不加分。</w:t>
            </w:r>
          </w:p>
        </w:tc>
        <w:tc>
          <w:tcPr>
            <w:tcW w:w="1090" w:type="dxa"/>
            <w:tcBorders>
              <w:top w:val="single" w:color="auto" w:sz="4" w:space="0"/>
              <w:left w:val="single" w:color="auto" w:sz="4" w:space="0"/>
              <w:bottom w:val="single" w:color="000000" w:sz="4" w:space="0"/>
              <w:right w:val="single" w:color="000000" w:sz="4" w:space="0"/>
            </w:tcBorders>
            <w:vAlign w:val="center"/>
          </w:tcPr>
          <w:p w14:paraId="2B50F18B">
            <w:pPr>
              <w:spacing w:after="0" w:line="68" w:lineRule="atLeast"/>
              <w:jc w:val="center"/>
              <w:rPr>
                <w:rFonts w:ascii="宋体" w:hAnsi="宋体" w:eastAsia="宋体" w:cs="宋体"/>
              </w:rPr>
            </w:pPr>
            <w:r>
              <w:rPr>
                <w:rFonts w:hint="eastAsia" w:ascii="宋体" w:hAnsi="宋体" w:eastAsia="宋体" w:cs="宋体"/>
              </w:rPr>
              <w:t>2</w:t>
            </w:r>
          </w:p>
        </w:tc>
      </w:tr>
      <w:tr w14:paraId="725A9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jc w:val="center"/>
        </w:trPr>
        <w:tc>
          <w:tcPr>
            <w:tcW w:w="733" w:type="dxa"/>
            <w:vMerge w:val="restart"/>
            <w:tcBorders>
              <w:top w:val="single" w:color="000000" w:sz="4" w:space="0"/>
              <w:left w:val="single" w:color="000000" w:sz="4" w:space="0"/>
              <w:right w:val="single" w:color="000000" w:sz="4" w:space="0"/>
            </w:tcBorders>
            <w:vAlign w:val="center"/>
          </w:tcPr>
          <w:p w14:paraId="4027D6CD">
            <w:pPr>
              <w:spacing w:after="0" w:line="68" w:lineRule="atLeast"/>
              <w:rPr>
                <w:rFonts w:ascii="宋体" w:hAnsi="宋体" w:eastAsia="宋体" w:cs="宋体"/>
              </w:rPr>
            </w:pPr>
          </w:p>
          <w:p w14:paraId="2D2C02C1">
            <w:pPr>
              <w:spacing w:after="0" w:line="68" w:lineRule="atLeast"/>
              <w:rPr>
                <w:rFonts w:ascii="宋体" w:hAnsi="宋体" w:eastAsia="宋体" w:cs="宋体"/>
              </w:rPr>
            </w:pPr>
            <w:r>
              <w:rPr>
                <w:rFonts w:hint="eastAsia" w:ascii="宋体" w:hAnsi="宋体" w:eastAsia="宋体" w:cs="宋体"/>
              </w:rPr>
              <w:t>产出(15分)</w:t>
            </w:r>
          </w:p>
        </w:tc>
        <w:tc>
          <w:tcPr>
            <w:tcW w:w="803" w:type="dxa"/>
            <w:vMerge w:val="restart"/>
            <w:tcBorders>
              <w:top w:val="single" w:color="000000" w:sz="4" w:space="0"/>
              <w:left w:val="single" w:color="000000" w:sz="4" w:space="0"/>
              <w:right w:val="single" w:color="000000" w:sz="4" w:space="0"/>
            </w:tcBorders>
            <w:vAlign w:val="center"/>
          </w:tcPr>
          <w:p w14:paraId="5FAF8E5B">
            <w:pPr>
              <w:spacing w:after="0" w:line="68" w:lineRule="atLeast"/>
              <w:rPr>
                <w:rFonts w:ascii="宋体" w:hAnsi="宋体" w:eastAsia="宋体" w:cs="宋体"/>
              </w:rPr>
            </w:pPr>
            <w:r>
              <w:rPr>
                <w:rFonts w:hint="eastAsia" w:ascii="宋体" w:hAnsi="宋体" w:eastAsia="宋体" w:cs="宋体"/>
              </w:rPr>
              <w:t>职责履行（15分）</w:t>
            </w:r>
          </w:p>
        </w:tc>
        <w:tc>
          <w:tcPr>
            <w:tcW w:w="1182" w:type="dxa"/>
            <w:tcBorders>
              <w:top w:val="single" w:color="000000" w:sz="4" w:space="0"/>
              <w:left w:val="single" w:color="000000" w:sz="4" w:space="0"/>
              <w:bottom w:val="single" w:color="auto" w:sz="4" w:space="0"/>
              <w:right w:val="single" w:color="auto" w:sz="4" w:space="0"/>
            </w:tcBorders>
            <w:vAlign w:val="center"/>
          </w:tcPr>
          <w:p w14:paraId="6EE15823">
            <w:pPr>
              <w:spacing w:after="0" w:line="68" w:lineRule="atLeast"/>
              <w:rPr>
                <w:rFonts w:ascii="宋体" w:hAnsi="宋体" w:eastAsia="宋体" w:cs="宋体"/>
              </w:rPr>
            </w:pPr>
            <w:r>
              <w:rPr>
                <w:rFonts w:hint="eastAsia" w:ascii="宋体" w:hAnsi="宋体" w:eastAsia="宋体" w:cs="宋体"/>
              </w:rPr>
              <w:t>项目实际完成率（4分）</w:t>
            </w:r>
          </w:p>
        </w:tc>
        <w:tc>
          <w:tcPr>
            <w:tcW w:w="6911" w:type="dxa"/>
            <w:tcBorders>
              <w:top w:val="single" w:color="000000" w:sz="4" w:space="0"/>
              <w:left w:val="single" w:color="auto" w:sz="4" w:space="0"/>
              <w:bottom w:val="single" w:color="auto" w:sz="4" w:space="0"/>
              <w:right w:val="single" w:color="auto" w:sz="4" w:space="0"/>
            </w:tcBorders>
            <w:vAlign w:val="center"/>
          </w:tcPr>
          <w:p w14:paraId="1A78B808">
            <w:pPr>
              <w:spacing w:after="0" w:line="240" w:lineRule="exact"/>
              <w:rPr>
                <w:rFonts w:ascii="宋体" w:hAnsi="宋体" w:eastAsia="宋体" w:cs="宋体"/>
              </w:rPr>
            </w:pPr>
            <w:r>
              <w:rPr>
                <w:rFonts w:hint="eastAsia" w:ascii="宋体" w:hAnsi="宋体" w:eastAsia="宋体" w:cs="宋体"/>
              </w:rPr>
              <w:t>部门履行职责而实际完成的项目数与计划完成的项目数的比率，用以反映和评价部门履职任务目标的实现程度。</w:t>
            </w:r>
          </w:p>
          <w:p w14:paraId="33F1C4A2">
            <w:pPr>
              <w:spacing w:after="0" w:line="68" w:lineRule="atLeast"/>
              <w:rPr>
                <w:rFonts w:ascii="宋体" w:hAnsi="宋体" w:eastAsia="宋体" w:cs="宋体"/>
              </w:rPr>
            </w:pPr>
            <w:r>
              <w:rPr>
                <w:rFonts w:hint="eastAsia" w:ascii="宋体" w:hAnsi="宋体" w:eastAsia="宋体" w:cs="宋体"/>
              </w:rPr>
              <w:t>项目实际完成率=（实际完成项目数/计划完成项目数）×100%。</w:t>
            </w:r>
          </w:p>
        </w:tc>
        <w:tc>
          <w:tcPr>
            <w:tcW w:w="3423" w:type="dxa"/>
            <w:tcBorders>
              <w:top w:val="single" w:color="000000" w:sz="4" w:space="0"/>
              <w:left w:val="single" w:color="auto" w:sz="4" w:space="0"/>
              <w:bottom w:val="single" w:color="auto" w:sz="4" w:space="0"/>
              <w:right w:val="single" w:color="auto" w:sz="4" w:space="0"/>
            </w:tcBorders>
            <w:vAlign w:val="center"/>
          </w:tcPr>
          <w:p w14:paraId="5130F2B5">
            <w:pPr>
              <w:spacing w:after="0" w:line="68" w:lineRule="atLeast"/>
              <w:rPr>
                <w:rFonts w:ascii="宋体" w:hAnsi="宋体" w:eastAsia="宋体" w:cs="宋体"/>
              </w:rPr>
            </w:pPr>
            <w:r>
              <w:rPr>
                <w:rFonts w:hint="eastAsia" w:ascii="宋体" w:hAnsi="宋体" w:eastAsia="宋体" w:cs="宋体"/>
              </w:rPr>
              <w:t>目标值为100%；</w:t>
            </w:r>
          </w:p>
          <w:p w14:paraId="5635F4B5">
            <w:pPr>
              <w:spacing w:after="0" w:line="68" w:lineRule="atLeast"/>
              <w:rPr>
                <w:rFonts w:ascii="宋体" w:hAnsi="宋体" w:eastAsia="宋体" w:cs="宋体"/>
              </w:rPr>
            </w:pPr>
            <w:r>
              <w:rPr>
                <w:rFonts w:hint="eastAsia" w:ascii="宋体" w:hAnsi="宋体" w:eastAsia="宋体" w:cs="宋体"/>
              </w:rPr>
              <w:t>达到目标值得4分；</w:t>
            </w:r>
          </w:p>
          <w:p w14:paraId="20437746">
            <w:pPr>
              <w:spacing w:after="0" w:line="68" w:lineRule="atLeast"/>
              <w:rPr>
                <w:rFonts w:ascii="宋体" w:hAnsi="宋体" w:eastAsia="宋体" w:cs="宋体"/>
              </w:rPr>
            </w:pPr>
            <w:r>
              <w:rPr>
                <w:rFonts w:hint="eastAsia" w:ascii="宋体" w:hAnsi="宋体" w:eastAsia="宋体" w:cs="宋体"/>
              </w:rPr>
              <w:t>100%＞结果≥95%，得3分；</w:t>
            </w:r>
          </w:p>
          <w:p w14:paraId="6C6EC143">
            <w:pPr>
              <w:spacing w:after="0" w:line="68" w:lineRule="atLeast"/>
              <w:rPr>
                <w:rFonts w:ascii="宋体" w:hAnsi="宋体" w:eastAsia="宋体" w:cs="宋体"/>
              </w:rPr>
            </w:pPr>
            <w:r>
              <w:rPr>
                <w:rFonts w:hint="eastAsia" w:ascii="宋体" w:hAnsi="宋体" w:eastAsia="宋体" w:cs="宋体"/>
              </w:rPr>
              <w:t>95%＞结果≥90%，得2分；</w:t>
            </w:r>
          </w:p>
          <w:p w14:paraId="46AAD32C">
            <w:pPr>
              <w:spacing w:after="0" w:line="68" w:lineRule="atLeast"/>
              <w:rPr>
                <w:rFonts w:ascii="宋体" w:hAnsi="宋体" w:eastAsia="宋体" w:cs="宋体"/>
              </w:rPr>
            </w:pPr>
            <w:r>
              <w:rPr>
                <w:rFonts w:hint="eastAsia" w:ascii="宋体" w:hAnsi="宋体" w:eastAsia="宋体" w:cs="宋体"/>
              </w:rPr>
              <w:t>90%＞结果≥85%，得1分；</w:t>
            </w:r>
          </w:p>
          <w:p w14:paraId="2C6CB0DF">
            <w:pPr>
              <w:spacing w:after="0" w:line="68" w:lineRule="atLeast"/>
              <w:rPr>
                <w:rFonts w:ascii="宋体" w:hAnsi="宋体" w:eastAsia="宋体" w:cs="宋体"/>
              </w:rPr>
            </w:pPr>
            <w:r>
              <w:rPr>
                <w:rFonts w:hint="eastAsia" w:ascii="宋体" w:hAnsi="宋体" w:eastAsia="宋体" w:cs="宋体"/>
              </w:rPr>
              <w:t>结果＜85%得0分。</w:t>
            </w:r>
          </w:p>
        </w:tc>
        <w:tc>
          <w:tcPr>
            <w:tcW w:w="1090" w:type="dxa"/>
            <w:tcBorders>
              <w:top w:val="single" w:color="000000" w:sz="4" w:space="0"/>
              <w:left w:val="single" w:color="auto" w:sz="4" w:space="0"/>
              <w:bottom w:val="single" w:color="auto" w:sz="4" w:space="0"/>
              <w:right w:val="single" w:color="000000" w:sz="4" w:space="0"/>
            </w:tcBorders>
            <w:vAlign w:val="center"/>
          </w:tcPr>
          <w:p w14:paraId="2684F0DE">
            <w:pPr>
              <w:spacing w:after="0" w:line="68" w:lineRule="atLeast"/>
              <w:jc w:val="center"/>
              <w:rPr>
                <w:rFonts w:ascii="宋体" w:hAnsi="宋体" w:eastAsia="宋体" w:cs="宋体"/>
              </w:rPr>
            </w:pPr>
            <w:r>
              <w:rPr>
                <w:rFonts w:hint="eastAsia" w:ascii="宋体" w:hAnsi="宋体" w:eastAsia="宋体" w:cs="宋体"/>
              </w:rPr>
              <w:t>3.5</w:t>
            </w:r>
          </w:p>
        </w:tc>
      </w:tr>
      <w:tr w14:paraId="1707A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9" w:hRule="atLeast"/>
          <w:jc w:val="center"/>
        </w:trPr>
        <w:tc>
          <w:tcPr>
            <w:tcW w:w="733" w:type="dxa"/>
            <w:vMerge w:val="continue"/>
            <w:tcBorders>
              <w:left w:val="single" w:color="000000" w:sz="4" w:space="0"/>
              <w:right w:val="single" w:color="000000" w:sz="4" w:space="0"/>
            </w:tcBorders>
            <w:vAlign w:val="center"/>
          </w:tcPr>
          <w:p w14:paraId="49DD3970">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62915DFF">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7EC7FDC8">
            <w:pPr>
              <w:spacing w:after="0" w:line="68" w:lineRule="atLeast"/>
              <w:rPr>
                <w:rFonts w:ascii="宋体" w:hAnsi="宋体" w:eastAsia="宋体" w:cs="宋体"/>
              </w:rPr>
            </w:pPr>
            <w:r>
              <w:rPr>
                <w:rFonts w:hint="eastAsia" w:ascii="宋体" w:hAnsi="宋体" w:eastAsia="宋体" w:cs="宋体"/>
              </w:rPr>
              <w:t>项目质量达标率（4分）</w:t>
            </w:r>
          </w:p>
        </w:tc>
        <w:tc>
          <w:tcPr>
            <w:tcW w:w="6911" w:type="dxa"/>
            <w:tcBorders>
              <w:top w:val="single" w:color="000000" w:sz="4" w:space="0"/>
              <w:left w:val="single" w:color="auto" w:sz="4" w:space="0"/>
              <w:bottom w:val="single" w:color="auto" w:sz="4" w:space="0"/>
              <w:right w:val="single" w:color="auto" w:sz="4" w:space="0"/>
            </w:tcBorders>
            <w:vAlign w:val="center"/>
          </w:tcPr>
          <w:p w14:paraId="0CCF4C27">
            <w:pPr>
              <w:spacing w:after="0" w:line="240" w:lineRule="exact"/>
              <w:rPr>
                <w:rFonts w:ascii="宋体" w:hAnsi="宋体" w:eastAsia="宋体" w:cs="宋体"/>
              </w:rPr>
            </w:pPr>
            <w:r>
              <w:rPr>
                <w:rFonts w:hint="eastAsia" w:ascii="宋体" w:hAnsi="宋体" w:eastAsia="宋体" w:cs="宋体"/>
              </w:rPr>
              <w:t>部门已完成项目中质量达标项目个数占已完成项目个数的比率,用以反映和评价部门履职质量目标的实现程度。</w:t>
            </w:r>
          </w:p>
          <w:p w14:paraId="6C401CC2">
            <w:pPr>
              <w:spacing w:after="0" w:line="240" w:lineRule="exact"/>
              <w:rPr>
                <w:rFonts w:ascii="宋体" w:hAnsi="宋体" w:eastAsia="宋体" w:cs="宋体"/>
              </w:rPr>
            </w:pPr>
            <w:r>
              <w:rPr>
                <w:rFonts w:hint="eastAsia" w:ascii="宋体" w:hAnsi="宋体" w:eastAsia="宋体" w:cs="宋体"/>
              </w:rPr>
              <w:t>项目质量达标率=（已完成项目中质量达标项目个数/已完成项目个数）×100%。</w:t>
            </w:r>
          </w:p>
          <w:p w14:paraId="0C6BBBA8">
            <w:pPr>
              <w:spacing w:after="0" w:line="68" w:lineRule="atLeast"/>
              <w:rPr>
                <w:rFonts w:ascii="宋体" w:hAnsi="宋体" w:eastAsia="宋体" w:cs="宋体"/>
              </w:rPr>
            </w:pPr>
            <w:r>
              <w:rPr>
                <w:rFonts w:hint="eastAsia" w:ascii="宋体" w:hAnsi="宋体" w:eastAsia="宋体" w:cs="宋体"/>
              </w:rPr>
              <w:t>项目质量达标是指项目决算验收合格。</w:t>
            </w:r>
          </w:p>
        </w:tc>
        <w:tc>
          <w:tcPr>
            <w:tcW w:w="3423" w:type="dxa"/>
            <w:tcBorders>
              <w:top w:val="single" w:color="000000" w:sz="4" w:space="0"/>
              <w:left w:val="single" w:color="auto" w:sz="4" w:space="0"/>
              <w:bottom w:val="single" w:color="auto" w:sz="4" w:space="0"/>
              <w:right w:val="single" w:color="auto" w:sz="4" w:space="0"/>
            </w:tcBorders>
            <w:vAlign w:val="center"/>
          </w:tcPr>
          <w:p w14:paraId="2B99D426">
            <w:pPr>
              <w:spacing w:after="0" w:line="68" w:lineRule="atLeast"/>
              <w:rPr>
                <w:rFonts w:ascii="宋体" w:hAnsi="宋体" w:eastAsia="宋体" w:cs="宋体"/>
              </w:rPr>
            </w:pPr>
            <w:r>
              <w:rPr>
                <w:rFonts w:hint="eastAsia" w:ascii="宋体" w:hAnsi="宋体" w:eastAsia="宋体" w:cs="宋体"/>
              </w:rPr>
              <w:t>目标值100%；以4分为上限，采用完成比率法计分：得分=项目质量达标率×4，≤95%的扣4分。</w:t>
            </w:r>
          </w:p>
        </w:tc>
        <w:tc>
          <w:tcPr>
            <w:tcW w:w="1090" w:type="dxa"/>
            <w:tcBorders>
              <w:top w:val="single" w:color="000000" w:sz="4" w:space="0"/>
              <w:left w:val="single" w:color="auto" w:sz="4" w:space="0"/>
              <w:bottom w:val="single" w:color="auto" w:sz="4" w:space="0"/>
              <w:right w:val="single" w:color="000000" w:sz="4" w:space="0"/>
            </w:tcBorders>
            <w:vAlign w:val="center"/>
          </w:tcPr>
          <w:p w14:paraId="5A0092AC">
            <w:pPr>
              <w:spacing w:after="0" w:line="68" w:lineRule="atLeast"/>
              <w:jc w:val="center"/>
              <w:rPr>
                <w:rFonts w:ascii="宋体" w:hAnsi="宋体" w:eastAsia="宋体" w:cs="宋体"/>
              </w:rPr>
            </w:pPr>
            <w:r>
              <w:rPr>
                <w:rFonts w:hint="eastAsia" w:ascii="宋体" w:hAnsi="宋体" w:eastAsia="宋体" w:cs="宋体"/>
              </w:rPr>
              <w:t>3.5</w:t>
            </w:r>
          </w:p>
        </w:tc>
      </w:tr>
      <w:tr w14:paraId="7C4E5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1" w:hRule="atLeast"/>
          <w:jc w:val="center"/>
        </w:trPr>
        <w:tc>
          <w:tcPr>
            <w:tcW w:w="733" w:type="dxa"/>
            <w:vMerge w:val="continue"/>
            <w:tcBorders>
              <w:left w:val="single" w:color="000000" w:sz="4" w:space="0"/>
              <w:right w:val="single" w:color="000000" w:sz="4" w:space="0"/>
            </w:tcBorders>
            <w:vAlign w:val="center"/>
          </w:tcPr>
          <w:p w14:paraId="7D5A0C06">
            <w:pPr>
              <w:spacing w:after="0"/>
              <w:rPr>
                <w:rFonts w:ascii="宋体" w:hAnsi="宋体" w:eastAsia="宋体" w:cs="宋体"/>
              </w:rPr>
            </w:pPr>
          </w:p>
        </w:tc>
        <w:tc>
          <w:tcPr>
            <w:tcW w:w="803" w:type="dxa"/>
            <w:vMerge w:val="continue"/>
            <w:tcBorders>
              <w:left w:val="single" w:color="000000" w:sz="4" w:space="0"/>
              <w:right w:val="single" w:color="000000" w:sz="4" w:space="0"/>
            </w:tcBorders>
            <w:vAlign w:val="center"/>
          </w:tcPr>
          <w:p w14:paraId="6B11DB4C">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70ED9CFD">
            <w:pPr>
              <w:spacing w:after="0" w:line="68" w:lineRule="atLeast"/>
              <w:rPr>
                <w:rFonts w:ascii="宋体" w:hAnsi="宋体" w:eastAsia="宋体" w:cs="宋体"/>
              </w:rPr>
            </w:pPr>
            <w:r>
              <w:rPr>
                <w:rFonts w:hint="eastAsia" w:ascii="宋体" w:hAnsi="宋体" w:eastAsia="宋体" w:cs="宋体"/>
              </w:rPr>
              <w:t>重点工作办结率（4分）</w:t>
            </w:r>
          </w:p>
        </w:tc>
        <w:tc>
          <w:tcPr>
            <w:tcW w:w="6911" w:type="dxa"/>
            <w:tcBorders>
              <w:top w:val="single" w:color="000000" w:sz="4" w:space="0"/>
              <w:left w:val="single" w:color="auto" w:sz="4" w:space="0"/>
              <w:bottom w:val="single" w:color="auto" w:sz="4" w:space="0"/>
              <w:right w:val="single" w:color="auto" w:sz="4" w:space="0"/>
            </w:tcBorders>
            <w:vAlign w:val="center"/>
          </w:tcPr>
          <w:p w14:paraId="0D6F108A">
            <w:pPr>
              <w:spacing w:after="0" w:line="68" w:lineRule="atLeast"/>
              <w:rPr>
                <w:rFonts w:ascii="宋体" w:hAnsi="宋体" w:eastAsia="宋体" w:cs="宋体"/>
              </w:rPr>
            </w:pPr>
            <w:r>
              <w:rPr>
                <w:rFonts w:hint="eastAsia" w:ascii="宋体" w:hAnsi="宋体" w:eastAsia="宋体" w:cs="宋体"/>
              </w:rPr>
              <w:t>部门年度重点工作实际完成数与交办或下达数的比率，用以反映部门对重点工作的办理落实程度。</w:t>
            </w:r>
          </w:p>
          <w:p w14:paraId="236EF66D">
            <w:pPr>
              <w:spacing w:after="0" w:line="68" w:lineRule="atLeast"/>
              <w:rPr>
                <w:rFonts w:ascii="宋体" w:hAnsi="宋体" w:eastAsia="宋体" w:cs="宋体"/>
              </w:rPr>
            </w:pPr>
            <w:r>
              <w:rPr>
                <w:rFonts w:hint="eastAsia" w:ascii="宋体" w:hAnsi="宋体" w:eastAsia="宋体" w:cs="宋体"/>
              </w:rPr>
              <w:t>重点工作办结率=（重点工作实际完成数/交办或下达数）×100%。</w:t>
            </w:r>
          </w:p>
          <w:p w14:paraId="63F95EF0">
            <w:pPr>
              <w:spacing w:after="0" w:line="68" w:lineRule="atLeast"/>
              <w:rPr>
                <w:rFonts w:ascii="宋体" w:hAnsi="宋体" w:eastAsia="宋体" w:cs="宋体"/>
              </w:rPr>
            </w:pPr>
            <w:r>
              <w:rPr>
                <w:rFonts w:hint="eastAsia" w:ascii="宋体" w:hAnsi="宋体" w:eastAsia="宋体" w:cs="宋体"/>
              </w:rPr>
              <w:t>重点工作是指党委、政府、人大、相关部门交办或下达的工作任务。</w:t>
            </w:r>
          </w:p>
        </w:tc>
        <w:tc>
          <w:tcPr>
            <w:tcW w:w="3423" w:type="dxa"/>
            <w:tcBorders>
              <w:top w:val="single" w:color="000000" w:sz="4" w:space="0"/>
              <w:left w:val="single" w:color="auto" w:sz="4" w:space="0"/>
              <w:bottom w:val="single" w:color="auto" w:sz="4" w:space="0"/>
              <w:right w:val="single" w:color="auto" w:sz="4" w:space="0"/>
            </w:tcBorders>
            <w:vAlign w:val="center"/>
          </w:tcPr>
          <w:p w14:paraId="18F46998">
            <w:pPr>
              <w:spacing w:after="0" w:line="68" w:lineRule="atLeast"/>
              <w:rPr>
                <w:rFonts w:ascii="宋体" w:hAnsi="宋体" w:eastAsia="宋体" w:cs="宋体"/>
              </w:rPr>
            </w:pPr>
            <w:r>
              <w:rPr>
                <w:rFonts w:hint="eastAsia" w:ascii="宋体" w:hAnsi="宋体" w:eastAsia="宋体" w:cs="宋体"/>
              </w:rPr>
              <w:t>目标值100%；以4分为上限，采用完成比率法计分：得分=重点工作办结率×4，≤90%的扣4分。</w:t>
            </w:r>
          </w:p>
        </w:tc>
        <w:tc>
          <w:tcPr>
            <w:tcW w:w="1090" w:type="dxa"/>
            <w:tcBorders>
              <w:top w:val="single" w:color="000000" w:sz="4" w:space="0"/>
              <w:left w:val="single" w:color="auto" w:sz="4" w:space="0"/>
              <w:bottom w:val="single" w:color="auto" w:sz="4" w:space="0"/>
              <w:right w:val="single" w:color="000000" w:sz="4" w:space="0"/>
            </w:tcBorders>
            <w:vAlign w:val="center"/>
          </w:tcPr>
          <w:p w14:paraId="22A217AC">
            <w:pPr>
              <w:spacing w:after="0" w:line="68" w:lineRule="atLeast"/>
              <w:jc w:val="center"/>
              <w:rPr>
                <w:rFonts w:ascii="宋体" w:hAnsi="宋体" w:eastAsia="宋体" w:cs="宋体"/>
              </w:rPr>
            </w:pPr>
            <w:r>
              <w:rPr>
                <w:rFonts w:hint="eastAsia" w:ascii="宋体" w:hAnsi="宋体" w:eastAsia="宋体" w:cs="宋体"/>
              </w:rPr>
              <w:t>4</w:t>
            </w:r>
          </w:p>
        </w:tc>
      </w:tr>
      <w:tr w14:paraId="1E50B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9" w:hRule="atLeast"/>
          <w:jc w:val="center"/>
        </w:trPr>
        <w:tc>
          <w:tcPr>
            <w:tcW w:w="733" w:type="dxa"/>
            <w:vMerge w:val="continue"/>
            <w:tcBorders>
              <w:left w:val="single" w:color="000000" w:sz="4" w:space="0"/>
              <w:bottom w:val="single" w:color="000000" w:sz="4" w:space="0"/>
              <w:right w:val="single" w:color="000000" w:sz="4" w:space="0"/>
            </w:tcBorders>
            <w:vAlign w:val="center"/>
          </w:tcPr>
          <w:p w14:paraId="629B0C93">
            <w:pPr>
              <w:spacing w:after="0"/>
              <w:rPr>
                <w:rFonts w:ascii="宋体" w:hAnsi="宋体" w:eastAsia="宋体" w:cs="宋体"/>
              </w:rPr>
            </w:pPr>
          </w:p>
        </w:tc>
        <w:tc>
          <w:tcPr>
            <w:tcW w:w="803" w:type="dxa"/>
            <w:vMerge w:val="continue"/>
            <w:tcBorders>
              <w:left w:val="single" w:color="000000" w:sz="4" w:space="0"/>
              <w:bottom w:val="single" w:color="000000" w:sz="4" w:space="0"/>
              <w:right w:val="single" w:color="000000" w:sz="4" w:space="0"/>
            </w:tcBorders>
            <w:vAlign w:val="center"/>
          </w:tcPr>
          <w:p w14:paraId="5BEA7AC6">
            <w:pPr>
              <w:spacing w:after="0"/>
              <w:rPr>
                <w:rFonts w:ascii="宋体" w:hAnsi="宋体" w:eastAsia="宋体" w:cs="宋体"/>
              </w:rPr>
            </w:pPr>
          </w:p>
        </w:tc>
        <w:tc>
          <w:tcPr>
            <w:tcW w:w="1182" w:type="dxa"/>
            <w:tcBorders>
              <w:top w:val="single" w:color="000000" w:sz="4" w:space="0"/>
              <w:left w:val="single" w:color="000000" w:sz="4" w:space="0"/>
              <w:bottom w:val="single" w:color="auto" w:sz="4" w:space="0"/>
              <w:right w:val="single" w:color="auto" w:sz="4" w:space="0"/>
            </w:tcBorders>
            <w:vAlign w:val="center"/>
          </w:tcPr>
          <w:p w14:paraId="7F00F8D9">
            <w:pPr>
              <w:spacing w:after="0" w:line="68" w:lineRule="atLeast"/>
              <w:rPr>
                <w:rFonts w:ascii="宋体" w:hAnsi="宋体" w:eastAsia="宋体" w:cs="宋体"/>
              </w:rPr>
            </w:pPr>
            <w:r>
              <w:rPr>
                <w:rFonts w:hint="eastAsia" w:ascii="宋体" w:hAnsi="宋体" w:eastAsia="宋体" w:cs="宋体"/>
              </w:rPr>
              <w:t>部门绩效自评项目占比率（3分）</w:t>
            </w:r>
          </w:p>
        </w:tc>
        <w:tc>
          <w:tcPr>
            <w:tcW w:w="6911" w:type="dxa"/>
            <w:tcBorders>
              <w:top w:val="single" w:color="000000" w:sz="4" w:space="0"/>
              <w:left w:val="single" w:color="auto" w:sz="4" w:space="0"/>
              <w:bottom w:val="single" w:color="auto" w:sz="4" w:space="0"/>
              <w:right w:val="single" w:color="auto" w:sz="4" w:space="0"/>
            </w:tcBorders>
            <w:vAlign w:val="center"/>
          </w:tcPr>
          <w:p w14:paraId="28985DCC">
            <w:pPr>
              <w:spacing w:after="0" w:line="240" w:lineRule="exact"/>
              <w:rPr>
                <w:rFonts w:ascii="宋体" w:hAnsi="宋体" w:eastAsia="宋体" w:cs="宋体"/>
              </w:rPr>
            </w:pPr>
            <w:r>
              <w:rPr>
                <w:rFonts w:hint="eastAsia" w:ascii="宋体" w:hAnsi="宋体" w:eastAsia="宋体" w:cs="宋体"/>
              </w:rPr>
              <w:t>部门自评项目在所有项目中所占的份额，反映和评价部门对项目自评的重视程度。</w:t>
            </w:r>
          </w:p>
          <w:p w14:paraId="2A90E524">
            <w:pPr>
              <w:spacing w:after="0" w:line="240" w:lineRule="exact"/>
              <w:rPr>
                <w:rFonts w:ascii="宋体" w:hAnsi="宋体" w:eastAsia="宋体" w:cs="宋体"/>
              </w:rPr>
            </w:pPr>
            <w:r>
              <w:rPr>
                <w:rFonts w:hint="eastAsia" w:ascii="宋体" w:hAnsi="宋体" w:eastAsia="宋体" w:cs="宋体"/>
              </w:rPr>
              <w:t>占比率=(自评项目资金量/项目支出资金量)×100%。</w:t>
            </w:r>
          </w:p>
          <w:p w14:paraId="293D9147">
            <w:pPr>
              <w:spacing w:after="0" w:line="68" w:lineRule="atLeast"/>
              <w:rPr>
                <w:rFonts w:ascii="宋体" w:hAnsi="宋体" w:eastAsia="宋体" w:cs="宋体"/>
              </w:rPr>
            </w:pPr>
            <w:r>
              <w:rPr>
                <w:rFonts w:hint="eastAsia" w:ascii="宋体" w:hAnsi="宋体" w:eastAsia="宋体" w:cs="宋体"/>
              </w:rPr>
              <w:t>部门支出项目绩效自评范围：本年度列入本级财政预算安排的项目。</w:t>
            </w:r>
          </w:p>
        </w:tc>
        <w:tc>
          <w:tcPr>
            <w:tcW w:w="3423" w:type="dxa"/>
            <w:tcBorders>
              <w:top w:val="single" w:color="000000" w:sz="4" w:space="0"/>
              <w:left w:val="single" w:color="auto" w:sz="4" w:space="0"/>
              <w:bottom w:val="single" w:color="auto" w:sz="4" w:space="0"/>
              <w:right w:val="single" w:color="auto" w:sz="4" w:space="0"/>
            </w:tcBorders>
            <w:vAlign w:val="center"/>
          </w:tcPr>
          <w:p w14:paraId="48750D54">
            <w:pPr>
              <w:spacing w:after="0" w:line="68" w:lineRule="atLeast"/>
              <w:rPr>
                <w:rFonts w:ascii="宋体" w:hAnsi="宋体" w:eastAsia="宋体" w:cs="宋体"/>
              </w:rPr>
            </w:pPr>
            <w:r>
              <w:rPr>
                <w:rFonts w:hint="eastAsia" w:ascii="宋体" w:hAnsi="宋体" w:eastAsia="宋体" w:cs="宋体"/>
              </w:rPr>
              <w:t>达到目标值得3分，未达到目标值采用完成比率法计分：得分=占比率/目标值×3，超过目标值不加分。</w:t>
            </w:r>
          </w:p>
        </w:tc>
        <w:tc>
          <w:tcPr>
            <w:tcW w:w="1090" w:type="dxa"/>
            <w:tcBorders>
              <w:top w:val="single" w:color="000000" w:sz="4" w:space="0"/>
              <w:left w:val="single" w:color="auto" w:sz="4" w:space="0"/>
              <w:bottom w:val="single" w:color="auto" w:sz="4" w:space="0"/>
              <w:right w:val="single" w:color="000000" w:sz="4" w:space="0"/>
            </w:tcBorders>
            <w:vAlign w:val="center"/>
          </w:tcPr>
          <w:p w14:paraId="39D0B86C">
            <w:pPr>
              <w:spacing w:after="0" w:line="68" w:lineRule="atLeast"/>
              <w:jc w:val="center"/>
              <w:rPr>
                <w:rFonts w:ascii="宋体" w:hAnsi="宋体" w:eastAsia="宋体" w:cs="宋体"/>
              </w:rPr>
            </w:pPr>
            <w:r>
              <w:rPr>
                <w:rFonts w:hint="eastAsia" w:ascii="宋体" w:hAnsi="宋体" w:eastAsia="宋体" w:cs="宋体"/>
              </w:rPr>
              <w:t>3</w:t>
            </w:r>
          </w:p>
        </w:tc>
      </w:tr>
      <w:tr w14:paraId="0F33D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8" w:hRule="atLeast"/>
          <w:jc w:val="center"/>
        </w:trPr>
        <w:tc>
          <w:tcPr>
            <w:tcW w:w="733" w:type="dxa"/>
            <w:vMerge w:val="restart"/>
            <w:tcBorders>
              <w:top w:val="single" w:color="000000" w:sz="4" w:space="0"/>
              <w:left w:val="single" w:color="000000" w:sz="4" w:space="0"/>
              <w:right w:val="single" w:color="000000" w:sz="4" w:space="0"/>
            </w:tcBorders>
            <w:vAlign w:val="center"/>
          </w:tcPr>
          <w:p w14:paraId="53242D22">
            <w:pPr>
              <w:spacing w:after="0" w:line="68" w:lineRule="atLeast"/>
              <w:rPr>
                <w:rFonts w:ascii="宋体" w:hAnsi="宋体" w:eastAsia="宋体" w:cs="宋体"/>
              </w:rPr>
            </w:pPr>
          </w:p>
          <w:p w14:paraId="0791F029">
            <w:pPr>
              <w:spacing w:after="0" w:line="68" w:lineRule="atLeast"/>
              <w:rPr>
                <w:rFonts w:ascii="宋体" w:hAnsi="宋体" w:eastAsia="宋体" w:cs="宋体"/>
              </w:rPr>
            </w:pPr>
          </w:p>
          <w:p w14:paraId="1E200A6D">
            <w:pPr>
              <w:spacing w:after="0" w:line="68" w:lineRule="atLeast"/>
              <w:rPr>
                <w:rFonts w:ascii="宋体" w:hAnsi="宋体" w:eastAsia="宋体" w:cs="宋体"/>
              </w:rPr>
            </w:pPr>
          </w:p>
          <w:p w14:paraId="75FE815B">
            <w:pPr>
              <w:spacing w:after="0" w:line="68" w:lineRule="atLeast"/>
              <w:rPr>
                <w:rFonts w:ascii="宋体" w:hAnsi="宋体" w:eastAsia="宋体" w:cs="宋体"/>
              </w:rPr>
            </w:pPr>
          </w:p>
          <w:p w14:paraId="1B848633">
            <w:pPr>
              <w:spacing w:after="0" w:line="68" w:lineRule="atLeast"/>
              <w:rPr>
                <w:rFonts w:ascii="宋体" w:hAnsi="宋体" w:eastAsia="宋体" w:cs="宋体"/>
              </w:rPr>
            </w:pPr>
          </w:p>
          <w:p w14:paraId="65D93F58">
            <w:pPr>
              <w:spacing w:after="0" w:line="68" w:lineRule="atLeast"/>
              <w:rPr>
                <w:rFonts w:ascii="宋体" w:hAnsi="宋体" w:eastAsia="宋体" w:cs="宋体"/>
              </w:rPr>
            </w:pPr>
          </w:p>
          <w:p w14:paraId="42BD7F4D">
            <w:pPr>
              <w:spacing w:after="0" w:line="68" w:lineRule="atLeast"/>
              <w:rPr>
                <w:rFonts w:ascii="宋体" w:hAnsi="宋体" w:eastAsia="宋体" w:cs="宋体"/>
              </w:rPr>
            </w:pPr>
          </w:p>
          <w:p w14:paraId="493F742C">
            <w:pPr>
              <w:spacing w:after="0" w:line="68" w:lineRule="atLeast"/>
              <w:rPr>
                <w:rFonts w:ascii="宋体" w:hAnsi="宋体" w:eastAsia="宋体" w:cs="宋体"/>
              </w:rPr>
            </w:pPr>
            <w:r>
              <w:rPr>
                <w:rFonts w:hint="eastAsia" w:ascii="宋体" w:hAnsi="宋体" w:eastAsia="宋体" w:cs="宋体"/>
              </w:rPr>
              <w:t>效果（15）</w:t>
            </w:r>
          </w:p>
          <w:p w14:paraId="695C7F9C">
            <w:pPr>
              <w:spacing w:after="0" w:line="68" w:lineRule="atLeast"/>
              <w:rPr>
                <w:rFonts w:ascii="宋体" w:hAnsi="宋体" w:eastAsia="宋体" w:cs="宋体"/>
              </w:rPr>
            </w:pPr>
          </w:p>
          <w:p w14:paraId="14CB2CCA">
            <w:pPr>
              <w:spacing w:after="0" w:line="68" w:lineRule="atLeast"/>
              <w:rPr>
                <w:rFonts w:ascii="宋体" w:hAnsi="宋体" w:eastAsia="宋体" w:cs="宋体"/>
              </w:rPr>
            </w:pPr>
          </w:p>
          <w:p w14:paraId="68BDE07E">
            <w:pPr>
              <w:spacing w:after="0" w:line="68" w:lineRule="atLeast"/>
              <w:rPr>
                <w:rFonts w:ascii="宋体" w:hAnsi="宋体" w:eastAsia="宋体" w:cs="宋体"/>
              </w:rPr>
            </w:pPr>
          </w:p>
          <w:p w14:paraId="3A995EFB">
            <w:pPr>
              <w:spacing w:after="0" w:line="68" w:lineRule="atLeast"/>
              <w:rPr>
                <w:rFonts w:ascii="宋体" w:hAnsi="宋体" w:eastAsia="宋体" w:cs="宋体"/>
              </w:rPr>
            </w:pPr>
          </w:p>
          <w:p w14:paraId="2F04850B">
            <w:pPr>
              <w:spacing w:after="0" w:line="68" w:lineRule="atLeast"/>
              <w:rPr>
                <w:rFonts w:ascii="宋体" w:hAnsi="宋体" w:eastAsia="宋体" w:cs="宋体"/>
              </w:rPr>
            </w:pPr>
          </w:p>
          <w:p w14:paraId="0A09AA2E">
            <w:pPr>
              <w:spacing w:after="0" w:line="68" w:lineRule="atLeast"/>
              <w:rPr>
                <w:rFonts w:ascii="宋体" w:hAnsi="宋体" w:eastAsia="宋体" w:cs="宋体"/>
              </w:rPr>
            </w:pPr>
          </w:p>
        </w:tc>
        <w:tc>
          <w:tcPr>
            <w:tcW w:w="803" w:type="dxa"/>
            <w:tcBorders>
              <w:top w:val="single" w:color="auto" w:sz="4" w:space="0"/>
              <w:left w:val="single" w:color="000000" w:sz="4" w:space="0"/>
              <w:bottom w:val="single" w:color="auto" w:sz="4" w:space="0"/>
              <w:right w:val="single" w:color="000000" w:sz="4" w:space="0"/>
            </w:tcBorders>
            <w:vAlign w:val="center"/>
          </w:tcPr>
          <w:p w14:paraId="6ED317A7">
            <w:pPr>
              <w:spacing w:after="0" w:line="68" w:lineRule="atLeast"/>
              <w:rPr>
                <w:rFonts w:ascii="宋体" w:hAnsi="宋体" w:eastAsia="宋体" w:cs="宋体"/>
              </w:rPr>
            </w:pPr>
            <w:r>
              <w:rPr>
                <w:rFonts w:hint="eastAsia" w:ascii="宋体" w:hAnsi="宋体" w:eastAsia="宋体" w:cs="宋体"/>
              </w:rPr>
              <w:t>监督发现问题</w:t>
            </w:r>
          </w:p>
          <w:p w14:paraId="339C35DF">
            <w:pPr>
              <w:spacing w:after="0" w:line="68" w:lineRule="atLeast"/>
              <w:rPr>
                <w:rFonts w:ascii="宋体" w:hAnsi="宋体" w:eastAsia="宋体" w:cs="宋体"/>
              </w:rPr>
            </w:pPr>
            <w:r>
              <w:rPr>
                <w:rFonts w:hint="eastAsia" w:ascii="宋体" w:hAnsi="宋体" w:eastAsia="宋体" w:cs="宋体"/>
              </w:rPr>
              <w:t>（2分）</w:t>
            </w:r>
          </w:p>
        </w:tc>
        <w:tc>
          <w:tcPr>
            <w:tcW w:w="1182" w:type="dxa"/>
            <w:tcBorders>
              <w:top w:val="single" w:color="000000" w:sz="4" w:space="0"/>
              <w:left w:val="single" w:color="000000" w:sz="4" w:space="0"/>
              <w:bottom w:val="single" w:color="000000" w:sz="4" w:space="0"/>
              <w:right w:val="single" w:color="auto" w:sz="4" w:space="0"/>
            </w:tcBorders>
            <w:vAlign w:val="center"/>
          </w:tcPr>
          <w:p w14:paraId="5BFAB331">
            <w:pPr>
              <w:spacing w:after="0" w:line="68" w:lineRule="atLeast"/>
              <w:rPr>
                <w:rFonts w:ascii="宋体" w:hAnsi="宋体" w:eastAsia="宋体" w:cs="宋体"/>
              </w:rPr>
            </w:pPr>
            <w:r>
              <w:rPr>
                <w:rFonts w:hint="eastAsia" w:ascii="宋体" w:hAnsi="宋体" w:eastAsia="宋体" w:cs="宋体"/>
              </w:rPr>
              <w:t>违规率（2分）</w:t>
            </w:r>
          </w:p>
        </w:tc>
        <w:tc>
          <w:tcPr>
            <w:tcW w:w="6911" w:type="dxa"/>
            <w:tcBorders>
              <w:top w:val="single" w:color="000000" w:sz="4" w:space="0"/>
              <w:left w:val="single" w:color="auto" w:sz="4" w:space="0"/>
              <w:bottom w:val="single" w:color="000000" w:sz="4" w:space="0"/>
              <w:right w:val="single" w:color="auto" w:sz="4" w:space="0"/>
            </w:tcBorders>
            <w:vAlign w:val="center"/>
          </w:tcPr>
          <w:p w14:paraId="0BFC6071">
            <w:pPr>
              <w:spacing w:after="0" w:line="68" w:lineRule="atLeast"/>
              <w:rPr>
                <w:rFonts w:ascii="宋体" w:hAnsi="宋体" w:eastAsia="宋体" w:cs="宋体"/>
              </w:rPr>
            </w:pPr>
            <w:r>
              <w:rPr>
                <w:rFonts w:hint="eastAsia" w:ascii="宋体" w:hAnsi="宋体" w:eastAsia="宋体" w:cs="宋体"/>
              </w:rPr>
              <w:t>部门存在违规问题的资金数量占部门预算支出资金总额的比重，用以反映和考核部门预算资金管理使用的合法、合规情况。</w:t>
            </w:r>
          </w:p>
          <w:p w14:paraId="7DDB97E5">
            <w:pPr>
              <w:spacing w:after="0" w:line="68" w:lineRule="atLeast"/>
              <w:rPr>
                <w:rFonts w:ascii="宋体" w:hAnsi="宋体" w:eastAsia="宋体" w:cs="宋体"/>
              </w:rPr>
            </w:pPr>
            <w:r>
              <w:rPr>
                <w:rFonts w:hint="eastAsia" w:ascii="宋体" w:hAnsi="宋体" w:eastAsia="宋体" w:cs="宋体"/>
              </w:rPr>
              <w:t>违规率=存在违规问题的资金额/部门预算支出资金总额×100%</w:t>
            </w:r>
          </w:p>
        </w:tc>
        <w:tc>
          <w:tcPr>
            <w:tcW w:w="3423" w:type="dxa"/>
            <w:tcBorders>
              <w:top w:val="single" w:color="000000" w:sz="4" w:space="0"/>
              <w:left w:val="single" w:color="auto" w:sz="4" w:space="0"/>
              <w:bottom w:val="single" w:color="000000" w:sz="4" w:space="0"/>
              <w:right w:val="single" w:color="auto" w:sz="4" w:space="0"/>
            </w:tcBorders>
            <w:vAlign w:val="center"/>
          </w:tcPr>
          <w:p w14:paraId="1206991B">
            <w:pPr>
              <w:spacing w:after="0" w:line="240" w:lineRule="exact"/>
              <w:rPr>
                <w:rFonts w:ascii="宋体" w:hAnsi="宋体" w:eastAsia="宋体" w:cs="宋体"/>
              </w:rPr>
            </w:pPr>
            <w:r>
              <w:rPr>
                <w:rFonts w:hint="eastAsia" w:ascii="宋体" w:hAnsi="宋体" w:eastAsia="宋体" w:cs="宋体"/>
              </w:rPr>
              <w:t>目标值0，达到目标值得2分，未达到目标值的每增加0.1个百分点扣0.1分</w:t>
            </w:r>
          </w:p>
        </w:tc>
        <w:tc>
          <w:tcPr>
            <w:tcW w:w="1090" w:type="dxa"/>
            <w:tcBorders>
              <w:top w:val="single" w:color="000000" w:sz="4" w:space="0"/>
              <w:left w:val="single" w:color="auto" w:sz="4" w:space="0"/>
              <w:bottom w:val="single" w:color="000000" w:sz="4" w:space="0"/>
              <w:right w:val="single" w:color="000000" w:sz="4" w:space="0"/>
            </w:tcBorders>
            <w:vAlign w:val="center"/>
          </w:tcPr>
          <w:p w14:paraId="176FBABE">
            <w:pPr>
              <w:spacing w:after="0" w:line="68" w:lineRule="atLeast"/>
              <w:jc w:val="center"/>
              <w:rPr>
                <w:rFonts w:ascii="宋体" w:hAnsi="宋体" w:eastAsia="宋体" w:cs="宋体"/>
              </w:rPr>
            </w:pPr>
            <w:r>
              <w:rPr>
                <w:rFonts w:hint="eastAsia" w:ascii="宋体" w:hAnsi="宋体" w:eastAsia="宋体" w:cs="宋体"/>
              </w:rPr>
              <w:t>2</w:t>
            </w:r>
          </w:p>
        </w:tc>
      </w:tr>
      <w:tr w14:paraId="41F7E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5" w:hRule="atLeast"/>
          <w:jc w:val="center"/>
        </w:trPr>
        <w:tc>
          <w:tcPr>
            <w:tcW w:w="733" w:type="dxa"/>
            <w:vMerge w:val="continue"/>
            <w:tcBorders>
              <w:left w:val="single" w:color="000000" w:sz="4" w:space="0"/>
              <w:right w:val="single" w:color="000000" w:sz="4" w:space="0"/>
            </w:tcBorders>
            <w:vAlign w:val="center"/>
          </w:tcPr>
          <w:p w14:paraId="6B60B280">
            <w:pPr>
              <w:spacing w:after="0" w:line="68" w:lineRule="atLeast"/>
              <w:rPr>
                <w:rFonts w:ascii="宋体" w:hAnsi="宋体" w:eastAsia="宋体" w:cs="宋体"/>
              </w:rPr>
            </w:pPr>
          </w:p>
        </w:tc>
        <w:tc>
          <w:tcPr>
            <w:tcW w:w="803" w:type="dxa"/>
            <w:tcBorders>
              <w:top w:val="single" w:color="auto" w:sz="4" w:space="0"/>
              <w:left w:val="single" w:color="000000" w:sz="4" w:space="0"/>
              <w:bottom w:val="single" w:color="auto" w:sz="4" w:space="0"/>
              <w:right w:val="single" w:color="000000" w:sz="4" w:space="0"/>
            </w:tcBorders>
            <w:vAlign w:val="center"/>
          </w:tcPr>
          <w:p w14:paraId="2AA2088F">
            <w:pPr>
              <w:spacing w:after="0" w:line="68" w:lineRule="atLeast"/>
              <w:rPr>
                <w:rFonts w:ascii="宋体" w:hAnsi="宋体" w:eastAsia="宋体" w:cs="宋体"/>
              </w:rPr>
            </w:pPr>
            <w:r>
              <w:rPr>
                <w:rFonts w:hint="eastAsia" w:ascii="宋体" w:hAnsi="宋体" w:eastAsia="宋体" w:cs="宋体"/>
              </w:rPr>
              <w:t>工作成效（5）</w:t>
            </w:r>
          </w:p>
        </w:tc>
        <w:tc>
          <w:tcPr>
            <w:tcW w:w="1182" w:type="dxa"/>
            <w:tcBorders>
              <w:top w:val="single" w:color="000000" w:sz="4" w:space="0"/>
              <w:left w:val="single" w:color="000000" w:sz="4" w:space="0"/>
              <w:bottom w:val="single" w:color="000000" w:sz="4" w:space="0"/>
              <w:right w:val="single" w:color="auto" w:sz="4" w:space="0"/>
            </w:tcBorders>
            <w:vAlign w:val="center"/>
          </w:tcPr>
          <w:p w14:paraId="2D3C578C">
            <w:pPr>
              <w:spacing w:after="0" w:line="68" w:lineRule="atLeast"/>
              <w:rPr>
                <w:rFonts w:ascii="宋体" w:hAnsi="宋体" w:eastAsia="宋体" w:cs="宋体"/>
              </w:rPr>
            </w:pPr>
            <w:r>
              <w:rPr>
                <w:rFonts w:hint="eastAsia" w:ascii="宋体" w:hAnsi="宋体" w:eastAsia="宋体" w:cs="宋体"/>
                <w:bCs/>
                <w:color w:val="000000"/>
              </w:rPr>
              <w:t>部门预算绩效管理考核评价</w:t>
            </w:r>
            <w:r>
              <w:rPr>
                <w:rFonts w:hint="eastAsia" w:ascii="宋体" w:hAnsi="宋体" w:eastAsia="宋体" w:cs="宋体"/>
                <w:bCs/>
              </w:rPr>
              <w:t>（5）</w:t>
            </w:r>
          </w:p>
        </w:tc>
        <w:tc>
          <w:tcPr>
            <w:tcW w:w="6911" w:type="dxa"/>
            <w:tcBorders>
              <w:top w:val="single" w:color="000000" w:sz="4" w:space="0"/>
              <w:left w:val="single" w:color="auto" w:sz="4" w:space="0"/>
              <w:bottom w:val="single" w:color="000000" w:sz="4" w:space="0"/>
              <w:right w:val="single" w:color="auto" w:sz="4" w:space="0"/>
            </w:tcBorders>
            <w:vAlign w:val="center"/>
          </w:tcPr>
          <w:p w14:paraId="1DA93049">
            <w:pPr>
              <w:spacing w:after="0" w:line="240" w:lineRule="exact"/>
              <w:rPr>
                <w:rFonts w:ascii="宋体" w:hAnsi="宋体" w:eastAsia="宋体" w:cs="宋体"/>
              </w:rPr>
            </w:pPr>
            <w:r>
              <w:rPr>
                <w:rFonts w:hint="eastAsia" w:ascii="宋体" w:hAnsi="宋体" w:eastAsia="宋体" w:cs="宋体"/>
                <w:color w:val="000000"/>
              </w:rPr>
              <w:t>财政部门对部门开展预算绩效管理工作的评价结果，用以反映部门对预算绩效管理工作的重视程度和取得的成效。</w:t>
            </w:r>
          </w:p>
          <w:p w14:paraId="782A128D">
            <w:pPr>
              <w:spacing w:after="0" w:line="240" w:lineRule="exact"/>
              <w:rPr>
                <w:rFonts w:ascii="宋体" w:hAnsi="宋体" w:eastAsia="宋体" w:cs="宋体"/>
              </w:rPr>
            </w:pPr>
            <w:r>
              <w:rPr>
                <w:rFonts w:hint="eastAsia" w:ascii="宋体" w:hAnsi="宋体" w:eastAsia="宋体" w:cs="宋体"/>
                <w:color w:val="000000"/>
              </w:rPr>
              <w:t>1.财政部门对部门绩效管理工作开展情况进行核查评价，包括绩效目标管理、绩效执行监控、绩效自评和评价结果应用等情况，按百分制。</w:t>
            </w:r>
          </w:p>
          <w:p w14:paraId="0F1C3AF2">
            <w:pPr>
              <w:spacing w:after="0" w:line="68" w:lineRule="atLeast"/>
              <w:rPr>
                <w:rFonts w:ascii="宋体" w:hAnsi="宋体" w:eastAsia="宋体" w:cs="宋体"/>
              </w:rPr>
            </w:pPr>
            <w:r>
              <w:rPr>
                <w:rFonts w:hint="eastAsia" w:ascii="宋体" w:hAnsi="宋体" w:eastAsia="宋体" w:cs="宋体"/>
                <w:color w:val="000000"/>
              </w:rPr>
              <w:t>2.以部门为单位进行综合计算，得出各部门绩效管理工作评价结果。</w:t>
            </w:r>
          </w:p>
        </w:tc>
        <w:tc>
          <w:tcPr>
            <w:tcW w:w="3423" w:type="dxa"/>
            <w:tcBorders>
              <w:top w:val="single" w:color="000000" w:sz="4" w:space="0"/>
              <w:left w:val="single" w:color="auto" w:sz="4" w:space="0"/>
              <w:bottom w:val="single" w:color="000000" w:sz="4" w:space="0"/>
              <w:right w:val="single" w:color="auto" w:sz="4" w:space="0"/>
            </w:tcBorders>
            <w:vAlign w:val="center"/>
          </w:tcPr>
          <w:p w14:paraId="10201B5C">
            <w:pPr>
              <w:spacing w:after="0" w:line="240" w:lineRule="exact"/>
              <w:rPr>
                <w:rFonts w:ascii="宋体" w:hAnsi="宋体" w:eastAsia="宋体" w:cs="宋体"/>
              </w:rPr>
            </w:pPr>
            <w:r>
              <w:rPr>
                <w:rFonts w:hint="eastAsia" w:ascii="宋体" w:hAnsi="宋体" w:eastAsia="宋体" w:cs="宋体"/>
                <w:color w:val="000000"/>
              </w:rPr>
              <w:t>综合得分=（部门绩效管理工作评价结果/100）*5分</w:t>
            </w:r>
          </w:p>
          <w:p w14:paraId="13B2F726">
            <w:pPr>
              <w:spacing w:after="0" w:line="68" w:lineRule="atLeast"/>
              <w:rPr>
                <w:rFonts w:ascii="宋体" w:hAnsi="宋体" w:eastAsia="宋体" w:cs="宋体"/>
              </w:rPr>
            </w:pPr>
            <w:r>
              <w:rPr>
                <w:rFonts w:hint="eastAsia" w:ascii="宋体" w:hAnsi="宋体" w:eastAsia="宋体" w:cs="宋体"/>
              </w:rPr>
              <w:t> </w:t>
            </w:r>
          </w:p>
        </w:tc>
        <w:tc>
          <w:tcPr>
            <w:tcW w:w="1090" w:type="dxa"/>
            <w:tcBorders>
              <w:top w:val="single" w:color="000000" w:sz="4" w:space="0"/>
              <w:left w:val="single" w:color="auto" w:sz="4" w:space="0"/>
              <w:bottom w:val="single" w:color="000000" w:sz="4" w:space="0"/>
              <w:right w:val="single" w:color="000000" w:sz="4" w:space="0"/>
            </w:tcBorders>
            <w:vAlign w:val="center"/>
          </w:tcPr>
          <w:p w14:paraId="0C25D9CC">
            <w:pPr>
              <w:spacing w:after="0" w:line="68" w:lineRule="atLeast"/>
              <w:jc w:val="center"/>
              <w:rPr>
                <w:rFonts w:ascii="宋体" w:hAnsi="宋体" w:eastAsia="宋体" w:cs="宋体"/>
              </w:rPr>
            </w:pPr>
            <w:r>
              <w:rPr>
                <w:rFonts w:hint="eastAsia" w:ascii="宋体" w:hAnsi="宋体" w:eastAsia="宋体" w:cs="宋体"/>
              </w:rPr>
              <w:t>4</w:t>
            </w:r>
          </w:p>
        </w:tc>
      </w:tr>
      <w:tr w14:paraId="3A2B9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67" w:hRule="atLeast"/>
          <w:jc w:val="center"/>
        </w:trPr>
        <w:tc>
          <w:tcPr>
            <w:tcW w:w="733" w:type="dxa"/>
            <w:vMerge w:val="continue"/>
            <w:tcBorders>
              <w:left w:val="single" w:color="000000" w:sz="4" w:space="0"/>
              <w:right w:val="single" w:color="000000" w:sz="4" w:space="0"/>
            </w:tcBorders>
            <w:vAlign w:val="center"/>
          </w:tcPr>
          <w:p w14:paraId="3706D2A8">
            <w:pPr>
              <w:spacing w:after="0"/>
              <w:rPr>
                <w:rFonts w:ascii="宋体" w:hAnsi="宋体" w:eastAsia="宋体" w:cs="宋体"/>
              </w:rPr>
            </w:pPr>
          </w:p>
        </w:tc>
        <w:tc>
          <w:tcPr>
            <w:tcW w:w="803" w:type="dxa"/>
            <w:tcBorders>
              <w:top w:val="single" w:color="auto" w:sz="4" w:space="0"/>
              <w:left w:val="single" w:color="000000" w:sz="4" w:space="0"/>
              <w:bottom w:val="single" w:color="auto" w:sz="4" w:space="0"/>
              <w:right w:val="single" w:color="000000" w:sz="4" w:space="0"/>
            </w:tcBorders>
            <w:vAlign w:val="center"/>
          </w:tcPr>
          <w:p w14:paraId="6F565082">
            <w:pPr>
              <w:spacing w:after="0" w:line="68" w:lineRule="atLeast"/>
              <w:rPr>
                <w:rFonts w:ascii="宋体" w:hAnsi="宋体" w:eastAsia="宋体" w:cs="宋体"/>
              </w:rPr>
            </w:pPr>
            <w:r>
              <w:rPr>
                <w:rFonts w:hint="eastAsia" w:ascii="宋体" w:hAnsi="宋体" w:eastAsia="宋体" w:cs="宋体"/>
              </w:rPr>
              <w:t>评价结果应用</w:t>
            </w:r>
          </w:p>
          <w:p w14:paraId="003FFB0A">
            <w:pPr>
              <w:spacing w:after="0" w:line="68" w:lineRule="atLeast"/>
              <w:rPr>
                <w:rFonts w:ascii="宋体" w:hAnsi="宋体" w:eastAsia="宋体" w:cs="宋体"/>
              </w:rPr>
            </w:pPr>
            <w:r>
              <w:rPr>
                <w:rFonts w:hint="eastAsia" w:ascii="宋体" w:hAnsi="宋体" w:eastAsia="宋体" w:cs="宋体"/>
              </w:rPr>
              <w:t>（2分）</w:t>
            </w:r>
          </w:p>
        </w:tc>
        <w:tc>
          <w:tcPr>
            <w:tcW w:w="1182" w:type="dxa"/>
            <w:tcBorders>
              <w:top w:val="single" w:color="000000" w:sz="4" w:space="0"/>
              <w:left w:val="single" w:color="000000" w:sz="4" w:space="0"/>
              <w:bottom w:val="single" w:color="000000" w:sz="4" w:space="0"/>
              <w:right w:val="single" w:color="auto" w:sz="4" w:space="0"/>
            </w:tcBorders>
            <w:vAlign w:val="center"/>
          </w:tcPr>
          <w:p w14:paraId="3C8C3E2B">
            <w:pPr>
              <w:spacing w:after="0" w:line="68" w:lineRule="atLeast"/>
              <w:rPr>
                <w:rFonts w:ascii="宋体" w:hAnsi="宋体" w:eastAsia="宋体" w:cs="宋体"/>
              </w:rPr>
            </w:pPr>
            <w:r>
              <w:rPr>
                <w:rFonts w:hint="eastAsia" w:ascii="宋体" w:hAnsi="宋体" w:eastAsia="宋体" w:cs="宋体"/>
              </w:rPr>
              <w:t>应用率（2分）</w:t>
            </w:r>
          </w:p>
        </w:tc>
        <w:tc>
          <w:tcPr>
            <w:tcW w:w="6911" w:type="dxa"/>
            <w:tcBorders>
              <w:top w:val="single" w:color="000000" w:sz="4" w:space="0"/>
              <w:left w:val="single" w:color="auto" w:sz="4" w:space="0"/>
              <w:bottom w:val="single" w:color="000000" w:sz="4" w:space="0"/>
              <w:right w:val="single" w:color="auto" w:sz="4" w:space="0"/>
            </w:tcBorders>
            <w:vAlign w:val="center"/>
          </w:tcPr>
          <w:p w14:paraId="3B2C668D">
            <w:pPr>
              <w:spacing w:after="0" w:line="68" w:lineRule="atLeast"/>
              <w:rPr>
                <w:rFonts w:ascii="宋体" w:hAnsi="宋体" w:eastAsia="宋体" w:cs="宋体"/>
              </w:rPr>
            </w:pPr>
            <w:r>
              <w:rPr>
                <w:rFonts w:hint="eastAsia" w:ascii="宋体" w:hAnsi="宋体" w:eastAsia="宋体" w:cs="宋体"/>
              </w:rPr>
              <w:t>部门应用绩效评价结果的项目数占绩效评价项目数的比重，用以反映和考核部门绩效评价结果的利用水平和程度。</w:t>
            </w:r>
          </w:p>
          <w:p w14:paraId="6BEC1771">
            <w:pPr>
              <w:spacing w:after="0" w:line="68" w:lineRule="atLeast"/>
              <w:rPr>
                <w:rFonts w:ascii="宋体" w:hAnsi="宋体" w:eastAsia="宋体" w:cs="宋体"/>
              </w:rPr>
            </w:pPr>
            <w:r>
              <w:rPr>
                <w:rFonts w:hint="eastAsia" w:ascii="宋体" w:hAnsi="宋体" w:eastAsia="宋体" w:cs="宋体"/>
              </w:rPr>
              <w:t>应用率=应用绩效评价结果的项目数量/部门实施绩效评价项目数量×100%。</w:t>
            </w:r>
          </w:p>
          <w:p w14:paraId="41AA58C5">
            <w:pPr>
              <w:spacing w:after="0" w:line="68" w:lineRule="atLeast"/>
              <w:rPr>
                <w:rFonts w:ascii="宋体" w:hAnsi="宋体" w:eastAsia="宋体" w:cs="宋体"/>
              </w:rPr>
            </w:pPr>
            <w:r>
              <w:rPr>
                <w:rFonts w:hint="eastAsia" w:ascii="宋体" w:hAnsi="宋体" w:eastAsia="宋体" w:cs="宋体"/>
              </w:rPr>
              <w:t>应用绩效评价结果包括向财政部门报告绩效评价结果、向被评价单位反馈绩效评价结果、内部公开绩效评价结果和落实整改措施等方面，其中，落实整改措施包括调整预算结构、改革预算管理、整改发现问题、健全制度措施和实施绩效问责。</w:t>
            </w:r>
          </w:p>
        </w:tc>
        <w:tc>
          <w:tcPr>
            <w:tcW w:w="3423" w:type="dxa"/>
            <w:tcBorders>
              <w:top w:val="single" w:color="000000" w:sz="4" w:space="0"/>
              <w:left w:val="single" w:color="auto" w:sz="4" w:space="0"/>
              <w:bottom w:val="single" w:color="000000" w:sz="4" w:space="0"/>
              <w:right w:val="single" w:color="auto" w:sz="4" w:space="0"/>
            </w:tcBorders>
            <w:vAlign w:val="center"/>
          </w:tcPr>
          <w:p w14:paraId="6C4C1FD1">
            <w:pPr>
              <w:spacing w:after="0" w:line="240" w:lineRule="exact"/>
              <w:rPr>
                <w:rFonts w:ascii="宋体" w:hAnsi="宋体" w:eastAsia="宋体" w:cs="宋体"/>
              </w:rPr>
            </w:pPr>
            <w:r>
              <w:rPr>
                <w:rFonts w:hint="eastAsia" w:ascii="宋体" w:hAnsi="宋体" w:eastAsia="宋体" w:cs="宋体"/>
              </w:rPr>
              <w:t>目标值为100%；以2分为上限，采用完成比率法计分：得分=应用率×2，超出目标值不加分。</w:t>
            </w:r>
          </w:p>
        </w:tc>
        <w:tc>
          <w:tcPr>
            <w:tcW w:w="1090" w:type="dxa"/>
            <w:tcBorders>
              <w:top w:val="single" w:color="000000" w:sz="4" w:space="0"/>
              <w:left w:val="single" w:color="auto" w:sz="4" w:space="0"/>
              <w:bottom w:val="single" w:color="000000" w:sz="4" w:space="0"/>
              <w:right w:val="single" w:color="000000" w:sz="4" w:space="0"/>
            </w:tcBorders>
            <w:vAlign w:val="center"/>
          </w:tcPr>
          <w:p w14:paraId="426C2FBB">
            <w:pPr>
              <w:spacing w:after="0" w:line="68" w:lineRule="atLeast"/>
              <w:jc w:val="center"/>
              <w:rPr>
                <w:rFonts w:ascii="宋体" w:hAnsi="宋体" w:eastAsia="宋体" w:cs="宋体"/>
              </w:rPr>
            </w:pPr>
            <w:r>
              <w:rPr>
                <w:rFonts w:hint="eastAsia" w:ascii="宋体" w:hAnsi="宋体" w:eastAsia="宋体" w:cs="宋体"/>
              </w:rPr>
              <w:t>1.5</w:t>
            </w:r>
          </w:p>
        </w:tc>
      </w:tr>
      <w:tr w14:paraId="649D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9" w:hRule="atLeast"/>
          <w:jc w:val="center"/>
        </w:trPr>
        <w:tc>
          <w:tcPr>
            <w:tcW w:w="733" w:type="dxa"/>
            <w:vMerge w:val="continue"/>
            <w:tcBorders>
              <w:left w:val="single" w:color="000000" w:sz="4" w:space="0"/>
              <w:right w:val="single" w:color="000000" w:sz="4" w:space="0"/>
            </w:tcBorders>
            <w:vAlign w:val="center"/>
          </w:tcPr>
          <w:p w14:paraId="7585C5E2">
            <w:pPr>
              <w:spacing w:after="0"/>
              <w:rPr>
                <w:rFonts w:ascii="宋体" w:hAnsi="宋体" w:eastAsia="宋体" w:cs="宋体"/>
              </w:rPr>
            </w:pPr>
          </w:p>
        </w:tc>
        <w:tc>
          <w:tcPr>
            <w:tcW w:w="803" w:type="dxa"/>
            <w:tcBorders>
              <w:top w:val="single" w:color="auto" w:sz="4" w:space="0"/>
              <w:left w:val="single" w:color="000000" w:sz="4" w:space="0"/>
              <w:bottom w:val="single" w:color="auto" w:sz="4" w:space="0"/>
              <w:right w:val="single" w:color="000000" w:sz="4" w:space="0"/>
            </w:tcBorders>
            <w:vAlign w:val="center"/>
          </w:tcPr>
          <w:p w14:paraId="4815173E">
            <w:pPr>
              <w:spacing w:after="0" w:line="68" w:lineRule="atLeast"/>
              <w:rPr>
                <w:rFonts w:ascii="宋体" w:hAnsi="宋体" w:eastAsia="宋体" w:cs="宋体"/>
              </w:rPr>
            </w:pPr>
            <w:r>
              <w:rPr>
                <w:rFonts w:hint="eastAsia" w:ascii="宋体" w:hAnsi="宋体" w:eastAsia="宋体" w:cs="宋体"/>
              </w:rPr>
              <w:t>结果应用创新（1分）</w:t>
            </w:r>
          </w:p>
        </w:tc>
        <w:tc>
          <w:tcPr>
            <w:tcW w:w="1182" w:type="dxa"/>
            <w:tcBorders>
              <w:top w:val="single" w:color="000000" w:sz="4" w:space="0"/>
              <w:left w:val="single" w:color="000000" w:sz="4" w:space="0"/>
              <w:bottom w:val="single" w:color="000000" w:sz="4" w:space="0"/>
              <w:right w:val="single" w:color="auto" w:sz="4" w:space="0"/>
            </w:tcBorders>
            <w:vAlign w:val="center"/>
          </w:tcPr>
          <w:p w14:paraId="6AC1C235">
            <w:pPr>
              <w:spacing w:after="0" w:line="68" w:lineRule="atLeast"/>
              <w:rPr>
                <w:rFonts w:ascii="宋体" w:hAnsi="宋体" w:eastAsia="宋体" w:cs="宋体"/>
              </w:rPr>
            </w:pPr>
            <w:r>
              <w:rPr>
                <w:rFonts w:hint="eastAsia" w:ascii="宋体" w:hAnsi="宋体" w:eastAsia="宋体" w:cs="宋体"/>
              </w:rPr>
              <w:t>结果应用创新（1分）</w:t>
            </w:r>
          </w:p>
        </w:tc>
        <w:tc>
          <w:tcPr>
            <w:tcW w:w="6911" w:type="dxa"/>
            <w:tcBorders>
              <w:top w:val="single" w:color="000000" w:sz="4" w:space="0"/>
              <w:left w:val="single" w:color="auto" w:sz="4" w:space="0"/>
              <w:bottom w:val="single" w:color="000000" w:sz="4" w:space="0"/>
              <w:right w:val="single" w:color="auto" w:sz="4" w:space="0"/>
            </w:tcBorders>
            <w:vAlign w:val="center"/>
          </w:tcPr>
          <w:p w14:paraId="309E708F">
            <w:pPr>
              <w:spacing w:after="0" w:line="68" w:lineRule="atLeast"/>
              <w:rPr>
                <w:rFonts w:ascii="宋体" w:hAnsi="宋体" w:eastAsia="宋体" w:cs="宋体"/>
              </w:rPr>
            </w:pPr>
            <w:r>
              <w:rPr>
                <w:rFonts w:hint="eastAsia" w:ascii="宋体" w:hAnsi="宋体" w:eastAsia="宋体" w:cs="宋体"/>
              </w:rPr>
              <w:t>部门将绩效结果主动对外公开、预算绩效管理工作开展情况向同级政府、人大等部门报告，用以反映和考核部门在结果应用方面的创新情况。</w:t>
            </w:r>
          </w:p>
          <w:p w14:paraId="173393D6">
            <w:pPr>
              <w:spacing w:after="0" w:line="68" w:lineRule="atLeast"/>
              <w:rPr>
                <w:rFonts w:ascii="宋体" w:hAnsi="宋体" w:eastAsia="宋体" w:cs="宋体"/>
              </w:rPr>
            </w:pPr>
            <w:r>
              <w:rPr>
                <w:rFonts w:hint="eastAsia" w:ascii="宋体" w:hAnsi="宋体" w:eastAsia="宋体" w:cs="宋体"/>
              </w:rPr>
              <w:t>评价要点：</w:t>
            </w:r>
          </w:p>
          <w:p w14:paraId="125F4587">
            <w:pPr>
              <w:spacing w:after="0" w:line="68" w:lineRule="atLeast"/>
              <w:rPr>
                <w:rFonts w:ascii="宋体" w:hAnsi="宋体" w:eastAsia="宋体" w:cs="宋体"/>
              </w:rPr>
            </w:pPr>
            <w:r>
              <w:rPr>
                <w:rFonts w:hint="eastAsia" w:ascii="宋体" w:hAnsi="宋体" w:eastAsia="宋体" w:cs="宋体"/>
              </w:rPr>
              <w:t>1.部门是否按要求对社会公开绩效评价结果。</w:t>
            </w:r>
          </w:p>
          <w:p w14:paraId="45CF4756">
            <w:pPr>
              <w:spacing w:after="0" w:line="68" w:lineRule="atLeast"/>
              <w:rPr>
                <w:rFonts w:ascii="宋体" w:hAnsi="宋体" w:eastAsia="宋体" w:cs="宋体"/>
              </w:rPr>
            </w:pPr>
            <w:r>
              <w:rPr>
                <w:rFonts w:hint="eastAsia" w:ascii="宋体" w:hAnsi="宋体" w:eastAsia="宋体" w:cs="宋体"/>
              </w:rPr>
              <w:t>2.部门是否将预算绩效管理工作开展情况向同级政府、人大等部门报告。</w:t>
            </w:r>
          </w:p>
        </w:tc>
        <w:tc>
          <w:tcPr>
            <w:tcW w:w="3423" w:type="dxa"/>
            <w:tcBorders>
              <w:top w:val="single" w:color="000000" w:sz="4" w:space="0"/>
              <w:left w:val="single" w:color="auto" w:sz="4" w:space="0"/>
              <w:bottom w:val="single" w:color="000000" w:sz="4" w:space="0"/>
              <w:right w:val="single" w:color="auto" w:sz="4" w:space="0"/>
            </w:tcBorders>
            <w:vAlign w:val="center"/>
          </w:tcPr>
          <w:p w14:paraId="3FF66494">
            <w:pPr>
              <w:spacing w:after="0" w:line="240" w:lineRule="exact"/>
              <w:rPr>
                <w:rFonts w:ascii="宋体" w:hAnsi="宋体" w:eastAsia="宋体" w:cs="宋体"/>
              </w:rPr>
            </w:pPr>
            <w:r>
              <w:rPr>
                <w:rFonts w:hint="eastAsia" w:ascii="宋体" w:hAnsi="宋体" w:eastAsia="宋体" w:cs="宋体"/>
              </w:rPr>
              <w:t>全部符合（1分）；</w:t>
            </w:r>
          </w:p>
          <w:p w14:paraId="24570B21">
            <w:pPr>
              <w:spacing w:after="0" w:line="240" w:lineRule="exact"/>
              <w:rPr>
                <w:rFonts w:ascii="宋体" w:hAnsi="宋体" w:eastAsia="宋体" w:cs="宋体"/>
              </w:rPr>
            </w:pPr>
            <w:r>
              <w:rPr>
                <w:rFonts w:hint="eastAsia" w:ascii="宋体" w:hAnsi="宋体" w:eastAsia="宋体" w:cs="宋体"/>
              </w:rPr>
              <w:t>符合其中两项（0.5分）</w:t>
            </w:r>
          </w:p>
          <w:p w14:paraId="740E5693">
            <w:pPr>
              <w:spacing w:after="0" w:line="240" w:lineRule="exact"/>
              <w:rPr>
                <w:rFonts w:ascii="宋体" w:hAnsi="宋体" w:eastAsia="宋体" w:cs="宋体"/>
              </w:rPr>
            </w:pPr>
            <w:r>
              <w:rPr>
                <w:rFonts w:hint="eastAsia" w:ascii="宋体" w:hAnsi="宋体" w:eastAsia="宋体" w:cs="宋体"/>
              </w:rPr>
              <w:t>符合其中一项及以下（0分）。</w:t>
            </w:r>
          </w:p>
        </w:tc>
        <w:tc>
          <w:tcPr>
            <w:tcW w:w="1090" w:type="dxa"/>
            <w:tcBorders>
              <w:top w:val="single" w:color="000000" w:sz="4" w:space="0"/>
              <w:left w:val="single" w:color="auto" w:sz="4" w:space="0"/>
              <w:bottom w:val="single" w:color="000000" w:sz="4" w:space="0"/>
              <w:right w:val="single" w:color="000000" w:sz="4" w:space="0"/>
            </w:tcBorders>
            <w:vAlign w:val="center"/>
          </w:tcPr>
          <w:p w14:paraId="015B1D4F">
            <w:pPr>
              <w:spacing w:after="0" w:line="68" w:lineRule="atLeast"/>
              <w:jc w:val="center"/>
              <w:rPr>
                <w:rFonts w:ascii="宋体" w:hAnsi="宋体" w:eastAsia="宋体" w:cs="宋体"/>
              </w:rPr>
            </w:pPr>
            <w:r>
              <w:rPr>
                <w:rFonts w:hint="eastAsia" w:ascii="宋体" w:hAnsi="宋体" w:eastAsia="宋体" w:cs="宋体"/>
              </w:rPr>
              <w:t>1</w:t>
            </w:r>
          </w:p>
        </w:tc>
      </w:tr>
      <w:tr w14:paraId="634C1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8" w:hRule="atLeast"/>
          <w:jc w:val="center"/>
        </w:trPr>
        <w:tc>
          <w:tcPr>
            <w:tcW w:w="733" w:type="dxa"/>
            <w:vMerge w:val="continue"/>
            <w:tcBorders>
              <w:left w:val="single" w:color="000000" w:sz="4" w:space="0"/>
              <w:right w:val="single" w:color="000000" w:sz="4" w:space="0"/>
            </w:tcBorders>
            <w:vAlign w:val="center"/>
          </w:tcPr>
          <w:p w14:paraId="0F74B95F">
            <w:pPr>
              <w:spacing w:after="0"/>
              <w:rPr>
                <w:rFonts w:ascii="宋体" w:hAnsi="宋体" w:eastAsia="宋体" w:cs="宋体"/>
              </w:rPr>
            </w:pPr>
          </w:p>
        </w:tc>
        <w:tc>
          <w:tcPr>
            <w:tcW w:w="803" w:type="dxa"/>
            <w:tcBorders>
              <w:top w:val="single" w:color="auto" w:sz="4" w:space="0"/>
              <w:left w:val="single" w:color="000000" w:sz="4" w:space="0"/>
              <w:bottom w:val="single" w:color="auto" w:sz="4" w:space="0"/>
              <w:right w:val="single" w:color="000000" w:sz="4" w:space="0"/>
            </w:tcBorders>
            <w:vAlign w:val="center"/>
          </w:tcPr>
          <w:p w14:paraId="2A818082">
            <w:pPr>
              <w:spacing w:after="0" w:line="68" w:lineRule="atLeast"/>
              <w:rPr>
                <w:rFonts w:ascii="宋体" w:hAnsi="宋体" w:eastAsia="宋体" w:cs="宋体"/>
              </w:rPr>
            </w:pPr>
            <w:r>
              <w:rPr>
                <w:rFonts w:hint="eastAsia" w:ascii="宋体" w:hAnsi="宋体" w:eastAsia="宋体" w:cs="宋体"/>
              </w:rPr>
              <w:t>社会效益（5分）</w:t>
            </w:r>
          </w:p>
        </w:tc>
        <w:tc>
          <w:tcPr>
            <w:tcW w:w="1182" w:type="dxa"/>
            <w:tcBorders>
              <w:top w:val="single" w:color="000000" w:sz="4" w:space="0"/>
              <w:left w:val="single" w:color="000000" w:sz="4" w:space="0"/>
              <w:bottom w:val="single" w:color="000000" w:sz="4" w:space="0"/>
              <w:right w:val="single" w:color="auto" w:sz="4" w:space="0"/>
            </w:tcBorders>
            <w:vAlign w:val="center"/>
          </w:tcPr>
          <w:p w14:paraId="756CEEB4">
            <w:pPr>
              <w:spacing w:after="0" w:line="68" w:lineRule="atLeast"/>
              <w:rPr>
                <w:rFonts w:ascii="宋体" w:hAnsi="宋体" w:eastAsia="宋体" w:cs="宋体"/>
              </w:rPr>
            </w:pPr>
            <w:r>
              <w:rPr>
                <w:rFonts w:hint="eastAsia" w:ascii="宋体" w:hAnsi="宋体" w:eastAsia="宋体" w:cs="宋体"/>
              </w:rPr>
              <w:t>社会公众满意度（5分）</w:t>
            </w:r>
          </w:p>
        </w:tc>
        <w:tc>
          <w:tcPr>
            <w:tcW w:w="6911" w:type="dxa"/>
            <w:tcBorders>
              <w:top w:val="single" w:color="000000" w:sz="4" w:space="0"/>
              <w:left w:val="single" w:color="auto" w:sz="4" w:space="0"/>
              <w:bottom w:val="single" w:color="000000" w:sz="4" w:space="0"/>
              <w:right w:val="single" w:color="auto" w:sz="4" w:space="0"/>
            </w:tcBorders>
            <w:vAlign w:val="center"/>
          </w:tcPr>
          <w:p w14:paraId="7CB7D046">
            <w:pPr>
              <w:spacing w:after="0" w:line="68" w:lineRule="atLeast"/>
              <w:rPr>
                <w:rFonts w:ascii="宋体" w:hAnsi="宋体" w:eastAsia="宋体" w:cs="宋体"/>
              </w:rPr>
            </w:pPr>
            <w:r>
              <w:rPr>
                <w:rFonts w:hint="eastAsia" w:ascii="宋体" w:hAnsi="宋体" w:eastAsia="宋体" w:cs="宋体"/>
              </w:rPr>
              <w:t>通过问卷调查了解社会公众对部门履职效果、解决民众关心的热点问题、厉行节约等方面的满意程度，反映和评价部门支出所带来的社会效益。</w:t>
            </w:r>
          </w:p>
        </w:tc>
        <w:tc>
          <w:tcPr>
            <w:tcW w:w="3423" w:type="dxa"/>
            <w:tcBorders>
              <w:top w:val="single" w:color="000000" w:sz="4" w:space="0"/>
              <w:left w:val="single" w:color="auto" w:sz="4" w:space="0"/>
              <w:bottom w:val="single" w:color="000000" w:sz="4" w:space="0"/>
              <w:right w:val="single" w:color="auto" w:sz="4" w:space="0"/>
            </w:tcBorders>
            <w:vAlign w:val="center"/>
          </w:tcPr>
          <w:p w14:paraId="5E7A7184">
            <w:pPr>
              <w:spacing w:after="0" w:line="240" w:lineRule="exact"/>
              <w:rPr>
                <w:rFonts w:ascii="宋体" w:hAnsi="宋体" w:eastAsia="宋体" w:cs="宋体"/>
              </w:rPr>
            </w:pPr>
            <w:r>
              <w:rPr>
                <w:rFonts w:hint="eastAsia" w:ascii="宋体" w:hAnsi="宋体" w:eastAsia="宋体" w:cs="宋体"/>
              </w:rPr>
              <w:t>按照满意度调查的优秀、良好、合格、不合格给予该项指标打分：</w:t>
            </w:r>
          </w:p>
          <w:p w14:paraId="5668C4BB">
            <w:pPr>
              <w:spacing w:after="0" w:line="68" w:lineRule="atLeast"/>
              <w:rPr>
                <w:rFonts w:ascii="宋体" w:hAnsi="宋体" w:eastAsia="宋体" w:cs="宋体"/>
              </w:rPr>
            </w:pPr>
            <w:r>
              <w:rPr>
                <w:rFonts w:hint="eastAsia" w:ascii="宋体" w:hAnsi="宋体" w:eastAsia="宋体" w:cs="宋体"/>
              </w:rPr>
              <w:t>优秀（5分）；良好（3分）；合格（1分）；不合格（0分）。</w:t>
            </w:r>
          </w:p>
        </w:tc>
        <w:tc>
          <w:tcPr>
            <w:tcW w:w="1090" w:type="dxa"/>
            <w:tcBorders>
              <w:top w:val="single" w:color="000000" w:sz="4" w:space="0"/>
              <w:left w:val="single" w:color="auto" w:sz="4" w:space="0"/>
              <w:bottom w:val="single" w:color="000000" w:sz="4" w:space="0"/>
              <w:right w:val="single" w:color="000000" w:sz="4" w:space="0"/>
            </w:tcBorders>
            <w:vAlign w:val="center"/>
          </w:tcPr>
          <w:p w14:paraId="52E00CD9">
            <w:pPr>
              <w:spacing w:after="0" w:line="68" w:lineRule="atLeast"/>
              <w:jc w:val="center"/>
              <w:rPr>
                <w:rFonts w:ascii="宋体" w:hAnsi="宋体" w:eastAsia="宋体" w:cs="宋体"/>
              </w:rPr>
            </w:pPr>
            <w:r>
              <w:rPr>
                <w:rFonts w:hint="eastAsia" w:ascii="宋体" w:hAnsi="宋体" w:eastAsia="宋体" w:cs="宋体"/>
              </w:rPr>
              <w:t>5</w:t>
            </w:r>
          </w:p>
        </w:tc>
      </w:tr>
      <w:tr w14:paraId="5F9FC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733" w:type="dxa"/>
            <w:tcBorders>
              <w:left w:val="single" w:color="000000" w:sz="4" w:space="0"/>
              <w:right w:val="single" w:color="000000" w:sz="4" w:space="0"/>
            </w:tcBorders>
            <w:vAlign w:val="center"/>
          </w:tcPr>
          <w:p w14:paraId="20A871E7">
            <w:pPr>
              <w:spacing w:after="0"/>
              <w:rPr>
                <w:rFonts w:ascii="宋体" w:hAnsi="宋体" w:eastAsia="宋体" w:cs="宋体"/>
              </w:rPr>
            </w:pPr>
            <w:r>
              <w:rPr>
                <w:rFonts w:hint="eastAsia" w:ascii="宋体" w:hAnsi="宋体" w:eastAsia="宋体" w:cs="宋体"/>
              </w:rPr>
              <w:t>小计</w:t>
            </w:r>
          </w:p>
        </w:tc>
        <w:tc>
          <w:tcPr>
            <w:tcW w:w="803" w:type="dxa"/>
            <w:tcBorders>
              <w:top w:val="single" w:color="auto" w:sz="4" w:space="0"/>
              <w:left w:val="single" w:color="000000" w:sz="4" w:space="0"/>
              <w:bottom w:val="single" w:color="auto" w:sz="4" w:space="0"/>
              <w:right w:val="single" w:color="000000" w:sz="4" w:space="0"/>
            </w:tcBorders>
            <w:vAlign w:val="center"/>
          </w:tcPr>
          <w:p w14:paraId="6ACEB047">
            <w:pPr>
              <w:spacing w:after="0" w:line="68" w:lineRule="atLeast"/>
              <w:rPr>
                <w:rFonts w:ascii="宋体" w:hAnsi="宋体" w:eastAsia="宋体" w:cs="宋体"/>
              </w:rPr>
            </w:pPr>
            <w:r>
              <w:rPr>
                <w:rFonts w:hint="eastAsia" w:ascii="宋体" w:hAnsi="宋体" w:eastAsia="宋体" w:cs="宋体"/>
              </w:rPr>
              <w:t>100</w:t>
            </w:r>
          </w:p>
        </w:tc>
        <w:tc>
          <w:tcPr>
            <w:tcW w:w="1182" w:type="dxa"/>
            <w:tcBorders>
              <w:top w:val="single" w:color="000000" w:sz="4" w:space="0"/>
              <w:left w:val="single" w:color="000000" w:sz="4" w:space="0"/>
              <w:bottom w:val="single" w:color="000000" w:sz="4" w:space="0"/>
              <w:right w:val="single" w:color="auto" w:sz="4" w:space="0"/>
            </w:tcBorders>
            <w:vAlign w:val="center"/>
          </w:tcPr>
          <w:p w14:paraId="01654852">
            <w:pPr>
              <w:spacing w:after="0" w:line="68" w:lineRule="atLeast"/>
              <w:rPr>
                <w:rFonts w:ascii="宋体" w:hAnsi="宋体" w:eastAsia="宋体" w:cs="宋体"/>
              </w:rPr>
            </w:pPr>
          </w:p>
        </w:tc>
        <w:tc>
          <w:tcPr>
            <w:tcW w:w="6911" w:type="dxa"/>
            <w:tcBorders>
              <w:top w:val="single" w:color="000000" w:sz="4" w:space="0"/>
              <w:left w:val="single" w:color="auto" w:sz="4" w:space="0"/>
              <w:bottom w:val="single" w:color="000000" w:sz="4" w:space="0"/>
              <w:right w:val="single" w:color="auto" w:sz="4" w:space="0"/>
            </w:tcBorders>
            <w:vAlign w:val="center"/>
          </w:tcPr>
          <w:p w14:paraId="09C33814">
            <w:pPr>
              <w:spacing w:after="0" w:line="68" w:lineRule="atLeast"/>
              <w:rPr>
                <w:rFonts w:ascii="宋体" w:hAnsi="宋体" w:eastAsia="宋体" w:cs="宋体"/>
              </w:rPr>
            </w:pPr>
          </w:p>
        </w:tc>
        <w:tc>
          <w:tcPr>
            <w:tcW w:w="3423" w:type="dxa"/>
            <w:tcBorders>
              <w:top w:val="single" w:color="000000" w:sz="4" w:space="0"/>
              <w:left w:val="single" w:color="auto" w:sz="4" w:space="0"/>
              <w:bottom w:val="single" w:color="000000" w:sz="4" w:space="0"/>
              <w:right w:val="single" w:color="auto" w:sz="4" w:space="0"/>
            </w:tcBorders>
            <w:vAlign w:val="center"/>
          </w:tcPr>
          <w:p w14:paraId="228C5404">
            <w:pPr>
              <w:spacing w:after="0" w:line="68" w:lineRule="atLeast"/>
              <w:rPr>
                <w:rFonts w:ascii="宋体" w:hAnsi="宋体" w:eastAsia="宋体" w:cs="宋体"/>
              </w:rPr>
            </w:pPr>
          </w:p>
        </w:tc>
        <w:tc>
          <w:tcPr>
            <w:tcW w:w="1090" w:type="dxa"/>
            <w:tcBorders>
              <w:top w:val="single" w:color="000000" w:sz="4" w:space="0"/>
              <w:left w:val="single" w:color="auto" w:sz="4" w:space="0"/>
              <w:bottom w:val="single" w:color="000000" w:sz="4" w:space="0"/>
              <w:right w:val="single" w:color="000000" w:sz="4" w:space="0"/>
            </w:tcBorders>
            <w:vAlign w:val="center"/>
          </w:tcPr>
          <w:p w14:paraId="38302E45">
            <w:pPr>
              <w:spacing w:after="0" w:line="68" w:lineRule="atLeast"/>
              <w:jc w:val="center"/>
              <w:rPr>
                <w:rFonts w:ascii="宋体" w:hAnsi="宋体" w:eastAsia="宋体" w:cs="宋体"/>
              </w:rPr>
            </w:pPr>
          </w:p>
        </w:tc>
      </w:tr>
      <w:tr w14:paraId="6D036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jc w:val="center"/>
        </w:trPr>
        <w:tc>
          <w:tcPr>
            <w:tcW w:w="733" w:type="dxa"/>
            <w:tcBorders>
              <w:left w:val="single" w:color="000000" w:sz="4" w:space="0"/>
              <w:bottom w:val="single" w:color="000000" w:sz="4" w:space="0"/>
              <w:right w:val="single" w:color="000000" w:sz="4" w:space="0"/>
            </w:tcBorders>
            <w:vAlign w:val="center"/>
          </w:tcPr>
          <w:p w14:paraId="18BD1C03">
            <w:pPr>
              <w:spacing w:after="0"/>
              <w:rPr>
                <w:rFonts w:ascii="宋体" w:hAnsi="宋体" w:eastAsia="宋体" w:cs="宋体"/>
              </w:rPr>
            </w:pPr>
            <w:r>
              <w:rPr>
                <w:rFonts w:hint="eastAsia" w:ascii="宋体" w:hAnsi="宋体" w:eastAsia="宋体" w:cs="宋体"/>
              </w:rPr>
              <w:t>评价结果</w:t>
            </w:r>
          </w:p>
        </w:tc>
        <w:tc>
          <w:tcPr>
            <w:tcW w:w="803" w:type="dxa"/>
            <w:tcBorders>
              <w:top w:val="single" w:color="auto" w:sz="4" w:space="0"/>
              <w:left w:val="single" w:color="000000" w:sz="4" w:space="0"/>
              <w:bottom w:val="single" w:color="auto" w:sz="4" w:space="0"/>
              <w:right w:val="single" w:color="000000" w:sz="4" w:space="0"/>
            </w:tcBorders>
            <w:vAlign w:val="center"/>
          </w:tcPr>
          <w:p w14:paraId="24AB70E7">
            <w:pPr>
              <w:spacing w:after="0" w:line="68" w:lineRule="atLeast"/>
              <w:rPr>
                <w:rFonts w:ascii="宋体" w:hAnsi="宋体" w:eastAsia="宋体" w:cs="宋体"/>
              </w:rPr>
            </w:pPr>
          </w:p>
        </w:tc>
        <w:tc>
          <w:tcPr>
            <w:tcW w:w="1182" w:type="dxa"/>
            <w:tcBorders>
              <w:top w:val="single" w:color="000000" w:sz="4" w:space="0"/>
              <w:left w:val="single" w:color="000000" w:sz="4" w:space="0"/>
              <w:bottom w:val="single" w:color="000000" w:sz="4" w:space="0"/>
              <w:right w:val="single" w:color="auto" w:sz="4" w:space="0"/>
            </w:tcBorders>
            <w:vAlign w:val="center"/>
          </w:tcPr>
          <w:p w14:paraId="31AF7352">
            <w:pPr>
              <w:spacing w:after="0" w:line="68" w:lineRule="atLeast"/>
              <w:rPr>
                <w:rFonts w:ascii="宋体" w:hAnsi="宋体" w:eastAsia="宋体" w:cs="宋体"/>
              </w:rPr>
            </w:pPr>
          </w:p>
        </w:tc>
        <w:tc>
          <w:tcPr>
            <w:tcW w:w="10334" w:type="dxa"/>
            <w:gridSpan w:val="2"/>
            <w:tcBorders>
              <w:top w:val="single" w:color="000000" w:sz="4" w:space="0"/>
              <w:left w:val="single" w:color="auto" w:sz="4" w:space="0"/>
              <w:bottom w:val="single" w:color="000000" w:sz="4" w:space="0"/>
              <w:right w:val="single" w:color="auto" w:sz="4" w:space="0"/>
            </w:tcBorders>
            <w:vAlign w:val="center"/>
          </w:tcPr>
          <w:p w14:paraId="3F632D15">
            <w:pPr>
              <w:spacing w:after="0" w:line="68" w:lineRule="atLeast"/>
              <w:rPr>
                <w:rFonts w:ascii="宋体" w:hAnsi="宋体" w:eastAsia="宋体" w:cs="宋体"/>
              </w:rPr>
            </w:pPr>
            <w:r>
              <w:rPr>
                <w:rFonts w:hint="eastAsia" w:ascii="宋体" w:hAnsi="宋体" w:eastAsia="宋体" w:cs="宋体"/>
              </w:rPr>
              <w:t xml:space="preserve">□优秀  90分≤得分≤100分； </w:t>
            </w:r>
            <w:r>
              <w:rPr>
                <w:rFonts w:hint="eastAsia" w:ascii="宋体" w:hAnsi="宋体" w:eastAsia="宋体" w:cs="宋体"/>
              </w:rPr>
              <w:sym w:font="Wingdings 2" w:char="0052"/>
            </w:r>
            <w:r>
              <w:rPr>
                <w:rFonts w:hint="eastAsia" w:ascii="宋体" w:hAnsi="宋体" w:eastAsia="宋体" w:cs="宋体"/>
              </w:rPr>
              <w:t>良好  80分≤得分≤89分；</w:t>
            </w:r>
          </w:p>
          <w:p w14:paraId="0907AFBF">
            <w:pPr>
              <w:spacing w:after="0" w:line="68" w:lineRule="atLeast"/>
              <w:rPr>
                <w:rFonts w:ascii="宋体" w:hAnsi="宋体" w:eastAsia="宋体" w:cs="宋体"/>
              </w:rPr>
            </w:pPr>
            <w:r>
              <w:rPr>
                <w:rFonts w:hint="eastAsia" w:ascii="宋体" w:hAnsi="宋体" w:eastAsia="宋体" w:cs="宋体"/>
              </w:rPr>
              <w:t xml:space="preserve">  □中  60分≤得分≤79分；  □较差  0</w:t>
            </w:r>
            <w:r>
              <w:rPr>
                <w:rFonts w:hint="eastAsia" w:ascii="宋体" w:hAnsi="宋体" w:eastAsia="宋体" w:cs="宋体"/>
                <w:lang w:val="en-US" w:eastAsia="zh-CN"/>
              </w:rPr>
              <w:t>分</w:t>
            </w:r>
            <w:r>
              <w:rPr>
                <w:rFonts w:hint="eastAsia" w:ascii="宋体" w:hAnsi="宋体" w:eastAsia="宋体" w:cs="宋体"/>
              </w:rPr>
              <w:t>≤得分≤59分</w:t>
            </w:r>
          </w:p>
        </w:tc>
        <w:tc>
          <w:tcPr>
            <w:tcW w:w="1090" w:type="dxa"/>
            <w:tcBorders>
              <w:top w:val="single" w:color="000000" w:sz="4" w:space="0"/>
              <w:left w:val="single" w:color="auto" w:sz="4" w:space="0"/>
              <w:bottom w:val="single" w:color="000000" w:sz="4" w:space="0"/>
              <w:right w:val="single" w:color="000000" w:sz="4" w:space="0"/>
            </w:tcBorders>
            <w:vAlign w:val="center"/>
          </w:tcPr>
          <w:p w14:paraId="37359FC9">
            <w:pPr>
              <w:spacing w:after="0" w:line="68" w:lineRule="atLeast"/>
              <w:rPr>
                <w:rFonts w:ascii="宋体" w:hAnsi="宋体" w:eastAsia="宋体" w:cs="宋体"/>
              </w:rPr>
            </w:pPr>
            <w:r>
              <w:rPr>
                <w:rFonts w:hint="eastAsia" w:ascii="宋体" w:hAnsi="宋体" w:eastAsia="宋体" w:cs="宋体"/>
              </w:rPr>
              <w:t>90.8</w:t>
            </w:r>
          </w:p>
        </w:tc>
      </w:tr>
    </w:tbl>
    <w:p w14:paraId="2E930541">
      <w:pPr>
        <w:spacing w:line="432" w:lineRule="auto"/>
      </w:pPr>
    </w:p>
    <w:p w14:paraId="4C248B3A">
      <w:pPr>
        <w:rPr>
          <w:rFonts w:ascii="宋体" w:hAnsi="宋体" w:eastAsia="宋体" w:cs="宋体"/>
        </w:rPr>
      </w:pPr>
      <w:bookmarkStart w:id="0" w:name="_GoBack"/>
      <w:bookmarkEnd w:id="0"/>
    </w:p>
    <w:sectPr>
      <w:pgSz w:w="16838" w:h="11906" w:orient="landscape"/>
      <w:pgMar w:top="1587" w:right="1587" w:bottom="1587" w:left="1587" w:header="708" w:footer="709"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1B3F93F-26CE-45E3-86F8-86191F7FC6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ADE765E-A210-429A-9266-80A89E69C9E1}"/>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CBC2E28D-3AE0-4BDA-B1A9-162D6A5D32D9}"/>
  </w:font>
  <w:font w:name="方正小标宋_GBK">
    <w:panose1 w:val="02000000000000000000"/>
    <w:charset w:val="86"/>
    <w:family w:val="auto"/>
    <w:pitch w:val="default"/>
    <w:sig w:usb0="00000001" w:usb1="080E0000" w:usb2="00000000" w:usb3="00000000" w:csb0="00040000" w:csb1="00000000"/>
    <w:embedRegular r:id="rId4" w:fontKey="{22AE6219-8E8E-47E0-8FEF-E5944BC1FD50}"/>
  </w:font>
  <w:font w:name="楷体">
    <w:panose1 w:val="02010609060101010101"/>
    <w:charset w:val="86"/>
    <w:family w:val="modern"/>
    <w:pitch w:val="default"/>
    <w:sig w:usb0="800002BF" w:usb1="38CF7CFA" w:usb2="00000016" w:usb3="00000000" w:csb0="00040001" w:csb1="00000000"/>
    <w:embedRegular r:id="rId5" w:fontKey="{9416A91A-AFA1-495E-BBB2-98C660FA1347}"/>
  </w:font>
  <w:font w:name="仿宋">
    <w:panose1 w:val="02010609060101010101"/>
    <w:charset w:val="86"/>
    <w:family w:val="modern"/>
    <w:pitch w:val="default"/>
    <w:sig w:usb0="800002BF" w:usb1="38CF7CFA" w:usb2="00000016" w:usb3="00000000" w:csb0="00040001" w:csb1="00000000"/>
    <w:embedRegular r:id="rId6" w:fontKey="{9E2049F6-7D19-417E-9599-4DD97A3F3C86}"/>
  </w:font>
  <w:font w:name="楷体_GB2312">
    <w:panose1 w:val="02010609030101010101"/>
    <w:charset w:val="86"/>
    <w:family w:val="auto"/>
    <w:pitch w:val="default"/>
    <w:sig w:usb0="00000001" w:usb1="080E0000" w:usb2="00000000" w:usb3="00000000" w:csb0="00040000" w:csb1="00000000"/>
    <w:embedRegular r:id="rId7" w:fontKey="{BAD6B0D0-5250-45B8-89D9-ED991EEC9DE0}"/>
  </w:font>
  <w:font w:name="方正仿宋简体">
    <w:panose1 w:val="02000000000000000000"/>
    <w:charset w:val="86"/>
    <w:family w:val="auto"/>
    <w:pitch w:val="default"/>
    <w:sig w:usb0="00000001" w:usb1="080E0000" w:usb2="00000000" w:usb3="00000000" w:csb0="00040000" w:csb1="00000000"/>
    <w:embedRegular r:id="rId8" w:fontKey="{8F43ED2A-AD72-48AF-95ED-459BE47CDE4E}"/>
  </w:font>
  <w:font w:name="方正小标宋简体">
    <w:panose1 w:val="02010600010101010101"/>
    <w:charset w:val="86"/>
    <w:family w:val="script"/>
    <w:pitch w:val="default"/>
    <w:sig w:usb0="00000001" w:usb1="080E0000" w:usb2="00000000" w:usb3="00000000" w:csb0="00040000" w:csb1="00000000"/>
    <w:embedRegular r:id="rId9" w:fontKey="{005D2C40-DEAC-4BB7-B9B3-A10BFECF48DD}"/>
  </w:font>
  <w:font w:name="Wingdings 2">
    <w:altName w:val="Wingdings"/>
    <w:panose1 w:val="05020102010507070707"/>
    <w:charset w:val="02"/>
    <w:family w:val="roman"/>
    <w:pitch w:val="default"/>
    <w:sig w:usb0="00000000" w:usb1="00000000" w:usb2="00000000" w:usb3="00000000" w:csb0="80000000" w:csb1="00000000"/>
    <w:embedRegular r:id="rId10" w:fontKey="{334126D6-F75B-422D-8EAE-448C1FE91F78}"/>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9B04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24BECA">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F7byc0BAACnAwAADgAAAGRycy9lMm9Eb2MueG1srVNLbtswEN0H6B0I&#10;7mspLlA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nDmhKUHP//8cf71eH74zt4k&#10;efqAFVXdBaqLw3s/pNIpjhRMrIcWbPoSH0Z5Evd0EVcNkcl0abVcrUpKScrNDuEUT9cDYPygvGXJ&#10;qDnQ62VRxfETxrF0LkndnL/VxlBcVMb9FSDMMaLyCky3E5Nx4mTFYTdMN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LF7byc0BAACnAwAADgAAAAAAAAABACAAAAAeAQAAZHJzL2Uy&#10;b0RvYy54bWxQSwUGAAAAAAYABgBZAQAAXQUAAAAA&#10;">
              <v:fill on="f" focussize="0,0"/>
              <v:stroke on="f"/>
              <v:imagedata o:title=""/>
              <o:lock v:ext="edit" aspectratio="f"/>
              <v:textbox inset="0mm,0mm,0mm,0mm" style="mso-fit-shape-to-text:t;">
                <w:txbxContent>
                  <w:p w14:paraId="3A24BECA">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CAC53"/>
    <w:multiLevelType w:val="singleLevel"/>
    <w:tmpl w:val="C9ECAC53"/>
    <w:lvl w:ilvl="0" w:tentative="0">
      <w:start w:val="1"/>
      <w:numFmt w:val="decimal"/>
      <w:suff w:val="nothing"/>
      <w:lvlText w:val="%1、"/>
      <w:lvlJc w:val="left"/>
    </w:lvl>
  </w:abstractNum>
  <w:abstractNum w:abstractNumId="1">
    <w:nsid w:val="31EC6BFC"/>
    <w:multiLevelType w:val="singleLevel"/>
    <w:tmpl w:val="31EC6BFC"/>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noPunctuationKerning w:val="1"/>
  <w:characterSpacingControl w:val="doNotCompress"/>
  <w:hdrShapeDefaults>
    <o:shapelayout v:ext="edit">
      <o:idmap v:ext="edit" data="1"/>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kNTMyN2M3YzE0ZjFiMmYyM2E3YTk1OThhMzU0MTAifQ=="/>
  </w:docVars>
  <w:rsids>
    <w:rsidRoot w:val="00D31D50"/>
    <w:rsid w:val="000B540C"/>
    <w:rsid w:val="00135CB9"/>
    <w:rsid w:val="001F1A2E"/>
    <w:rsid w:val="00323B43"/>
    <w:rsid w:val="0036742F"/>
    <w:rsid w:val="0038315F"/>
    <w:rsid w:val="003D37D8"/>
    <w:rsid w:val="00415CE5"/>
    <w:rsid w:val="00426133"/>
    <w:rsid w:val="004358AB"/>
    <w:rsid w:val="004C6566"/>
    <w:rsid w:val="00542C4C"/>
    <w:rsid w:val="005D7DB5"/>
    <w:rsid w:val="006B50E7"/>
    <w:rsid w:val="00776B1D"/>
    <w:rsid w:val="00782012"/>
    <w:rsid w:val="00807C6D"/>
    <w:rsid w:val="008B7726"/>
    <w:rsid w:val="00A90A9C"/>
    <w:rsid w:val="00AA2BB6"/>
    <w:rsid w:val="00AF7382"/>
    <w:rsid w:val="00C04908"/>
    <w:rsid w:val="00CF5F8D"/>
    <w:rsid w:val="00D31D50"/>
    <w:rsid w:val="00EA7D7A"/>
    <w:rsid w:val="00EB4495"/>
    <w:rsid w:val="00F12AFF"/>
    <w:rsid w:val="00FA17E4"/>
    <w:rsid w:val="010D6B75"/>
    <w:rsid w:val="01972837"/>
    <w:rsid w:val="033A1D2B"/>
    <w:rsid w:val="03550139"/>
    <w:rsid w:val="048749FC"/>
    <w:rsid w:val="08802804"/>
    <w:rsid w:val="09AB4E68"/>
    <w:rsid w:val="09E813E1"/>
    <w:rsid w:val="0A9528B5"/>
    <w:rsid w:val="0B157A7E"/>
    <w:rsid w:val="12855F2D"/>
    <w:rsid w:val="151D6F20"/>
    <w:rsid w:val="18786A20"/>
    <w:rsid w:val="1C4F7811"/>
    <w:rsid w:val="1E926D9A"/>
    <w:rsid w:val="1FF57DF9"/>
    <w:rsid w:val="228E5CFD"/>
    <w:rsid w:val="2389015E"/>
    <w:rsid w:val="27657312"/>
    <w:rsid w:val="27AF54E0"/>
    <w:rsid w:val="283F0101"/>
    <w:rsid w:val="29932CBF"/>
    <w:rsid w:val="2F1A6C8E"/>
    <w:rsid w:val="2FB93755"/>
    <w:rsid w:val="32461FE7"/>
    <w:rsid w:val="3316259B"/>
    <w:rsid w:val="350D6A45"/>
    <w:rsid w:val="372D2BD7"/>
    <w:rsid w:val="37990961"/>
    <w:rsid w:val="38BB122D"/>
    <w:rsid w:val="3A9F783C"/>
    <w:rsid w:val="3B5D2589"/>
    <w:rsid w:val="3DEE6DAB"/>
    <w:rsid w:val="3F2533F6"/>
    <w:rsid w:val="3FFC25C9"/>
    <w:rsid w:val="40522E0A"/>
    <w:rsid w:val="417D7802"/>
    <w:rsid w:val="42BB7663"/>
    <w:rsid w:val="43B802BF"/>
    <w:rsid w:val="482E79F6"/>
    <w:rsid w:val="48F5740D"/>
    <w:rsid w:val="4B3043BA"/>
    <w:rsid w:val="4E6075C9"/>
    <w:rsid w:val="4E6B1A2A"/>
    <w:rsid w:val="4F6E1334"/>
    <w:rsid w:val="526B70BF"/>
    <w:rsid w:val="52F06DF3"/>
    <w:rsid w:val="54C94F38"/>
    <w:rsid w:val="57D9099D"/>
    <w:rsid w:val="58AE663A"/>
    <w:rsid w:val="58E97641"/>
    <w:rsid w:val="59716245"/>
    <w:rsid w:val="59F17E30"/>
    <w:rsid w:val="5AFD3965"/>
    <w:rsid w:val="5C8408E6"/>
    <w:rsid w:val="5DE42C92"/>
    <w:rsid w:val="5ED74E21"/>
    <w:rsid w:val="5FEA0199"/>
    <w:rsid w:val="624A0FF3"/>
    <w:rsid w:val="6A7D23E5"/>
    <w:rsid w:val="6BA204F9"/>
    <w:rsid w:val="6BEC7865"/>
    <w:rsid w:val="6C184383"/>
    <w:rsid w:val="6C4434BE"/>
    <w:rsid w:val="6CE434D7"/>
    <w:rsid w:val="6D050946"/>
    <w:rsid w:val="6D1920F6"/>
    <w:rsid w:val="6D2A0A99"/>
    <w:rsid w:val="6D8678C0"/>
    <w:rsid w:val="6F6F2BDF"/>
    <w:rsid w:val="70AC6CA6"/>
    <w:rsid w:val="724B076D"/>
    <w:rsid w:val="768B79D3"/>
    <w:rsid w:val="768F0540"/>
    <w:rsid w:val="79A429DF"/>
    <w:rsid w:val="7C8C7339"/>
    <w:rsid w:val="7ECE3FB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pacing w:after="0"/>
      <w:ind w:left="0" w:leftChars="0" w:firstLine="420" w:firstLineChars="200"/>
    </w:pPr>
    <w:rPr>
      <w:rFonts w:eastAsia="仿宋_GB2312"/>
      <w:sz w:val="36"/>
    </w:rPr>
  </w:style>
  <w:style w:type="paragraph" w:styleId="3">
    <w:name w:val="Body Text Indent"/>
    <w:basedOn w:val="1"/>
    <w:unhideWhenUsed/>
    <w:qFormat/>
    <w:uiPriority w:val="99"/>
    <w:pPr>
      <w:spacing w:after="120"/>
      <w:ind w:left="420" w:leftChars="200"/>
    </w:pPr>
  </w:style>
  <w:style w:type="paragraph" w:styleId="4">
    <w:name w:val="index 5"/>
    <w:basedOn w:val="1"/>
    <w:next w:val="1"/>
    <w:unhideWhenUsed/>
    <w:qFormat/>
    <w:uiPriority w:val="99"/>
    <w:pPr>
      <w:ind w:left="800" w:leftChars="800"/>
    </w:pPr>
  </w:style>
  <w:style w:type="paragraph" w:styleId="5">
    <w:name w:val="footer"/>
    <w:basedOn w:val="1"/>
    <w:next w:val="4"/>
    <w:link w:val="13"/>
    <w:semiHidden/>
    <w:unhideWhenUsed/>
    <w:qFormat/>
    <w:uiPriority w:val="99"/>
    <w:pPr>
      <w:tabs>
        <w:tab w:val="center" w:pos="4153"/>
        <w:tab w:val="right" w:pos="8306"/>
      </w:tabs>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next w:val="4"/>
    <w:semiHidden/>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10">
    <w:name w:val="page number"/>
    <w:basedOn w:val="9"/>
    <w:qFormat/>
    <w:uiPriority w:val="0"/>
  </w:style>
  <w:style w:type="character" w:styleId="11">
    <w:name w:val="Hyperlink"/>
    <w:basedOn w:val="9"/>
    <w:semiHidden/>
    <w:unhideWhenUsed/>
    <w:qFormat/>
    <w:uiPriority w:val="99"/>
    <w:rPr>
      <w:color w:val="333333"/>
      <w:u w:val="none"/>
    </w:rPr>
  </w:style>
  <w:style w:type="character" w:customStyle="1" w:styleId="12">
    <w:name w:val="页眉 Char"/>
    <w:basedOn w:val="9"/>
    <w:link w:val="6"/>
    <w:semiHidden/>
    <w:qFormat/>
    <w:uiPriority w:val="99"/>
    <w:rPr>
      <w:rFonts w:ascii="Tahoma" w:hAnsi="Tahoma"/>
      <w:sz w:val="18"/>
      <w:szCs w:val="18"/>
    </w:rPr>
  </w:style>
  <w:style w:type="character" w:customStyle="1" w:styleId="13">
    <w:name w:val="页脚 Char"/>
    <w:basedOn w:val="9"/>
    <w:link w:val="5"/>
    <w:semiHidden/>
    <w:qFormat/>
    <w:uiPriority w:val="99"/>
    <w:rPr>
      <w:rFonts w:ascii="Tahoma" w:hAnsi="Tahoma"/>
      <w:sz w:val="18"/>
      <w:szCs w:val="18"/>
    </w:rPr>
  </w:style>
  <w:style w:type="paragraph" w:styleId="14">
    <w:name w:val="List Paragraph"/>
    <w:basedOn w:val="1"/>
    <w:qFormat/>
    <w:uiPriority w:val="99"/>
    <w:pPr>
      <w:ind w:firstLine="420" w:firstLineChars="200"/>
    </w:pPr>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20</Pages>
  <Words>10803</Words>
  <Characters>11385</Characters>
  <Lines>87</Lines>
  <Paragraphs>24</Paragraphs>
  <TotalTime>10</TotalTime>
  <ScaleCrop>false</ScaleCrop>
  <LinksUpToDate>false</LinksUpToDate>
  <CharactersWithSpaces>11389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祁某人</cp:lastModifiedBy>
  <dcterms:modified xsi:type="dcterms:W3CDTF">2026-07-06T03:01:23Z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829801F049FA4AF890B1159139857B83_13</vt:lpwstr>
  </property>
  <property fmtid="{D5CDD505-2E9C-101B-9397-08002B2CF9AE}" pid="4" name="KSOTemplateDocerSaveRecord">
    <vt:lpwstr>eyJoZGlkIjoiYTYzOWYxNjMwNGEyNjY3YjI4MWZmNzQ2NGM0NjRhY2QiLCJ1c2VySWQiOiI0MDg5NDE3MTYifQ==</vt:lpwstr>
  </property>
</Properties>
</file>