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63C04">
      <w:pPr>
        <w:rPr>
          <w:rFonts w:ascii="Times New Roman" w:hAnsi="Times New Roman" w:eastAsia="仿宋_GB2312" w:cs="仿宋"/>
          <w:color w:val="000000"/>
          <w:sz w:val="32"/>
          <w:szCs w:val="32"/>
        </w:rPr>
      </w:pPr>
      <w:r>
        <w:rPr>
          <w:rFonts w:ascii="仿宋_GB2312" w:hAnsi="仿宋_GB2312" w:eastAsia="仿宋_GB2312" w:cs="仿宋"/>
          <w:color w:val="000000"/>
          <w:sz w:val="32"/>
          <w:szCs w:val="32"/>
        </w:rPr>
        <w:t>附件</w:t>
      </w:r>
      <w:r>
        <w:rPr>
          <w:rFonts w:ascii="Times New Roman" w:hAnsi="Times New Roman" w:eastAsia="仿宋_GB2312" w:cs="仿宋"/>
          <w:color w:val="000000"/>
          <w:sz w:val="32"/>
          <w:szCs w:val="32"/>
        </w:rPr>
        <w:t>3</w:t>
      </w:r>
    </w:p>
    <w:p w14:paraId="7CB09D67">
      <w:pPr>
        <w:keepNext w:val="0"/>
        <w:keepLines w:val="0"/>
        <w:pageBreakBefore w:val="0"/>
        <w:kinsoku/>
        <w:wordWrap/>
        <w:overflowPunct/>
        <w:topLinePunct w:val="0"/>
        <w:autoSpaceDE/>
        <w:autoSpaceDN/>
        <w:bidi w:val="0"/>
        <w:spacing w:line="480" w:lineRule="exact"/>
        <w:ind w:firstLine="640" w:firstLineChars="200"/>
        <w:textAlignment w:val="auto"/>
        <w:rPr>
          <w:rFonts w:hint="eastAsia" w:ascii="黑体" w:hAnsi="黑体" w:eastAsia="黑体" w:cs="仿宋"/>
          <w:kern w:val="0"/>
          <w:sz w:val="32"/>
          <w:szCs w:val="32"/>
        </w:rPr>
      </w:pPr>
      <w:r>
        <w:rPr>
          <w:rFonts w:hint="eastAsia" w:ascii="黑体" w:hAnsi="黑体" w:eastAsia="黑体" w:cs="仿宋"/>
          <w:kern w:val="0"/>
          <w:sz w:val="32"/>
          <w:szCs w:val="32"/>
        </w:rPr>
        <w:t xml:space="preserve"> </w:t>
      </w:r>
    </w:p>
    <w:p w14:paraId="6CA59EBC">
      <w:pPr>
        <w:keepNext w:val="0"/>
        <w:keepLines w:val="0"/>
        <w:pageBreakBefore w:val="0"/>
        <w:kinsoku/>
        <w:wordWrap/>
        <w:overflowPunct/>
        <w:topLinePunct w:val="0"/>
        <w:autoSpaceDE/>
        <w:autoSpaceDN/>
        <w:bidi w:val="0"/>
        <w:spacing w:line="480" w:lineRule="exact"/>
        <w:ind w:firstLine="960" w:firstLineChars="200"/>
        <w:jc w:val="both"/>
        <w:textAlignment w:val="auto"/>
        <w:rPr>
          <w:rFonts w:hint="eastAsia" w:ascii="黑体" w:hAnsi="黑体" w:eastAsia="黑体" w:cs="仿宋"/>
          <w:sz w:val="48"/>
          <w:szCs w:val="32"/>
        </w:rPr>
      </w:pPr>
    </w:p>
    <w:p w14:paraId="25EC84B4">
      <w:pPr>
        <w:keepNext w:val="0"/>
        <w:keepLines w:val="0"/>
        <w:pageBreakBefore w:val="0"/>
        <w:kinsoku/>
        <w:wordWrap/>
        <w:overflowPunct/>
        <w:topLinePunct w:val="0"/>
        <w:autoSpaceDE/>
        <w:autoSpaceDN/>
        <w:bidi w:val="0"/>
        <w:spacing w:line="480" w:lineRule="exact"/>
        <w:ind w:firstLine="960" w:firstLineChars="200"/>
        <w:jc w:val="both"/>
        <w:textAlignment w:val="auto"/>
        <w:rPr>
          <w:rFonts w:hint="eastAsia" w:ascii="黑体" w:hAnsi="黑体" w:eastAsia="黑体" w:cs="仿宋"/>
          <w:sz w:val="48"/>
          <w:szCs w:val="32"/>
        </w:rPr>
      </w:pPr>
      <w:r>
        <w:rPr>
          <w:rFonts w:hint="eastAsia" w:ascii="黑体" w:hAnsi="黑体" w:eastAsia="黑体" w:cs="仿宋"/>
          <w:sz w:val="48"/>
          <w:szCs w:val="32"/>
        </w:rPr>
        <w:t>2019年度部门整体支出绩效自评报告</w:t>
      </w:r>
    </w:p>
    <w:p w14:paraId="2A65B19C">
      <w:pPr>
        <w:keepNext w:val="0"/>
        <w:keepLines w:val="0"/>
        <w:pageBreakBefore w:val="0"/>
        <w:kinsoku/>
        <w:wordWrap/>
        <w:overflowPunct/>
        <w:topLinePunct w:val="0"/>
        <w:autoSpaceDE/>
        <w:autoSpaceDN/>
        <w:bidi w:val="0"/>
        <w:spacing w:line="480" w:lineRule="exact"/>
        <w:ind w:firstLine="640" w:firstLineChars="200"/>
        <w:jc w:val="both"/>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18FC1EE6">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644AE6C9">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048DFD3C">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361225B7">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1558899F">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086A71CE">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7C01CA9A">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736FF23C">
      <w:pPr>
        <w:keepNext w:val="0"/>
        <w:keepLines w:val="0"/>
        <w:pageBreakBefore w:val="0"/>
        <w:kinsoku/>
        <w:wordWrap/>
        <w:overflowPunct/>
        <w:topLinePunct w:val="0"/>
        <w:autoSpaceDE/>
        <w:autoSpaceDN/>
        <w:bidi w:val="0"/>
        <w:spacing w:line="480" w:lineRule="exact"/>
        <w:ind w:firstLine="600" w:firstLineChars="200"/>
        <w:jc w:val="center"/>
        <w:textAlignment w:val="auto"/>
        <w:rPr>
          <w:rFonts w:ascii="Times New Roman" w:hAnsi="Times New Roman" w:eastAsia="黑体" w:cs="仿宋"/>
          <w:sz w:val="30"/>
          <w:szCs w:val="32"/>
        </w:rPr>
      </w:pPr>
      <w:r>
        <w:rPr>
          <w:rFonts w:ascii="Times New Roman" w:hAnsi="Times New Roman" w:eastAsia="黑体" w:cs="仿宋"/>
          <w:sz w:val="30"/>
          <w:szCs w:val="32"/>
        </w:rPr>
        <w:t xml:space="preserve"> </w:t>
      </w:r>
    </w:p>
    <w:p w14:paraId="1BD5AF33">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0FEE0EC2">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46A8FEF3">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7E71C357">
      <w:pPr>
        <w:keepNext w:val="0"/>
        <w:keepLines w:val="0"/>
        <w:pageBreakBefore w:val="0"/>
        <w:kinsoku/>
        <w:wordWrap/>
        <w:overflowPunct/>
        <w:topLinePunct w:val="0"/>
        <w:autoSpaceDE/>
        <w:autoSpaceDN/>
        <w:bidi w:val="0"/>
        <w:spacing w:line="480" w:lineRule="exact"/>
        <w:ind w:firstLine="720" w:firstLineChars="200"/>
        <w:jc w:val="center"/>
        <w:textAlignment w:val="auto"/>
        <w:rPr>
          <w:rFonts w:hint="eastAsia" w:ascii="黑体" w:hAnsi="黑体" w:eastAsia="黑体" w:cs="仿宋"/>
          <w:b w:val="0"/>
          <w:bCs w:val="0"/>
          <w:sz w:val="36"/>
          <w:szCs w:val="32"/>
        </w:rPr>
      </w:pPr>
      <w:r>
        <w:rPr>
          <w:rFonts w:hint="eastAsia" w:ascii="黑体" w:hAnsi="黑体" w:eastAsia="黑体" w:cs="仿宋"/>
          <w:b w:val="0"/>
          <w:bCs w:val="0"/>
          <w:sz w:val="36"/>
          <w:szCs w:val="32"/>
        </w:rPr>
        <w:t>中方县发展和改革局（盖章）</w:t>
      </w:r>
    </w:p>
    <w:p w14:paraId="1B8364B9">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06258C70">
      <w:pPr>
        <w:keepNext w:val="0"/>
        <w:keepLines w:val="0"/>
        <w:pageBreakBefore w:val="0"/>
        <w:kinsoku/>
        <w:wordWrap/>
        <w:overflowPunct/>
        <w:topLinePunct w:val="0"/>
        <w:autoSpaceDE/>
        <w:autoSpaceDN/>
        <w:bidi w:val="0"/>
        <w:spacing w:line="480" w:lineRule="exact"/>
        <w:ind w:firstLine="640" w:firstLineChars="200"/>
        <w:jc w:val="center"/>
        <w:textAlignment w:val="auto"/>
        <w:rPr>
          <w:rFonts w:ascii="Times New Roman" w:hAnsi="Times New Roman" w:eastAsia="黑体" w:cs="仿宋"/>
          <w:sz w:val="32"/>
          <w:szCs w:val="32"/>
        </w:rPr>
      </w:pPr>
      <w:r>
        <w:rPr>
          <w:rFonts w:ascii="Times New Roman" w:hAnsi="Times New Roman" w:eastAsia="黑体" w:cs="仿宋"/>
          <w:sz w:val="32"/>
          <w:szCs w:val="32"/>
        </w:rPr>
        <w:t xml:space="preserve"> </w:t>
      </w:r>
    </w:p>
    <w:p w14:paraId="5F88D585">
      <w:pPr>
        <w:pStyle w:val="11"/>
        <w:keepNext w:val="0"/>
        <w:keepLines w:val="0"/>
        <w:pageBreakBefore w:val="0"/>
        <w:widowControl/>
        <w:kinsoku/>
        <w:wordWrap/>
        <w:overflowPunct/>
        <w:topLinePunct w:val="0"/>
        <w:autoSpaceDE/>
        <w:autoSpaceDN/>
        <w:bidi w:val="0"/>
        <w:spacing w:line="480" w:lineRule="exact"/>
        <w:ind w:firstLine="640" w:firstLineChars="200"/>
        <w:textAlignment w:val="auto"/>
        <w:rPr>
          <w:rFonts w:hint="eastAsia" w:ascii="黑体" w:hAnsi="黑体" w:eastAsia="黑体" w:cs="仿宋"/>
          <w:b/>
          <w:bCs/>
          <w:color w:val="000000"/>
          <w:sz w:val="32"/>
          <w:szCs w:val="32"/>
        </w:rPr>
      </w:pPr>
      <w:r>
        <w:rPr>
          <w:rFonts w:ascii="Times New Roman" w:hAnsi="Times New Roman" w:eastAsia="黑体" w:cs="仿宋"/>
          <w:sz w:val="32"/>
          <w:szCs w:val="32"/>
        </w:rPr>
        <w:br w:type="page"/>
      </w:r>
      <w:r>
        <w:rPr>
          <w:rFonts w:hint="eastAsia" w:ascii="黑体" w:hAnsi="黑体" w:eastAsia="黑体" w:cs="仿宋"/>
          <w:b/>
          <w:bCs/>
          <w:color w:val="000000"/>
          <w:sz w:val="32"/>
          <w:szCs w:val="32"/>
        </w:rPr>
        <w:t>一、单位基本情况</w:t>
      </w:r>
    </w:p>
    <w:p w14:paraId="6E8CCBB4">
      <w:pPr>
        <w:pStyle w:val="6"/>
        <w:keepNext w:val="0"/>
        <w:keepLines w:val="0"/>
        <w:pageBreakBefore w:val="0"/>
        <w:widowControl/>
        <w:shd w:val="clear" w:color="auto" w:fill="FFFFFF"/>
        <w:kinsoku/>
        <w:wordWrap/>
        <w:overflowPunct/>
        <w:topLinePunct w:val="0"/>
        <w:autoSpaceDE/>
        <w:autoSpaceDN/>
        <w:bidi w:val="0"/>
        <w:spacing w:beforeAutospacing="0" w:afterAutospacing="0" w:line="48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rPr>
        <w:t>1</w:t>
      </w:r>
      <w:r>
        <w:rPr>
          <w:rFonts w:hint="eastAsia" w:ascii="仿宋" w:hAnsi="仿宋" w:eastAsia="仿宋" w:cs="仿宋"/>
          <w:b/>
          <w:sz w:val="32"/>
          <w:szCs w:val="32"/>
          <w:lang w:eastAsia="zh-CN"/>
        </w:rPr>
        <w:t>、</w:t>
      </w:r>
      <w:r>
        <w:rPr>
          <w:rFonts w:hint="eastAsia" w:ascii="仿宋" w:hAnsi="仿宋" w:eastAsia="仿宋" w:cs="仿宋"/>
          <w:b/>
          <w:sz w:val="32"/>
          <w:szCs w:val="32"/>
        </w:rPr>
        <w:t>主要职能。</w:t>
      </w:r>
    </w:p>
    <w:p w14:paraId="6ADE7503">
      <w:pPr>
        <w:pStyle w:val="6"/>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480" w:lineRule="exact"/>
        <w:ind w:firstLine="640" w:firstLineChars="200"/>
        <w:contextualSpacing/>
        <w:textAlignment w:val="auto"/>
        <w:rPr>
          <w:rFonts w:hint="eastAsia" w:ascii="仿宋" w:hAnsi="仿宋" w:eastAsia="仿宋" w:cs="仿宋"/>
          <w:color w:val="333333"/>
          <w:sz w:val="32"/>
          <w:szCs w:val="32"/>
          <w:shd w:val="clear" w:color="auto" w:fill="FFFFFF"/>
        </w:rPr>
      </w:pPr>
      <w:r>
        <w:rPr>
          <w:rFonts w:hint="eastAsia" w:ascii="仿宋" w:hAnsi="仿宋" w:eastAsia="仿宋" w:cs="仿宋"/>
          <w:kern w:val="1"/>
          <w:sz w:val="32"/>
          <w:szCs w:val="32"/>
        </w:rPr>
        <w:t>中方县发展和改革局主要职责是：</w:t>
      </w:r>
      <w:r>
        <w:rPr>
          <w:rFonts w:hint="eastAsia" w:ascii="仿宋" w:hAnsi="仿宋" w:eastAsia="仿宋" w:cs="仿宋"/>
          <w:color w:val="333333"/>
          <w:sz w:val="32"/>
          <w:szCs w:val="32"/>
          <w:shd w:val="clear" w:color="auto" w:fill="FFFFFF"/>
        </w:rPr>
        <w:t>拟订并组织实施全县国民经济和社会发展战略、中长期规划和年度计划。研究提出加快建设现代化经济体系、推动高质量发展的总体目标、重大任务以及相关政策。研究提出全县国民经济和社会发展主要目标，监测预测预警宏观经济和社会发展态势趋势，提出宏观调控政策建议，综合协调宏观经济政策，牵头研究宏观经济应对措施。研究提出和综合协调全县经济体制改革有关工作，提出相关改革建议。研究提出全县利</w:t>
      </w:r>
      <w:r>
        <w:rPr>
          <w:rFonts w:hint="eastAsia" w:ascii="仿宋" w:hAnsi="仿宋" w:eastAsia="仿宋" w:cs="仿宋"/>
          <w:color w:val="333333"/>
          <w:sz w:val="32"/>
          <w:szCs w:val="32"/>
          <w:shd w:val="clear" w:color="auto" w:fill="FFFFFF"/>
          <w:lang w:val="en-US" w:eastAsia="zh-CN"/>
        </w:rPr>
        <w:t>用</w:t>
      </w:r>
      <w:r>
        <w:rPr>
          <w:rFonts w:hint="eastAsia" w:ascii="仿宋" w:hAnsi="仿宋" w:eastAsia="仿宋" w:cs="仿宋"/>
          <w:color w:val="333333"/>
          <w:sz w:val="32"/>
          <w:szCs w:val="32"/>
          <w:shd w:val="clear" w:color="auto" w:fill="FFFFFF"/>
        </w:rPr>
        <w:t>外资和境外投资的战略、规划、总量平衡和结构优化的政策。负责投资综合管理，拟订全县全社会固定资产投资总规模和投资结构的调控目标、政策及措施。推进落实区域协调发展战略、新型城镇化战略和重大政策、组织拟订相关区域规划和政策。组织拟订综合性产业政策，负责协调第一、二、三产业发展的重大问题并统筹衔接相关发展规划和重大政策。推动实施创新驱动发展战略。跟踪研判涉及经济安全、生态安全、资源安全、科技安全、社会安全等各类风险隐患，提出相关工作建议。负责社会发展与国民经济发展的政策衔接，组织拟订社会发展战略、总体规划。推进可持续发展战略，推动生态文明建</w:t>
      </w:r>
      <w:r>
        <w:rPr>
          <w:rFonts w:hint="eastAsia" w:ascii="仿宋" w:hAnsi="仿宋" w:eastAsia="仿宋" w:cs="仿宋"/>
          <w:color w:val="333333"/>
          <w:sz w:val="32"/>
          <w:szCs w:val="32"/>
          <w:shd w:val="clear" w:color="auto" w:fill="FFFFFF"/>
          <w:lang w:val="en-US" w:eastAsia="zh-CN"/>
        </w:rPr>
        <w:t>设</w:t>
      </w:r>
      <w:r>
        <w:rPr>
          <w:rFonts w:hint="eastAsia" w:ascii="仿宋" w:hAnsi="仿宋" w:eastAsia="仿宋" w:cs="仿宋"/>
          <w:color w:val="333333"/>
          <w:sz w:val="32"/>
          <w:szCs w:val="32"/>
          <w:shd w:val="clear" w:color="auto" w:fill="FFFFFF"/>
        </w:rPr>
        <w:t xml:space="preserve">和改革，协调生态环境保护与修复、能源资源节约和综合利用等工作。拟订全县价格改革方案和年度计划，研究提出价格调控目标和政策建议、组织实施价格总水平调控。指导、协调全县工程建设项目招标投标工作，负责权限内工程建设项目招标事项核准和监管。会同有关部门拟订全县经济建设与国防建设协调发展的战略和规划、协调有关重大问题。研究提出全县粮食宏观调控及粮食流通的中长期规划，拟订全县粮食市场体系建设与发展规划，承担全县粮食流通宏观调控的具体工作。研究提出全县战略物资储备规划建设。管理全县粮食、棉花和食糖储备，负责全县储备粮棉行政管理。拟订粮食和物资储备仓储管理有关技术标准和规范并组织实施。根据全县储备总体发展规划，统一负责储备基础设施建设和管理。负责对管理的政府储备、企业储备以及储备政策落实情况进行监督检查。负责粮食流通行业管理，制定行业发展规划、政策，拟订粮食流通和物资储备有关标准、粮食质量标准，制定有关技术规范并监督执行。完成县委和县政府交办的其他任务。         </w:t>
      </w:r>
    </w:p>
    <w:p w14:paraId="209D35BB">
      <w:pPr>
        <w:pStyle w:val="6"/>
        <w:keepNext w:val="0"/>
        <w:keepLines w:val="0"/>
        <w:pageBreakBefore w:val="0"/>
        <w:widowControl w:val="0"/>
        <w:shd w:val="clear" w:color="auto" w:fill="FFFFFF"/>
        <w:kinsoku/>
        <w:wordWrap/>
        <w:overflowPunct/>
        <w:topLinePunct w:val="0"/>
        <w:autoSpaceDE/>
        <w:autoSpaceDN/>
        <w:bidi w:val="0"/>
        <w:adjustRightInd w:val="0"/>
        <w:snapToGrid/>
        <w:spacing w:beforeAutospacing="0" w:afterAutospacing="0" w:line="480" w:lineRule="exact"/>
        <w:ind w:firstLine="643" w:firstLineChars="200"/>
        <w:contextualSpacing/>
        <w:textAlignment w:val="auto"/>
        <w:rPr>
          <w:rFonts w:hint="eastAsia" w:ascii="仿宋" w:hAnsi="仿宋" w:eastAsia="仿宋" w:cs="仿宋"/>
          <w:b/>
          <w:sz w:val="32"/>
          <w:szCs w:val="32"/>
        </w:rPr>
      </w:pPr>
      <w:r>
        <w:rPr>
          <w:rFonts w:hint="eastAsia" w:ascii="仿宋" w:hAnsi="仿宋" w:eastAsia="仿宋" w:cs="仿宋"/>
          <w:b/>
          <w:sz w:val="32"/>
          <w:szCs w:val="32"/>
        </w:rPr>
        <w:t>2</w:t>
      </w:r>
      <w:r>
        <w:rPr>
          <w:rFonts w:hint="eastAsia" w:ascii="仿宋" w:hAnsi="仿宋" w:eastAsia="仿宋" w:cs="仿宋"/>
          <w:b/>
          <w:sz w:val="32"/>
          <w:szCs w:val="32"/>
          <w:lang w:eastAsia="zh-CN"/>
        </w:rPr>
        <w:t>、</w:t>
      </w:r>
      <w:r>
        <w:rPr>
          <w:rFonts w:hint="eastAsia" w:ascii="仿宋" w:hAnsi="仿宋" w:eastAsia="仿宋" w:cs="仿宋"/>
          <w:b/>
          <w:sz w:val="32"/>
          <w:szCs w:val="32"/>
        </w:rPr>
        <w:t>机构情况。</w:t>
      </w:r>
    </w:p>
    <w:p w14:paraId="0EC53EC5">
      <w:pPr>
        <w:keepNext w:val="0"/>
        <w:keepLines w:val="0"/>
        <w:pageBreakBefore w:val="0"/>
        <w:widowControl w:val="0"/>
        <w:kinsoku/>
        <w:wordWrap/>
        <w:overflowPunct/>
        <w:topLinePunct w:val="0"/>
        <w:autoSpaceDE/>
        <w:autoSpaceDN/>
        <w:bidi w:val="0"/>
        <w:snapToGrid/>
        <w:spacing w:line="480" w:lineRule="exact"/>
        <w:ind w:right="84" w:rightChars="40" w:firstLine="640" w:firstLineChars="200"/>
        <w:textAlignment w:val="auto"/>
        <w:rPr>
          <w:rFonts w:hint="eastAsia" w:ascii="仿宋" w:hAnsi="仿宋" w:eastAsia="仿宋" w:cs="仿宋"/>
          <w:kern w:val="1"/>
          <w:sz w:val="32"/>
          <w:szCs w:val="32"/>
        </w:rPr>
      </w:pPr>
      <w:r>
        <w:rPr>
          <w:rFonts w:hint="eastAsia" w:ascii="仿宋" w:hAnsi="仿宋" w:eastAsia="仿宋" w:cs="仿宋"/>
          <w:kern w:val="1"/>
          <w:sz w:val="32"/>
          <w:szCs w:val="32"/>
        </w:rPr>
        <w:t>中方县发展和改革局为正科级行政单位，下设12个内设机构：（1）办公室、（2）行政审批服务股、（3）国民经济综合规划和服务业股、（4）法规和综合改革股、（5）固定资产投资股、（6）工业农业和基础设施股、（7）社会发展和财贸外经股、（8）湘西地区开发和能源股、（9）价格管理股、（10）粮食行业发展股、（11）粮食和物资储备股、（12）人事股。</w:t>
      </w:r>
    </w:p>
    <w:p w14:paraId="44729C44">
      <w:pPr>
        <w:keepNext w:val="0"/>
        <w:keepLines w:val="0"/>
        <w:pageBreakBefore w:val="0"/>
        <w:widowControl w:val="0"/>
        <w:kinsoku/>
        <w:wordWrap/>
        <w:overflowPunct/>
        <w:topLinePunct w:val="0"/>
        <w:autoSpaceDE/>
        <w:autoSpaceDN/>
        <w:bidi w:val="0"/>
        <w:snapToGrid/>
        <w:spacing w:line="480" w:lineRule="exact"/>
        <w:ind w:right="84" w:rightChars="40" w:firstLine="640" w:firstLineChars="200"/>
        <w:textAlignment w:val="auto"/>
        <w:rPr>
          <w:rFonts w:hint="eastAsia" w:ascii="仿宋" w:hAnsi="仿宋" w:eastAsia="仿宋" w:cs="仿宋"/>
          <w:kern w:val="1"/>
          <w:sz w:val="32"/>
          <w:szCs w:val="32"/>
        </w:rPr>
      </w:pPr>
      <w:r>
        <w:rPr>
          <w:rFonts w:hint="eastAsia" w:ascii="仿宋" w:hAnsi="仿宋" w:eastAsia="仿宋" w:cs="仿宋"/>
          <w:kern w:val="1"/>
          <w:sz w:val="32"/>
          <w:szCs w:val="32"/>
        </w:rPr>
        <w:t>下属二级全额拨款事业单位7个，都是非独立核算单位</w:t>
      </w:r>
      <w:r>
        <w:rPr>
          <w:rFonts w:hint="eastAsia" w:ascii="仿宋" w:hAnsi="仿宋" w:eastAsia="仿宋" w:cs="仿宋"/>
          <w:kern w:val="1"/>
          <w:sz w:val="32"/>
          <w:szCs w:val="32"/>
          <w:lang w:eastAsia="zh-CN"/>
        </w:rPr>
        <w:t>。</w:t>
      </w:r>
      <w:r>
        <w:rPr>
          <w:rFonts w:hint="eastAsia" w:ascii="仿宋" w:hAnsi="仿宋" w:eastAsia="仿宋" w:cs="仿宋"/>
          <w:kern w:val="1"/>
          <w:sz w:val="32"/>
          <w:szCs w:val="32"/>
          <w:lang w:val="en-US" w:eastAsia="zh-CN"/>
        </w:rPr>
        <w:t>具体：</w:t>
      </w:r>
      <w:r>
        <w:rPr>
          <w:rFonts w:hint="eastAsia" w:ascii="仿宋" w:hAnsi="仿宋" w:eastAsia="仿宋" w:cs="仿宋"/>
          <w:kern w:val="1"/>
          <w:sz w:val="32"/>
          <w:szCs w:val="32"/>
        </w:rPr>
        <w:t>（1）重大项目办公室；（2）物资行业办公室；（3）装备动员办公室；（4）招标投标管理办公室；（5）中方县价格调节基金征收管理办公室；（6）中方县价格认证中心；（7）中方县价格监督监察局。</w:t>
      </w:r>
    </w:p>
    <w:p w14:paraId="48547A8C">
      <w:pPr>
        <w:keepNext w:val="0"/>
        <w:keepLines w:val="0"/>
        <w:pageBreakBefore w:val="0"/>
        <w:widowControl w:val="0"/>
        <w:numPr>
          <w:ilvl w:val="0"/>
          <w:numId w:val="1"/>
        </w:numPr>
        <w:kinsoku/>
        <w:wordWrap/>
        <w:overflowPunct/>
        <w:topLinePunct w:val="0"/>
        <w:autoSpaceDE/>
        <w:autoSpaceDN/>
        <w:bidi w:val="0"/>
        <w:snapToGrid/>
        <w:spacing w:line="480" w:lineRule="exact"/>
        <w:ind w:right="84" w:rightChars="40" w:firstLine="643" w:firstLineChars="200"/>
        <w:textAlignment w:val="auto"/>
        <w:rPr>
          <w:rFonts w:hint="eastAsia" w:ascii="仿宋" w:hAnsi="仿宋" w:eastAsia="仿宋" w:cs="仿宋"/>
          <w:b/>
          <w:bCs/>
          <w:kern w:val="1"/>
          <w:sz w:val="32"/>
          <w:szCs w:val="32"/>
          <w:lang w:val="en-US" w:eastAsia="zh-CN"/>
        </w:rPr>
      </w:pPr>
      <w:r>
        <w:rPr>
          <w:rFonts w:hint="eastAsia" w:ascii="仿宋" w:hAnsi="仿宋" w:eastAsia="仿宋" w:cs="仿宋"/>
          <w:b/>
          <w:bCs/>
          <w:kern w:val="1"/>
          <w:sz w:val="32"/>
          <w:szCs w:val="32"/>
          <w:lang w:val="en-US" w:eastAsia="zh-CN"/>
        </w:rPr>
        <w:t>人员情况。</w:t>
      </w:r>
    </w:p>
    <w:p w14:paraId="1806AB17">
      <w:pPr>
        <w:keepNext w:val="0"/>
        <w:keepLines w:val="0"/>
        <w:pageBreakBefore w:val="0"/>
        <w:widowControl w:val="0"/>
        <w:numPr>
          <w:ilvl w:val="0"/>
          <w:numId w:val="0"/>
        </w:numPr>
        <w:kinsoku/>
        <w:wordWrap/>
        <w:overflowPunct/>
        <w:topLinePunct w:val="0"/>
        <w:autoSpaceDE/>
        <w:autoSpaceDN/>
        <w:bidi w:val="0"/>
        <w:snapToGrid/>
        <w:spacing w:line="480" w:lineRule="exact"/>
        <w:ind w:right="84" w:rightChars="40" w:firstLine="640" w:firstLineChars="200"/>
        <w:textAlignment w:val="auto"/>
        <w:rPr>
          <w:rFonts w:hint="eastAsia" w:ascii="仿宋" w:hAnsi="仿宋" w:eastAsia="仿宋" w:cs="仿宋"/>
          <w:color w:val="000000"/>
          <w:sz w:val="32"/>
          <w:szCs w:val="32"/>
        </w:rPr>
      </w:pPr>
      <w:r>
        <w:rPr>
          <w:rFonts w:hint="eastAsia" w:ascii="仿宋" w:hAnsi="仿宋" w:eastAsia="仿宋" w:cs="仿宋"/>
          <w:kern w:val="1"/>
          <w:sz w:val="32"/>
          <w:szCs w:val="32"/>
        </w:rPr>
        <w:t>核定编制41人，其中：行政编制8人，后勤编制2人，事业编制31人，实有人数49人（含提前退休6人），退休人员22人。现有车辆1台。</w:t>
      </w:r>
    </w:p>
    <w:p w14:paraId="72EE0F7F">
      <w:pPr>
        <w:keepNext w:val="0"/>
        <w:keepLines w:val="0"/>
        <w:pageBreakBefore w:val="0"/>
        <w:kinsoku/>
        <w:wordWrap/>
        <w:overflowPunct/>
        <w:topLinePunct w:val="0"/>
        <w:autoSpaceDE/>
        <w:autoSpaceDN/>
        <w:bidi w:val="0"/>
        <w:spacing w:line="480" w:lineRule="exact"/>
        <w:ind w:firstLine="640" w:firstLineChars="200"/>
        <w:textAlignment w:val="auto"/>
        <w:rPr>
          <w:rFonts w:ascii="Times New Roman" w:hAnsi="Times New Roman" w:eastAsia="黑体" w:cs="仿宋"/>
          <w:color w:val="000000"/>
          <w:sz w:val="32"/>
          <w:szCs w:val="32"/>
        </w:rPr>
      </w:pPr>
      <w:r>
        <w:rPr>
          <w:rFonts w:ascii="黑体" w:hAnsi="黑体" w:eastAsia="黑体" w:cs="仿宋"/>
          <w:color w:val="000000"/>
          <w:sz w:val="32"/>
          <w:szCs w:val="32"/>
        </w:rPr>
        <w:t>二、部门整体支出管理及使用情况</w:t>
      </w:r>
    </w:p>
    <w:p w14:paraId="6E1D0D2B">
      <w:pPr>
        <w:keepNext w:val="0"/>
        <w:keepLines w:val="0"/>
        <w:pageBreakBefore w:val="0"/>
        <w:kinsoku/>
        <w:wordWrap/>
        <w:overflowPunct/>
        <w:topLinePunct w:val="0"/>
        <w:autoSpaceDE/>
        <w:autoSpaceDN/>
        <w:bidi w:val="0"/>
        <w:spacing w:line="480" w:lineRule="exact"/>
        <w:ind w:firstLine="643" w:firstLineChars="200"/>
        <w:textAlignment w:val="auto"/>
        <w:rPr>
          <w:rFonts w:ascii="Times New Roman" w:hAnsi="Times New Roman" w:eastAsia="仿宋_GB2312" w:cs="仿宋"/>
          <w:b/>
          <w:bCs/>
          <w:color w:val="000000"/>
          <w:sz w:val="32"/>
          <w:szCs w:val="32"/>
        </w:rPr>
      </w:pPr>
      <w:r>
        <w:rPr>
          <w:rFonts w:ascii="仿宋_GB2312" w:hAnsi="仿宋_GB2312" w:eastAsia="仿宋_GB2312" w:cs="仿宋"/>
          <w:b/>
          <w:bCs/>
          <w:color w:val="000000"/>
          <w:sz w:val="32"/>
          <w:szCs w:val="32"/>
        </w:rPr>
        <w:t>（一）基本支出</w:t>
      </w:r>
    </w:p>
    <w:p w14:paraId="6F4ED8D9">
      <w:pPr>
        <w:keepNext w:val="0"/>
        <w:keepLines w:val="0"/>
        <w:pageBreakBefore w:val="0"/>
        <w:kinsoku/>
        <w:wordWrap/>
        <w:overflowPunct/>
        <w:topLinePunct w:val="0"/>
        <w:autoSpaceDE/>
        <w:autoSpaceDN/>
        <w:bidi w:val="0"/>
        <w:spacing w:line="480" w:lineRule="exact"/>
        <w:ind w:firstLine="643" w:firstLineChars="200"/>
        <w:textAlignment w:val="auto"/>
        <w:rPr>
          <w:rFonts w:hint="eastAsia" w:ascii="仿宋" w:hAnsi="仿宋" w:eastAsia="仿宋" w:cs="仿宋"/>
          <w:color w:val="333333"/>
          <w:sz w:val="32"/>
          <w:szCs w:val="32"/>
          <w:shd w:val="clear" w:color="auto" w:fill="FFFFFF"/>
        </w:rPr>
      </w:pPr>
      <w:r>
        <w:rPr>
          <w:rFonts w:ascii="仿宋_GB2312" w:hAnsi="仿宋_GB2312" w:eastAsia="仿宋_GB2312" w:cs="仿宋"/>
          <w:b/>
          <w:bCs/>
          <w:color w:val="000000"/>
          <w:sz w:val="32"/>
          <w:szCs w:val="32"/>
        </w:rPr>
        <w:t>预算情况</w:t>
      </w:r>
      <w:r>
        <w:rPr>
          <w:rFonts w:hint="eastAsia" w:ascii="仿宋_GB2312" w:hAnsi="仿宋_GB2312" w:eastAsia="仿宋_GB2312" w:cs="仿宋"/>
          <w:b/>
          <w:bCs/>
          <w:color w:val="000000"/>
          <w:sz w:val="32"/>
          <w:szCs w:val="32"/>
          <w:lang w:eastAsia="zh-CN"/>
        </w:rPr>
        <w:t>：</w:t>
      </w:r>
      <w:r>
        <w:rPr>
          <w:rFonts w:hint="eastAsia" w:ascii="仿宋" w:hAnsi="仿宋" w:eastAsia="仿宋" w:cs="仿宋"/>
          <w:color w:val="333333"/>
          <w:sz w:val="32"/>
          <w:szCs w:val="32"/>
          <w:shd w:val="clear" w:color="auto" w:fill="FFFFFF"/>
        </w:rPr>
        <w:t>201</w:t>
      </w:r>
      <w:r>
        <w:rPr>
          <w:rFonts w:hint="eastAsia" w:ascii="仿宋" w:hAnsi="仿宋" w:eastAsia="仿宋" w:cs="仿宋"/>
          <w:color w:val="333333"/>
          <w:sz w:val="32"/>
          <w:szCs w:val="32"/>
          <w:shd w:val="clear" w:color="auto" w:fill="FFFFFF"/>
          <w:lang w:val="en-US" w:eastAsia="zh-CN"/>
        </w:rPr>
        <w:t>9</w:t>
      </w:r>
      <w:r>
        <w:rPr>
          <w:rFonts w:hint="eastAsia" w:ascii="仿宋" w:hAnsi="仿宋" w:eastAsia="仿宋" w:cs="仿宋"/>
          <w:color w:val="333333"/>
          <w:sz w:val="32"/>
          <w:szCs w:val="32"/>
          <w:shd w:val="clear" w:color="auto" w:fill="FFFFFF"/>
        </w:rPr>
        <w:t>部门预算总收入</w:t>
      </w:r>
      <w:r>
        <w:rPr>
          <w:rFonts w:hint="eastAsia" w:ascii="仿宋" w:hAnsi="仿宋" w:eastAsia="仿宋" w:cs="仿宋"/>
          <w:sz w:val="32"/>
          <w:szCs w:val="32"/>
          <w:lang w:val="en-US" w:eastAsia="zh-CN"/>
        </w:rPr>
        <w:t>700.71</w:t>
      </w:r>
      <w:r>
        <w:rPr>
          <w:rFonts w:hint="eastAsia" w:ascii="仿宋" w:hAnsi="仿宋" w:eastAsia="仿宋" w:cs="仿宋"/>
          <w:color w:val="333333"/>
          <w:sz w:val="32"/>
          <w:szCs w:val="32"/>
          <w:shd w:val="clear" w:color="auto" w:fill="FFFFFF"/>
        </w:rPr>
        <w:t>万元，其中：经费拨款</w:t>
      </w:r>
      <w:r>
        <w:rPr>
          <w:rFonts w:hint="eastAsia" w:ascii="仿宋" w:hAnsi="仿宋" w:eastAsia="仿宋" w:cs="仿宋"/>
          <w:sz w:val="32"/>
          <w:szCs w:val="32"/>
          <w:lang w:val="en-US" w:eastAsia="zh-CN"/>
        </w:rPr>
        <w:t>700.41</w:t>
      </w:r>
      <w:r>
        <w:rPr>
          <w:rFonts w:hint="eastAsia" w:ascii="仿宋" w:hAnsi="仿宋" w:eastAsia="仿宋" w:cs="仿宋"/>
          <w:color w:val="333333"/>
          <w:sz w:val="32"/>
          <w:szCs w:val="32"/>
          <w:shd w:val="clear" w:color="auto" w:fill="FFFFFF"/>
        </w:rPr>
        <w:t>万元，</w:t>
      </w:r>
      <w:r>
        <w:rPr>
          <w:rFonts w:hint="eastAsia" w:ascii="仿宋" w:hAnsi="仿宋" w:eastAsia="仿宋" w:cs="仿宋"/>
          <w:sz w:val="32"/>
          <w:szCs w:val="32"/>
        </w:rPr>
        <w:t>纳入预算管理的非税收入拨款0.</w:t>
      </w:r>
      <w:r>
        <w:rPr>
          <w:rFonts w:hint="eastAsia" w:ascii="仿宋" w:hAnsi="仿宋" w:eastAsia="仿宋" w:cs="仿宋"/>
          <w:sz w:val="32"/>
          <w:szCs w:val="32"/>
          <w:lang w:val="en-US" w:eastAsia="zh-CN"/>
        </w:rPr>
        <w:t>3</w:t>
      </w:r>
      <w:r>
        <w:rPr>
          <w:rFonts w:hint="eastAsia" w:ascii="仿宋" w:hAnsi="仿宋" w:eastAsia="仿宋" w:cs="仿宋"/>
          <w:sz w:val="32"/>
          <w:szCs w:val="32"/>
        </w:rPr>
        <w:t>万元。年预算总支出</w:t>
      </w:r>
      <w:r>
        <w:rPr>
          <w:rFonts w:hint="eastAsia" w:ascii="仿宋" w:hAnsi="仿宋" w:eastAsia="仿宋" w:cs="仿宋"/>
          <w:sz w:val="32"/>
          <w:szCs w:val="32"/>
          <w:lang w:val="en-US" w:eastAsia="zh-CN"/>
        </w:rPr>
        <w:t>700.71</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588.71</w:t>
      </w:r>
      <w:r>
        <w:rPr>
          <w:rFonts w:hint="eastAsia" w:ascii="仿宋" w:hAnsi="仿宋" w:eastAsia="仿宋" w:cs="仿宋"/>
          <w:sz w:val="32"/>
          <w:szCs w:val="32"/>
        </w:rPr>
        <w:t>万元（工资福利支出</w:t>
      </w:r>
      <w:r>
        <w:rPr>
          <w:rFonts w:hint="eastAsia" w:ascii="仿宋" w:hAnsi="仿宋" w:eastAsia="仿宋" w:cs="仿宋"/>
          <w:sz w:val="32"/>
          <w:szCs w:val="32"/>
          <w:lang w:val="en-US" w:eastAsia="zh-CN"/>
        </w:rPr>
        <w:t>484.69</w:t>
      </w:r>
      <w:r>
        <w:rPr>
          <w:rFonts w:hint="eastAsia" w:ascii="仿宋" w:hAnsi="仿宋" w:eastAsia="仿宋" w:cs="仿宋"/>
          <w:sz w:val="32"/>
          <w:szCs w:val="32"/>
        </w:rPr>
        <w:t>万元，一般商品和服务支出</w:t>
      </w:r>
      <w:r>
        <w:rPr>
          <w:rFonts w:hint="eastAsia" w:ascii="仿宋" w:hAnsi="仿宋" w:eastAsia="仿宋" w:cs="仿宋"/>
          <w:sz w:val="32"/>
          <w:szCs w:val="32"/>
          <w:lang w:val="en-US" w:eastAsia="zh-CN"/>
        </w:rPr>
        <w:t>38.25</w:t>
      </w:r>
      <w:r>
        <w:rPr>
          <w:rFonts w:hint="eastAsia" w:ascii="仿宋" w:hAnsi="仿宋" w:eastAsia="仿宋" w:cs="仿宋"/>
          <w:sz w:val="32"/>
          <w:szCs w:val="32"/>
        </w:rPr>
        <w:t>万元，对个人和家庭的补助</w:t>
      </w:r>
      <w:r>
        <w:rPr>
          <w:rFonts w:hint="eastAsia" w:ascii="仿宋" w:hAnsi="仿宋" w:eastAsia="仿宋" w:cs="仿宋"/>
          <w:sz w:val="32"/>
          <w:szCs w:val="32"/>
          <w:lang w:val="en-US" w:eastAsia="zh-CN"/>
        </w:rPr>
        <w:t>65.77</w:t>
      </w:r>
      <w:r>
        <w:rPr>
          <w:rFonts w:hint="eastAsia" w:ascii="仿宋" w:hAnsi="仿宋" w:eastAsia="仿宋" w:cs="仿宋"/>
          <w:sz w:val="32"/>
          <w:szCs w:val="32"/>
        </w:rPr>
        <w:t>万元</w:t>
      </w:r>
      <w:r>
        <w:rPr>
          <w:rFonts w:hint="eastAsia" w:ascii="仿宋" w:hAnsi="仿宋" w:eastAsia="仿宋" w:cs="仿宋"/>
          <w:sz w:val="32"/>
          <w:szCs w:val="32"/>
          <w:lang w:val="en-US" w:eastAsia="zh-CN"/>
        </w:rPr>
        <w:t>&lt;其中退休费65.22万，独生子女费0.55万&gt;)</w:t>
      </w:r>
      <w:r>
        <w:rPr>
          <w:rFonts w:hint="eastAsia" w:ascii="仿宋" w:hAnsi="仿宋" w:eastAsia="仿宋" w:cs="仿宋"/>
          <w:color w:val="333333"/>
          <w:sz w:val="32"/>
          <w:szCs w:val="32"/>
          <w:shd w:val="clear" w:color="auto" w:fill="FFFFFF"/>
        </w:rPr>
        <w:t>。</w:t>
      </w:r>
    </w:p>
    <w:p w14:paraId="2B617BFA">
      <w:pPr>
        <w:keepNext w:val="0"/>
        <w:keepLines w:val="0"/>
        <w:pageBreakBefore w:val="0"/>
        <w:widowControl w:val="0"/>
        <w:kinsoku/>
        <w:wordWrap/>
        <w:overflowPunct/>
        <w:topLinePunct w:val="0"/>
        <w:autoSpaceDE/>
        <w:autoSpaceDN/>
        <w:bidi w:val="0"/>
        <w:adjustRightInd/>
        <w:snapToGrid w:val="0"/>
        <w:spacing w:afterAutospacing="0" w:line="480" w:lineRule="exact"/>
        <w:ind w:firstLine="643" w:firstLineChars="200"/>
        <w:textAlignment w:val="auto"/>
        <w:rPr>
          <w:rFonts w:hint="eastAsia" w:ascii="仿宋" w:hAnsi="仿宋" w:eastAsia="仿宋" w:cs="仿宋"/>
          <w:color w:val="333333"/>
          <w:sz w:val="32"/>
          <w:szCs w:val="32"/>
          <w:shd w:val="clear" w:color="auto" w:fill="FFFFFF"/>
          <w:lang w:val="en-US" w:eastAsia="zh-CN"/>
        </w:rPr>
      </w:pPr>
      <w:r>
        <w:rPr>
          <w:rFonts w:hint="eastAsia" w:ascii="仿宋" w:hAnsi="仿宋" w:eastAsia="仿宋" w:cs="仿宋"/>
          <w:b/>
          <w:bCs/>
          <w:color w:val="333333"/>
          <w:sz w:val="32"/>
          <w:szCs w:val="32"/>
          <w:shd w:val="clear" w:color="auto" w:fill="FFFFFF"/>
          <w:lang w:val="en-US" w:eastAsia="zh-CN"/>
        </w:rPr>
        <w:t>决算情况：</w:t>
      </w:r>
      <w:r>
        <w:rPr>
          <w:rFonts w:hint="eastAsia" w:ascii="仿宋" w:hAnsi="仿宋" w:eastAsia="仿宋" w:cs="仿宋_GB2312"/>
          <w:kern w:val="1"/>
          <w:sz w:val="32"/>
          <w:szCs w:val="32"/>
          <w:lang w:val="en-US" w:eastAsia="zh-CN"/>
        </w:rPr>
        <w:t>2019</w:t>
      </w:r>
      <w:r>
        <w:rPr>
          <w:rFonts w:hint="eastAsia" w:ascii="仿宋" w:hAnsi="仿宋" w:eastAsia="仿宋" w:cs="仿宋_GB2312"/>
          <w:kern w:val="1"/>
          <w:sz w:val="32"/>
          <w:szCs w:val="32"/>
          <w:lang w:val="zh-CN"/>
        </w:rPr>
        <w:t>年度</w:t>
      </w:r>
      <w:r>
        <w:rPr>
          <w:rFonts w:hint="eastAsia" w:ascii="仿宋" w:hAnsi="仿宋" w:eastAsia="仿宋" w:cs="仿宋_GB2312"/>
          <w:kern w:val="1"/>
          <w:sz w:val="32"/>
          <w:szCs w:val="32"/>
          <w:lang w:val="zh-CN" w:eastAsia="zh-CN"/>
        </w:rPr>
        <w:t>总</w:t>
      </w:r>
      <w:r>
        <w:rPr>
          <w:rFonts w:ascii="仿宋" w:hAnsi="仿宋" w:eastAsia="仿宋" w:cs="仿宋_GB2312"/>
          <w:kern w:val="1"/>
          <w:sz w:val="32"/>
          <w:szCs w:val="32"/>
          <w:lang w:val="zh-CN"/>
        </w:rPr>
        <w:t>收入</w:t>
      </w:r>
      <w:r>
        <w:rPr>
          <w:rFonts w:ascii="仿宋" w:hAnsi="仿宋" w:eastAsia="仿宋" w:cs="仿宋_GB2312"/>
          <w:kern w:val="1"/>
          <w:sz w:val="32"/>
          <w:szCs w:val="32"/>
        </w:rPr>
        <w:t>1613</w:t>
      </w:r>
      <w:r>
        <w:rPr>
          <w:rFonts w:hint="eastAsia" w:ascii="仿宋" w:hAnsi="仿宋" w:eastAsia="仿宋" w:cs="仿宋_GB2312"/>
          <w:kern w:val="1"/>
          <w:sz w:val="32"/>
          <w:szCs w:val="32"/>
        </w:rPr>
        <w:t>.</w:t>
      </w:r>
      <w:r>
        <w:rPr>
          <w:rFonts w:ascii="仿宋" w:hAnsi="仿宋" w:eastAsia="仿宋" w:cs="仿宋_GB2312"/>
          <w:kern w:val="1"/>
          <w:sz w:val="32"/>
          <w:szCs w:val="32"/>
        </w:rPr>
        <w:t>4</w:t>
      </w:r>
      <w:r>
        <w:rPr>
          <w:rFonts w:hint="eastAsia" w:ascii="仿宋" w:hAnsi="仿宋" w:eastAsia="仿宋" w:cs="仿宋_GB2312"/>
          <w:kern w:val="1"/>
          <w:sz w:val="32"/>
          <w:szCs w:val="32"/>
        </w:rPr>
        <w:t>1</w:t>
      </w:r>
      <w:r>
        <w:rPr>
          <w:rFonts w:ascii="仿宋" w:hAnsi="仿宋" w:eastAsia="仿宋" w:cs="仿宋_GB2312"/>
          <w:kern w:val="1"/>
          <w:sz w:val="32"/>
          <w:szCs w:val="32"/>
          <w:lang w:val="zh-CN"/>
        </w:rPr>
        <w:t>万元，</w:t>
      </w:r>
      <w:r>
        <w:rPr>
          <w:rFonts w:hint="eastAsia" w:ascii="仿宋" w:hAnsi="仿宋" w:eastAsia="仿宋" w:cs="仿宋_GB2312"/>
          <w:kern w:val="1"/>
          <w:sz w:val="32"/>
          <w:szCs w:val="32"/>
          <w:lang w:val="zh-CN"/>
        </w:rPr>
        <w:t>其中</w:t>
      </w:r>
      <w:r>
        <w:rPr>
          <w:rFonts w:hint="eastAsia" w:ascii="仿宋" w:hAnsi="仿宋" w:eastAsia="仿宋" w:cs="仿宋_GB2312"/>
          <w:kern w:val="1"/>
          <w:sz w:val="32"/>
          <w:szCs w:val="32"/>
        </w:rPr>
        <w:t>一般公共财政预算</w:t>
      </w:r>
      <w:r>
        <w:rPr>
          <w:rFonts w:ascii="仿宋" w:hAnsi="仿宋" w:eastAsia="仿宋" w:cs="仿宋_GB2312"/>
          <w:kern w:val="1"/>
          <w:sz w:val="32"/>
          <w:szCs w:val="32"/>
        </w:rPr>
        <w:t>1613</w:t>
      </w:r>
      <w:r>
        <w:rPr>
          <w:rFonts w:hint="eastAsia" w:ascii="仿宋" w:hAnsi="仿宋" w:eastAsia="仿宋" w:cs="仿宋_GB2312"/>
          <w:kern w:val="1"/>
          <w:sz w:val="32"/>
          <w:szCs w:val="32"/>
        </w:rPr>
        <w:t>.</w:t>
      </w:r>
      <w:r>
        <w:rPr>
          <w:rFonts w:ascii="仿宋" w:hAnsi="仿宋" w:eastAsia="仿宋" w:cs="仿宋_GB2312"/>
          <w:kern w:val="1"/>
          <w:sz w:val="32"/>
          <w:szCs w:val="32"/>
        </w:rPr>
        <w:t>4</w:t>
      </w:r>
      <w:r>
        <w:rPr>
          <w:rFonts w:hint="eastAsia" w:ascii="仿宋" w:hAnsi="仿宋" w:eastAsia="仿宋" w:cs="仿宋_GB2312"/>
          <w:kern w:val="1"/>
          <w:sz w:val="32"/>
          <w:szCs w:val="32"/>
        </w:rPr>
        <w:t>1万元。</w:t>
      </w:r>
      <w:r>
        <w:rPr>
          <w:rFonts w:hint="eastAsia" w:ascii="仿宋" w:hAnsi="仿宋" w:eastAsia="仿宋" w:cs="仿宋_GB2312"/>
          <w:kern w:val="1"/>
          <w:sz w:val="32"/>
          <w:szCs w:val="32"/>
          <w:lang w:val="en-US" w:eastAsia="zh-CN"/>
        </w:rPr>
        <w:t>2019</w:t>
      </w:r>
      <w:r>
        <w:rPr>
          <w:rFonts w:hint="eastAsia" w:ascii="仿宋" w:hAnsi="仿宋" w:eastAsia="仿宋"/>
          <w:sz w:val="32"/>
          <w:szCs w:val="32"/>
        </w:rPr>
        <w:t>年度总支出</w:t>
      </w:r>
      <w:r>
        <w:rPr>
          <w:rFonts w:ascii="仿宋" w:hAnsi="仿宋" w:eastAsia="仿宋" w:cs="仿宋_GB2312"/>
          <w:kern w:val="1"/>
          <w:sz w:val="32"/>
          <w:szCs w:val="32"/>
        </w:rPr>
        <w:t>1613</w:t>
      </w:r>
      <w:r>
        <w:rPr>
          <w:rFonts w:hint="eastAsia" w:ascii="仿宋" w:hAnsi="仿宋" w:eastAsia="仿宋" w:cs="仿宋_GB2312"/>
          <w:kern w:val="1"/>
          <w:sz w:val="32"/>
          <w:szCs w:val="32"/>
        </w:rPr>
        <w:t>.</w:t>
      </w:r>
      <w:r>
        <w:rPr>
          <w:rFonts w:ascii="仿宋" w:hAnsi="仿宋" w:eastAsia="仿宋" w:cs="仿宋_GB2312"/>
          <w:kern w:val="1"/>
          <w:sz w:val="32"/>
          <w:szCs w:val="32"/>
        </w:rPr>
        <w:t>4</w:t>
      </w:r>
      <w:r>
        <w:rPr>
          <w:rFonts w:hint="eastAsia" w:ascii="仿宋" w:hAnsi="仿宋" w:eastAsia="仿宋" w:cs="仿宋_GB2312"/>
          <w:kern w:val="1"/>
          <w:sz w:val="32"/>
          <w:szCs w:val="32"/>
        </w:rPr>
        <w:t>1万元，</w:t>
      </w:r>
      <w:r>
        <w:rPr>
          <w:rFonts w:hint="eastAsia" w:ascii="仿宋" w:hAnsi="仿宋" w:eastAsia="仿宋" w:cs="仿宋_GB2312"/>
          <w:kern w:val="1"/>
          <w:sz w:val="32"/>
          <w:szCs w:val="32"/>
          <w:lang w:eastAsia="zh-CN"/>
        </w:rPr>
        <w:t>其中</w:t>
      </w:r>
      <w:r>
        <w:rPr>
          <w:rFonts w:hint="eastAsia" w:ascii="仿宋" w:hAnsi="仿宋" w:eastAsia="仿宋" w:cs="仿宋_GB2312"/>
          <w:kern w:val="1"/>
          <w:sz w:val="32"/>
          <w:szCs w:val="32"/>
        </w:rPr>
        <w:t>基本支出621万元</w:t>
      </w:r>
      <w:r>
        <w:rPr>
          <w:rFonts w:hint="eastAsia" w:ascii="仿宋" w:hAnsi="仿宋" w:eastAsia="仿宋" w:cs="仿宋_GB2312"/>
          <w:kern w:val="1"/>
          <w:sz w:val="32"/>
          <w:szCs w:val="32"/>
          <w:lang w:eastAsia="zh-CN"/>
        </w:rPr>
        <w:t>（</w:t>
      </w:r>
      <w:r>
        <w:rPr>
          <w:rFonts w:hint="eastAsia" w:ascii="仿宋" w:hAnsi="仿宋" w:eastAsia="仿宋" w:cs="仿宋_GB2312"/>
          <w:kern w:val="1"/>
          <w:sz w:val="32"/>
          <w:szCs w:val="32"/>
        </w:rPr>
        <w:t>人员经费支出564.43万元，日常公用经费支出56.57万元</w:t>
      </w:r>
      <w:r>
        <w:rPr>
          <w:rFonts w:hint="eastAsia" w:ascii="仿宋" w:hAnsi="仿宋" w:eastAsia="仿宋" w:cs="仿宋_GB2312"/>
          <w:kern w:val="1"/>
          <w:sz w:val="32"/>
          <w:szCs w:val="32"/>
          <w:lang w:eastAsia="zh-CN"/>
        </w:rPr>
        <w:t>）。</w:t>
      </w:r>
      <w:r>
        <w:rPr>
          <w:rFonts w:hint="eastAsia" w:ascii="仿宋" w:hAnsi="仿宋" w:eastAsia="仿宋" w:cs="仿宋_GB2312"/>
          <w:kern w:val="1"/>
          <w:sz w:val="32"/>
          <w:szCs w:val="32"/>
        </w:rPr>
        <w:t>年初结余0，年末结余为0;收支平衡。</w:t>
      </w:r>
    </w:p>
    <w:p w14:paraId="54BC8D58">
      <w:pPr>
        <w:keepNext w:val="0"/>
        <w:keepLines w:val="0"/>
        <w:pageBreakBefore w:val="0"/>
        <w:widowControl w:val="0"/>
        <w:kinsoku/>
        <w:wordWrap/>
        <w:overflowPunct/>
        <w:topLinePunct w:val="0"/>
        <w:autoSpaceDE/>
        <w:autoSpaceDN/>
        <w:bidi w:val="0"/>
        <w:adjustRightInd/>
        <w:spacing w:afterAutospacing="0" w:line="480" w:lineRule="exact"/>
        <w:ind w:firstLine="643" w:firstLineChars="200"/>
        <w:textAlignment w:val="auto"/>
        <w:rPr>
          <w:rFonts w:hint="eastAsia" w:ascii="仿宋" w:hAnsi="仿宋" w:eastAsia="仿宋" w:cs="仿宋"/>
          <w:color w:val="333333"/>
          <w:sz w:val="32"/>
          <w:szCs w:val="32"/>
          <w:shd w:val="clear" w:color="auto" w:fill="FFFFFF"/>
        </w:rPr>
      </w:pPr>
      <w:r>
        <w:rPr>
          <w:rFonts w:hint="eastAsia" w:ascii="仿宋" w:hAnsi="仿宋" w:eastAsia="仿宋" w:cs="仿宋"/>
          <w:b/>
          <w:bCs/>
          <w:color w:val="333333"/>
          <w:sz w:val="32"/>
          <w:szCs w:val="32"/>
          <w:shd w:val="clear" w:color="auto" w:fill="FFFFFF"/>
          <w:lang w:eastAsia="zh-CN"/>
        </w:rPr>
        <w:t>管理情况：</w:t>
      </w:r>
      <w:r>
        <w:rPr>
          <w:rFonts w:hint="eastAsia" w:ascii="仿宋" w:hAnsi="仿宋" w:eastAsia="仿宋" w:cs="仿宋"/>
          <w:color w:val="333333"/>
          <w:sz w:val="32"/>
          <w:szCs w:val="32"/>
          <w:shd w:val="clear" w:color="auto" w:fill="FFFFFF"/>
        </w:rPr>
        <w:t>年内按规定程序对年初预算进行了调整，经批准的调整预算结果为：预算总收入</w:t>
      </w:r>
      <w:r>
        <w:rPr>
          <w:rFonts w:hint="eastAsia" w:ascii="仿宋" w:hAnsi="仿宋" w:eastAsia="仿宋" w:cs="仿宋"/>
          <w:color w:val="333333"/>
          <w:sz w:val="32"/>
          <w:szCs w:val="32"/>
          <w:shd w:val="clear" w:color="auto" w:fill="FFFFFF"/>
          <w:lang w:val="en-US" w:eastAsia="zh-CN"/>
        </w:rPr>
        <w:t>1613.41</w:t>
      </w:r>
      <w:r>
        <w:rPr>
          <w:rFonts w:hint="eastAsia" w:ascii="仿宋" w:hAnsi="仿宋" w:eastAsia="仿宋" w:cs="仿宋"/>
          <w:color w:val="333333"/>
          <w:sz w:val="32"/>
          <w:szCs w:val="32"/>
          <w:shd w:val="clear" w:color="auto" w:fill="FFFFFF"/>
        </w:rPr>
        <w:t>万元；预算总支出</w:t>
      </w:r>
      <w:r>
        <w:rPr>
          <w:rFonts w:hint="eastAsia" w:ascii="仿宋" w:hAnsi="仿宋" w:eastAsia="仿宋" w:cs="仿宋"/>
          <w:color w:val="333333"/>
          <w:sz w:val="32"/>
          <w:szCs w:val="32"/>
          <w:shd w:val="clear" w:color="auto" w:fill="FFFFFF"/>
          <w:lang w:val="en-US" w:eastAsia="zh-CN"/>
        </w:rPr>
        <w:t>1613.41</w:t>
      </w:r>
      <w:r>
        <w:rPr>
          <w:rFonts w:hint="eastAsia" w:ascii="仿宋" w:hAnsi="仿宋" w:eastAsia="仿宋" w:cs="仿宋"/>
          <w:color w:val="333333"/>
          <w:sz w:val="32"/>
          <w:szCs w:val="32"/>
          <w:shd w:val="clear" w:color="auto" w:fill="FFFFFF"/>
        </w:rPr>
        <w:t>万元，其中基本支出</w:t>
      </w:r>
      <w:r>
        <w:rPr>
          <w:rFonts w:hint="eastAsia" w:ascii="仿宋" w:hAnsi="仿宋" w:eastAsia="仿宋" w:cs="仿宋"/>
          <w:color w:val="333333"/>
          <w:sz w:val="32"/>
          <w:szCs w:val="32"/>
          <w:shd w:val="clear" w:color="auto" w:fill="FFFFFF"/>
          <w:lang w:val="en-US" w:eastAsia="zh-CN"/>
        </w:rPr>
        <w:t>621</w:t>
      </w:r>
      <w:r>
        <w:rPr>
          <w:rFonts w:hint="eastAsia" w:ascii="仿宋" w:hAnsi="仿宋" w:eastAsia="仿宋" w:cs="仿宋"/>
          <w:color w:val="333333"/>
          <w:sz w:val="32"/>
          <w:szCs w:val="32"/>
          <w:shd w:val="clear" w:color="auto" w:fill="FFFFFF"/>
        </w:rPr>
        <w:t>万元，无年末结转和结余数。</w:t>
      </w:r>
    </w:p>
    <w:p w14:paraId="76470632">
      <w:pPr>
        <w:pStyle w:val="6"/>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480" w:lineRule="exact"/>
        <w:ind w:firstLine="643" w:firstLineChars="200"/>
        <w:textAlignment w:val="auto"/>
        <w:rPr>
          <w:rFonts w:hint="eastAsia" w:ascii="仿宋" w:hAnsi="仿宋" w:eastAsia="仿宋" w:cs="仿宋_GB2312"/>
          <w:color w:val="333333"/>
          <w:sz w:val="32"/>
          <w:szCs w:val="32"/>
          <w:shd w:val="clear" w:color="auto" w:fill="FFFFFF"/>
        </w:rPr>
      </w:pPr>
      <w:r>
        <w:rPr>
          <w:rFonts w:ascii="Times New Roman" w:hAnsi="Times New Roman" w:eastAsia="仿宋_GB2312" w:cs="仿宋"/>
          <w:b/>
          <w:bCs/>
          <w:color w:val="000000"/>
          <w:sz w:val="32"/>
          <w:szCs w:val="32"/>
        </w:rPr>
        <w:t>“</w:t>
      </w:r>
      <w:r>
        <w:rPr>
          <w:rFonts w:ascii="仿宋_GB2312" w:hAnsi="仿宋_GB2312" w:eastAsia="仿宋_GB2312" w:cs="仿宋"/>
          <w:b/>
          <w:bCs/>
          <w:color w:val="000000"/>
          <w:sz w:val="32"/>
          <w:szCs w:val="32"/>
        </w:rPr>
        <w:t>三公</w:t>
      </w:r>
      <w:r>
        <w:rPr>
          <w:rFonts w:ascii="Times New Roman" w:hAnsi="Times New Roman" w:eastAsia="仿宋_GB2312" w:cs="仿宋"/>
          <w:b/>
          <w:bCs/>
          <w:color w:val="000000"/>
          <w:sz w:val="32"/>
          <w:szCs w:val="32"/>
        </w:rPr>
        <w:t>”</w:t>
      </w:r>
      <w:r>
        <w:rPr>
          <w:rFonts w:ascii="仿宋_GB2312" w:hAnsi="仿宋_GB2312" w:eastAsia="仿宋_GB2312" w:cs="仿宋"/>
          <w:b/>
          <w:bCs/>
          <w:color w:val="000000"/>
          <w:sz w:val="32"/>
          <w:szCs w:val="32"/>
        </w:rPr>
        <w:t>经费的预决算执行及控制情况</w:t>
      </w:r>
      <w:r>
        <w:rPr>
          <w:rFonts w:hint="eastAsia" w:ascii="仿宋_GB2312" w:hAnsi="仿宋_GB2312" w:eastAsia="仿宋_GB2312" w:cs="仿宋"/>
          <w:b/>
          <w:bCs/>
          <w:color w:val="000000"/>
          <w:sz w:val="32"/>
          <w:szCs w:val="32"/>
          <w:lang w:eastAsia="zh-CN"/>
        </w:rPr>
        <w:t>：</w:t>
      </w:r>
      <w:r>
        <w:rPr>
          <w:rFonts w:hint="eastAsia" w:ascii="仿宋" w:hAnsi="仿宋" w:eastAsia="仿宋" w:cs="仿宋_GB2312"/>
          <w:color w:val="333333"/>
          <w:sz w:val="32"/>
          <w:szCs w:val="32"/>
          <w:shd w:val="clear" w:color="auto" w:fill="FFFFFF"/>
        </w:rPr>
        <w:t>201</w:t>
      </w:r>
      <w:r>
        <w:rPr>
          <w:rFonts w:hint="eastAsia" w:ascii="仿宋" w:hAnsi="仿宋" w:eastAsia="仿宋" w:cs="仿宋_GB2312"/>
          <w:color w:val="333333"/>
          <w:sz w:val="32"/>
          <w:szCs w:val="32"/>
          <w:shd w:val="clear" w:color="auto" w:fill="FFFFFF"/>
          <w:lang w:val="en-US" w:eastAsia="zh-CN"/>
        </w:rPr>
        <w:t>9</w:t>
      </w:r>
      <w:r>
        <w:rPr>
          <w:rFonts w:hint="eastAsia" w:ascii="仿宋" w:hAnsi="仿宋" w:eastAsia="仿宋" w:cs="仿宋_GB2312"/>
          <w:color w:val="333333"/>
          <w:sz w:val="32"/>
          <w:szCs w:val="32"/>
          <w:shd w:val="clear" w:color="auto" w:fill="FFFFFF"/>
        </w:rPr>
        <w:t>年“三公经费”决算</w:t>
      </w:r>
      <w:r>
        <w:rPr>
          <w:rFonts w:hint="eastAsia" w:ascii="仿宋" w:hAnsi="仿宋" w:eastAsia="仿宋" w:cs="仿宋_GB2312"/>
          <w:color w:val="333333"/>
          <w:sz w:val="32"/>
          <w:szCs w:val="32"/>
          <w:shd w:val="clear" w:color="auto" w:fill="FFFFFF"/>
          <w:lang w:val="en-US" w:eastAsia="zh-CN"/>
        </w:rPr>
        <w:t>2.31</w:t>
      </w:r>
      <w:r>
        <w:rPr>
          <w:rFonts w:hint="eastAsia" w:ascii="仿宋" w:hAnsi="仿宋" w:eastAsia="仿宋" w:cs="仿宋_GB2312"/>
          <w:color w:val="333333"/>
          <w:sz w:val="32"/>
          <w:szCs w:val="32"/>
          <w:shd w:val="clear" w:color="auto" w:fill="FFFFFF"/>
        </w:rPr>
        <w:t>万元。比年初预算减少</w:t>
      </w:r>
      <w:r>
        <w:rPr>
          <w:rFonts w:hint="eastAsia" w:ascii="仿宋" w:hAnsi="仿宋" w:eastAsia="仿宋" w:cs="仿宋_GB2312"/>
          <w:kern w:val="1"/>
          <w:sz w:val="32"/>
          <w:szCs w:val="32"/>
        </w:rPr>
        <w:t>21.12</w:t>
      </w:r>
      <w:r>
        <w:rPr>
          <w:rFonts w:hint="eastAsia" w:ascii="仿宋" w:hAnsi="仿宋" w:eastAsia="仿宋" w:cs="仿宋_GB2312"/>
          <w:color w:val="333333"/>
          <w:sz w:val="32"/>
          <w:szCs w:val="32"/>
          <w:shd w:val="clear" w:color="auto" w:fill="FFFFFF"/>
        </w:rPr>
        <w:t>万元，降低</w:t>
      </w:r>
      <w:r>
        <w:rPr>
          <w:rFonts w:hint="eastAsia" w:ascii="仿宋" w:hAnsi="仿宋" w:eastAsia="仿宋" w:cs="仿宋_GB2312"/>
          <w:sz w:val="32"/>
          <w:szCs w:val="32"/>
          <w:lang w:val="zh-CN" w:bidi="zh-CN"/>
        </w:rPr>
        <w:t>90.14</w:t>
      </w:r>
      <w:r>
        <w:rPr>
          <w:rFonts w:hint="eastAsia" w:ascii="仿宋" w:hAnsi="仿宋" w:eastAsia="仿宋" w:cs="仿宋_GB2312"/>
          <w:color w:val="333333"/>
          <w:sz w:val="32"/>
          <w:szCs w:val="32"/>
          <w:shd w:val="clear" w:color="auto" w:fill="FFFFFF"/>
        </w:rPr>
        <w:t>%，</w:t>
      </w:r>
      <w:r>
        <w:rPr>
          <w:rFonts w:hint="eastAsia" w:ascii="仿宋" w:hAnsi="仿宋" w:eastAsia="仿宋" w:cs="仿宋_GB2312"/>
          <w:color w:val="333333"/>
          <w:sz w:val="32"/>
          <w:szCs w:val="32"/>
          <w:shd w:val="clear" w:color="auto" w:fill="FFFFFF"/>
          <w:lang w:val="en-US" w:eastAsia="zh-CN"/>
        </w:rPr>
        <w:t>2019年</w:t>
      </w:r>
      <w:r>
        <w:rPr>
          <w:rFonts w:hint="eastAsia" w:ascii="仿宋" w:hAnsi="仿宋" w:eastAsia="仿宋" w:cs="仿宋_GB2312"/>
          <w:color w:val="333333"/>
          <w:sz w:val="32"/>
          <w:szCs w:val="32"/>
          <w:shd w:val="clear" w:color="auto" w:fill="FFFFFF"/>
        </w:rPr>
        <w:t>公务接待费</w:t>
      </w:r>
      <w:r>
        <w:rPr>
          <w:rFonts w:hint="eastAsia" w:ascii="仿宋" w:hAnsi="仿宋" w:eastAsia="仿宋" w:cs="仿宋_GB2312"/>
          <w:kern w:val="1"/>
          <w:sz w:val="32"/>
          <w:szCs w:val="32"/>
        </w:rPr>
        <w:t>1.2</w:t>
      </w:r>
      <w:r>
        <w:rPr>
          <w:rFonts w:hint="eastAsia" w:ascii="仿宋" w:hAnsi="仿宋" w:eastAsia="仿宋" w:cs="仿宋_GB2312"/>
          <w:color w:val="333333"/>
          <w:sz w:val="32"/>
          <w:szCs w:val="32"/>
          <w:shd w:val="clear" w:color="auto" w:fill="FFFFFF"/>
        </w:rPr>
        <w:t>万元，比预算减少</w:t>
      </w:r>
      <w:r>
        <w:rPr>
          <w:rFonts w:hint="eastAsia" w:ascii="仿宋" w:hAnsi="仿宋" w:eastAsia="仿宋" w:cs="仿宋_GB2312"/>
          <w:kern w:val="1"/>
          <w:sz w:val="32"/>
          <w:szCs w:val="32"/>
        </w:rPr>
        <w:t>8.27</w:t>
      </w:r>
      <w:r>
        <w:rPr>
          <w:rFonts w:hint="eastAsia" w:ascii="仿宋" w:hAnsi="仿宋" w:eastAsia="仿宋" w:cs="仿宋_GB2312"/>
          <w:color w:val="333333"/>
          <w:sz w:val="32"/>
          <w:szCs w:val="32"/>
          <w:shd w:val="clear" w:color="auto" w:fill="FFFFFF"/>
        </w:rPr>
        <w:t>万元，降低</w:t>
      </w:r>
      <w:r>
        <w:rPr>
          <w:rFonts w:hint="eastAsia" w:ascii="仿宋" w:hAnsi="仿宋" w:eastAsia="仿宋" w:cs="仿宋_GB2312"/>
          <w:sz w:val="32"/>
          <w:szCs w:val="32"/>
          <w:lang w:val="zh-CN" w:bidi="zh-CN"/>
        </w:rPr>
        <w:t>87.33</w:t>
      </w:r>
      <w:r>
        <w:rPr>
          <w:rFonts w:hint="eastAsia" w:ascii="仿宋" w:hAnsi="仿宋" w:eastAsia="仿宋" w:cs="仿宋_GB2312"/>
          <w:color w:val="333333"/>
          <w:sz w:val="32"/>
          <w:szCs w:val="32"/>
          <w:shd w:val="clear" w:color="auto" w:fill="FFFFFF"/>
        </w:rPr>
        <w:t>%</w:t>
      </w:r>
      <w:r>
        <w:rPr>
          <w:rFonts w:hint="eastAsia" w:ascii="仿宋" w:hAnsi="仿宋" w:eastAsia="仿宋" w:cs="仿宋_GB2312"/>
          <w:color w:val="333333"/>
          <w:sz w:val="32"/>
          <w:szCs w:val="32"/>
          <w:shd w:val="clear" w:color="auto" w:fill="FFFFFF"/>
          <w:lang w:eastAsia="zh-CN"/>
        </w:rPr>
        <w:t>，其中基本支出</w:t>
      </w:r>
      <w:r>
        <w:rPr>
          <w:rFonts w:hint="eastAsia" w:ascii="仿宋" w:hAnsi="仿宋" w:eastAsia="仿宋" w:cs="仿宋_GB2312"/>
          <w:color w:val="333333"/>
          <w:sz w:val="32"/>
          <w:szCs w:val="32"/>
          <w:shd w:val="clear" w:color="auto" w:fill="FFFFFF"/>
          <w:lang w:val="en-US" w:eastAsia="zh-CN"/>
        </w:rPr>
        <w:t>-</w:t>
      </w:r>
      <w:r>
        <w:rPr>
          <w:rFonts w:hint="eastAsia" w:ascii="仿宋" w:hAnsi="仿宋" w:eastAsia="仿宋" w:cs="仿宋_GB2312"/>
          <w:color w:val="333333"/>
          <w:sz w:val="32"/>
          <w:szCs w:val="32"/>
          <w:shd w:val="clear" w:color="auto" w:fill="FFFFFF"/>
          <w:lang w:eastAsia="zh-CN"/>
        </w:rPr>
        <w:t>公务接待费</w:t>
      </w:r>
      <w:r>
        <w:rPr>
          <w:rFonts w:hint="eastAsia" w:ascii="仿宋" w:hAnsi="仿宋" w:eastAsia="仿宋" w:cs="仿宋_GB2312"/>
          <w:color w:val="333333"/>
          <w:sz w:val="32"/>
          <w:szCs w:val="32"/>
          <w:shd w:val="clear" w:color="auto" w:fill="FFFFFF"/>
          <w:lang w:val="en-US" w:eastAsia="zh-CN"/>
        </w:rPr>
        <w:t>0.7万元；</w:t>
      </w:r>
      <w:r>
        <w:rPr>
          <w:rFonts w:hint="eastAsia" w:ascii="仿宋" w:hAnsi="仿宋" w:eastAsia="仿宋" w:cs="仿宋_GB2312"/>
          <w:color w:val="333333"/>
          <w:sz w:val="32"/>
          <w:szCs w:val="32"/>
          <w:shd w:val="clear" w:color="auto" w:fill="FFFFFF"/>
        </w:rPr>
        <w:t>公务用车购置及运行维护费</w:t>
      </w:r>
      <w:r>
        <w:rPr>
          <w:rFonts w:hint="eastAsia" w:ascii="仿宋" w:hAnsi="仿宋" w:eastAsia="仿宋" w:cs="仿宋_GB2312"/>
          <w:kern w:val="1"/>
          <w:sz w:val="32"/>
          <w:szCs w:val="32"/>
        </w:rPr>
        <w:t>1.11</w:t>
      </w:r>
      <w:r>
        <w:rPr>
          <w:rFonts w:hint="eastAsia" w:ascii="仿宋" w:hAnsi="仿宋" w:eastAsia="仿宋" w:cs="仿宋_GB2312"/>
          <w:color w:val="333333"/>
          <w:sz w:val="32"/>
          <w:szCs w:val="32"/>
          <w:shd w:val="clear" w:color="auto" w:fill="FFFFFF"/>
        </w:rPr>
        <w:t>万元，比预算减少</w:t>
      </w:r>
      <w:r>
        <w:rPr>
          <w:rFonts w:hint="eastAsia" w:ascii="仿宋" w:hAnsi="仿宋" w:eastAsia="仿宋" w:cs="仿宋_GB2312"/>
          <w:kern w:val="1"/>
          <w:sz w:val="32"/>
          <w:szCs w:val="32"/>
        </w:rPr>
        <w:t>12.85</w:t>
      </w:r>
      <w:r>
        <w:rPr>
          <w:rFonts w:hint="eastAsia" w:ascii="仿宋" w:hAnsi="仿宋" w:eastAsia="仿宋" w:cs="仿宋_GB2312"/>
          <w:color w:val="333333"/>
          <w:sz w:val="32"/>
          <w:szCs w:val="32"/>
          <w:shd w:val="clear" w:color="auto" w:fill="FFFFFF"/>
        </w:rPr>
        <w:t>万元，降低</w:t>
      </w:r>
      <w:r>
        <w:rPr>
          <w:rFonts w:hint="eastAsia" w:ascii="仿宋" w:hAnsi="仿宋" w:eastAsia="仿宋" w:cs="仿宋_GB2312"/>
          <w:sz w:val="32"/>
          <w:szCs w:val="32"/>
          <w:lang w:val="zh-CN" w:bidi="zh-CN"/>
        </w:rPr>
        <w:t>92.05</w:t>
      </w:r>
      <w:r>
        <w:rPr>
          <w:rFonts w:hint="eastAsia" w:ascii="仿宋" w:hAnsi="仿宋" w:eastAsia="仿宋" w:cs="仿宋_GB2312"/>
          <w:color w:val="333333"/>
          <w:sz w:val="32"/>
          <w:szCs w:val="32"/>
          <w:shd w:val="clear" w:color="auto" w:fill="FFFFFF"/>
        </w:rPr>
        <w:t>%</w:t>
      </w:r>
      <w:r>
        <w:rPr>
          <w:rFonts w:hint="eastAsia" w:ascii="仿宋" w:hAnsi="仿宋" w:eastAsia="仿宋" w:cs="仿宋_GB2312"/>
          <w:color w:val="333333"/>
          <w:sz w:val="32"/>
          <w:szCs w:val="32"/>
          <w:shd w:val="clear" w:color="auto" w:fill="FFFFFF"/>
          <w:lang w:eastAsia="zh-CN"/>
        </w:rPr>
        <w:t>，其中基本支出</w:t>
      </w:r>
      <w:r>
        <w:rPr>
          <w:rFonts w:hint="eastAsia" w:ascii="仿宋" w:hAnsi="仿宋" w:eastAsia="仿宋" w:cs="仿宋_GB2312"/>
          <w:color w:val="333333"/>
          <w:sz w:val="32"/>
          <w:szCs w:val="32"/>
          <w:shd w:val="clear" w:color="auto" w:fill="FFFFFF"/>
          <w:lang w:val="en-US" w:eastAsia="zh-CN"/>
        </w:rPr>
        <w:t>-</w:t>
      </w:r>
      <w:r>
        <w:rPr>
          <w:rFonts w:hint="eastAsia" w:ascii="仿宋" w:hAnsi="仿宋" w:eastAsia="仿宋" w:cs="仿宋_GB2312"/>
          <w:color w:val="333333"/>
          <w:sz w:val="32"/>
          <w:szCs w:val="32"/>
          <w:shd w:val="clear" w:color="auto" w:fill="FFFFFF"/>
        </w:rPr>
        <w:t>公务用车购置及运行维护费</w:t>
      </w:r>
      <w:r>
        <w:rPr>
          <w:rFonts w:hint="eastAsia" w:ascii="仿宋" w:hAnsi="仿宋" w:eastAsia="仿宋" w:cs="仿宋_GB2312"/>
          <w:color w:val="333333"/>
          <w:sz w:val="32"/>
          <w:szCs w:val="32"/>
          <w:shd w:val="clear" w:color="auto" w:fill="FFFFFF"/>
          <w:lang w:val="en-US" w:eastAsia="zh-CN"/>
        </w:rPr>
        <w:t>0.1</w:t>
      </w:r>
      <w:r>
        <w:rPr>
          <w:rFonts w:hint="eastAsia" w:ascii="仿宋" w:hAnsi="仿宋" w:eastAsia="仿宋" w:cs="仿宋_GB2312"/>
          <w:kern w:val="1"/>
          <w:sz w:val="32"/>
          <w:szCs w:val="32"/>
        </w:rPr>
        <w:t>1</w:t>
      </w:r>
      <w:r>
        <w:rPr>
          <w:rFonts w:hint="eastAsia" w:ascii="仿宋" w:hAnsi="仿宋" w:eastAsia="仿宋" w:cs="仿宋_GB2312"/>
          <w:color w:val="333333"/>
          <w:sz w:val="32"/>
          <w:szCs w:val="32"/>
          <w:shd w:val="clear" w:color="auto" w:fill="FFFFFF"/>
        </w:rPr>
        <w:t>万元；无因公出国境费。我局</w:t>
      </w:r>
      <w:r>
        <w:rPr>
          <w:rFonts w:hint="eastAsia" w:ascii="仿宋" w:hAnsi="仿宋" w:eastAsia="仿宋" w:cs="仿宋_GB2312"/>
          <w:color w:val="333333"/>
          <w:sz w:val="32"/>
          <w:szCs w:val="32"/>
          <w:shd w:val="clear" w:color="auto" w:fill="FFFFFF"/>
          <w:lang w:eastAsia="zh-CN"/>
        </w:rPr>
        <w:t>“三公”经费</w:t>
      </w:r>
      <w:r>
        <w:rPr>
          <w:rFonts w:hint="eastAsia" w:ascii="仿宋" w:hAnsi="仿宋" w:eastAsia="仿宋" w:cs="仿宋_GB2312"/>
          <w:color w:val="333333"/>
          <w:sz w:val="32"/>
          <w:szCs w:val="32"/>
          <w:shd w:val="clear" w:color="auto" w:fill="FFFFFF"/>
        </w:rPr>
        <w:t>支出均很好的控制在了预算范围之内，确保资金使用的合规合理。</w:t>
      </w:r>
    </w:p>
    <w:p w14:paraId="37627BED">
      <w:pPr>
        <w:keepNext w:val="0"/>
        <w:keepLines w:val="0"/>
        <w:pageBreakBefore w:val="0"/>
        <w:kinsoku/>
        <w:wordWrap/>
        <w:overflowPunct/>
        <w:topLinePunct w:val="0"/>
        <w:autoSpaceDE/>
        <w:autoSpaceDN/>
        <w:bidi w:val="0"/>
        <w:spacing w:line="480" w:lineRule="exact"/>
        <w:ind w:firstLine="643" w:firstLineChars="200"/>
        <w:textAlignment w:val="auto"/>
        <w:rPr>
          <w:rFonts w:ascii="仿宋_GB2312" w:hAnsi="仿宋_GB2312" w:eastAsia="仿宋_GB2312" w:cs="仿宋"/>
          <w:color w:val="000000"/>
          <w:sz w:val="32"/>
          <w:szCs w:val="32"/>
        </w:rPr>
      </w:pPr>
      <w:r>
        <w:rPr>
          <w:rFonts w:ascii="仿宋_GB2312" w:hAnsi="仿宋_GB2312" w:eastAsia="仿宋_GB2312" w:cs="仿宋"/>
          <w:b/>
          <w:bCs/>
          <w:color w:val="000000"/>
          <w:sz w:val="32"/>
          <w:szCs w:val="32"/>
        </w:rPr>
        <w:t>（二）项目支出</w:t>
      </w:r>
    </w:p>
    <w:p w14:paraId="6C366670">
      <w:pPr>
        <w:keepNext w:val="0"/>
        <w:keepLines w:val="0"/>
        <w:pageBreakBefore w:val="0"/>
        <w:kinsoku/>
        <w:wordWrap/>
        <w:overflowPunct/>
        <w:topLinePunct w:val="0"/>
        <w:autoSpaceDE/>
        <w:autoSpaceDN/>
        <w:bidi w:val="0"/>
        <w:spacing w:line="480" w:lineRule="exact"/>
        <w:ind w:firstLine="643" w:firstLineChars="200"/>
        <w:textAlignment w:val="auto"/>
        <w:rPr>
          <w:rFonts w:hint="eastAsia" w:ascii="仿宋" w:hAnsi="仿宋" w:eastAsia="仿宋" w:cs="仿宋"/>
          <w:color w:val="333333"/>
          <w:sz w:val="32"/>
          <w:szCs w:val="32"/>
          <w:shd w:val="clear" w:color="auto" w:fill="FFFFFF"/>
        </w:rPr>
      </w:pPr>
      <w:r>
        <w:rPr>
          <w:rFonts w:ascii="仿宋_GB2312" w:hAnsi="仿宋_GB2312" w:eastAsia="仿宋_GB2312" w:cs="仿宋"/>
          <w:b/>
          <w:bCs/>
          <w:color w:val="000000"/>
          <w:sz w:val="32"/>
          <w:szCs w:val="32"/>
        </w:rPr>
        <w:t>预算情况</w:t>
      </w:r>
      <w:r>
        <w:rPr>
          <w:rFonts w:hint="eastAsia" w:ascii="仿宋_GB2312" w:hAnsi="仿宋_GB2312" w:eastAsia="仿宋_GB2312" w:cs="仿宋"/>
          <w:b/>
          <w:bCs/>
          <w:color w:val="000000"/>
          <w:sz w:val="32"/>
          <w:szCs w:val="32"/>
          <w:lang w:eastAsia="zh-CN"/>
        </w:rPr>
        <w:t>：</w:t>
      </w:r>
      <w:r>
        <w:rPr>
          <w:rFonts w:hint="eastAsia" w:ascii="仿宋" w:hAnsi="仿宋" w:eastAsia="仿宋" w:cs="仿宋"/>
          <w:color w:val="333333"/>
          <w:sz w:val="32"/>
          <w:szCs w:val="32"/>
          <w:shd w:val="clear" w:color="auto" w:fill="FFFFFF"/>
        </w:rPr>
        <w:t>201</w:t>
      </w:r>
      <w:r>
        <w:rPr>
          <w:rFonts w:hint="eastAsia" w:ascii="仿宋" w:hAnsi="仿宋" w:eastAsia="仿宋" w:cs="仿宋"/>
          <w:color w:val="333333"/>
          <w:sz w:val="32"/>
          <w:szCs w:val="32"/>
          <w:shd w:val="clear" w:color="auto" w:fill="FFFFFF"/>
          <w:lang w:val="en-US" w:eastAsia="zh-CN"/>
        </w:rPr>
        <w:t>9</w:t>
      </w:r>
      <w:r>
        <w:rPr>
          <w:rFonts w:hint="eastAsia" w:ascii="仿宋" w:hAnsi="仿宋" w:eastAsia="仿宋" w:cs="仿宋"/>
          <w:color w:val="333333"/>
          <w:sz w:val="32"/>
          <w:szCs w:val="32"/>
          <w:shd w:val="clear" w:color="auto" w:fill="FFFFFF"/>
        </w:rPr>
        <w:t>部门预算总收入</w:t>
      </w:r>
      <w:r>
        <w:rPr>
          <w:rFonts w:hint="eastAsia" w:ascii="仿宋" w:hAnsi="仿宋" w:eastAsia="仿宋" w:cs="仿宋"/>
          <w:sz w:val="32"/>
          <w:szCs w:val="32"/>
          <w:lang w:val="en-US" w:eastAsia="zh-CN"/>
        </w:rPr>
        <w:t>700.71</w:t>
      </w:r>
      <w:r>
        <w:rPr>
          <w:rFonts w:hint="eastAsia" w:ascii="仿宋" w:hAnsi="仿宋" w:eastAsia="仿宋" w:cs="仿宋"/>
          <w:color w:val="333333"/>
          <w:sz w:val="32"/>
          <w:szCs w:val="32"/>
          <w:shd w:val="clear" w:color="auto" w:fill="FFFFFF"/>
        </w:rPr>
        <w:t>万元，其中：经费拨款</w:t>
      </w:r>
      <w:r>
        <w:rPr>
          <w:rFonts w:hint="eastAsia" w:ascii="仿宋" w:hAnsi="仿宋" w:eastAsia="仿宋" w:cs="仿宋"/>
          <w:sz w:val="32"/>
          <w:szCs w:val="32"/>
          <w:lang w:val="en-US" w:eastAsia="zh-CN"/>
        </w:rPr>
        <w:t>700.41</w:t>
      </w:r>
      <w:r>
        <w:rPr>
          <w:rFonts w:hint="eastAsia" w:ascii="仿宋" w:hAnsi="仿宋" w:eastAsia="仿宋" w:cs="仿宋"/>
          <w:color w:val="333333"/>
          <w:sz w:val="32"/>
          <w:szCs w:val="32"/>
          <w:shd w:val="clear" w:color="auto" w:fill="FFFFFF"/>
        </w:rPr>
        <w:t>万元，</w:t>
      </w:r>
      <w:r>
        <w:rPr>
          <w:rFonts w:hint="eastAsia" w:ascii="仿宋" w:hAnsi="仿宋" w:eastAsia="仿宋" w:cs="仿宋"/>
          <w:sz w:val="32"/>
          <w:szCs w:val="32"/>
        </w:rPr>
        <w:t>纳入预算管理的非税收入拨款0.</w:t>
      </w:r>
      <w:r>
        <w:rPr>
          <w:rFonts w:hint="eastAsia" w:ascii="仿宋" w:hAnsi="仿宋" w:eastAsia="仿宋" w:cs="仿宋"/>
          <w:sz w:val="32"/>
          <w:szCs w:val="32"/>
          <w:lang w:val="en-US" w:eastAsia="zh-CN"/>
        </w:rPr>
        <w:t>3</w:t>
      </w:r>
      <w:r>
        <w:rPr>
          <w:rFonts w:hint="eastAsia" w:ascii="仿宋" w:hAnsi="仿宋" w:eastAsia="仿宋" w:cs="仿宋"/>
          <w:sz w:val="32"/>
          <w:szCs w:val="32"/>
        </w:rPr>
        <w:t>万元。年预算总支出</w:t>
      </w:r>
      <w:r>
        <w:rPr>
          <w:rFonts w:hint="eastAsia" w:ascii="仿宋" w:hAnsi="仿宋" w:eastAsia="仿宋" w:cs="仿宋"/>
          <w:sz w:val="32"/>
          <w:szCs w:val="32"/>
          <w:lang w:val="en-US" w:eastAsia="zh-CN"/>
        </w:rPr>
        <w:t>700.71</w:t>
      </w:r>
      <w:r>
        <w:rPr>
          <w:rFonts w:hint="eastAsia" w:ascii="仿宋" w:hAnsi="仿宋" w:eastAsia="仿宋" w:cs="仿宋"/>
          <w:sz w:val="32"/>
          <w:szCs w:val="32"/>
        </w:rPr>
        <w:t>万元，其中：</w:t>
      </w:r>
      <w:r>
        <w:rPr>
          <w:rFonts w:hint="eastAsia" w:ascii="仿宋" w:hAnsi="仿宋" w:eastAsia="仿宋" w:cs="仿宋"/>
          <w:color w:val="333333"/>
          <w:sz w:val="32"/>
          <w:szCs w:val="32"/>
          <w:shd w:val="clear" w:color="auto" w:fill="FFFFFF"/>
        </w:rPr>
        <w:t>项目支出11</w:t>
      </w:r>
      <w:r>
        <w:rPr>
          <w:rFonts w:hint="eastAsia" w:ascii="仿宋" w:hAnsi="仿宋" w:eastAsia="仿宋" w:cs="仿宋"/>
          <w:color w:val="333333"/>
          <w:sz w:val="32"/>
          <w:szCs w:val="32"/>
          <w:shd w:val="clear" w:color="auto" w:fill="FFFFFF"/>
          <w:lang w:val="en-US" w:eastAsia="zh-CN"/>
        </w:rPr>
        <w:t>2</w:t>
      </w:r>
      <w:r>
        <w:rPr>
          <w:rFonts w:hint="eastAsia" w:ascii="仿宋" w:hAnsi="仿宋" w:eastAsia="仿宋" w:cs="仿宋"/>
          <w:color w:val="333333"/>
          <w:sz w:val="32"/>
          <w:szCs w:val="32"/>
          <w:shd w:val="clear" w:color="auto" w:fill="FFFFFF"/>
        </w:rPr>
        <w:t>万元（专项商品和服务支出</w:t>
      </w:r>
      <w:r>
        <w:rPr>
          <w:rFonts w:hint="eastAsia" w:ascii="仿宋" w:hAnsi="仿宋" w:eastAsia="仿宋" w:cs="仿宋"/>
          <w:color w:val="333333"/>
          <w:sz w:val="32"/>
          <w:szCs w:val="32"/>
          <w:shd w:val="clear" w:color="auto" w:fill="FFFFFF"/>
          <w:lang w:val="en-US" w:eastAsia="zh-CN"/>
        </w:rPr>
        <w:t>112</w:t>
      </w:r>
      <w:r>
        <w:rPr>
          <w:rFonts w:hint="eastAsia" w:ascii="仿宋" w:hAnsi="仿宋" w:eastAsia="仿宋" w:cs="仿宋"/>
          <w:color w:val="333333"/>
          <w:sz w:val="32"/>
          <w:szCs w:val="32"/>
          <w:shd w:val="clear" w:color="auto" w:fill="FFFFFF"/>
        </w:rPr>
        <w:t>万）。</w:t>
      </w:r>
    </w:p>
    <w:p w14:paraId="001D6D69">
      <w:pPr>
        <w:keepNext w:val="0"/>
        <w:keepLines w:val="0"/>
        <w:pageBreakBefore w:val="0"/>
        <w:widowControl w:val="0"/>
        <w:kinsoku/>
        <w:wordWrap/>
        <w:overflowPunct/>
        <w:topLinePunct w:val="0"/>
        <w:autoSpaceDE/>
        <w:autoSpaceDN/>
        <w:bidi w:val="0"/>
        <w:adjustRightInd/>
        <w:snapToGrid w:val="0"/>
        <w:spacing w:afterAutospacing="0" w:line="480" w:lineRule="exact"/>
        <w:ind w:firstLine="643" w:firstLineChars="200"/>
        <w:textAlignment w:val="auto"/>
        <w:rPr>
          <w:rFonts w:hint="eastAsia" w:ascii="仿宋" w:hAnsi="仿宋" w:eastAsia="仿宋" w:cs="仿宋"/>
          <w:color w:val="333333"/>
          <w:sz w:val="32"/>
          <w:szCs w:val="32"/>
          <w:shd w:val="clear" w:color="auto" w:fill="FFFFFF"/>
          <w:lang w:val="en-US" w:eastAsia="zh-CN"/>
        </w:rPr>
      </w:pPr>
      <w:r>
        <w:rPr>
          <w:rFonts w:hint="eastAsia" w:ascii="仿宋" w:hAnsi="仿宋" w:eastAsia="仿宋" w:cs="仿宋"/>
          <w:b/>
          <w:bCs/>
          <w:color w:val="333333"/>
          <w:sz w:val="32"/>
          <w:szCs w:val="32"/>
          <w:shd w:val="clear" w:color="auto" w:fill="FFFFFF"/>
          <w:lang w:val="en-US" w:eastAsia="zh-CN"/>
        </w:rPr>
        <w:t>决算情况：</w:t>
      </w:r>
      <w:r>
        <w:rPr>
          <w:rFonts w:hint="eastAsia" w:ascii="仿宋" w:hAnsi="仿宋" w:eastAsia="仿宋" w:cs="仿宋_GB2312"/>
          <w:kern w:val="1"/>
          <w:sz w:val="32"/>
          <w:szCs w:val="32"/>
          <w:lang w:val="en-US" w:eastAsia="zh-CN"/>
        </w:rPr>
        <w:t>2019</w:t>
      </w:r>
      <w:r>
        <w:rPr>
          <w:rFonts w:hint="eastAsia" w:ascii="仿宋" w:hAnsi="仿宋" w:eastAsia="仿宋" w:cs="仿宋_GB2312"/>
          <w:kern w:val="1"/>
          <w:sz w:val="32"/>
          <w:szCs w:val="32"/>
          <w:lang w:val="zh-CN"/>
        </w:rPr>
        <w:t>年度</w:t>
      </w:r>
      <w:r>
        <w:rPr>
          <w:rFonts w:hint="eastAsia" w:ascii="仿宋" w:hAnsi="仿宋" w:eastAsia="仿宋" w:cs="仿宋_GB2312"/>
          <w:kern w:val="1"/>
          <w:sz w:val="32"/>
          <w:szCs w:val="32"/>
          <w:lang w:val="zh-CN" w:eastAsia="zh-CN"/>
        </w:rPr>
        <w:t>总</w:t>
      </w:r>
      <w:r>
        <w:rPr>
          <w:rFonts w:ascii="仿宋" w:hAnsi="仿宋" w:eastAsia="仿宋" w:cs="仿宋_GB2312"/>
          <w:kern w:val="1"/>
          <w:sz w:val="32"/>
          <w:szCs w:val="32"/>
          <w:lang w:val="zh-CN"/>
        </w:rPr>
        <w:t>收入</w:t>
      </w:r>
      <w:r>
        <w:rPr>
          <w:rFonts w:ascii="仿宋" w:hAnsi="仿宋" w:eastAsia="仿宋" w:cs="仿宋_GB2312"/>
          <w:kern w:val="1"/>
          <w:sz w:val="32"/>
          <w:szCs w:val="32"/>
        </w:rPr>
        <w:t>1613</w:t>
      </w:r>
      <w:r>
        <w:rPr>
          <w:rFonts w:hint="eastAsia" w:ascii="仿宋" w:hAnsi="仿宋" w:eastAsia="仿宋" w:cs="仿宋_GB2312"/>
          <w:kern w:val="1"/>
          <w:sz w:val="32"/>
          <w:szCs w:val="32"/>
        </w:rPr>
        <w:t>.</w:t>
      </w:r>
      <w:r>
        <w:rPr>
          <w:rFonts w:ascii="仿宋" w:hAnsi="仿宋" w:eastAsia="仿宋" w:cs="仿宋_GB2312"/>
          <w:kern w:val="1"/>
          <w:sz w:val="32"/>
          <w:szCs w:val="32"/>
        </w:rPr>
        <w:t>4</w:t>
      </w:r>
      <w:r>
        <w:rPr>
          <w:rFonts w:hint="eastAsia" w:ascii="仿宋" w:hAnsi="仿宋" w:eastAsia="仿宋" w:cs="仿宋_GB2312"/>
          <w:kern w:val="1"/>
          <w:sz w:val="32"/>
          <w:szCs w:val="32"/>
        </w:rPr>
        <w:t>1</w:t>
      </w:r>
      <w:r>
        <w:rPr>
          <w:rFonts w:ascii="仿宋" w:hAnsi="仿宋" w:eastAsia="仿宋" w:cs="仿宋_GB2312"/>
          <w:kern w:val="1"/>
          <w:sz w:val="32"/>
          <w:szCs w:val="32"/>
          <w:lang w:val="zh-CN"/>
        </w:rPr>
        <w:t>万元，</w:t>
      </w:r>
      <w:r>
        <w:rPr>
          <w:rFonts w:hint="eastAsia" w:ascii="仿宋" w:hAnsi="仿宋" w:eastAsia="仿宋" w:cs="仿宋_GB2312"/>
          <w:kern w:val="1"/>
          <w:sz w:val="32"/>
          <w:szCs w:val="32"/>
          <w:lang w:val="zh-CN"/>
        </w:rPr>
        <w:t>其中</w:t>
      </w:r>
      <w:r>
        <w:rPr>
          <w:rFonts w:hint="eastAsia" w:ascii="仿宋" w:hAnsi="仿宋" w:eastAsia="仿宋" w:cs="仿宋_GB2312"/>
          <w:kern w:val="1"/>
          <w:sz w:val="32"/>
          <w:szCs w:val="32"/>
        </w:rPr>
        <w:t>一般公共财政预算</w:t>
      </w:r>
      <w:r>
        <w:rPr>
          <w:rFonts w:ascii="仿宋" w:hAnsi="仿宋" w:eastAsia="仿宋" w:cs="仿宋_GB2312"/>
          <w:kern w:val="1"/>
          <w:sz w:val="32"/>
          <w:szCs w:val="32"/>
        </w:rPr>
        <w:t>1613</w:t>
      </w:r>
      <w:r>
        <w:rPr>
          <w:rFonts w:hint="eastAsia" w:ascii="仿宋" w:hAnsi="仿宋" w:eastAsia="仿宋" w:cs="仿宋_GB2312"/>
          <w:kern w:val="1"/>
          <w:sz w:val="32"/>
          <w:szCs w:val="32"/>
        </w:rPr>
        <w:t>.</w:t>
      </w:r>
      <w:r>
        <w:rPr>
          <w:rFonts w:ascii="仿宋" w:hAnsi="仿宋" w:eastAsia="仿宋" w:cs="仿宋_GB2312"/>
          <w:kern w:val="1"/>
          <w:sz w:val="32"/>
          <w:szCs w:val="32"/>
        </w:rPr>
        <w:t>4</w:t>
      </w:r>
      <w:r>
        <w:rPr>
          <w:rFonts w:hint="eastAsia" w:ascii="仿宋" w:hAnsi="仿宋" w:eastAsia="仿宋" w:cs="仿宋_GB2312"/>
          <w:kern w:val="1"/>
          <w:sz w:val="32"/>
          <w:szCs w:val="32"/>
        </w:rPr>
        <w:t>1万元。</w:t>
      </w:r>
      <w:r>
        <w:rPr>
          <w:rFonts w:hint="eastAsia" w:ascii="仿宋" w:hAnsi="仿宋" w:eastAsia="仿宋" w:cs="仿宋_GB2312"/>
          <w:kern w:val="1"/>
          <w:sz w:val="32"/>
          <w:szCs w:val="32"/>
          <w:lang w:val="en-US" w:eastAsia="zh-CN"/>
        </w:rPr>
        <w:t>2019</w:t>
      </w:r>
      <w:r>
        <w:rPr>
          <w:rFonts w:hint="eastAsia" w:ascii="仿宋" w:hAnsi="仿宋" w:eastAsia="仿宋"/>
          <w:sz w:val="32"/>
          <w:szCs w:val="32"/>
        </w:rPr>
        <w:t>年度总支出</w:t>
      </w:r>
      <w:r>
        <w:rPr>
          <w:rFonts w:ascii="仿宋" w:hAnsi="仿宋" w:eastAsia="仿宋" w:cs="仿宋_GB2312"/>
          <w:kern w:val="1"/>
          <w:sz w:val="32"/>
          <w:szCs w:val="32"/>
        </w:rPr>
        <w:t>1613</w:t>
      </w:r>
      <w:r>
        <w:rPr>
          <w:rFonts w:hint="eastAsia" w:ascii="仿宋" w:hAnsi="仿宋" w:eastAsia="仿宋" w:cs="仿宋_GB2312"/>
          <w:kern w:val="1"/>
          <w:sz w:val="32"/>
          <w:szCs w:val="32"/>
        </w:rPr>
        <w:t>.</w:t>
      </w:r>
      <w:r>
        <w:rPr>
          <w:rFonts w:ascii="仿宋" w:hAnsi="仿宋" w:eastAsia="仿宋" w:cs="仿宋_GB2312"/>
          <w:kern w:val="1"/>
          <w:sz w:val="32"/>
          <w:szCs w:val="32"/>
        </w:rPr>
        <w:t>4</w:t>
      </w:r>
      <w:r>
        <w:rPr>
          <w:rFonts w:hint="eastAsia" w:ascii="仿宋" w:hAnsi="仿宋" w:eastAsia="仿宋" w:cs="仿宋_GB2312"/>
          <w:kern w:val="1"/>
          <w:sz w:val="32"/>
          <w:szCs w:val="32"/>
        </w:rPr>
        <w:t>1万元，</w:t>
      </w:r>
      <w:r>
        <w:rPr>
          <w:rFonts w:hint="eastAsia" w:ascii="仿宋" w:hAnsi="仿宋" w:eastAsia="仿宋" w:cs="仿宋_GB2312"/>
          <w:kern w:val="1"/>
          <w:sz w:val="32"/>
          <w:szCs w:val="32"/>
          <w:lang w:eastAsia="zh-CN"/>
        </w:rPr>
        <w:t>其中</w:t>
      </w:r>
      <w:r>
        <w:rPr>
          <w:rFonts w:hint="eastAsia" w:ascii="仿宋" w:hAnsi="仿宋" w:eastAsia="仿宋" w:cs="仿宋_GB2312"/>
          <w:kern w:val="1"/>
          <w:sz w:val="32"/>
          <w:szCs w:val="32"/>
        </w:rPr>
        <w:t>项目支出992.41万元</w:t>
      </w:r>
      <w:r>
        <w:rPr>
          <w:rFonts w:hint="eastAsia" w:ascii="仿宋" w:hAnsi="仿宋" w:eastAsia="仿宋" w:cs="仿宋_GB2312"/>
          <w:kern w:val="1"/>
          <w:sz w:val="32"/>
          <w:szCs w:val="32"/>
          <w:lang w:eastAsia="zh-CN"/>
        </w:rPr>
        <w:t>（</w:t>
      </w:r>
      <w:r>
        <w:rPr>
          <w:rFonts w:hint="eastAsia" w:ascii="仿宋" w:hAnsi="仿宋" w:eastAsia="仿宋" w:cs="仿宋_GB2312"/>
          <w:kern w:val="1"/>
          <w:sz w:val="32"/>
          <w:szCs w:val="32"/>
        </w:rPr>
        <w:t>资本性支出</w:t>
      </w:r>
      <w:r>
        <w:rPr>
          <w:rFonts w:hint="eastAsia" w:ascii="仿宋" w:hAnsi="仿宋" w:eastAsia="仿宋" w:cs="仿宋_GB2312"/>
          <w:kern w:val="1"/>
          <w:sz w:val="32"/>
          <w:szCs w:val="32"/>
          <w:lang w:eastAsia="zh-CN"/>
        </w:rPr>
        <w:t>—</w:t>
      </w:r>
      <w:r>
        <w:rPr>
          <w:rFonts w:hint="eastAsia" w:ascii="仿宋" w:hAnsi="仿宋" w:eastAsia="仿宋" w:cs="仿宋_GB2312"/>
          <w:kern w:val="1"/>
          <w:sz w:val="32"/>
          <w:szCs w:val="32"/>
        </w:rPr>
        <w:t>基本建设824万元</w:t>
      </w:r>
      <w:r>
        <w:rPr>
          <w:rFonts w:hint="eastAsia" w:ascii="仿宋" w:hAnsi="仿宋" w:eastAsia="仿宋" w:cs="仿宋_GB2312"/>
          <w:kern w:val="1"/>
          <w:sz w:val="32"/>
          <w:szCs w:val="32"/>
          <w:lang w:eastAsia="zh-CN"/>
        </w:rPr>
        <w:t>）。</w:t>
      </w:r>
      <w:r>
        <w:rPr>
          <w:rFonts w:hint="eastAsia" w:ascii="仿宋" w:hAnsi="仿宋" w:eastAsia="仿宋" w:cs="仿宋_GB2312"/>
          <w:kern w:val="1"/>
          <w:sz w:val="32"/>
          <w:szCs w:val="32"/>
        </w:rPr>
        <w:t>年初结余0，年末结余为0;收支平衡。</w:t>
      </w:r>
    </w:p>
    <w:p w14:paraId="767437C7">
      <w:pPr>
        <w:keepNext w:val="0"/>
        <w:keepLines w:val="0"/>
        <w:pageBreakBefore w:val="0"/>
        <w:widowControl w:val="0"/>
        <w:kinsoku/>
        <w:wordWrap/>
        <w:overflowPunct/>
        <w:topLinePunct w:val="0"/>
        <w:autoSpaceDE/>
        <w:autoSpaceDN/>
        <w:bidi w:val="0"/>
        <w:adjustRightInd/>
        <w:spacing w:afterAutospacing="0" w:line="480" w:lineRule="exact"/>
        <w:ind w:firstLine="643" w:firstLineChars="200"/>
        <w:textAlignment w:val="auto"/>
        <w:rPr>
          <w:rFonts w:hint="eastAsia" w:ascii="仿宋" w:hAnsi="仿宋" w:eastAsia="仿宋" w:cs="仿宋"/>
          <w:color w:val="333333"/>
          <w:sz w:val="32"/>
          <w:szCs w:val="32"/>
          <w:shd w:val="clear" w:color="auto" w:fill="FFFFFF"/>
        </w:rPr>
      </w:pPr>
      <w:r>
        <w:rPr>
          <w:rFonts w:hint="eastAsia" w:ascii="仿宋" w:hAnsi="仿宋" w:eastAsia="仿宋" w:cs="仿宋"/>
          <w:b/>
          <w:bCs/>
          <w:color w:val="333333"/>
          <w:sz w:val="32"/>
          <w:szCs w:val="32"/>
          <w:shd w:val="clear" w:color="auto" w:fill="FFFFFF"/>
          <w:lang w:eastAsia="zh-CN"/>
        </w:rPr>
        <w:t>管理情况：</w:t>
      </w:r>
      <w:r>
        <w:rPr>
          <w:rFonts w:hint="eastAsia" w:ascii="仿宋" w:hAnsi="仿宋" w:eastAsia="仿宋" w:cs="仿宋"/>
          <w:color w:val="333333"/>
          <w:sz w:val="32"/>
          <w:szCs w:val="32"/>
          <w:shd w:val="clear" w:color="auto" w:fill="FFFFFF"/>
        </w:rPr>
        <w:t>年内按规定程序对年初预算进行了调整，经批准的调整预算结果为：预算总收入</w:t>
      </w:r>
      <w:r>
        <w:rPr>
          <w:rFonts w:hint="eastAsia" w:ascii="仿宋" w:hAnsi="仿宋" w:eastAsia="仿宋" w:cs="仿宋"/>
          <w:color w:val="333333"/>
          <w:sz w:val="32"/>
          <w:szCs w:val="32"/>
          <w:shd w:val="clear" w:color="auto" w:fill="FFFFFF"/>
          <w:lang w:val="en-US" w:eastAsia="zh-CN"/>
        </w:rPr>
        <w:t>1613.41</w:t>
      </w:r>
      <w:r>
        <w:rPr>
          <w:rFonts w:hint="eastAsia" w:ascii="仿宋" w:hAnsi="仿宋" w:eastAsia="仿宋" w:cs="仿宋"/>
          <w:color w:val="333333"/>
          <w:sz w:val="32"/>
          <w:szCs w:val="32"/>
          <w:shd w:val="clear" w:color="auto" w:fill="FFFFFF"/>
        </w:rPr>
        <w:t>万元；预算总支出</w:t>
      </w:r>
      <w:r>
        <w:rPr>
          <w:rFonts w:hint="eastAsia" w:ascii="仿宋" w:hAnsi="仿宋" w:eastAsia="仿宋" w:cs="仿宋"/>
          <w:color w:val="333333"/>
          <w:sz w:val="32"/>
          <w:szCs w:val="32"/>
          <w:shd w:val="clear" w:color="auto" w:fill="FFFFFF"/>
          <w:lang w:val="en-US" w:eastAsia="zh-CN"/>
        </w:rPr>
        <w:t>1613.41</w:t>
      </w:r>
      <w:r>
        <w:rPr>
          <w:rFonts w:hint="eastAsia" w:ascii="仿宋" w:hAnsi="仿宋" w:eastAsia="仿宋" w:cs="仿宋"/>
          <w:color w:val="333333"/>
          <w:sz w:val="32"/>
          <w:szCs w:val="32"/>
          <w:shd w:val="clear" w:color="auto" w:fill="FFFFFF"/>
        </w:rPr>
        <w:t>万元，其中项目支出</w:t>
      </w:r>
      <w:r>
        <w:rPr>
          <w:rFonts w:hint="eastAsia" w:ascii="仿宋" w:hAnsi="仿宋" w:eastAsia="仿宋" w:cs="仿宋"/>
          <w:color w:val="333333"/>
          <w:sz w:val="32"/>
          <w:szCs w:val="32"/>
          <w:shd w:val="clear" w:color="auto" w:fill="FFFFFF"/>
          <w:lang w:val="en-US" w:eastAsia="zh-CN"/>
        </w:rPr>
        <w:t>992.41</w:t>
      </w:r>
      <w:r>
        <w:rPr>
          <w:rFonts w:hint="eastAsia" w:ascii="仿宋" w:hAnsi="仿宋" w:eastAsia="仿宋" w:cs="仿宋"/>
          <w:color w:val="333333"/>
          <w:sz w:val="32"/>
          <w:szCs w:val="32"/>
          <w:shd w:val="clear" w:color="auto" w:fill="FFFFFF"/>
        </w:rPr>
        <w:t>万元，无年末结转和结余数。</w:t>
      </w:r>
    </w:p>
    <w:p w14:paraId="1443D4D3">
      <w:pPr>
        <w:pStyle w:val="6"/>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480" w:lineRule="exact"/>
        <w:ind w:firstLine="643" w:firstLineChars="200"/>
        <w:textAlignment w:val="auto"/>
        <w:rPr>
          <w:rFonts w:ascii="仿宋_GB2312" w:hAnsi="仿宋_GB2312" w:eastAsia="仿宋_GB2312" w:cs="仿宋"/>
          <w:color w:val="000000"/>
          <w:sz w:val="32"/>
          <w:szCs w:val="32"/>
        </w:rPr>
      </w:pPr>
      <w:r>
        <w:rPr>
          <w:rFonts w:ascii="Times New Roman" w:hAnsi="Times New Roman" w:eastAsia="仿宋_GB2312" w:cs="仿宋"/>
          <w:b/>
          <w:bCs/>
          <w:color w:val="000000"/>
          <w:sz w:val="32"/>
          <w:szCs w:val="32"/>
        </w:rPr>
        <w:t>“</w:t>
      </w:r>
      <w:r>
        <w:rPr>
          <w:rFonts w:ascii="仿宋_GB2312" w:hAnsi="仿宋_GB2312" w:eastAsia="仿宋_GB2312" w:cs="仿宋"/>
          <w:b/>
          <w:bCs/>
          <w:color w:val="000000"/>
          <w:sz w:val="32"/>
          <w:szCs w:val="32"/>
        </w:rPr>
        <w:t>三公</w:t>
      </w:r>
      <w:r>
        <w:rPr>
          <w:rFonts w:ascii="Times New Roman" w:hAnsi="Times New Roman" w:eastAsia="仿宋_GB2312" w:cs="仿宋"/>
          <w:b/>
          <w:bCs/>
          <w:color w:val="000000"/>
          <w:sz w:val="32"/>
          <w:szCs w:val="32"/>
        </w:rPr>
        <w:t>”</w:t>
      </w:r>
      <w:r>
        <w:rPr>
          <w:rFonts w:ascii="仿宋_GB2312" w:hAnsi="仿宋_GB2312" w:eastAsia="仿宋_GB2312" w:cs="仿宋"/>
          <w:b/>
          <w:bCs/>
          <w:color w:val="000000"/>
          <w:sz w:val="32"/>
          <w:szCs w:val="32"/>
        </w:rPr>
        <w:t>经费的预决算执行及控制情况</w:t>
      </w:r>
      <w:r>
        <w:rPr>
          <w:rFonts w:hint="eastAsia" w:ascii="仿宋_GB2312" w:hAnsi="仿宋_GB2312" w:eastAsia="仿宋_GB2312" w:cs="仿宋"/>
          <w:b/>
          <w:bCs/>
          <w:color w:val="000000"/>
          <w:sz w:val="32"/>
          <w:szCs w:val="32"/>
          <w:lang w:eastAsia="zh-CN"/>
        </w:rPr>
        <w:t>：</w:t>
      </w:r>
      <w:r>
        <w:rPr>
          <w:rFonts w:hint="eastAsia" w:ascii="仿宋" w:hAnsi="仿宋" w:eastAsia="仿宋" w:cs="仿宋_GB2312"/>
          <w:color w:val="333333"/>
          <w:sz w:val="32"/>
          <w:szCs w:val="32"/>
          <w:shd w:val="clear" w:color="auto" w:fill="FFFFFF"/>
        </w:rPr>
        <w:t>201</w:t>
      </w:r>
      <w:r>
        <w:rPr>
          <w:rFonts w:hint="eastAsia" w:ascii="仿宋" w:hAnsi="仿宋" w:eastAsia="仿宋" w:cs="仿宋_GB2312"/>
          <w:color w:val="333333"/>
          <w:sz w:val="32"/>
          <w:szCs w:val="32"/>
          <w:shd w:val="clear" w:color="auto" w:fill="FFFFFF"/>
          <w:lang w:val="en-US" w:eastAsia="zh-CN"/>
        </w:rPr>
        <w:t>9</w:t>
      </w:r>
      <w:r>
        <w:rPr>
          <w:rFonts w:hint="eastAsia" w:ascii="仿宋" w:hAnsi="仿宋" w:eastAsia="仿宋" w:cs="仿宋_GB2312"/>
          <w:color w:val="333333"/>
          <w:sz w:val="32"/>
          <w:szCs w:val="32"/>
          <w:shd w:val="clear" w:color="auto" w:fill="FFFFFF"/>
        </w:rPr>
        <w:t>年“三公经费”决算</w:t>
      </w:r>
      <w:r>
        <w:rPr>
          <w:rFonts w:hint="eastAsia" w:ascii="仿宋" w:hAnsi="仿宋" w:eastAsia="仿宋" w:cs="仿宋_GB2312"/>
          <w:color w:val="333333"/>
          <w:sz w:val="32"/>
          <w:szCs w:val="32"/>
          <w:shd w:val="clear" w:color="auto" w:fill="FFFFFF"/>
          <w:lang w:val="en-US" w:eastAsia="zh-CN"/>
        </w:rPr>
        <w:t>2.31</w:t>
      </w:r>
      <w:r>
        <w:rPr>
          <w:rFonts w:hint="eastAsia" w:ascii="仿宋" w:hAnsi="仿宋" w:eastAsia="仿宋" w:cs="仿宋_GB2312"/>
          <w:color w:val="333333"/>
          <w:sz w:val="32"/>
          <w:szCs w:val="32"/>
          <w:shd w:val="clear" w:color="auto" w:fill="FFFFFF"/>
        </w:rPr>
        <w:t>万元。比年初预算减少</w:t>
      </w:r>
      <w:r>
        <w:rPr>
          <w:rFonts w:hint="eastAsia" w:ascii="仿宋" w:hAnsi="仿宋" w:eastAsia="仿宋" w:cs="仿宋_GB2312"/>
          <w:kern w:val="1"/>
          <w:sz w:val="32"/>
          <w:szCs w:val="32"/>
        </w:rPr>
        <w:t>21.12</w:t>
      </w:r>
      <w:r>
        <w:rPr>
          <w:rFonts w:hint="eastAsia" w:ascii="仿宋" w:hAnsi="仿宋" w:eastAsia="仿宋" w:cs="仿宋_GB2312"/>
          <w:color w:val="333333"/>
          <w:sz w:val="32"/>
          <w:szCs w:val="32"/>
          <w:shd w:val="clear" w:color="auto" w:fill="FFFFFF"/>
        </w:rPr>
        <w:t>万元，降低</w:t>
      </w:r>
      <w:r>
        <w:rPr>
          <w:rFonts w:hint="eastAsia" w:ascii="仿宋" w:hAnsi="仿宋" w:eastAsia="仿宋" w:cs="仿宋_GB2312"/>
          <w:sz w:val="32"/>
          <w:szCs w:val="32"/>
          <w:lang w:val="zh-CN" w:bidi="zh-CN"/>
        </w:rPr>
        <w:t>90.14</w:t>
      </w:r>
      <w:r>
        <w:rPr>
          <w:rFonts w:hint="eastAsia" w:ascii="仿宋" w:hAnsi="仿宋" w:eastAsia="仿宋" w:cs="仿宋_GB2312"/>
          <w:color w:val="333333"/>
          <w:sz w:val="32"/>
          <w:szCs w:val="32"/>
          <w:shd w:val="clear" w:color="auto" w:fill="FFFFFF"/>
        </w:rPr>
        <w:t>%，</w:t>
      </w:r>
      <w:r>
        <w:rPr>
          <w:rFonts w:hint="eastAsia" w:ascii="仿宋" w:hAnsi="仿宋" w:eastAsia="仿宋" w:cs="仿宋_GB2312"/>
          <w:color w:val="333333"/>
          <w:sz w:val="32"/>
          <w:szCs w:val="32"/>
          <w:shd w:val="clear" w:color="auto" w:fill="FFFFFF"/>
          <w:lang w:val="en-US" w:eastAsia="zh-CN"/>
        </w:rPr>
        <w:t>2019年</w:t>
      </w:r>
      <w:r>
        <w:rPr>
          <w:rFonts w:hint="eastAsia" w:ascii="仿宋" w:hAnsi="仿宋" w:eastAsia="仿宋" w:cs="仿宋_GB2312"/>
          <w:color w:val="333333"/>
          <w:sz w:val="32"/>
          <w:szCs w:val="32"/>
          <w:shd w:val="clear" w:color="auto" w:fill="FFFFFF"/>
        </w:rPr>
        <w:t>公务接待费</w:t>
      </w:r>
      <w:r>
        <w:rPr>
          <w:rFonts w:hint="eastAsia" w:ascii="仿宋" w:hAnsi="仿宋" w:eastAsia="仿宋" w:cs="仿宋_GB2312"/>
          <w:kern w:val="1"/>
          <w:sz w:val="32"/>
          <w:szCs w:val="32"/>
        </w:rPr>
        <w:t>1.2</w:t>
      </w:r>
      <w:r>
        <w:rPr>
          <w:rFonts w:hint="eastAsia" w:ascii="仿宋" w:hAnsi="仿宋" w:eastAsia="仿宋" w:cs="仿宋_GB2312"/>
          <w:color w:val="333333"/>
          <w:sz w:val="32"/>
          <w:szCs w:val="32"/>
          <w:shd w:val="clear" w:color="auto" w:fill="FFFFFF"/>
        </w:rPr>
        <w:t>万元，比预算减少</w:t>
      </w:r>
      <w:r>
        <w:rPr>
          <w:rFonts w:hint="eastAsia" w:ascii="仿宋" w:hAnsi="仿宋" w:eastAsia="仿宋" w:cs="仿宋_GB2312"/>
          <w:kern w:val="1"/>
          <w:sz w:val="32"/>
          <w:szCs w:val="32"/>
        </w:rPr>
        <w:t>8.27</w:t>
      </w:r>
      <w:r>
        <w:rPr>
          <w:rFonts w:hint="eastAsia" w:ascii="仿宋" w:hAnsi="仿宋" w:eastAsia="仿宋" w:cs="仿宋_GB2312"/>
          <w:color w:val="333333"/>
          <w:sz w:val="32"/>
          <w:szCs w:val="32"/>
          <w:shd w:val="clear" w:color="auto" w:fill="FFFFFF"/>
        </w:rPr>
        <w:t>万元，降低</w:t>
      </w:r>
      <w:r>
        <w:rPr>
          <w:rFonts w:hint="eastAsia" w:ascii="仿宋" w:hAnsi="仿宋" w:eastAsia="仿宋" w:cs="仿宋_GB2312"/>
          <w:sz w:val="32"/>
          <w:szCs w:val="32"/>
          <w:lang w:val="zh-CN" w:bidi="zh-CN"/>
        </w:rPr>
        <w:t>87.33</w:t>
      </w:r>
      <w:r>
        <w:rPr>
          <w:rFonts w:hint="eastAsia" w:ascii="仿宋" w:hAnsi="仿宋" w:eastAsia="仿宋" w:cs="仿宋_GB2312"/>
          <w:color w:val="333333"/>
          <w:sz w:val="32"/>
          <w:szCs w:val="32"/>
          <w:shd w:val="clear" w:color="auto" w:fill="FFFFFF"/>
        </w:rPr>
        <w:t>%</w:t>
      </w:r>
      <w:r>
        <w:rPr>
          <w:rFonts w:hint="eastAsia" w:ascii="仿宋" w:hAnsi="仿宋" w:eastAsia="仿宋" w:cs="仿宋_GB2312"/>
          <w:color w:val="333333"/>
          <w:sz w:val="32"/>
          <w:szCs w:val="32"/>
          <w:shd w:val="clear" w:color="auto" w:fill="FFFFFF"/>
          <w:lang w:eastAsia="zh-CN"/>
        </w:rPr>
        <w:t>，其中项目支出</w:t>
      </w:r>
      <w:r>
        <w:rPr>
          <w:rFonts w:hint="eastAsia" w:ascii="仿宋" w:hAnsi="仿宋" w:eastAsia="仿宋" w:cs="仿宋_GB2312"/>
          <w:color w:val="333333"/>
          <w:sz w:val="32"/>
          <w:szCs w:val="32"/>
          <w:shd w:val="clear" w:color="auto" w:fill="FFFFFF"/>
          <w:lang w:val="en-US" w:eastAsia="zh-CN"/>
        </w:rPr>
        <w:t>-</w:t>
      </w:r>
      <w:r>
        <w:rPr>
          <w:rFonts w:hint="eastAsia" w:ascii="仿宋" w:hAnsi="仿宋" w:eastAsia="仿宋" w:cs="仿宋_GB2312"/>
          <w:color w:val="333333"/>
          <w:sz w:val="32"/>
          <w:szCs w:val="32"/>
          <w:shd w:val="clear" w:color="auto" w:fill="FFFFFF"/>
          <w:lang w:eastAsia="zh-CN"/>
        </w:rPr>
        <w:t>公务接待费</w:t>
      </w:r>
      <w:r>
        <w:rPr>
          <w:rFonts w:hint="eastAsia" w:ascii="仿宋" w:hAnsi="仿宋" w:eastAsia="仿宋" w:cs="仿宋_GB2312"/>
          <w:color w:val="333333"/>
          <w:sz w:val="32"/>
          <w:szCs w:val="32"/>
          <w:shd w:val="clear" w:color="auto" w:fill="FFFFFF"/>
          <w:lang w:val="en-US" w:eastAsia="zh-CN"/>
        </w:rPr>
        <w:t>0.5万元；</w:t>
      </w:r>
      <w:r>
        <w:rPr>
          <w:rFonts w:hint="eastAsia" w:ascii="仿宋" w:hAnsi="仿宋" w:eastAsia="仿宋" w:cs="仿宋_GB2312"/>
          <w:color w:val="333333"/>
          <w:sz w:val="32"/>
          <w:szCs w:val="32"/>
          <w:shd w:val="clear" w:color="auto" w:fill="FFFFFF"/>
        </w:rPr>
        <w:t>公务用车购置及运行维护费</w:t>
      </w:r>
      <w:r>
        <w:rPr>
          <w:rFonts w:hint="eastAsia" w:ascii="仿宋" w:hAnsi="仿宋" w:eastAsia="仿宋" w:cs="仿宋_GB2312"/>
          <w:kern w:val="1"/>
          <w:sz w:val="32"/>
          <w:szCs w:val="32"/>
        </w:rPr>
        <w:t>1.11</w:t>
      </w:r>
      <w:r>
        <w:rPr>
          <w:rFonts w:hint="eastAsia" w:ascii="仿宋" w:hAnsi="仿宋" w:eastAsia="仿宋" w:cs="仿宋_GB2312"/>
          <w:color w:val="333333"/>
          <w:sz w:val="32"/>
          <w:szCs w:val="32"/>
          <w:shd w:val="clear" w:color="auto" w:fill="FFFFFF"/>
        </w:rPr>
        <w:t>万元，比预算减少</w:t>
      </w:r>
      <w:r>
        <w:rPr>
          <w:rFonts w:hint="eastAsia" w:ascii="仿宋" w:hAnsi="仿宋" w:eastAsia="仿宋" w:cs="仿宋_GB2312"/>
          <w:kern w:val="1"/>
          <w:sz w:val="32"/>
          <w:szCs w:val="32"/>
        </w:rPr>
        <w:t>12.85</w:t>
      </w:r>
      <w:r>
        <w:rPr>
          <w:rFonts w:hint="eastAsia" w:ascii="仿宋" w:hAnsi="仿宋" w:eastAsia="仿宋" w:cs="仿宋_GB2312"/>
          <w:color w:val="333333"/>
          <w:sz w:val="32"/>
          <w:szCs w:val="32"/>
          <w:shd w:val="clear" w:color="auto" w:fill="FFFFFF"/>
        </w:rPr>
        <w:t>万元，降低</w:t>
      </w:r>
      <w:r>
        <w:rPr>
          <w:rFonts w:hint="eastAsia" w:ascii="仿宋" w:hAnsi="仿宋" w:eastAsia="仿宋" w:cs="仿宋_GB2312"/>
          <w:sz w:val="32"/>
          <w:szCs w:val="32"/>
          <w:lang w:val="zh-CN" w:bidi="zh-CN"/>
        </w:rPr>
        <w:t>92.05</w:t>
      </w:r>
      <w:r>
        <w:rPr>
          <w:rFonts w:hint="eastAsia" w:ascii="仿宋" w:hAnsi="仿宋" w:eastAsia="仿宋" w:cs="仿宋_GB2312"/>
          <w:color w:val="333333"/>
          <w:sz w:val="32"/>
          <w:szCs w:val="32"/>
          <w:shd w:val="clear" w:color="auto" w:fill="FFFFFF"/>
        </w:rPr>
        <w:t>%</w:t>
      </w:r>
      <w:r>
        <w:rPr>
          <w:rFonts w:hint="eastAsia" w:ascii="仿宋" w:hAnsi="仿宋" w:eastAsia="仿宋" w:cs="仿宋_GB2312"/>
          <w:color w:val="333333"/>
          <w:sz w:val="32"/>
          <w:szCs w:val="32"/>
          <w:shd w:val="clear" w:color="auto" w:fill="FFFFFF"/>
          <w:lang w:eastAsia="zh-CN"/>
        </w:rPr>
        <w:t>，其中项目支出</w:t>
      </w:r>
      <w:r>
        <w:rPr>
          <w:rFonts w:hint="eastAsia" w:ascii="仿宋" w:hAnsi="仿宋" w:eastAsia="仿宋" w:cs="仿宋_GB2312"/>
          <w:color w:val="333333"/>
          <w:sz w:val="32"/>
          <w:szCs w:val="32"/>
          <w:shd w:val="clear" w:color="auto" w:fill="FFFFFF"/>
          <w:lang w:val="en-US" w:eastAsia="zh-CN"/>
        </w:rPr>
        <w:t>-</w:t>
      </w:r>
      <w:r>
        <w:rPr>
          <w:rFonts w:hint="eastAsia" w:ascii="仿宋" w:hAnsi="仿宋" w:eastAsia="仿宋" w:cs="仿宋_GB2312"/>
          <w:color w:val="333333"/>
          <w:sz w:val="32"/>
          <w:szCs w:val="32"/>
          <w:shd w:val="clear" w:color="auto" w:fill="FFFFFF"/>
        </w:rPr>
        <w:t>公务用车购置及运行维护费</w:t>
      </w:r>
      <w:r>
        <w:rPr>
          <w:rFonts w:hint="eastAsia" w:ascii="仿宋" w:hAnsi="仿宋" w:eastAsia="仿宋" w:cs="仿宋_GB2312"/>
          <w:kern w:val="1"/>
          <w:sz w:val="32"/>
          <w:szCs w:val="32"/>
        </w:rPr>
        <w:t>1</w:t>
      </w:r>
      <w:r>
        <w:rPr>
          <w:rFonts w:hint="eastAsia" w:ascii="仿宋" w:hAnsi="仿宋" w:eastAsia="仿宋" w:cs="仿宋_GB2312"/>
          <w:color w:val="333333"/>
          <w:sz w:val="32"/>
          <w:szCs w:val="32"/>
          <w:shd w:val="clear" w:color="auto" w:fill="FFFFFF"/>
        </w:rPr>
        <w:t>万元；无因公出国境费。我局</w:t>
      </w:r>
      <w:r>
        <w:rPr>
          <w:rFonts w:hint="eastAsia" w:ascii="仿宋" w:hAnsi="仿宋" w:eastAsia="仿宋" w:cs="仿宋_GB2312"/>
          <w:color w:val="333333"/>
          <w:sz w:val="32"/>
          <w:szCs w:val="32"/>
          <w:shd w:val="clear" w:color="auto" w:fill="FFFFFF"/>
          <w:lang w:eastAsia="zh-CN"/>
        </w:rPr>
        <w:t>“三公”经费</w:t>
      </w:r>
      <w:r>
        <w:rPr>
          <w:rFonts w:hint="eastAsia" w:ascii="仿宋" w:hAnsi="仿宋" w:eastAsia="仿宋" w:cs="仿宋_GB2312"/>
          <w:color w:val="333333"/>
          <w:sz w:val="32"/>
          <w:szCs w:val="32"/>
          <w:shd w:val="clear" w:color="auto" w:fill="FFFFFF"/>
        </w:rPr>
        <w:t>支出均很好的控制在了预算范围之内，确保资金使用的合规合理。</w:t>
      </w:r>
    </w:p>
    <w:p w14:paraId="4BC6E3F2">
      <w:pPr>
        <w:keepNext w:val="0"/>
        <w:keepLines w:val="0"/>
        <w:pageBreakBefore w:val="0"/>
        <w:kinsoku/>
        <w:wordWrap/>
        <w:overflowPunct/>
        <w:topLinePunct w:val="0"/>
        <w:autoSpaceDE/>
        <w:autoSpaceDN/>
        <w:bidi w:val="0"/>
        <w:spacing w:line="480" w:lineRule="exact"/>
        <w:ind w:firstLine="640" w:firstLineChars="200"/>
        <w:textAlignment w:val="auto"/>
        <w:rPr>
          <w:rFonts w:ascii="仿宋_GB2312" w:hAnsi="仿宋_GB2312" w:eastAsia="仿宋_GB2312" w:cs="仿宋"/>
          <w:color w:val="000000"/>
          <w:sz w:val="32"/>
          <w:szCs w:val="32"/>
        </w:rPr>
      </w:pPr>
      <w:r>
        <w:rPr>
          <w:rFonts w:ascii="黑体" w:hAnsi="黑体" w:eastAsia="黑体" w:cs="仿宋"/>
          <w:color w:val="000000"/>
          <w:sz w:val="32"/>
          <w:szCs w:val="32"/>
        </w:rPr>
        <w:t>三、部门整体支出绩效情况</w:t>
      </w:r>
    </w:p>
    <w:p w14:paraId="08DCA9E8">
      <w:pPr>
        <w:pStyle w:val="6"/>
        <w:widowControl/>
        <w:spacing w:beforeAutospacing="0" w:afterAutospacing="0" w:line="520" w:lineRule="exact"/>
        <w:ind w:firstLine="643" w:firstLineChars="200"/>
        <w:contextualSpacing/>
        <w:rPr>
          <w:rFonts w:hint="eastAsia" w:ascii="仿宋_GB2312" w:hAnsi="仿宋_GB2312" w:eastAsia="仿宋_GB2312" w:cs="仿宋"/>
          <w:color w:val="000000"/>
          <w:sz w:val="32"/>
          <w:szCs w:val="32"/>
          <w:lang w:eastAsia="zh-CN"/>
        </w:rPr>
      </w:pPr>
      <w:r>
        <w:rPr>
          <w:rFonts w:hint="eastAsia" w:ascii="仿宋" w:hAnsi="仿宋" w:eastAsia="仿宋" w:cs="仿宋_GB2312"/>
          <w:b/>
          <w:bCs/>
          <w:color w:val="000000"/>
          <w:sz w:val="32"/>
          <w:szCs w:val="32"/>
        </w:rPr>
        <w:t>一是</w:t>
      </w:r>
      <w:r>
        <w:rPr>
          <w:rFonts w:hint="eastAsia" w:ascii="仿宋" w:hAnsi="仿宋" w:eastAsia="仿宋" w:cs="仿宋_GB2312"/>
          <w:color w:val="000000"/>
          <w:sz w:val="32"/>
          <w:szCs w:val="32"/>
        </w:rPr>
        <w:t>编制了《中方县2018年国民经济和社会发展计划执行情况与2019年国民经济和社会发展计划》，</w:t>
      </w:r>
      <w:r>
        <w:rPr>
          <w:rFonts w:hint="eastAsia" w:ascii="仿宋" w:hAnsi="仿宋" w:eastAsia="仿宋" w:cs="仿宋_GB2312"/>
          <w:sz w:val="32"/>
          <w:szCs w:val="32"/>
        </w:rPr>
        <w:t>全年固定资产投资完成45.1亿元，同比增长11%。其中，产业投资完成 27亿元，同比增长27.7%；</w:t>
      </w:r>
      <w:r>
        <w:rPr>
          <w:rFonts w:ascii="仿宋" w:hAnsi="仿宋" w:eastAsia="仿宋"/>
          <w:sz w:val="32"/>
          <w:szCs w:val="32"/>
          <w:shd w:val="clear" w:color="auto" w:fill="FFFFFF"/>
        </w:rPr>
        <w:t>其中工</w:t>
      </w:r>
      <w:r>
        <w:rPr>
          <w:rFonts w:hint="eastAsia" w:ascii="仿宋" w:hAnsi="仿宋" w:eastAsia="仿宋" w:cs="仿宋_GB2312"/>
          <w:sz w:val="32"/>
          <w:szCs w:val="32"/>
          <w:shd w:val="clear" w:color="auto" w:fill="FFFFFF"/>
        </w:rPr>
        <w:t>业投资完成15.2亿元，</w:t>
      </w:r>
      <w:r>
        <w:rPr>
          <w:rFonts w:hint="eastAsia" w:ascii="仿宋" w:hAnsi="仿宋" w:eastAsia="仿宋" w:cs="仿宋_GB2312"/>
          <w:sz w:val="32"/>
          <w:szCs w:val="32"/>
        </w:rPr>
        <w:t>同比增长1.5%。基础设施投资完成</w:t>
      </w:r>
      <w:r>
        <w:rPr>
          <w:rFonts w:hint="eastAsia" w:ascii="仿宋" w:hAnsi="仿宋" w:eastAsia="仿宋" w:cs="仿宋_GB2312"/>
          <w:sz w:val="32"/>
          <w:szCs w:val="32"/>
          <w:shd w:val="clear" w:color="auto" w:fill="FFFFFF"/>
        </w:rPr>
        <w:t>11</w:t>
      </w:r>
      <w:r>
        <w:rPr>
          <w:rFonts w:hint="eastAsia" w:ascii="仿宋" w:hAnsi="仿宋" w:eastAsia="仿宋" w:cs="仿宋_GB2312"/>
          <w:sz w:val="32"/>
          <w:szCs w:val="32"/>
        </w:rPr>
        <w:t>亿元，同比增长-37%。房地产投资完成7.1亿元，同比增长250.2%。</w:t>
      </w:r>
      <w:r>
        <w:rPr>
          <w:rFonts w:hint="eastAsia" w:ascii="仿宋" w:hAnsi="仿宋" w:eastAsia="仿宋" w:cs="仿宋_GB2312"/>
          <w:color w:val="000000"/>
          <w:sz w:val="32"/>
          <w:szCs w:val="32"/>
        </w:rPr>
        <w:t>编制了《中方县2019年固定资产投资项目工作手册》。2019年，我县实施重点项目71个，年度计划投资45.3亿元。</w:t>
      </w:r>
      <w:r>
        <w:rPr>
          <w:rFonts w:hint="eastAsia" w:ascii="仿宋" w:hAnsi="仿宋" w:eastAsia="仿宋"/>
          <w:color w:val="000000"/>
          <w:sz w:val="32"/>
          <w:szCs w:val="32"/>
        </w:rPr>
        <w:t>全年</w:t>
      </w:r>
      <w:r>
        <w:rPr>
          <w:rFonts w:hint="eastAsia" w:ascii="仿宋" w:hAnsi="仿宋" w:eastAsia="仿宋" w:cs="仿宋_GB2312"/>
          <w:sz w:val="32"/>
          <w:szCs w:val="32"/>
        </w:rPr>
        <w:t>县级重点项目</w:t>
      </w:r>
      <w:r>
        <w:rPr>
          <w:rFonts w:hint="eastAsia" w:ascii="仿宋" w:hAnsi="仿宋" w:eastAsia="仿宋" w:cs="仿宋_GB2312"/>
          <w:sz w:val="32"/>
          <w:szCs w:val="32"/>
          <w:shd w:val="clear" w:color="auto" w:fill="FFFFFF"/>
        </w:rPr>
        <w:t>累计完成投资44亿元。</w:t>
      </w:r>
      <w:r>
        <w:rPr>
          <w:rFonts w:hint="eastAsia" w:ascii="仿宋" w:hAnsi="仿宋" w:eastAsia="仿宋" w:cs="仿宋_GB2312"/>
          <w:color w:val="000000"/>
          <w:sz w:val="32"/>
          <w:szCs w:val="32"/>
        </w:rPr>
        <w:t>根据市委办、市政府办通知，我县调整后的市级重点项目共20个，年度计划投资18.8亿元，其中产业项目11个，年度计划投资11.3亿元。</w:t>
      </w:r>
      <w:r>
        <w:rPr>
          <w:rFonts w:hint="eastAsia" w:ascii="仿宋" w:hAnsi="仿宋" w:eastAsia="仿宋" w:cs="仿宋_GB2312"/>
          <w:sz w:val="32"/>
          <w:szCs w:val="32"/>
        </w:rPr>
        <w:t>截至年底，</w:t>
      </w:r>
      <w:r>
        <w:rPr>
          <w:rFonts w:hint="eastAsia" w:ascii="仿宋" w:hAnsi="仿宋" w:eastAsia="仿宋" w:cs="仿宋_GB2312"/>
          <w:sz w:val="32"/>
          <w:szCs w:val="32"/>
          <w:shd w:val="clear" w:color="auto" w:fill="FFFFFF"/>
        </w:rPr>
        <w:t>市级重点项目20个，开工率100%，累计完成投资20.9亿元。</w:t>
      </w:r>
      <w:r>
        <w:rPr>
          <w:rFonts w:hint="eastAsia" w:ascii="仿宋" w:hAnsi="仿宋" w:eastAsia="仿宋" w:cs="仿宋_GB2312"/>
          <w:b/>
          <w:bCs/>
          <w:color w:val="000000"/>
          <w:sz w:val="32"/>
          <w:szCs w:val="32"/>
        </w:rPr>
        <w:t>二是打好“四保一防”攻坚战，</w:t>
      </w:r>
      <w:r>
        <w:rPr>
          <w:rFonts w:hint="eastAsia" w:ascii="仿宋" w:hAnsi="仿宋" w:eastAsia="仿宋" w:cs="楷体_GB2312"/>
          <w:b/>
          <w:bCs/>
          <w:color w:val="000000"/>
          <w:sz w:val="32"/>
          <w:szCs w:val="32"/>
          <w:shd w:val="clear" w:color="auto" w:fill="FFFFFF"/>
        </w:rPr>
        <w:t>“三争”工作卓有成效。</w:t>
      </w:r>
      <w:r>
        <w:rPr>
          <w:rFonts w:hint="eastAsia" w:ascii="仿宋" w:hAnsi="仿宋" w:eastAsia="仿宋" w:cs="仿宋_GB2312"/>
          <w:color w:val="000000"/>
          <w:sz w:val="32"/>
          <w:szCs w:val="32"/>
          <w:shd w:val="clear" w:color="auto" w:fill="FFFFFF"/>
        </w:rPr>
        <w:t>今年争取国家和省级预算内投资项目18个，争取上级无偿资金9194万元。</w:t>
      </w:r>
      <w:r>
        <w:rPr>
          <w:rFonts w:hint="eastAsia" w:ascii="仿宋" w:hAnsi="仿宋" w:eastAsia="仿宋" w:cs="仿宋_GB2312"/>
          <w:color w:val="000000"/>
          <w:sz w:val="32"/>
          <w:szCs w:val="32"/>
        </w:rPr>
        <w:t>新增入库固定资产投资项目73个，市级重点项目开工率达到100%。</w:t>
      </w:r>
      <w:r>
        <w:rPr>
          <w:rFonts w:hint="eastAsia" w:ascii="仿宋" w:hAnsi="仿宋" w:eastAsia="仿宋" w:cs="仿宋_GB2312"/>
          <w:b/>
          <w:bCs/>
          <w:color w:val="000000"/>
          <w:sz w:val="32"/>
          <w:szCs w:val="32"/>
        </w:rPr>
        <w:t>三是</w:t>
      </w:r>
      <w:r>
        <w:rPr>
          <w:rFonts w:hint="eastAsia" w:ascii="仿宋" w:hAnsi="仿宋" w:eastAsia="仿宋" w:cs="方正仿宋_GBK"/>
          <w:b/>
          <w:bCs/>
          <w:color w:val="000000"/>
          <w:sz w:val="32"/>
          <w:szCs w:val="32"/>
        </w:rPr>
        <w:t>提升项目审批服务，优化发展环境。</w:t>
      </w:r>
      <w:r>
        <w:rPr>
          <w:rFonts w:hint="eastAsia" w:ascii="仿宋" w:hAnsi="仿宋" w:eastAsia="仿宋" w:cs="仿宋_GB2312"/>
          <w:color w:val="000000"/>
          <w:sz w:val="32"/>
          <w:szCs w:val="32"/>
        </w:rPr>
        <w:t>今年通过网上在线审批平台共受理项目142个，办结142个，按期办结率达100%，其中政府审批项目35个、企业核准项目1个、企业备案项目106个。今年共核准招投标项目10个。</w:t>
      </w:r>
      <w:r>
        <w:rPr>
          <w:rFonts w:hint="eastAsia" w:ascii="仿宋" w:hAnsi="仿宋" w:eastAsia="仿宋" w:cs="仿宋_GB2312"/>
          <w:b/>
          <w:color w:val="000000"/>
          <w:sz w:val="32"/>
          <w:szCs w:val="32"/>
        </w:rPr>
        <w:t>四</w:t>
      </w:r>
      <w:r>
        <w:rPr>
          <w:rFonts w:hint="eastAsia" w:ascii="仿宋" w:hAnsi="仿宋" w:eastAsia="仿宋" w:cs="楷体_GB2312"/>
          <w:b/>
          <w:bCs/>
          <w:color w:val="000000"/>
          <w:sz w:val="32"/>
          <w:szCs w:val="32"/>
          <w:shd w:val="clear" w:color="auto" w:fill="FFFFFF"/>
        </w:rPr>
        <w:t>是价格管理成效明显。</w:t>
      </w:r>
      <w:r>
        <w:rPr>
          <w:rFonts w:hint="eastAsia" w:ascii="仿宋" w:hAnsi="仿宋" w:eastAsia="仿宋" w:cs="仿宋_GB2312"/>
          <w:b/>
          <w:bCs/>
          <w:color w:val="000000"/>
          <w:sz w:val="32"/>
          <w:szCs w:val="32"/>
        </w:rPr>
        <w:t>积极推进农业水价综合改革，加强市场价格监测分析预警，保持市场物价基本稳定，降低实体经济物流成本，优化营商环境，扎实开展价格认证工作。</w:t>
      </w:r>
      <w:r>
        <w:rPr>
          <w:rFonts w:hint="eastAsia" w:ascii="仿宋" w:hAnsi="仿宋" w:eastAsia="仿宋" w:cs="仿宋_GB2312"/>
          <w:color w:val="000000"/>
          <w:sz w:val="32"/>
          <w:szCs w:val="32"/>
        </w:rPr>
        <w:t>推进供电、供水、供气价格改革；加强一般工商业用电收费管理，全县一般工商业用电在去年基础上再下降10%；放开机动车检测收费等价格，实行市场调节管理。截至目前共完成价格认证案件80余起，价格认证金额106.53万元。在全县范围内启动社会救助和保障标准与物价上涨挂钩联动机制;制定了全县城镇生活垃圾处理收费标准、县体育馆低收费时段标准、全县公办义务教育学校就餐最高限价标准等价格。</w:t>
      </w:r>
      <w:r>
        <w:rPr>
          <w:rFonts w:hint="eastAsia" w:ascii="仿宋" w:hAnsi="仿宋" w:eastAsia="仿宋" w:cs="楷体_GB2312"/>
          <w:b/>
          <w:bCs/>
          <w:sz w:val="32"/>
          <w:szCs w:val="32"/>
          <w:shd w:val="clear" w:color="auto" w:fill="FFFFFF"/>
        </w:rPr>
        <w:t>五</w:t>
      </w:r>
      <w:r>
        <w:rPr>
          <w:rFonts w:hint="eastAsia" w:ascii="仿宋" w:hAnsi="仿宋" w:eastAsia="仿宋" w:cs="仿宋_GB2312"/>
          <w:b/>
          <w:bCs/>
          <w:color w:val="000000"/>
          <w:sz w:val="32"/>
          <w:szCs w:val="32"/>
        </w:rPr>
        <w:t>是切实抓好粮食储备及管理工作，加快品牌建设，促进粮油产业发展，严格落实粮食安全省长责任制，强化行政执法监督，确保粮食安全。</w:t>
      </w:r>
      <w:r>
        <w:rPr>
          <w:rFonts w:hint="eastAsia" w:ascii="仿宋" w:hAnsi="仿宋" w:eastAsia="仿宋" w:cs="仿宋_GB2312"/>
          <w:color w:val="000000"/>
          <w:sz w:val="32"/>
          <w:szCs w:val="32"/>
        </w:rPr>
        <w:t>按照《中方县县级储备粮管理办法》，顺利完成985吨县级储备粮轮换补库任务。全面开展全国政策性粮食库存数量和质量大清查工作，严格粮食收购资格准入。大力推进粮油企业品牌建设，创建粮油品牌6个，其中驰名商标1个，著名品牌2个，普通品牌3个。大力开展粮油企业纳规工作，发展粮油上规模企业13家。三季度，全县粮油上规模企业完成产值10亿元，全面落实粮食安全省长责任制。共对粮食企业开展执法行动14次，出动执法101人次，累计检查生产、经营企业31家。</w:t>
      </w:r>
      <w:r>
        <w:rPr>
          <w:rFonts w:hint="eastAsia" w:ascii="仿宋" w:hAnsi="仿宋" w:eastAsia="仿宋" w:cs="楷体_GB2312"/>
          <w:b/>
          <w:bCs/>
          <w:color w:val="000000"/>
          <w:sz w:val="32"/>
          <w:szCs w:val="32"/>
          <w:shd w:val="clear" w:color="auto" w:fill="FFFFFF"/>
        </w:rPr>
        <w:t>六是</w:t>
      </w:r>
      <w:r>
        <w:rPr>
          <w:rFonts w:hint="eastAsia" w:ascii="仿宋" w:hAnsi="仿宋" w:eastAsia="仿宋" w:cs="仿宋_GB2312"/>
          <w:b/>
          <w:bCs/>
          <w:color w:val="000000"/>
          <w:sz w:val="32"/>
          <w:szCs w:val="32"/>
          <w:shd w:val="clear" w:color="auto" w:fill="FFFFFF"/>
        </w:rPr>
        <w:t>抓好易地扶贫搬迁后续帮扶工作</w:t>
      </w:r>
      <w:r>
        <w:rPr>
          <w:rFonts w:hint="eastAsia" w:ascii="仿宋" w:hAnsi="仿宋" w:eastAsia="仿宋" w:cs="仿宋_GB2312"/>
          <w:color w:val="000000"/>
          <w:sz w:val="32"/>
          <w:szCs w:val="32"/>
        </w:rPr>
        <w:t>，</w:t>
      </w:r>
      <w:r>
        <w:rPr>
          <w:rFonts w:hint="eastAsia" w:ascii="仿宋" w:hAnsi="仿宋" w:eastAsia="仿宋" w:cs="仿宋_GB2312"/>
          <w:b/>
          <w:bCs/>
          <w:color w:val="000000"/>
          <w:sz w:val="32"/>
          <w:szCs w:val="32"/>
          <w:shd w:val="clear" w:color="auto" w:fill="FFFFFF"/>
        </w:rPr>
        <w:t>抓好扶贫联系点的巩固脱贫工作。</w:t>
      </w:r>
      <w:r>
        <w:rPr>
          <w:rFonts w:hint="eastAsia" w:ascii="仿宋" w:hAnsi="仿宋" w:eastAsia="仿宋" w:cs="仿宋_GB2312"/>
          <w:color w:val="000000"/>
          <w:sz w:val="32"/>
          <w:szCs w:val="32"/>
        </w:rPr>
        <w:t>投资1200万元用于扶贫车间建设和门面置换，覆盖824户3150人；积极争取省湘西地区开发资金140万元支持易地扶贫搬迁后续产业及就业项目，</w:t>
      </w:r>
      <w:r>
        <w:rPr>
          <w:rFonts w:hint="eastAsia" w:ascii="仿宋" w:hAnsi="仿宋" w:eastAsia="仿宋"/>
          <w:color w:val="000000"/>
          <w:sz w:val="32"/>
          <w:szCs w:val="32"/>
        </w:rPr>
        <w:t>利益联接易地扶贫搬迁人</w:t>
      </w:r>
      <w:r>
        <w:rPr>
          <w:rFonts w:hint="eastAsia" w:ascii="仿宋" w:hAnsi="仿宋" w:eastAsia="仿宋" w:cs="仿宋_GB2312"/>
          <w:color w:val="000000"/>
          <w:sz w:val="32"/>
          <w:szCs w:val="32"/>
        </w:rPr>
        <w:t>数424人</w:t>
      </w:r>
      <w:r>
        <w:rPr>
          <w:rFonts w:hint="eastAsia" w:ascii="仿宋" w:hAnsi="仿宋" w:eastAsia="仿宋"/>
          <w:color w:val="000000"/>
          <w:sz w:val="32"/>
          <w:szCs w:val="32"/>
        </w:rPr>
        <w:t>。</w:t>
      </w:r>
      <w:r>
        <w:rPr>
          <w:rFonts w:hint="eastAsia" w:ascii="仿宋" w:hAnsi="仿宋" w:eastAsia="仿宋" w:cs="仿宋_GB2312"/>
          <w:color w:val="000000"/>
          <w:sz w:val="32"/>
          <w:szCs w:val="32"/>
        </w:rPr>
        <w:t>对集中安置区实行社区化管理，做好拆旧复垦工作，截至目前，我县共拆除旧宅885栋（间），旧房拆除率100%。复垦验收183户，面积15391.3平方米，剩余的702户，经国土部门认定后不予复垦，予以复绿。</w:t>
      </w:r>
      <w:r>
        <w:rPr>
          <w:rFonts w:hint="eastAsia" w:ascii="仿宋" w:hAnsi="仿宋" w:eastAsia="仿宋" w:cs="楷体_GB2312"/>
          <w:b/>
          <w:bCs/>
          <w:color w:val="000000"/>
          <w:sz w:val="32"/>
          <w:szCs w:val="32"/>
          <w:shd w:val="clear" w:color="auto" w:fill="FFFFFF"/>
        </w:rPr>
        <w:t>七</w:t>
      </w:r>
      <w:r>
        <w:rPr>
          <w:rFonts w:hint="eastAsia" w:ascii="仿宋" w:hAnsi="仿宋" w:eastAsia="仿宋" w:cs="仿宋_GB2312"/>
          <w:b/>
          <w:bCs/>
          <w:color w:val="000000"/>
          <w:sz w:val="32"/>
          <w:szCs w:val="32"/>
        </w:rPr>
        <w:t>是大力推广清洁能源。</w:t>
      </w:r>
      <w:r>
        <w:rPr>
          <w:rFonts w:hint="eastAsia" w:ascii="仿宋" w:hAnsi="仿宋" w:eastAsia="仿宋" w:cs="仿宋_GB2312"/>
          <w:color w:val="000000"/>
          <w:sz w:val="32"/>
          <w:szCs w:val="32"/>
        </w:rPr>
        <w:t>完成了光伏发电站建设项目并顺利通过省、市发改委检查验收。通过公开招投标确定了光伏发电站项目运维管理公司，实现光伏电站专业化管理。向省发改委申报了怀化中方宝山、吉都、新庄3个风电场项目，项目规划装机总容量60MW，估算总投资5.4亿元。完成了中方县大山农业开发有限公司大型沼气工程项目，建成贮气容量800立方米的大型沼气池。</w:t>
      </w:r>
      <w:r>
        <w:rPr>
          <w:rFonts w:hint="eastAsia" w:ascii="仿宋" w:hAnsi="仿宋" w:eastAsia="仿宋" w:cs="楷体_GB2312"/>
          <w:b/>
          <w:bCs/>
          <w:color w:val="000000"/>
          <w:sz w:val="32"/>
          <w:szCs w:val="32"/>
          <w:shd w:val="clear" w:color="auto" w:fill="FFFFFF"/>
        </w:rPr>
        <w:t>八是乡村振兴战略有序推进。</w:t>
      </w:r>
      <w:r>
        <w:rPr>
          <w:rFonts w:hint="eastAsia" w:ascii="仿宋" w:hAnsi="仿宋" w:eastAsia="仿宋" w:cs="仿宋_GB2312"/>
          <w:color w:val="000000"/>
          <w:sz w:val="32"/>
          <w:szCs w:val="32"/>
          <w:shd w:val="clear" w:color="auto" w:fill="FFFFFF"/>
        </w:rPr>
        <w:t>编制出台《中方县乡村振兴战略规划（2018-2022年）》，乡村振兴战略稳步实施。重点推进农村人居环境整治工程，完成改厕</w:t>
      </w:r>
      <w:r>
        <w:rPr>
          <w:rFonts w:ascii="仿宋" w:hAnsi="仿宋" w:eastAsia="仿宋"/>
          <w:color w:val="000000"/>
          <w:sz w:val="32"/>
          <w:szCs w:val="32"/>
        </w:rPr>
        <w:t>338</w:t>
      </w:r>
      <w:r>
        <w:rPr>
          <w:rFonts w:hint="eastAsia" w:ascii="仿宋" w:hAnsi="仿宋" w:eastAsia="仿宋"/>
          <w:color w:val="000000"/>
          <w:sz w:val="32"/>
          <w:szCs w:val="32"/>
        </w:rPr>
        <w:t>5</w:t>
      </w:r>
      <w:r>
        <w:rPr>
          <w:rFonts w:hint="eastAsia" w:ascii="仿宋" w:hAnsi="仿宋" w:eastAsia="仿宋" w:cs="仿宋_GB2312"/>
          <w:color w:val="000000"/>
          <w:sz w:val="32"/>
          <w:szCs w:val="32"/>
          <w:shd w:val="clear" w:color="auto" w:fill="FFFFFF"/>
        </w:rPr>
        <w:t>座，</w:t>
      </w:r>
      <w:r>
        <w:rPr>
          <w:rFonts w:ascii="仿宋" w:hAnsi="仿宋" w:eastAsia="仿宋"/>
          <w:color w:val="000000"/>
          <w:sz w:val="32"/>
          <w:szCs w:val="32"/>
        </w:rPr>
        <w:t>卫生厕所普及率提</w:t>
      </w:r>
      <w:r>
        <w:rPr>
          <w:rFonts w:hint="eastAsia" w:ascii="仿宋" w:hAnsi="仿宋" w:eastAsia="仿宋"/>
          <w:color w:val="000000"/>
          <w:sz w:val="32"/>
          <w:szCs w:val="32"/>
        </w:rPr>
        <w:t>高</w:t>
      </w:r>
      <w:r>
        <w:rPr>
          <w:rFonts w:ascii="仿宋" w:hAnsi="仿宋" w:eastAsia="仿宋"/>
          <w:color w:val="000000"/>
          <w:sz w:val="32"/>
          <w:szCs w:val="32"/>
        </w:rPr>
        <w:t>到76.9%</w:t>
      </w:r>
      <w:r>
        <w:rPr>
          <w:rFonts w:hint="eastAsia" w:ascii="仿宋" w:hAnsi="仿宋" w:eastAsia="仿宋"/>
          <w:color w:val="000000"/>
          <w:sz w:val="32"/>
          <w:szCs w:val="32"/>
        </w:rPr>
        <w:t>。</w:t>
      </w:r>
      <w:r>
        <w:rPr>
          <w:rFonts w:hint="eastAsia" w:ascii="仿宋" w:hAnsi="仿宋" w:eastAsia="仿宋" w:cs="楷体_GB2312"/>
          <w:b/>
          <w:bCs/>
          <w:sz w:val="32"/>
          <w:szCs w:val="32"/>
          <w:shd w:val="clear" w:color="auto" w:fill="FFFFFF"/>
        </w:rPr>
        <w:t>九是队伍建设常抓不懈，</w:t>
      </w:r>
      <w:r>
        <w:rPr>
          <w:rFonts w:hint="eastAsia" w:ascii="仿宋" w:hAnsi="仿宋" w:eastAsia="仿宋" w:cs="仿宋_GB2312"/>
          <w:b/>
          <w:bCs/>
          <w:color w:val="000000"/>
          <w:sz w:val="32"/>
          <w:szCs w:val="32"/>
          <w:shd w:val="clear" w:color="auto" w:fill="FFFFFF"/>
        </w:rPr>
        <w:t>加强政治理论及业务学习，加强机关内部管理，加强党风廉政建设。</w:t>
      </w:r>
      <w:r>
        <w:rPr>
          <w:rFonts w:hint="eastAsia" w:ascii="仿宋" w:hAnsi="仿宋" w:eastAsia="仿宋" w:cs="仿宋_GB2312"/>
          <w:color w:val="000000"/>
          <w:sz w:val="32"/>
          <w:szCs w:val="32"/>
          <w:shd w:val="clear" w:color="auto" w:fill="FFFFFF"/>
        </w:rPr>
        <w:t>全年开展党组理论中心组学习12次，读书班3次，党课9次，知识竞赛2次。不断完善人事、财务管理、公务接待、公车管理等各项内部管理制度，严控 “三公”经费开支。认真开展扶贫领域腐败和作风问题、中央八项规定、纠“四风”、“8+1”等专项整治活动，加强肃风正纪。</w:t>
      </w:r>
    </w:p>
    <w:p w14:paraId="3AEF8422">
      <w:pPr>
        <w:keepNext w:val="0"/>
        <w:keepLines w:val="0"/>
        <w:pageBreakBefore w:val="0"/>
        <w:widowControl/>
        <w:kinsoku/>
        <w:wordWrap/>
        <w:overflowPunct/>
        <w:topLinePunct w:val="0"/>
        <w:autoSpaceDE/>
        <w:autoSpaceDN/>
        <w:bidi w:val="0"/>
        <w:adjustRightInd/>
        <w:snapToGrid/>
        <w:spacing w:line="480" w:lineRule="exact"/>
        <w:ind w:firstLine="640" w:firstLineChars="200"/>
        <w:jc w:val="left"/>
        <w:textAlignment w:val="auto"/>
        <w:rPr>
          <w:rFonts w:ascii="仿宋_GB2312" w:hAnsi="仿宋_GB2312" w:eastAsia="仿宋_GB2312" w:cs="仿宋"/>
          <w:color w:val="000000"/>
          <w:sz w:val="32"/>
          <w:szCs w:val="32"/>
        </w:rPr>
      </w:pPr>
      <w:r>
        <w:rPr>
          <w:rFonts w:ascii="黑体" w:hAnsi="黑体" w:eastAsia="黑体" w:cs="仿宋"/>
          <w:color w:val="000000"/>
          <w:sz w:val="32"/>
          <w:szCs w:val="32"/>
        </w:rPr>
        <w:t>四、</w:t>
      </w:r>
      <w:r>
        <w:rPr>
          <w:rFonts w:ascii="黑体" w:hAnsi="黑体" w:eastAsia="黑体" w:cs="仿宋"/>
          <w:sz w:val="32"/>
          <w:szCs w:val="32"/>
        </w:rPr>
        <w:t>存在的主要问题及下一步改进措施</w:t>
      </w:r>
    </w:p>
    <w:p w14:paraId="53BB0FC3">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shd w:val="clear" w:color="auto" w:fill="FFFFFF"/>
        </w:rPr>
      </w:pPr>
      <w:r>
        <w:rPr>
          <w:rFonts w:hint="eastAsia" w:ascii="仿宋" w:hAnsi="仿宋" w:eastAsia="仿宋" w:cs="仿宋_GB2312"/>
          <w:color w:val="333333"/>
          <w:sz w:val="32"/>
          <w:szCs w:val="32"/>
          <w:shd w:val="clear" w:color="auto" w:fill="FFFFFF"/>
        </w:rPr>
        <w:t>通过本次绩效自评，发现还存在以下方面问题：</w:t>
      </w:r>
    </w:p>
    <w:p w14:paraId="14DD675D">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1、在职人员控制率有待降低</w:t>
      </w:r>
    </w:p>
    <w:p w14:paraId="53AAB341">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640" w:firstLineChars="200"/>
        <w:jc w:val="both"/>
        <w:textAlignment w:val="auto"/>
        <w:rPr>
          <w:rFonts w:ascii="仿宋" w:hAnsi="仿宋" w:eastAsia="仿宋" w:cs="仿宋_GB2312"/>
          <w:sz w:val="32"/>
          <w:szCs w:val="32"/>
        </w:rPr>
      </w:pPr>
      <w:r>
        <w:rPr>
          <w:rFonts w:hint="eastAsia" w:ascii="仿宋" w:hAnsi="仿宋" w:eastAsia="仿宋" w:cs="仿宋_GB2312"/>
          <w:sz w:val="32"/>
          <w:szCs w:val="32"/>
        </w:rPr>
        <w:t>由于历史遗留问题造成超编，实际在职人员数大于编制数，201</w:t>
      </w:r>
      <w:r>
        <w:rPr>
          <w:rFonts w:hint="eastAsia" w:ascii="仿宋" w:hAnsi="仿宋" w:eastAsia="仿宋" w:cs="仿宋_GB2312"/>
          <w:sz w:val="32"/>
          <w:szCs w:val="32"/>
          <w:lang w:val="en-US" w:eastAsia="zh-CN"/>
        </w:rPr>
        <w:t>9</w:t>
      </w:r>
      <w:r>
        <w:rPr>
          <w:rFonts w:hint="eastAsia" w:ascii="仿宋" w:hAnsi="仿宋" w:eastAsia="仿宋" w:cs="仿宋_GB2312"/>
          <w:sz w:val="32"/>
          <w:szCs w:val="32"/>
        </w:rPr>
        <w:t>年在职人员控制率1</w:t>
      </w:r>
      <w:r>
        <w:rPr>
          <w:rFonts w:hint="eastAsia" w:ascii="仿宋" w:hAnsi="仿宋" w:eastAsia="仿宋" w:cs="仿宋_GB2312"/>
          <w:sz w:val="32"/>
          <w:szCs w:val="32"/>
          <w:lang w:val="en-US" w:eastAsia="zh-CN"/>
        </w:rPr>
        <w:t>04.88</w:t>
      </w:r>
      <w:r>
        <w:rPr>
          <w:rFonts w:hint="eastAsia" w:ascii="仿宋" w:hAnsi="仿宋" w:eastAsia="仿宋" w:cs="仿宋_GB2312"/>
          <w:sz w:val="32"/>
          <w:szCs w:val="32"/>
        </w:rPr>
        <w:t>%，预算控制率有待进一步降低。 </w:t>
      </w:r>
    </w:p>
    <w:p w14:paraId="5BF4C9B9">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640" w:firstLineChars="200"/>
        <w:jc w:val="both"/>
        <w:textAlignment w:val="auto"/>
        <w:rPr>
          <w:rFonts w:ascii="仿宋" w:hAnsi="仿宋" w:eastAsia="仿宋" w:cs="仿宋_GB2312"/>
          <w:sz w:val="32"/>
          <w:szCs w:val="32"/>
        </w:rPr>
      </w:pPr>
      <w:r>
        <w:rPr>
          <w:rFonts w:hint="eastAsia" w:ascii="仿宋" w:hAnsi="仿宋" w:eastAsia="仿宋" w:cs="仿宋_GB2312"/>
          <w:sz w:val="32"/>
          <w:szCs w:val="32"/>
        </w:rPr>
        <w:t>2、预算控制率有待降低 </w:t>
      </w:r>
    </w:p>
    <w:p w14:paraId="168F1726">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640" w:firstLineChars="200"/>
        <w:jc w:val="both"/>
        <w:textAlignment w:val="auto"/>
        <w:rPr>
          <w:rFonts w:hint="eastAsia" w:ascii="仿宋" w:hAnsi="仿宋" w:eastAsia="仿宋" w:cs="仿宋_GB2312"/>
          <w:sz w:val="32"/>
          <w:szCs w:val="32"/>
        </w:rPr>
      </w:pPr>
      <w:r>
        <w:rPr>
          <w:rFonts w:hint="eastAsia" w:ascii="仿宋" w:hAnsi="仿宋" w:eastAsia="仿宋" w:cs="仿宋_GB2312"/>
          <w:sz w:val="32"/>
          <w:szCs w:val="32"/>
        </w:rPr>
        <w:t>由于201</w:t>
      </w:r>
      <w:r>
        <w:rPr>
          <w:rFonts w:hint="eastAsia" w:ascii="仿宋" w:hAnsi="仿宋" w:eastAsia="仿宋" w:cs="仿宋_GB2312"/>
          <w:sz w:val="32"/>
          <w:szCs w:val="32"/>
          <w:lang w:val="en-US" w:eastAsia="zh-CN"/>
        </w:rPr>
        <w:t>9</w:t>
      </w:r>
      <w:r>
        <w:rPr>
          <w:rFonts w:hint="eastAsia" w:ascii="仿宋" w:hAnsi="仿宋" w:eastAsia="仿宋" w:cs="仿宋_GB2312"/>
          <w:sz w:val="32"/>
          <w:szCs w:val="32"/>
        </w:rPr>
        <w:t>年基本工资、津补贴、退休费提标、绩效奖及补发等政策性因素，导致年中追加人员经费较多；</w:t>
      </w:r>
      <w:r>
        <w:rPr>
          <w:rFonts w:hint="eastAsia" w:ascii="仿宋" w:hAnsi="仿宋" w:eastAsia="仿宋" w:cs="仿宋_GB2312"/>
          <w:color w:val="333333"/>
          <w:sz w:val="32"/>
          <w:szCs w:val="32"/>
          <w:shd w:val="clear" w:color="auto" w:fill="FFFFFF"/>
        </w:rPr>
        <w:t>项目支出中的年中新增加</w:t>
      </w:r>
      <w:r>
        <w:rPr>
          <w:rFonts w:hint="eastAsia" w:ascii="仿宋" w:hAnsi="仿宋" w:eastAsia="仿宋" w:cs="仿宋_GB2312"/>
          <w:color w:val="333333"/>
          <w:sz w:val="32"/>
          <w:szCs w:val="32"/>
          <w:shd w:val="clear" w:color="auto" w:fill="FFFFFF"/>
          <w:lang w:eastAsia="zh-CN"/>
        </w:rPr>
        <w:t>省级</w:t>
      </w:r>
      <w:r>
        <w:rPr>
          <w:rFonts w:hint="eastAsia" w:ascii="仿宋" w:hAnsi="仿宋" w:eastAsia="仿宋" w:cs="仿宋_GB2312"/>
          <w:color w:val="333333"/>
          <w:sz w:val="32"/>
          <w:szCs w:val="32"/>
          <w:shd w:val="clear" w:color="auto" w:fill="FFFFFF"/>
        </w:rPr>
        <w:t>项目较多，特别是</w:t>
      </w:r>
      <w:r>
        <w:rPr>
          <w:rFonts w:hint="eastAsia" w:ascii="仿宋" w:hAnsi="仿宋" w:eastAsia="仿宋" w:cs="仿宋_GB2312"/>
          <w:color w:val="333333"/>
          <w:sz w:val="32"/>
          <w:szCs w:val="32"/>
          <w:shd w:val="clear" w:color="auto" w:fill="FFFFFF"/>
          <w:lang w:eastAsia="zh-CN"/>
        </w:rPr>
        <w:t>湘西开发</w:t>
      </w:r>
      <w:r>
        <w:rPr>
          <w:rFonts w:hint="eastAsia" w:ascii="仿宋" w:hAnsi="仿宋" w:eastAsia="仿宋" w:cs="仿宋_GB2312"/>
          <w:color w:val="333333"/>
          <w:sz w:val="32"/>
          <w:szCs w:val="32"/>
          <w:shd w:val="clear" w:color="auto" w:fill="FFFFFF"/>
        </w:rPr>
        <w:t>类</w:t>
      </w:r>
      <w:r>
        <w:rPr>
          <w:rFonts w:hint="eastAsia" w:ascii="仿宋" w:hAnsi="仿宋" w:eastAsia="仿宋" w:cs="仿宋_GB2312"/>
          <w:color w:val="333333"/>
          <w:sz w:val="32"/>
          <w:szCs w:val="32"/>
          <w:shd w:val="clear" w:color="auto" w:fill="FFFFFF"/>
          <w:lang w:eastAsia="zh-CN"/>
        </w:rPr>
        <w:t>专项</w:t>
      </w:r>
      <w:r>
        <w:rPr>
          <w:rFonts w:hint="eastAsia" w:ascii="仿宋" w:hAnsi="仿宋" w:eastAsia="仿宋" w:cs="仿宋_GB2312"/>
          <w:color w:val="333333"/>
          <w:sz w:val="32"/>
          <w:szCs w:val="32"/>
          <w:shd w:val="clear" w:color="auto" w:fill="FFFFFF"/>
        </w:rPr>
        <w:t>项目；</w:t>
      </w:r>
      <w:r>
        <w:rPr>
          <w:rFonts w:hint="eastAsia" w:ascii="仿宋" w:hAnsi="仿宋" w:eastAsia="仿宋" w:cs="仿宋_GB2312"/>
          <w:sz w:val="32"/>
          <w:szCs w:val="32"/>
        </w:rPr>
        <w:t>201</w:t>
      </w:r>
      <w:r>
        <w:rPr>
          <w:rFonts w:hint="eastAsia" w:ascii="仿宋" w:hAnsi="仿宋" w:eastAsia="仿宋" w:cs="仿宋_GB2312"/>
          <w:sz w:val="32"/>
          <w:szCs w:val="32"/>
          <w:lang w:val="en-US" w:eastAsia="zh-CN"/>
        </w:rPr>
        <w:t>9</w:t>
      </w:r>
      <w:r>
        <w:rPr>
          <w:rFonts w:hint="eastAsia" w:ascii="仿宋" w:hAnsi="仿宋" w:eastAsia="仿宋" w:cs="仿宋_GB2312"/>
          <w:sz w:val="32"/>
          <w:szCs w:val="32"/>
        </w:rPr>
        <w:t>年预算控制率为</w:t>
      </w:r>
      <w:r>
        <w:rPr>
          <w:rFonts w:hint="eastAsia" w:ascii="仿宋" w:hAnsi="仿宋" w:eastAsia="仿宋" w:cs="仿宋_GB2312"/>
          <w:sz w:val="32"/>
          <w:szCs w:val="32"/>
          <w:lang w:val="en-US" w:eastAsia="zh-CN"/>
        </w:rPr>
        <w:t>130.25</w:t>
      </w:r>
      <w:r>
        <w:rPr>
          <w:rFonts w:hint="eastAsia" w:ascii="仿宋" w:hAnsi="仿宋" w:eastAsia="仿宋" w:cs="仿宋_GB2312"/>
          <w:sz w:val="32"/>
          <w:szCs w:val="32"/>
        </w:rPr>
        <w:t>%，亟待进一步降低。</w:t>
      </w:r>
    </w:p>
    <w:p w14:paraId="5918D8EB">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640" w:firstLineChars="200"/>
        <w:jc w:val="both"/>
        <w:textAlignment w:val="auto"/>
        <w:rPr>
          <w:rFonts w:hint="eastAsia" w:ascii="仿宋" w:hAnsi="仿宋" w:eastAsia="仿宋" w:cs="仿宋_GB2312"/>
          <w:sz w:val="32"/>
          <w:szCs w:val="32"/>
        </w:rPr>
      </w:pPr>
      <w:r>
        <w:rPr>
          <w:rFonts w:hint="eastAsia" w:ascii="仿宋" w:hAnsi="仿宋" w:eastAsia="仿宋" w:cs="仿宋_GB2312"/>
          <w:sz w:val="32"/>
          <w:szCs w:val="32"/>
        </w:rPr>
        <w:t>3、</w:t>
      </w:r>
      <w:r>
        <w:rPr>
          <w:rFonts w:hint="eastAsia" w:ascii="仿宋" w:hAnsi="仿宋" w:eastAsia="仿宋" w:cs="仿宋_GB2312"/>
          <w:sz w:val="32"/>
          <w:szCs w:val="32"/>
          <w:lang w:eastAsia="zh-CN"/>
        </w:rPr>
        <w:t>公用经费控制</w:t>
      </w:r>
      <w:r>
        <w:rPr>
          <w:rFonts w:hint="eastAsia" w:ascii="仿宋" w:hAnsi="仿宋" w:eastAsia="仿宋" w:cs="仿宋_GB2312"/>
          <w:sz w:val="32"/>
          <w:szCs w:val="32"/>
        </w:rPr>
        <w:t>率有待降低</w:t>
      </w:r>
    </w:p>
    <w:p w14:paraId="1C7D54CB">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hint="eastAsia" w:ascii="仿宋" w:hAnsi="仿宋" w:eastAsia="仿宋" w:cs="仿宋_GB2312"/>
          <w:sz w:val="32"/>
          <w:szCs w:val="32"/>
        </w:rPr>
      </w:pPr>
      <w:r>
        <w:rPr>
          <w:rFonts w:hint="eastAsia" w:ascii="仿宋" w:hAnsi="仿宋" w:eastAsia="仿宋" w:cs="仿宋_GB2312"/>
          <w:sz w:val="32"/>
          <w:szCs w:val="32"/>
        </w:rPr>
        <w:t>201</w:t>
      </w:r>
      <w:r>
        <w:rPr>
          <w:rFonts w:hint="eastAsia" w:ascii="仿宋" w:hAnsi="仿宋" w:eastAsia="仿宋" w:cs="仿宋_GB2312"/>
          <w:sz w:val="32"/>
          <w:szCs w:val="32"/>
          <w:lang w:val="en-US" w:eastAsia="zh-CN"/>
        </w:rPr>
        <w:t>9</w:t>
      </w:r>
      <w:r>
        <w:rPr>
          <w:rFonts w:hint="eastAsia" w:ascii="仿宋" w:hAnsi="仿宋" w:eastAsia="仿宋" w:cs="仿宋_GB2312"/>
          <w:sz w:val="32"/>
          <w:szCs w:val="32"/>
        </w:rPr>
        <w:t>年公用经费控制率1</w:t>
      </w:r>
      <w:r>
        <w:rPr>
          <w:rFonts w:hint="eastAsia" w:ascii="仿宋" w:hAnsi="仿宋" w:eastAsia="仿宋" w:cs="仿宋_GB2312"/>
          <w:sz w:val="32"/>
          <w:szCs w:val="32"/>
          <w:lang w:val="en-US" w:eastAsia="zh-CN"/>
        </w:rPr>
        <w:t>47.89</w:t>
      </w:r>
      <w:r>
        <w:rPr>
          <w:rFonts w:hint="eastAsia" w:ascii="仿宋" w:hAnsi="仿宋" w:eastAsia="仿宋" w:cs="仿宋_GB2312"/>
          <w:sz w:val="32"/>
          <w:szCs w:val="32"/>
        </w:rPr>
        <w:t>%，实际支出公用经费总额大于年初预算安排公用经费总额</w:t>
      </w:r>
      <w:r>
        <w:rPr>
          <w:rFonts w:hint="eastAsia" w:ascii="仿宋" w:hAnsi="仿宋" w:eastAsia="仿宋" w:cs="仿宋_GB2312"/>
          <w:sz w:val="32"/>
          <w:szCs w:val="32"/>
          <w:lang w:eastAsia="zh-CN"/>
        </w:rPr>
        <w:t>；</w:t>
      </w:r>
      <w:r>
        <w:rPr>
          <w:rFonts w:hint="eastAsia" w:ascii="仿宋" w:hAnsi="仿宋" w:eastAsia="仿宋" w:cs="仿宋_GB2312"/>
          <w:sz w:val="32"/>
          <w:szCs w:val="32"/>
          <w:shd w:val="clear" w:color="auto" w:fill="FFFFFF"/>
        </w:rPr>
        <w:t>主要原因是2019年的大部分</w:t>
      </w:r>
      <w:r>
        <w:rPr>
          <w:rFonts w:hint="eastAsia" w:ascii="仿宋" w:hAnsi="仿宋" w:eastAsia="仿宋" w:cs="仿宋_GB2312"/>
          <w:sz w:val="32"/>
          <w:szCs w:val="32"/>
          <w:shd w:val="clear" w:color="auto" w:fill="FFFFFF"/>
          <w:lang w:eastAsia="zh-CN"/>
        </w:rPr>
        <w:t>公用经费比如</w:t>
      </w:r>
      <w:r>
        <w:rPr>
          <w:rFonts w:hint="eastAsia" w:ascii="仿宋" w:hAnsi="仿宋" w:eastAsia="仿宋" w:cs="仿宋_GB2312"/>
          <w:sz w:val="32"/>
          <w:szCs w:val="32"/>
          <w:shd w:val="clear" w:color="auto" w:fill="FFFFFF"/>
        </w:rPr>
        <w:t>公务接待费</w:t>
      </w:r>
      <w:r>
        <w:rPr>
          <w:rFonts w:hint="eastAsia" w:ascii="仿宋" w:hAnsi="仿宋" w:eastAsia="仿宋" w:cs="仿宋_GB2312"/>
          <w:sz w:val="32"/>
          <w:szCs w:val="32"/>
          <w:shd w:val="clear" w:color="auto" w:fill="FFFFFF"/>
          <w:lang w:eastAsia="zh-CN"/>
        </w:rPr>
        <w:t>、</w:t>
      </w:r>
      <w:r>
        <w:rPr>
          <w:rFonts w:hint="eastAsia" w:ascii="仿宋" w:hAnsi="仿宋" w:eastAsia="仿宋" w:cs="仿宋_GB2312"/>
          <w:sz w:val="32"/>
          <w:szCs w:val="32"/>
          <w:shd w:val="clear" w:color="auto" w:fill="FFFFFF"/>
        </w:rPr>
        <w:t>公务用车运行费</w:t>
      </w:r>
      <w:r>
        <w:rPr>
          <w:rFonts w:hint="eastAsia" w:ascii="仿宋" w:hAnsi="仿宋" w:eastAsia="仿宋" w:cs="仿宋_GB2312"/>
          <w:sz w:val="32"/>
          <w:szCs w:val="32"/>
          <w:shd w:val="clear" w:color="auto" w:fill="FFFFFF"/>
          <w:lang w:eastAsia="zh-CN"/>
        </w:rPr>
        <w:t>等</w:t>
      </w:r>
      <w:r>
        <w:rPr>
          <w:rFonts w:hint="eastAsia" w:ascii="仿宋" w:hAnsi="仿宋" w:eastAsia="仿宋" w:cs="仿宋_GB2312"/>
          <w:sz w:val="32"/>
          <w:szCs w:val="32"/>
          <w:shd w:val="clear" w:color="auto" w:fill="FFFFFF"/>
        </w:rPr>
        <w:t>在预算编制时将其列入项目支出中，而</w:t>
      </w:r>
      <w:r>
        <w:rPr>
          <w:rFonts w:hint="eastAsia" w:ascii="仿宋" w:hAnsi="仿宋" w:eastAsia="仿宋" w:cs="仿宋_GB2312"/>
          <w:sz w:val="32"/>
          <w:szCs w:val="32"/>
          <w:shd w:val="clear" w:color="auto" w:fill="FFFFFF"/>
          <w:lang w:eastAsia="zh-CN"/>
        </w:rPr>
        <w:t>实际支出时</w:t>
      </w:r>
      <w:r>
        <w:rPr>
          <w:rFonts w:hint="eastAsia" w:ascii="仿宋" w:hAnsi="仿宋" w:eastAsia="仿宋" w:cs="仿宋_GB2312"/>
          <w:sz w:val="32"/>
          <w:szCs w:val="32"/>
          <w:shd w:val="clear" w:color="auto" w:fill="FFFFFF"/>
        </w:rPr>
        <w:t>列入</w:t>
      </w:r>
      <w:r>
        <w:rPr>
          <w:rFonts w:hint="eastAsia" w:ascii="仿宋" w:hAnsi="仿宋" w:eastAsia="仿宋" w:cs="仿宋_GB2312"/>
          <w:sz w:val="32"/>
          <w:szCs w:val="32"/>
          <w:shd w:val="clear" w:color="auto" w:fill="FFFFFF"/>
          <w:lang w:eastAsia="zh-CN"/>
        </w:rPr>
        <w:t>公用</w:t>
      </w:r>
      <w:r>
        <w:rPr>
          <w:rFonts w:hint="eastAsia" w:ascii="仿宋" w:hAnsi="仿宋" w:eastAsia="仿宋" w:cs="仿宋_GB2312"/>
          <w:sz w:val="32"/>
          <w:szCs w:val="32"/>
          <w:shd w:val="clear" w:color="auto" w:fill="FFFFFF"/>
        </w:rPr>
        <w:t>经费中，因此，我局</w:t>
      </w:r>
      <w:r>
        <w:rPr>
          <w:rFonts w:hint="eastAsia" w:ascii="仿宋" w:hAnsi="仿宋" w:eastAsia="仿宋" w:cs="仿宋_GB2312"/>
          <w:sz w:val="32"/>
          <w:szCs w:val="32"/>
          <w:shd w:val="clear" w:color="auto" w:fill="FFFFFF"/>
          <w:lang w:eastAsia="zh-CN"/>
        </w:rPr>
        <w:t>公用</w:t>
      </w:r>
      <w:r>
        <w:rPr>
          <w:rFonts w:hint="eastAsia" w:ascii="仿宋" w:hAnsi="仿宋" w:eastAsia="仿宋" w:cs="仿宋_GB2312"/>
          <w:sz w:val="32"/>
          <w:szCs w:val="32"/>
          <w:shd w:val="clear" w:color="auto" w:fill="FFFFFF"/>
        </w:rPr>
        <w:t>经费</w:t>
      </w:r>
      <w:r>
        <w:rPr>
          <w:rFonts w:hint="eastAsia" w:ascii="仿宋" w:hAnsi="仿宋" w:eastAsia="仿宋" w:cs="仿宋_GB2312"/>
          <w:sz w:val="32"/>
          <w:szCs w:val="32"/>
          <w:shd w:val="clear" w:color="auto" w:fill="FFFFFF"/>
          <w:lang w:eastAsia="zh-CN"/>
        </w:rPr>
        <w:t>控制率高</w:t>
      </w:r>
      <w:r>
        <w:rPr>
          <w:rFonts w:hint="eastAsia" w:ascii="仿宋" w:hAnsi="仿宋" w:eastAsia="仿宋" w:cs="仿宋_GB2312"/>
          <w:sz w:val="32"/>
          <w:szCs w:val="32"/>
          <w:shd w:val="clear" w:color="auto" w:fill="FFFFFF"/>
        </w:rPr>
        <w:t>了。</w:t>
      </w:r>
    </w:p>
    <w:p w14:paraId="086F07CB">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640" w:firstLineChars="200"/>
        <w:jc w:val="both"/>
        <w:textAlignment w:val="auto"/>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4、</w:t>
      </w:r>
      <w:r>
        <w:rPr>
          <w:rFonts w:hint="eastAsia" w:ascii="仿宋" w:hAnsi="仿宋" w:eastAsia="仿宋" w:cs="仿宋_GB2312"/>
          <w:sz w:val="32"/>
          <w:szCs w:val="32"/>
        </w:rPr>
        <w:t>政府采购执行率有待</w:t>
      </w:r>
      <w:r>
        <w:rPr>
          <w:rFonts w:hint="eastAsia" w:ascii="仿宋" w:hAnsi="仿宋" w:eastAsia="仿宋" w:cs="仿宋_GB2312"/>
          <w:sz w:val="32"/>
          <w:szCs w:val="32"/>
          <w:lang w:eastAsia="zh-CN"/>
        </w:rPr>
        <w:t>提高</w:t>
      </w:r>
    </w:p>
    <w:p w14:paraId="49D3D6A4">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640" w:firstLineChars="200"/>
        <w:jc w:val="both"/>
        <w:textAlignment w:val="auto"/>
        <w:rPr>
          <w:rFonts w:hint="eastAsia" w:ascii="仿宋" w:hAnsi="仿宋" w:eastAsia="仿宋" w:cs="仿宋_GB2312"/>
          <w:sz w:val="32"/>
          <w:szCs w:val="32"/>
        </w:rPr>
      </w:pPr>
      <w:r>
        <w:rPr>
          <w:rFonts w:hint="eastAsia" w:ascii="仿宋" w:hAnsi="仿宋" w:eastAsia="仿宋" w:cs="仿宋_GB2312"/>
          <w:sz w:val="32"/>
          <w:szCs w:val="32"/>
          <w:lang w:val="en-US" w:eastAsia="zh-CN"/>
        </w:rPr>
        <w:t>2019年</w:t>
      </w:r>
      <w:r>
        <w:rPr>
          <w:rFonts w:hint="eastAsia" w:ascii="仿宋" w:hAnsi="仿宋" w:eastAsia="仿宋" w:cs="仿宋_GB2312"/>
          <w:sz w:val="32"/>
          <w:szCs w:val="32"/>
        </w:rPr>
        <w:t>政府采购执行率</w:t>
      </w:r>
      <w:r>
        <w:rPr>
          <w:rFonts w:hint="eastAsia" w:ascii="仿宋" w:hAnsi="仿宋" w:eastAsia="仿宋" w:cs="仿宋_GB2312"/>
          <w:sz w:val="32"/>
          <w:szCs w:val="32"/>
          <w:lang w:val="en-US" w:eastAsia="zh-CN"/>
        </w:rPr>
        <w:t>14.61%，</w:t>
      </w:r>
      <w:r>
        <w:rPr>
          <w:rFonts w:hint="eastAsia" w:ascii="仿宋" w:hAnsi="仿宋" w:eastAsia="仿宋" w:cs="仿宋_GB2312"/>
          <w:sz w:val="32"/>
          <w:szCs w:val="32"/>
        </w:rPr>
        <w:t>是</w:t>
      </w:r>
      <w:r>
        <w:rPr>
          <w:rFonts w:hint="eastAsia" w:ascii="仿宋" w:hAnsi="仿宋" w:eastAsia="仿宋" w:cs="仿宋_GB2312"/>
          <w:sz w:val="32"/>
          <w:szCs w:val="32"/>
          <w:lang w:eastAsia="zh-CN"/>
        </w:rPr>
        <w:t>年初预算申报了上级专项</w:t>
      </w:r>
      <w:r>
        <w:rPr>
          <w:rFonts w:hint="eastAsia" w:ascii="仿宋" w:hAnsi="仿宋" w:eastAsia="仿宋" w:cs="仿宋_GB2312"/>
          <w:sz w:val="32"/>
          <w:szCs w:val="32"/>
        </w:rPr>
        <w:t>政府采购</w:t>
      </w:r>
      <w:r>
        <w:rPr>
          <w:rFonts w:hint="eastAsia" w:ascii="仿宋" w:hAnsi="仿宋" w:eastAsia="仿宋" w:cs="仿宋_GB2312"/>
          <w:sz w:val="32"/>
          <w:szCs w:val="32"/>
          <w:lang w:eastAsia="zh-CN"/>
        </w:rPr>
        <w:t>计划</w:t>
      </w:r>
      <w:r>
        <w:rPr>
          <w:rFonts w:hint="eastAsia" w:ascii="仿宋" w:hAnsi="仿宋" w:eastAsia="仿宋" w:cs="仿宋_GB2312"/>
          <w:sz w:val="32"/>
          <w:szCs w:val="32"/>
        </w:rPr>
        <w:t>，而</w:t>
      </w:r>
      <w:r>
        <w:rPr>
          <w:rFonts w:hint="eastAsia" w:ascii="仿宋" w:hAnsi="仿宋" w:eastAsia="仿宋" w:cs="仿宋_GB2312"/>
          <w:sz w:val="32"/>
          <w:szCs w:val="32"/>
          <w:lang w:eastAsia="zh-CN"/>
        </w:rPr>
        <w:t>实际上级项目资金没有到位，导致实际采购金额小，这是上级专项</w:t>
      </w:r>
      <w:r>
        <w:rPr>
          <w:rFonts w:hint="eastAsia" w:ascii="仿宋" w:hAnsi="仿宋" w:eastAsia="仿宋" w:cs="仿宋_GB2312"/>
          <w:sz w:val="32"/>
          <w:szCs w:val="32"/>
        </w:rPr>
        <w:t>无法</w:t>
      </w:r>
      <w:r>
        <w:rPr>
          <w:rFonts w:hint="eastAsia" w:ascii="仿宋" w:hAnsi="仿宋" w:eastAsia="仿宋" w:cs="仿宋_GB2312"/>
          <w:sz w:val="32"/>
          <w:szCs w:val="32"/>
          <w:lang w:eastAsia="zh-CN"/>
        </w:rPr>
        <w:t>准确</w:t>
      </w:r>
      <w:r>
        <w:rPr>
          <w:rFonts w:hint="eastAsia" w:ascii="仿宋" w:hAnsi="仿宋" w:eastAsia="仿宋" w:cs="仿宋_GB2312"/>
          <w:sz w:val="32"/>
          <w:szCs w:val="32"/>
        </w:rPr>
        <w:t>预测所致。</w:t>
      </w:r>
    </w:p>
    <w:p w14:paraId="1F06F024">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640" w:firstLineChars="200"/>
        <w:jc w:val="both"/>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针对存在的问题，我局将采取措施加以改进：</w:t>
      </w:r>
    </w:p>
    <w:p w14:paraId="28675B68">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1、规范财务管理，提高财务信息质量</w:t>
      </w:r>
    </w:p>
    <w:p w14:paraId="29A0354D">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严格按照《会计法》、《行政单位会计制度》、《行政单位财务规则》等规定，结合实际情况，严格执行单位经费支出制度，规范财务核算，完整披露相关信息。</w:t>
      </w:r>
    </w:p>
    <w:p w14:paraId="2B51C596">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2、加强学习和培训</w:t>
      </w:r>
    </w:p>
    <w:p w14:paraId="422AE4D7">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年初制定学习和培训计划，定期在全局系统开展新制度、新法规学习、培训，同时加大对各股室的监管。</w:t>
      </w:r>
    </w:p>
    <w:p w14:paraId="5E7A5FCE">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3、加强预算的约束力，细化预算编制工作。</w:t>
      </w:r>
    </w:p>
    <w:p w14:paraId="75C5238A">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_GB2312" w:hAnsi="仿宋_GB2312" w:eastAsia="仿宋_GB2312" w:cs="仿宋"/>
          <w:color w:val="000000"/>
          <w:sz w:val="32"/>
          <w:szCs w:val="32"/>
        </w:rPr>
      </w:pPr>
      <w:r>
        <w:rPr>
          <w:rFonts w:hint="eastAsia" w:ascii="仿宋" w:hAnsi="仿宋" w:eastAsia="仿宋" w:cs="仿宋_GB2312"/>
          <w:color w:val="333333"/>
          <w:sz w:val="32"/>
          <w:szCs w:val="32"/>
          <w:shd w:val="clear" w:color="auto" w:fill="FFFFFF"/>
        </w:rPr>
        <w:t>进一步加强全局预算管理意识，严格按照预算编制的相关制度和要求，公用经费根据单位的年度工作重点和项目专项工作规划，本着“勤俭节约、保障运转”的原则进行预算的编制。编制范围尽可能的全面，不漏项。严格控制，尽力避免超预算开支的情况发生，进一步提高预算编制的科学性、合理性、严谨性和可控性。</w:t>
      </w:r>
    </w:p>
    <w:p w14:paraId="7F1B61F3">
      <w:pPr>
        <w:keepNext w:val="0"/>
        <w:keepLines w:val="0"/>
        <w:pageBreakBefore w:val="0"/>
        <w:widowControl/>
        <w:numPr>
          <w:ilvl w:val="0"/>
          <w:numId w:val="2"/>
        </w:numPr>
        <w:kinsoku/>
        <w:wordWrap/>
        <w:overflowPunct/>
        <w:topLinePunct w:val="0"/>
        <w:autoSpaceDE/>
        <w:autoSpaceDN/>
        <w:bidi w:val="0"/>
        <w:adjustRightInd/>
        <w:snapToGrid/>
        <w:spacing w:afterAutospacing="0" w:line="480" w:lineRule="exact"/>
        <w:ind w:firstLine="640" w:firstLineChars="200"/>
        <w:jc w:val="left"/>
        <w:textAlignment w:val="auto"/>
        <w:rPr>
          <w:rFonts w:ascii="黑体" w:hAnsi="黑体" w:eastAsia="黑体" w:cs="仿宋"/>
          <w:sz w:val="32"/>
          <w:szCs w:val="32"/>
        </w:rPr>
      </w:pPr>
      <w:r>
        <w:rPr>
          <w:rFonts w:ascii="黑体" w:hAnsi="黑体" w:eastAsia="黑体" w:cs="仿宋"/>
          <w:sz w:val="32"/>
          <w:szCs w:val="32"/>
        </w:rPr>
        <w:t>绩效自评结果拟应用和公开情况</w:t>
      </w:r>
    </w:p>
    <w:p w14:paraId="0C1F4F9C">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根据中财绩〔20</w:t>
      </w:r>
      <w:r>
        <w:rPr>
          <w:rFonts w:hint="eastAsia" w:ascii="仿宋" w:hAnsi="仿宋" w:eastAsia="仿宋" w:cs="仿宋_GB2312"/>
          <w:color w:val="333333"/>
          <w:sz w:val="32"/>
          <w:szCs w:val="32"/>
          <w:shd w:val="clear" w:color="auto" w:fill="FFFFFF"/>
          <w:lang w:val="en-US" w:eastAsia="zh-CN"/>
        </w:rPr>
        <w:t>20</w:t>
      </w:r>
      <w:r>
        <w:rPr>
          <w:rFonts w:hint="eastAsia" w:ascii="仿宋" w:hAnsi="仿宋" w:eastAsia="仿宋" w:cs="仿宋_GB2312"/>
          <w:color w:val="333333"/>
          <w:sz w:val="32"/>
          <w:szCs w:val="32"/>
          <w:shd w:val="clear" w:color="auto" w:fill="FFFFFF"/>
        </w:rPr>
        <w:t>〕3</w:t>
      </w:r>
      <w:r>
        <w:rPr>
          <w:rFonts w:hint="eastAsia" w:ascii="仿宋" w:hAnsi="仿宋" w:eastAsia="仿宋" w:cs="仿宋_GB2312"/>
          <w:color w:val="333333"/>
          <w:sz w:val="32"/>
          <w:szCs w:val="32"/>
          <w:shd w:val="clear" w:color="auto" w:fill="FFFFFF"/>
          <w:lang w:val="en-US" w:eastAsia="zh-CN"/>
        </w:rPr>
        <w:t>0</w:t>
      </w:r>
      <w:r>
        <w:rPr>
          <w:rFonts w:hint="eastAsia" w:ascii="仿宋" w:hAnsi="仿宋" w:eastAsia="仿宋" w:cs="仿宋_GB2312"/>
          <w:color w:val="333333"/>
          <w:sz w:val="32"/>
          <w:szCs w:val="32"/>
          <w:shd w:val="clear" w:color="auto" w:fill="FFFFFF"/>
        </w:rPr>
        <w:t>号文件要求，我局结合本单位实际情况完善了评价指标体系，对我局的整体支出认真开展了绩效自评工作。根据《部门整体支出绩效评价指标》评分，得分</w:t>
      </w:r>
      <w:r>
        <w:rPr>
          <w:rFonts w:hint="eastAsia" w:ascii="仿宋" w:hAnsi="仿宋" w:eastAsia="仿宋" w:cs="仿宋_GB2312"/>
          <w:color w:val="333333"/>
          <w:sz w:val="32"/>
          <w:szCs w:val="32"/>
          <w:shd w:val="clear" w:color="auto" w:fill="FFFFFF"/>
          <w:lang w:val="en-US" w:eastAsia="zh-CN"/>
        </w:rPr>
        <w:t>76.5</w:t>
      </w:r>
      <w:r>
        <w:rPr>
          <w:rFonts w:hint="eastAsia" w:ascii="仿宋" w:hAnsi="仿宋" w:eastAsia="仿宋" w:cs="仿宋_GB2312"/>
          <w:color w:val="333333"/>
          <w:sz w:val="32"/>
          <w:szCs w:val="32"/>
          <w:shd w:val="clear" w:color="auto" w:fill="FFFFFF"/>
        </w:rPr>
        <w:t>分（详见附表1），部门整体支出绩效为“</w:t>
      </w:r>
      <w:r>
        <w:rPr>
          <w:rFonts w:hint="eastAsia" w:ascii="仿宋" w:hAnsi="仿宋" w:eastAsia="仿宋" w:cs="仿宋_GB2312"/>
          <w:color w:val="333333"/>
          <w:sz w:val="32"/>
          <w:szCs w:val="32"/>
          <w:shd w:val="clear" w:color="auto" w:fill="FFFFFF"/>
          <w:lang w:eastAsia="zh-CN"/>
        </w:rPr>
        <w:t>中</w:t>
      </w:r>
      <w:r>
        <w:rPr>
          <w:rFonts w:hint="eastAsia" w:ascii="仿宋" w:hAnsi="仿宋" w:eastAsia="仿宋" w:cs="仿宋_GB2312"/>
          <w:color w:val="333333"/>
          <w:sz w:val="32"/>
          <w:szCs w:val="32"/>
          <w:shd w:val="clear" w:color="auto" w:fill="FFFFFF"/>
        </w:rPr>
        <w:t>”。</w:t>
      </w:r>
    </w:p>
    <w:p w14:paraId="4B6F0432">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960" w:firstLineChars="3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评价范围包括局本级和下属所有二级机构。评价实施了四个步骤：</w:t>
      </w:r>
    </w:p>
    <w:p w14:paraId="4618BD51">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1是下发通知，局本级和下级二级单位展开自评。</w:t>
      </w:r>
    </w:p>
    <w:p w14:paraId="56BB017E">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2是开展现场评价，我局组织专人对局本级及所属二级单位的整体支出情况进行了检查，审阅了单位的凭证，查阅了账簿，对预算收支情况进行了核实。</w:t>
      </w:r>
    </w:p>
    <w:p w14:paraId="057A2D39">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仿宋" w:hAnsi="仿宋" w:eastAsia="仿宋" w:cs="仿宋_GB2312"/>
          <w:color w:val="333333"/>
          <w:sz w:val="32"/>
          <w:szCs w:val="32"/>
        </w:rPr>
      </w:pPr>
      <w:r>
        <w:rPr>
          <w:rFonts w:hint="eastAsia" w:ascii="仿宋" w:hAnsi="仿宋" w:eastAsia="仿宋" w:cs="仿宋_GB2312"/>
          <w:color w:val="333333"/>
          <w:sz w:val="32"/>
          <w:szCs w:val="32"/>
          <w:shd w:val="clear" w:color="auto" w:fill="FFFFFF"/>
        </w:rPr>
        <w:t>3是认真总结分析自评和现场评价情况，形成了评价结论。</w:t>
      </w:r>
    </w:p>
    <w:p w14:paraId="3F9B9679">
      <w:pPr>
        <w:pStyle w:val="6"/>
        <w:keepNext w:val="0"/>
        <w:keepLines w:val="0"/>
        <w:pageBreakBefore w:val="0"/>
        <w:shd w:val="clear" w:color="auto" w:fill="FFFFFF"/>
        <w:kinsoku/>
        <w:wordWrap/>
        <w:overflowPunct/>
        <w:topLinePunct w:val="0"/>
        <w:autoSpaceDE/>
        <w:autoSpaceDN/>
        <w:bidi w:val="0"/>
        <w:adjustRightInd/>
        <w:snapToGrid/>
        <w:spacing w:beforeAutospacing="0" w:afterAutospacing="0" w:line="480" w:lineRule="exact"/>
        <w:ind w:firstLine="640" w:firstLineChars="200"/>
        <w:textAlignment w:val="auto"/>
        <w:rPr>
          <w:rFonts w:ascii="黑体" w:hAnsi="黑体" w:eastAsia="黑体" w:cs="仿宋"/>
          <w:sz w:val="32"/>
          <w:szCs w:val="32"/>
        </w:rPr>
      </w:pPr>
      <w:r>
        <w:rPr>
          <w:rFonts w:hint="eastAsia" w:ascii="仿宋" w:hAnsi="仿宋" w:eastAsia="仿宋" w:cs="仿宋_GB2312"/>
          <w:color w:val="333333"/>
          <w:sz w:val="32"/>
          <w:szCs w:val="32"/>
          <w:shd w:val="clear" w:color="auto" w:fill="FFFFFF"/>
        </w:rPr>
        <w:t>4是整理相关资料并归档</w:t>
      </w:r>
      <w:r>
        <w:rPr>
          <w:rFonts w:hint="eastAsia" w:ascii="仿宋" w:hAnsi="仿宋" w:eastAsia="仿宋" w:cs="仿宋_GB2312"/>
          <w:color w:val="333333"/>
          <w:sz w:val="32"/>
          <w:szCs w:val="32"/>
          <w:shd w:val="clear" w:color="auto" w:fill="FFFFFF"/>
          <w:lang w:eastAsia="zh-CN"/>
        </w:rPr>
        <w:t>拟网上公开</w:t>
      </w:r>
      <w:r>
        <w:rPr>
          <w:rFonts w:hint="eastAsia" w:ascii="仿宋" w:hAnsi="仿宋" w:eastAsia="仿宋" w:cs="仿宋_GB2312"/>
          <w:color w:val="333333"/>
          <w:sz w:val="32"/>
          <w:szCs w:val="32"/>
          <w:shd w:val="clear" w:color="auto" w:fill="FFFFFF"/>
        </w:rPr>
        <w:t>。</w:t>
      </w:r>
    </w:p>
    <w:p w14:paraId="160CAA92">
      <w:pPr>
        <w:keepNext w:val="0"/>
        <w:keepLines w:val="0"/>
        <w:pageBreakBefore w:val="0"/>
        <w:widowControl/>
        <w:kinsoku/>
        <w:wordWrap/>
        <w:overflowPunct/>
        <w:topLinePunct w:val="0"/>
        <w:autoSpaceDE/>
        <w:autoSpaceDN/>
        <w:bidi w:val="0"/>
        <w:adjustRightInd/>
        <w:snapToGrid/>
        <w:spacing w:afterAutospacing="0" w:line="480" w:lineRule="exact"/>
        <w:ind w:firstLine="640" w:firstLineChars="200"/>
        <w:jc w:val="left"/>
        <w:textAlignment w:val="auto"/>
        <w:rPr>
          <w:rFonts w:ascii="Times New Roman" w:hAnsi="Times New Roman" w:eastAsia="黑体" w:cs="仿宋"/>
          <w:sz w:val="32"/>
          <w:szCs w:val="32"/>
        </w:rPr>
      </w:pPr>
      <w:r>
        <w:rPr>
          <w:rFonts w:ascii="黑体" w:hAnsi="黑体" w:eastAsia="黑体" w:cs="仿宋"/>
          <w:sz w:val="32"/>
          <w:szCs w:val="32"/>
        </w:rPr>
        <w:t>六、其他需要说明的情况</w:t>
      </w:r>
    </w:p>
    <w:p w14:paraId="5300203E">
      <w:pPr>
        <w:keepNext w:val="0"/>
        <w:keepLines w:val="0"/>
        <w:pageBreakBefore w:val="0"/>
        <w:widowControl/>
        <w:kinsoku/>
        <w:wordWrap/>
        <w:overflowPunct/>
        <w:topLinePunct w:val="0"/>
        <w:autoSpaceDE/>
        <w:autoSpaceDN/>
        <w:bidi w:val="0"/>
        <w:adjustRightInd/>
        <w:snapToGrid/>
        <w:spacing w:afterAutospacing="0" w:line="480" w:lineRule="exact"/>
        <w:ind w:firstLine="640" w:firstLineChars="200"/>
        <w:jc w:val="left"/>
        <w:textAlignment w:val="auto"/>
        <w:rPr>
          <w:rFonts w:ascii="Times New Roman" w:hAnsi="Times New Roman" w:eastAsia="仿宋_GB2312" w:cs="仿宋"/>
          <w:sz w:val="32"/>
          <w:szCs w:val="32"/>
        </w:rPr>
      </w:pPr>
      <w:r>
        <w:rPr>
          <w:rFonts w:ascii="仿宋_GB2312" w:hAnsi="仿宋_GB2312" w:eastAsia="仿宋_GB2312" w:cs="仿宋"/>
          <w:sz w:val="32"/>
          <w:szCs w:val="32"/>
        </w:rPr>
        <w:t>附件：</w:t>
      </w:r>
      <w:r>
        <w:rPr>
          <w:rFonts w:ascii="Times New Roman" w:hAnsi="Times New Roman" w:eastAsia="仿宋_GB2312" w:cs="仿宋"/>
          <w:sz w:val="32"/>
          <w:szCs w:val="32"/>
        </w:rPr>
        <w:t>1.</w:t>
      </w:r>
      <w:r>
        <w:rPr>
          <w:rFonts w:ascii="仿宋_GB2312" w:hAnsi="仿宋_GB2312" w:eastAsia="仿宋_GB2312" w:cs="仿宋"/>
          <w:sz w:val="32"/>
          <w:szCs w:val="32"/>
        </w:rPr>
        <w:t>部门整体支出绩效评价基础数据表</w:t>
      </w:r>
    </w:p>
    <w:p w14:paraId="15C8CA0B">
      <w:pPr>
        <w:keepNext w:val="0"/>
        <w:keepLines w:val="0"/>
        <w:pageBreakBefore w:val="0"/>
        <w:widowControl/>
        <w:kinsoku/>
        <w:wordWrap/>
        <w:overflowPunct/>
        <w:topLinePunct w:val="0"/>
        <w:autoSpaceDE/>
        <w:autoSpaceDN/>
        <w:bidi w:val="0"/>
        <w:adjustRightInd/>
        <w:snapToGrid/>
        <w:spacing w:afterAutospacing="0" w:line="480" w:lineRule="exact"/>
        <w:ind w:firstLine="1600" w:firstLineChars="500"/>
        <w:jc w:val="left"/>
        <w:textAlignment w:val="auto"/>
        <w:rPr>
          <w:rFonts w:ascii="Times New Roman" w:hAnsi="Times New Roman" w:eastAsia="仿宋_GB2312" w:cs="仿宋"/>
          <w:color w:val="000000"/>
          <w:sz w:val="32"/>
          <w:szCs w:val="32"/>
        </w:rPr>
        <w:sectPr>
          <w:footerReference r:id="rId3" w:type="default"/>
          <w:pgSz w:w="11906" w:h="16838"/>
          <w:pgMar w:top="1928" w:right="1531" w:bottom="1701" w:left="1531" w:header="720" w:footer="720" w:gutter="0"/>
          <w:cols w:space="720" w:num="1"/>
          <w:docGrid w:type="lines" w:linePitch="408" w:charSpace="0"/>
        </w:sectPr>
      </w:pPr>
      <w:r>
        <w:rPr>
          <w:rFonts w:ascii="Times New Roman" w:hAnsi="Times New Roman" w:eastAsia="仿宋_GB2312" w:cs="仿宋"/>
          <w:sz w:val="32"/>
          <w:szCs w:val="32"/>
        </w:rPr>
        <w:t>2.</w:t>
      </w:r>
      <w:r>
        <w:rPr>
          <w:rFonts w:ascii="仿宋_GB2312" w:hAnsi="仿宋_GB2312" w:eastAsia="仿宋_GB2312" w:cs="仿宋"/>
          <w:sz w:val="32"/>
          <w:szCs w:val="32"/>
        </w:rPr>
        <w:t>部门整体支出绩效评价指标评分表</w:t>
      </w:r>
    </w:p>
    <w:p w14:paraId="09AF1A8B">
      <w:pPr>
        <w:spacing w:line="560" w:lineRule="exact"/>
        <w:rPr>
          <w:rFonts w:ascii="Times New Roman" w:hAnsi="Times New Roman" w:eastAsia="方正小标宋简体"/>
          <w:kern w:val="0"/>
          <w:sz w:val="44"/>
          <w:szCs w:val="44"/>
        </w:rPr>
      </w:pPr>
      <w:r>
        <w:rPr>
          <w:rFonts w:ascii="Times New Roman" w:hAnsi="Times New Roman" w:eastAsia="仿宋_GB2312"/>
          <w:bCs/>
          <w:color w:val="000000"/>
          <w:sz w:val="32"/>
          <w:szCs w:val="32"/>
        </w:rPr>
        <w:t>附件1</w:t>
      </w:r>
      <w:r>
        <w:rPr>
          <w:rFonts w:hint="eastAsia" w:ascii="Times New Roman" w:hAnsi="Times New Roman" w:eastAsia="仿宋_GB2312"/>
          <w:bCs/>
          <w:color w:val="000000"/>
          <w:sz w:val="32"/>
          <w:szCs w:val="32"/>
          <w:lang w:val="en-US" w:eastAsia="zh-CN"/>
        </w:rPr>
        <w:t xml:space="preserve">                     </w:t>
      </w:r>
      <w:r>
        <w:rPr>
          <w:rFonts w:ascii="Times New Roman" w:hAnsi="Times New Roman" w:eastAsia="方正小标宋简体"/>
          <w:kern w:val="0"/>
          <w:sz w:val="44"/>
          <w:szCs w:val="44"/>
        </w:rPr>
        <w:t>部门整体支出绩效评价基础数据表</w:t>
      </w:r>
    </w:p>
    <w:p w14:paraId="1AD05759">
      <w:pPr>
        <w:widowControl/>
        <w:tabs>
          <w:tab w:val="left" w:pos="3611"/>
          <w:tab w:val="left" w:pos="4791"/>
          <w:tab w:val="left" w:pos="5951"/>
          <w:tab w:val="left" w:pos="7071"/>
          <w:tab w:val="left" w:pos="8191"/>
          <w:tab w:val="left" w:pos="9311"/>
        </w:tabs>
        <w:spacing w:line="500" w:lineRule="exact"/>
        <w:ind w:left="91"/>
        <w:jc w:val="left"/>
        <w:rPr>
          <w:rFonts w:hint="eastAsia" w:ascii="Times New Roman" w:hAnsi="Times New Roman" w:eastAsia="仿宋_GB2312"/>
          <w:kern w:val="0"/>
          <w:sz w:val="30"/>
          <w:szCs w:val="30"/>
          <w:lang w:eastAsia="zh-CN"/>
        </w:rPr>
      </w:pPr>
      <w:r>
        <w:rPr>
          <w:rFonts w:ascii="Times New Roman" w:hAnsi="Times New Roman" w:eastAsia="仿宋_GB2312"/>
          <w:kern w:val="0"/>
          <w:sz w:val="30"/>
          <w:szCs w:val="30"/>
        </w:rPr>
        <w:t>填报单位：</w:t>
      </w:r>
      <w:r>
        <w:rPr>
          <w:rFonts w:hint="eastAsia" w:ascii="Times New Roman" w:hAnsi="Times New Roman" w:eastAsia="仿宋_GB2312"/>
          <w:kern w:val="0"/>
          <w:sz w:val="30"/>
          <w:szCs w:val="30"/>
          <w:lang w:eastAsia="zh-CN"/>
        </w:rPr>
        <w:t>县发改局</w:t>
      </w:r>
    </w:p>
    <w:tbl>
      <w:tblPr>
        <w:tblStyle w:val="7"/>
        <w:tblW w:w="0" w:type="auto"/>
        <w:jc w:val="center"/>
        <w:tblLayout w:type="fixed"/>
        <w:tblCellMar>
          <w:top w:w="0" w:type="dxa"/>
          <w:left w:w="108" w:type="dxa"/>
          <w:bottom w:w="0" w:type="dxa"/>
          <w:right w:w="108" w:type="dxa"/>
        </w:tblCellMar>
      </w:tblPr>
      <w:tblGrid>
        <w:gridCol w:w="4883"/>
        <w:gridCol w:w="1545"/>
        <w:gridCol w:w="1522"/>
        <w:gridCol w:w="1468"/>
        <w:gridCol w:w="1901"/>
        <w:gridCol w:w="1260"/>
        <w:gridCol w:w="1121"/>
      </w:tblGrid>
      <w:tr w14:paraId="7FBDCA62">
        <w:tblPrEx>
          <w:tblCellMar>
            <w:top w:w="0" w:type="dxa"/>
            <w:left w:w="108" w:type="dxa"/>
            <w:bottom w:w="0" w:type="dxa"/>
            <w:right w:w="108" w:type="dxa"/>
          </w:tblCellMar>
        </w:tblPrEx>
        <w:trPr>
          <w:trHeight w:val="263" w:hRule="atLeast"/>
          <w:jc w:val="center"/>
        </w:trPr>
        <w:tc>
          <w:tcPr>
            <w:tcW w:w="4883" w:type="dxa"/>
            <w:vMerge w:val="restart"/>
            <w:tcBorders>
              <w:top w:val="single" w:color="auto" w:sz="4" w:space="0"/>
              <w:left w:val="single" w:color="auto" w:sz="4" w:space="0"/>
              <w:bottom w:val="single" w:color="auto" w:sz="4" w:space="0"/>
              <w:right w:val="single" w:color="auto" w:sz="4" w:space="0"/>
            </w:tcBorders>
            <w:noWrap w:val="0"/>
            <w:vAlign w:val="center"/>
          </w:tcPr>
          <w:p w14:paraId="5251D39C">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财政供养人员情况</w:t>
            </w:r>
          </w:p>
        </w:tc>
        <w:tc>
          <w:tcPr>
            <w:tcW w:w="3067" w:type="dxa"/>
            <w:gridSpan w:val="2"/>
            <w:tcBorders>
              <w:top w:val="single" w:color="auto" w:sz="4" w:space="0"/>
              <w:left w:val="nil"/>
              <w:bottom w:val="single" w:color="auto" w:sz="4" w:space="0"/>
              <w:right w:val="single" w:color="auto" w:sz="4" w:space="0"/>
            </w:tcBorders>
            <w:noWrap w:val="0"/>
            <w:vAlign w:val="center"/>
          </w:tcPr>
          <w:p w14:paraId="37627AE4">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编制数</w:t>
            </w:r>
          </w:p>
        </w:tc>
        <w:tc>
          <w:tcPr>
            <w:tcW w:w="3369" w:type="dxa"/>
            <w:gridSpan w:val="2"/>
            <w:tcBorders>
              <w:top w:val="single" w:color="auto" w:sz="4" w:space="0"/>
              <w:left w:val="nil"/>
              <w:bottom w:val="single" w:color="auto" w:sz="4" w:space="0"/>
              <w:right w:val="single" w:color="auto" w:sz="4" w:space="0"/>
            </w:tcBorders>
            <w:noWrap w:val="0"/>
            <w:vAlign w:val="center"/>
          </w:tcPr>
          <w:p w14:paraId="277B07E6">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2019年实际在职人数</w:t>
            </w:r>
          </w:p>
        </w:tc>
        <w:tc>
          <w:tcPr>
            <w:tcW w:w="2381" w:type="dxa"/>
            <w:gridSpan w:val="2"/>
            <w:tcBorders>
              <w:top w:val="single" w:color="auto" w:sz="4" w:space="0"/>
              <w:left w:val="nil"/>
              <w:bottom w:val="single" w:color="auto" w:sz="4" w:space="0"/>
              <w:right w:val="single" w:color="auto" w:sz="4" w:space="0"/>
            </w:tcBorders>
            <w:noWrap w:val="0"/>
            <w:vAlign w:val="center"/>
          </w:tcPr>
          <w:p w14:paraId="339B3422">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控制率</w:t>
            </w:r>
          </w:p>
        </w:tc>
      </w:tr>
      <w:tr w14:paraId="76A7EF31">
        <w:tblPrEx>
          <w:tblCellMar>
            <w:top w:w="0" w:type="dxa"/>
            <w:left w:w="108" w:type="dxa"/>
            <w:bottom w:w="0" w:type="dxa"/>
            <w:right w:w="108" w:type="dxa"/>
          </w:tblCellMar>
        </w:tblPrEx>
        <w:trPr>
          <w:trHeight w:val="263" w:hRule="atLeast"/>
          <w:jc w:val="center"/>
        </w:trPr>
        <w:tc>
          <w:tcPr>
            <w:tcW w:w="4883" w:type="dxa"/>
            <w:vMerge w:val="continue"/>
            <w:tcBorders>
              <w:top w:val="single" w:color="auto" w:sz="4" w:space="0"/>
              <w:left w:val="single" w:color="auto" w:sz="4" w:space="0"/>
              <w:bottom w:val="single" w:color="auto" w:sz="4" w:space="0"/>
              <w:right w:val="single" w:color="auto" w:sz="4" w:space="0"/>
            </w:tcBorders>
            <w:noWrap w:val="0"/>
            <w:vAlign w:val="center"/>
          </w:tcPr>
          <w:p w14:paraId="51841DA9">
            <w:pPr>
              <w:widowControl/>
              <w:spacing w:line="240" w:lineRule="exact"/>
              <w:jc w:val="left"/>
              <w:rPr>
                <w:rFonts w:ascii="Times New Roman" w:hAnsi="Times New Roman" w:eastAsia="仿宋_GB2312"/>
                <w:kern w:val="0"/>
                <w:sz w:val="18"/>
                <w:szCs w:val="18"/>
              </w:rPr>
            </w:pPr>
          </w:p>
        </w:tc>
        <w:tc>
          <w:tcPr>
            <w:tcW w:w="3067" w:type="dxa"/>
            <w:gridSpan w:val="2"/>
            <w:tcBorders>
              <w:top w:val="single" w:color="auto" w:sz="4" w:space="0"/>
              <w:left w:val="nil"/>
              <w:bottom w:val="single" w:color="auto" w:sz="4" w:space="0"/>
              <w:right w:val="single" w:color="auto" w:sz="4" w:space="0"/>
            </w:tcBorders>
            <w:noWrap w:val="0"/>
            <w:vAlign w:val="center"/>
          </w:tcPr>
          <w:p w14:paraId="5BB4A691">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41</w:t>
            </w:r>
            <w:r>
              <w:rPr>
                <w:rFonts w:ascii="Times New Roman" w:hAnsi="Times New Roman" w:eastAsia="仿宋_GB2312"/>
                <w:kern w:val="0"/>
                <w:sz w:val="18"/>
                <w:szCs w:val="18"/>
              </w:rPr>
              <w:t>　</w:t>
            </w:r>
          </w:p>
        </w:tc>
        <w:tc>
          <w:tcPr>
            <w:tcW w:w="3369" w:type="dxa"/>
            <w:gridSpan w:val="2"/>
            <w:tcBorders>
              <w:top w:val="single" w:color="auto" w:sz="4" w:space="0"/>
              <w:left w:val="nil"/>
              <w:bottom w:val="single" w:color="auto" w:sz="4" w:space="0"/>
              <w:right w:val="single" w:color="auto" w:sz="4" w:space="0"/>
            </w:tcBorders>
            <w:noWrap w:val="0"/>
            <w:vAlign w:val="center"/>
          </w:tcPr>
          <w:p w14:paraId="2CBD18F3">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43</w:t>
            </w:r>
            <w:r>
              <w:rPr>
                <w:rFonts w:ascii="Times New Roman" w:hAnsi="Times New Roman" w:eastAsia="仿宋_GB2312"/>
                <w:kern w:val="0"/>
                <w:sz w:val="18"/>
                <w:szCs w:val="18"/>
              </w:rPr>
              <w:t>　</w:t>
            </w:r>
          </w:p>
        </w:tc>
        <w:tc>
          <w:tcPr>
            <w:tcW w:w="2381" w:type="dxa"/>
            <w:gridSpan w:val="2"/>
            <w:tcBorders>
              <w:top w:val="single" w:color="auto" w:sz="4" w:space="0"/>
              <w:left w:val="nil"/>
              <w:bottom w:val="single" w:color="auto" w:sz="4" w:space="0"/>
              <w:right w:val="single" w:color="auto" w:sz="4" w:space="0"/>
            </w:tcBorders>
            <w:noWrap w:val="0"/>
            <w:vAlign w:val="center"/>
          </w:tcPr>
          <w:p w14:paraId="641D845F">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104.88</w:t>
            </w:r>
            <w:r>
              <w:rPr>
                <w:rFonts w:ascii="Times New Roman" w:hAnsi="Times New Roman" w:eastAsia="仿宋_GB2312"/>
                <w:kern w:val="0"/>
                <w:sz w:val="18"/>
                <w:szCs w:val="18"/>
              </w:rPr>
              <w:t>　</w:t>
            </w:r>
          </w:p>
        </w:tc>
      </w:tr>
      <w:tr w14:paraId="635B548B">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53EFB638">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经费控制情况</w:t>
            </w:r>
          </w:p>
        </w:tc>
        <w:tc>
          <w:tcPr>
            <w:tcW w:w="3067" w:type="dxa"/>
            <w:gridSpan w:val="2"/>
            <w:tcBorders>
              <w:top w:val="single" w:color="auto" w:sz="4" w:space="0"/>
              <w:left w:val="nil"/>
              <w:bottom w:val="single" w:color="auto" w:sz="4" w:space="0"/>
              <w:right w:val="single" w:color="000000" w:sz="4" w:space="0"/>
            </w:tcBorders>
            <w:noWrap w:val="0"/>
            <w:vAlign w:val="center"/>
          </w:tcPr>
          <w:p w14:paraId="672E7FBB">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2018年决算数</w:t>
            </w:r>
          </w:p>
        </w:tc>
        <w:tc>
          <w:tcPr>
            <w:tcW w:w="3369" w:type="dxa"/>
            <w:gridSpan w:val="2"/>
            <w:tcBorders>
              <w:top w:val="single" w:color="auto" w:sz="4" w:space="0"/>
              <w:left w:val="nil"/>
              <w:bottom w:val="single" w:color="auto" w:sz="4" w:space="0"/>
              <w:right w:val="single" w:color="000000" w:sz="4" w:space="0"/>
            </w:tcBorders>
            <w:noWrap w:val="0"/>
            <w:vAlign w:val="center"/>
          </w:tcPr>
          <w:p w14:paraId="2FB77B2E">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2019年预算数</w:t>
            </w:r>
          </w:p>
        </w:tc>
        <w:tc>
          <w:tcPr>
            <w:tcW w:w="2381" w:type="dxa"/>
            <w:gridSpan w:val="2"/>
            <w:tcBorders>
              <w:top w:val="single" w:color="auto" w:sz="4" w:space="0"/>
              <w:left w:val="nil"/>
              <w:bottom w:val="single" w:color="auto" w:sz="4" w:space="0"/>
              <w:right w:val="single" w:color="000000" w:sz="4" w:space="0"/>
            </w:tcBorders>
            <w:noWrap w:val="0"/>
            <w:vAlign w:val="center"/>
          </w:tcPr>
          <w:p w14:paraId="6C101A16">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2019年决算数</w:t>
            </w:r>
          </w:p>
        </w:tc>
      </w:tr>
      <w:tr w14:paraId="61452DE4">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7DF345CD">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三公经费</w:t>
            </w:r>
          </w:p>
        </w:tc>
        <w:tc>
          <w:tcPr>
            <w:tcW w:w="3067" w:type="dxa"/>
            <w:gridSpan w:val="2"/>
            <w:tcBorders>
              <w:top w:val="single" w:color="auto" w:sz="4" w:space="0"/>
              <w:left w:val="nil"/>
              <w:bottom w:val="single" w:color="auto" w:sz="4" w:space="0"/>
              <w:right w:val="single" w:color="000000" w:sz="4" w:space="0"/>
            </w:tcBorders>
            <w:noWrap w:val="0"/>
            <w:vAlign w:val="center"/>
          </w:tcPr>
          <w:p w14:paraId="6DDB0351">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3.29</w:t>
            </w:r>
            <w:r>
              <w:rPr>
                <w:rFonts w:ascii="Times New Roman" w:hAnsi="Times New Roman" w:eastAsia="仿宋_GB2312"/>
                <w:kern w:val="0"/>
                <w:sz w:val="18"/>
                <w:szCs w:val="18"/>
              </w:rPr>
              <w:t>　</w:t>
            </w:r>
          </w:p>
        </w:tc>
        <w:tc>
          <w:tcPr>
            <w:tcW w:w="3369" w:type="dxa"/>
            <w:gridSpan w:val="2"/>
            <w:tcBorders>
              <w:top w:val="single" w:color="auto" w:sz="4" w:space="0"/>
              <w:left w:val="nil"/>
              <w:bottom w:val="single" w:color="auto" w:sz="4" w:space="0"/>
              <w:right w:val="single" w:color="000000" w:sz="4" w:space="0"/>
            </w:tcBorders>
            <w:noWrap w:val="0"/>
            <w:vAlign w:val="center"/>
          </w:tcPr>
          <w:p w14:paraId="5FEBB7C2">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23.43</w:t>
            </w:r>
          </w:p>
        </w:tc>
        <w:tc>
          <w:tcPr>
            <w:tcW w:w="2381" w:type="dxa"/>
            <w:gridSpan w:val="2"/>
            <w:tcBorders>
              <w:top w:val="single" w:color="auto" w:sz="4" w:space="0"/>
              <w:left w:val="nil"/>
              <w:bottom w:val="single" w:color="auto" w:sz="4" w:space="0"/>
              <w:right w:val="single" w:color="000000" w:sz="4" w:space="0"/>
            </w:tcBorders>
            <w:noWrap w:val="0"/>
            <w:vAlign w:val="center"/>
          </w:tcPr>
          <w:p w14:paraId="1C5BCA03">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2.31</w:t>
            </w:r>
            <w:r>
              <w:rPr>
                <w:rFonts w:ascii="Times New Roman" w:hAnsi="Times New Roman" w:eastAsia="仿宋_GB2312"/>
                <w:kern w:val="0"/>
                <w:sz w:val="18"/>
                <w:szCs w:val="18"/>
              </w:rPr>
              <w:t>　</w:t>
            </w:r>
          </w:p>
        </w:tc>
      </w:tr>
      <w:tr w14:paraId="04F9E703">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34F49CEB">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   1、公务用车购置和维护经费</w:t>
            </w:r>
          </w:p>
        </w:tc>
        <w:tc>
          <w:tcPr>
            <w:tcW w:w="3067" w:type="dxa"/>
            <w:gridSpan w:val="2"/>
            <w:tcBorders>
              <w:top w:val="single" w:color="auto" w:sz="4" w:space="0"/>
              <w:left w:val="nil"/>
              <w:bottom w:val="single" w:color="auto" w:sz="4" w:space="0"/>
              <w:right w:val="single" w:color="000000" w:sz="4" w:space="0"/>
            </w:tcBorders>
            <w:noWrap w:val="0"/>
            <w:vAlign w:val="center"/>
          </w:tcPr>
          <w:p w14:paraId="7D8392A5">
            <w:pPr>
              <w:widowControl/>
              <w:spacing w:line="240" w:lineRule="exact"/>
              <w:jc w:val="center"/>
              <w:rPr>
                <w:rFonts w:hint="default"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2.84</w:t>
            </w:r>
          </w:p>
        </w:tc>
        <w:tc>
          <w:tcPr>
            <w:tcW w:w="3369" w:type="dxa"/>
            <w:gridSpan w:val="2"/>
            <w:tcBorders>
              <w:top w:val="single" w:color="auto" w:sz="4" w:space="0"/>
              <w:left w:val="nil"/>
              <w:bottom w:val="single" w:color="auto" w:sz="4" w:space="0"/>
              <w:right w:val="single" w:color="000000" w:sz="4" w:space="0"/>
            </w:tcBorders>
            <w:noWrap w:val="0"/>
            <w:vAlign w:val="center"/>
          </w:tcPr>
          <w:p w14:paraId="31B1D7B7">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13.96</w:t>
            </w:r>
            <w:r>
              <w:rPr>
                <w:rFonts w:ascii="Times New Roman" w:hAnsi="Times New Roman" w:eastAsia="仿宋_GB2312"/>
                <w:kern w:val="0"/>
                <w:sz w:val="18"/>
                <w:szCs w:val="18"/>
              </w:rPr>
              <w:t>　</w:t>
            </w:r>
          </w:p>
        </w:tc>
        <w:tc>
          <w:tcPr>
            <w:tcW w:w="2381" w:type="dxa"/>
            <w:gridSpan w:val="2"/>
            <w:tcBorders>
              <w:top w:val="single" w:color="auto" w:sz="4" w:space="0"/>
              <w:left w:val="nil"/>
              <w:bottom w:val="single" w:color="auto" w:sz="4" w:space="0"/>
              <w:right w:val="single" w:color="000000" w:sz="4" w:space="0"/>
            </w:tcBorders>
            <w:noWrap w:val="0"/>
            <w:vAlign w:val="center"/>
          </w:tcPr>
          <w:p w14:paraId="4AAFCF04">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1.11</w:t>
            </w:r>
            <w:r>
              <w:rPr>
                <w:rFonts w:ascii="Times New Roman" w:hAnsi="Times New Roman" w:eastAsia="仿宋_GB2312"/>
                <w:kern w:val="0"/>
                <w:sz w:val="18"/>
                <w:szCs w:val="18"/>
              </w:rPr>
              <w:t>　</w:t>
            </w:r>
          </w:p>
        </w:tc>
      </w:tr>
      <w:tr w14:paraId="6560263D">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15422626">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       其中：公车购置</w:t>
            </w:r>
          </w:p>
        </w:tc>
        <w:tc>
          <w:tcPr>
            <w:tcW w:w="3067" w:type="dxa"/>
            <w:gridSpan w:val="2"/>
            <w:tcBorders>
              <w:top w:val="single" w:color="auto" w:sz="4" w:space="0"/>
              <w:left w:val="nil"/>
              <w:bottom w:val="single" w:color="auto" w:sz="4" w:space="0"/>
              <w:right w:val="single" w:color="000000" w:sz="4" w:space="0"/>
            </w:tcBorders>
            <w:noWrap w:val="0"/>
            <w:vAlign w:val="center"/>
          </w:tcPr>
          <w:p w14:paraId="130CF83B">
            <w:pPr>
              <w:widowControl/>
              <w:spacing w:line="240" w:lineRule="exact"/>
              <w:jc w:val="center"/>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c>
          <w:tcPr>
            <w:tcW w:w="3369" w:type="dxa"/>
            <w:gridSpan w:val="2"/>
            <w:tcBorders>
              <w:top w:val="single" w:color="auto" w:sz="4" w:space="0"/>
              <w:left w:val="nil"/>
              <w:bottom w:val="single" w:color="auto" w:sz="4" w:space="0"/>
              <w:right w:val="single" w:color="000000" w:sz="4" w:space="0"/>
            </w:tcBorders>
            <w:noWrap w:val="0"/>
            <w:vAlign w:val="center"/>
          </w:tcPr>
          <w:p w14:paraId="1C4833D8">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0</w:t>
            </w:r>
            <w:r>
              <w:rPr>
                <w:rFonts w:ascii="Times New Roman" w:hAnsi="Times New Roman" w:eastAsia="仿宋_GB2312"/>
                <w:kern w:val="0"/>
                <w:sz w:val="18"/>
                <w:szCs w:val="18"/>
              </w:rPr>
              <w:t>　</w:t>
            </w:r>
          </w:p>
        </w:tc>
        <w:tc>
          <w:tcPr>
            <w:tcW w:w="2381" w:type="dxa"/>
            <w:gridSpan w:val="2"/>
            <w:tcBorders>
              <w:top w:val="single" w:color="auto" w:sz="4" w:space="0"/>
              <w:left w:val="nil"/>
              <w:bottom w:val="single" w:color="auto" w:sz="4" w:space="0"/>
              <w:right w:val="single" w:color="000000" w:sz="4" w:space="0"/>
            </w:tcBorders>
            <w:noWrap w:val="0"/>
            <w:vAlign w:val="center"/>
          </w:tcPr>
          <w:p w14:paraId="0F4E2F65">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0</w:t>
            </w:r>
            <w:r>
              <w:rPr>
                <w:rFonts w:ascii="Times New Roman" w:hAnsi="Times New Roman" w:eastAsia="仿宋_GB2312"/>
                <w:kern w:val="0"/>
                <w:sz w:val="18"/>
                <w:szCs w:val="18"/>
              </w:rPr>
              <w:t>　</w:t>
            </w:r>
          </w:p>
        </w:tc>
      </w:tr>
      <w:tr w14:paraId="3E6BA92C">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7EA614A6">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             公车运行维护</w:t>
            </w:r>
          </w:p>
        </w:tc>
        <w:tc>
          <w:tcPr>
            <w:tcW w:w="3067" w:type="dxa"/>
            <w:gridSpan w:val="2"/>
            <w:tcBorders>
              <w:top w:val="single" w:color="auto" w:sz="4" w:space="0"/>
              <w:left w:val="nil"/>
              <w:bottom w:val="single" w:color="auto" w:sz="4" w:space="0"/>
              <w:right w:val="single" w:color="000000" w:sz="4" w:space="0"/>
            </w:tcBorders>
            <w:noWrap w:val="0"/>
            <w:vAlign w:val="center"/>
          </w:tcPr>
          <w:p w14:paraId="59677D99">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2.84</w:t>
            </w:r>
            <w:r>
              <w:rPr>
                <w:rFonts w:ascii="Times New Roman" w:hAnsi="Times New Roman" w:eastAsia="仿宋_GB2312"/>
                <w:kern w:val="0"/>
                <w:sz w:val="18"/>
                <w:szCs w:val="18"/>
              </w:rPr>
              <w:t>　</w:t>
            </w:r>
          </w:p>
        </w:tc>
        <w:tc>
          <w:tcPr>
            <w:tcW w:w="3369" w:type="dxa"/>
            <w:gridSpan w:val="2"/>
            <w:tcBorders>
              <w:top w:val="single" w:color="auto" w:sz="4" w:space="0"/>
              <w:left w:val="nil"/>
              <w:bottom w:val="single" w:color="auto" w:sz="4" w:space="0"/>
              <w:right w:val="single" w:color="000000" w:sz="4" w:space="0"/>
            </w:tcBorders>
            <w:noWrap w:val="0"/>
            <w:vAlign w:val="center"/>
          </w:tcPr>
          <w:p w14:paraId="18CF6912">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13.96</w:t>
            </w:r>
            <w:r>
              <w:rPr>
                <w:rFonts w:ascii="Times New Roman" w:hAnsi="Times New Roman" w:eastAsia="仿宋_GB2312"/>
                <w:kern w:val="0"/>
                <w:sz w:val="18"/>
                <w:szCs w:val="18"/>
              </w:rPr>
              <w:t>　</w:t>
            </w:r>
          </w:p>
        </w:tc>
        <w:tc>
          <w:tcPr>
            <w:tcW w:w="2381" w:type="dxa"/>
            <w:gridSpan w:val="2"/>
            <w:tcBorders>
              <w:top w:val="single" w:color="auto" w:sz="4" w:space="0"/>
              <w:left w:val="nil"/>
              <w:bottom w:val="single" w:color="auto" w:sz="4" w:space="0"/>
              <w:right w:val="single" w:color="000000" w:sz="4" w:space="0"/>
            </w:tcBorders>
            <w:noWrap w:val="0"/>
            <w:vAlign w:val="center"/>
          </w:tcPr>
          <w:p w14:paraId="4843434A">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1.11</w:t>
            </w:r>
            <w:r>
              <w:rPr>
                <w:rFonts w:ascii="Times New Roman" w:hAnsi="Times New Roman" w:eastAsia="仿宋_GB2312"/>
                <w:kern w:val="0"/>
                <w:sz w:val="18"/>
                <w:szCs w:val="18"/>
              </w:rPr>
              <w:t>　</w:t>
            </w:r>
          </w:p>
        </w:tc>
      </w:tr>
      <w:tr w14:paraId="361E8703">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3205B980">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   2、出国经费</w:t>
            </w:r>
          </w:p>
        </w:tc>
        <w:tc>
          <w:tcPr>
            <w:tcW w:w="3067" w:type="dxa"/>
            <w:gridSpan w:val="2"/>
            <w:tcBorders>
              <w:top w:val="single" w:color="auto" w:sz="4" w:space="0"/>
              <w:left w:val="nil"/>
              <w:bottom w:val="single" w:color="auto" w:sz="4" w:space="0"/>
              <w:right w:val="single" w:color="000000" w:sz="4" w:space="0"/>
            </w:tcBorders>
            <w:noWrap w:val="0"/>
            <w:vAlign w:val="center"/>
          </w:tcPr>
          <w:p w14:paraId="255954FB">
            <w:pPr>
              <w:widowControl/>
              <w:spacing w:line="240" w:lineRule="exact"/>
              <w:jc w:val="center"/>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c>
          <w:tcPr>
            <w:tcW w:w="3369" w:type="dxa"/>
            <w:gridSpan w:val="2"/>
            <w:tcBorders>
              <w:top w:val="single" w:color="auto" w:sz="4" w:space="0"/>
              <w:left w:val="nil"/>
              <w:bottom w:val="single" w:color="auto" w:sz="4" w:space="0"/>
              <w:right w:val="single" w:color="000000" w:sz="4" w:space="0"/>
            </w:tcBorders>
            <w:noWrap w:val="0"/>
            <w:vAlign w:val="center"/>
          </w:tcPr>
          <w:p w14:paraId="2C43A42E">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0</w:t>
            </w:r>
            <w:r>
              <w:rPr>
                <w:rFonts w:ascii="Times New Roman" w:hAnsi="Times New Roman" w:eastAsia="仿宋_GB2312"/>
                <w:kern w:val="0"/>
                <w:sz w:val="18"/>
                <w:szCs w:val="18"/>
              </w:rPr>
              <w:t>　</w:t>
            </w:r>
          </w:p>
        </w:tc>
        <w:tc>
          <w:tcPr>
            <w:tcW w:w="2381" w:type="dxa"/>
            <w:gridSpan w:val="2"/>
            <w:tcBorders>
              <w:top w:val="single" w:color="auto" w:sz="4" w:space="0"/>
              <w:left w:val="nil"/>
              <w:bottom w:val="single" w:color="auto" w:sz="4" w:space="0"/>
              <w:right w:val="single" w:color="000000" w:sz="4" w:space="0"/>
            </w:tcBorders>
            <w:noWrap w:val="0"/>
            <w:vAlign w:val="center"/>
          </w:tcPr>
          <w:p w14:paraId="0555B44C">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0</w:t>
            </w:r>
            <w:r>
              <w:rPr>
                <w:rFonts w:ascii="Times New Roman" w:hAnsi="Times New Roman" w:eastAsia="仿宋_GB2312"/>
                <w:kern w:val="0"/>
                <w:sz w:val="18"/>
                <w:szCs w:val="18"/>
              </w:rPr>
              <w:t>　</w:t>
            </w:r>
          </w:p>
        </w:tc>
      </w:tr>
      <w:tr w14:paraId="3882CD6C">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748CF7E2">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   3、公务接待</w:t>
            </w:r>
          </w:p>
        </w:tc>
        <w:tc>
          <w:tcPr>
            <w:tcW w:w="3067" w:type="dxa"/>
            <w:gridSpan w:val="2"/>
            <w:tcBorders>
              <w:top w:val="single" w:color="auto" w:sz="4" w:space="0"/>
              <w:left w:val="nil"/>
              <w:bottom w:val="single" w:color="auto" w:sz="4" w:space="0"/>
              <w:right w:val="single" w:color="000000" w:sz="4" w:space="0"/>
            </w:tcBorders>
            <w:noWrap w:val="0"/>
            <w:vAlign w:val="center"/>
          </w:tcPr>
          <w:p w14:paraId="796F95AD">
            <w:pPr>
              <w:widowControl/>
              <w:spacing w:line="240" w:lineRule="exact"/>
              <w:jc w:val="center"/>
              <w:rPr>
                <w:rFonts w:hint="default"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0.45</w:t>
            </w:r>
          </w:p>
        </w:tc>
        <w:tc>
          <w:tcPr>
            <w:tcW w:w="3369" w:type="dxa"/>
            <w:gridSpan w:val="2"/>
            <w:tcBorders>
              <w:top w:val="single" w:color="auto" w:sz="4" w:space="0"/>
              <w:left w:val="nil"/>
              <w:bottom w:val="single" w:color="auto" w:sz="4" w:space="0"/>
              <w:right w:val="single" w:color="000000" w:sz="4" w:space="0"/>
            </w:tcBorders>
            <w:noWrap w:val="0"/>
            <w:vAlign w:val="center"/>
          </w:tcPr>
          <w:p w14:paraId="68448BC3">
            <w:pPr>
              <w:widowControl/>
              <w:spacing w:line="240" w:lineRule="exact"/>
              <w:jc w:val="center"/>
              <w:rPr>
                <w:rFonts w:hint="default"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9.47</w:t>
            </w:r>
          </w:p>
        </w:tc>
        <w:tc>
          <w:tcPr>
            <w:tcW w:w="2381" w:type="dxa"/>
            <w:gridSpan w:val="2"/>
            <w:tcBorders>
              <w:top w:val="single" w:color="auto" w:sz="4" w:space="0"/>
              <w:left w:val="nil"/>
              <w:bottom w:val="single" w:color="auto" w:sz="4" w:space="0"/>
              <w:right w:val="single" w:color="000000" w:sz="4" w:space="0"/>
            </w:tcBorders>
            <w:noWrap w:val="0"/>
            <w:vAlign w:val="center"/>
          </w:tcPr>
          <w:p w14:paraId="08CC5D48">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1.2</w:t>
            </w:r>
            <w:r>
              <w:rPr>
                <w:rFonts w:ascii="Times New Roman" w:hAnsi="Times New Roman" w:eastAsia="仿宋_GB2312"/>
                <w:kern w:val="0"/>
                <w:sz w:val="18"/>
                <w:szCs w:val="18"/>
              </w:rPr>
              <w:t>　</w:t>
            </w:r>
          </w:p>
        </w:tc>
      </w:tr>
      <w:tr w14:paraId="6006E625">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058437A4">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项目支出：        （一个项目一行）</w:t>
            </w:r>
          </w:p>
        </w:tc>
        <w:tc>
          <w:tcPr>
            <w:tcW w:w="3067" w:type="dxa"/>
            <w:gridSpan w:val="2"/>
            <w:tcBorders>
              <w:top w:val="single" w:color="auto" w:sz="4" w:space="0"/>
              <w:left w:val="nil"/>
              <w:bottom w:val="single" w:color="auto" w:sz="4" w:space="0"/>
              <w:right w:val="single" w:color="000000" w:sz="4" w:space="0"/>
            </w:tcBorders>
            <w:noWrap w:val="0"/>
            <w:vAlign w:val="center"/>
          </w:tcPr>
          <w:p w14:paraId="7FEE49C5">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576.5</w:t>
            </w:r>
            <w:r>
              <w:rPr>
                <w:rFonts w:ascii="Times New Roman" w:hAnsi="Times New Roman" w:eastAsia="仿宋_GB2312"/>
                <w:kern w:val="0"/>
                <w:sz w:val="18"/>
                <w:szCs w:val="18"/>
              </w:rPr>
              <w:t>　</w:t>
            </w:r>
          </w:p>
        </w:tc>
        <w:tc>
          <w:tcPr>
            <w:tcW w:w="3369" w:type="dxa"/>
            <w:gridSpan w:val="2"/>
            <w:tcBorders>
              <w:top w:val="single" w:color="auto" w:sz="4" w:space="0"/>
              <w:left w:val="nil"/>
              <w:bottom w:val="single" w:color="auto" w:sz="4" w:space="0"/>
              <w:right w:val="single" w:color="000000" w:sz="4" w:space="0"/>
            </w:tcBorders>
            <w:noWrap w:val="0"/>
            <w:vAlign w:val="center"/>
          </w:tcPr>
          <w:p w14:paraId="31364A3A">
            <w:pPr>
              <w:widowControl/>
              <w:spacing w:line="240" w:lineRule="exact"/>
              <w:jc w:val="center"/>
              <w:rPr>
                <w:rFonts w:hint="default"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112</w:t>
            </w:r>
          </w:p>
        </w:tc>
        <w:tc>
          <w:tcPr>
            <w:tcW w:w="2381" w:type="dxa"/>
            <w:gridSpan w:val="2"/>
            <w:tcBorders>
              <w:top w:val="single" w:color="auto" w:sz="4" w:space="0"/>
              <w:left w:val="nil"/>
              <w:bottom w:val="single" w:color="auto" w:sz="4" w:space="0"/>
              <w:right w:val="single" w:color="000000" w:sz="4" w:space="0"/>
            </w:tcBorders>
            <w:noWrap w:val="0"/>
            <w:vAlign w:val="center"/>
          </w:tcPr>
          <w:p w14:paraId="56B47770">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992.41</w:t>
            </w:r>
            <w:r>
              <w:rPr>
                <w:rFonts w:ascii="Times New Roman" w:hAnsi="Times New Roman" w:eastAsia="仿宋_GB2312"/>
                <w:kern w:val="0"/>
                <w:sz w:val="18"/>
                <w:szCs w:val="18"/>
              </w:rPr>
              <w:t>　</w:t>
            </w:r>
          </w:p>
        </w:tc>
      </w:tr>
      <w:tr w14:paraId="5A0A63E4">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1EA5B3AC">
            <w:pPr>
              <w:widowControl/>
              <w:spacing w:line="240" w:lineRule="exact"/>
              <w:jc w:val="left"/>
              <w:rPr>
                <w:rFonts w:hint="eastAsia" w:ascii="Times New Roman" w:hAnsi="Times New Roman" w:eastAsia="仿宋_GB2312"/>
                <w:kern w:val="0"/>
                <w:sz w:val="18"/>
                <w:szCs w:val="18"/>
                <w:lang w:eastAsia="zh-CN"/>
              </w:rPr>
            </w:pPr>
            <w:r>
              <w:rPr>
                <w:rFonts w:ascii="Times New Roman" w:hAnsi="Times New Roman" w:eastAsia="仿宋_GB2312"/>
                <w:kern w:val="0"/>
                <w:sz w:val="18"/>
                <w:szCs w:val="18"/>
              </w:rPr>
              <w:t xml:space="preserve">    1、业务工作专项</w:t>
            </w:r>
          </w:p>
        </w:tc>
        <w:tc>
          <w:tcPr>
            <w:tcW w:w="3067" w:type="dxa"/>
            <w:gridSpan w:val="2"/>
            <w:tcBorders>
              <w:top w:val="single" w:color="auto" w:sz="4" w:space="0"/>
              <w:left w:val="nil"/>
              <w:bottom w:val="single" w:color="auto" w:sz="4" w:space="0"/>
              <w:right w:val="single" w:color="000000" w:sz="4" w:space="0"/>
            </w:tcBorders>
            <w:noWrap w:val="0"/>
            <w:vAlign w:val="center"/>
          </w:tcPr>
          <w:p w14:paraId="4DF92A33">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144</w:t>
            </w:r>
            <w:r>
              <w:rPr>
                <w:rFonts w:ascii="Times New Roman" w:hAnsi="Times New Roman" w:eastAsia="仿宋_GB2312"/>
                <w:kern w:val="0"/>
                <w:sz w:val="18"/>
                <w:szCs w:val="18"/>
              </w:rPr>
              <w:t>　</w:t>
            </w:r>
          </w:p>
        </w:tc>
        <w:tc>
          <w:tcPr>
            <w:tcW w:w="3369" w:type="dxa"/>
            <w:gridSpan w:val="2"/>
            <w:tcBorders>
              <w:top w:val="single" w:color="auto" w:sz="4" w:space="0"/>
              <w:left w:val="nil"/>
              <w:bottom w:val="single" w:color="auto" w:sz="4" w:space="0"/>
              <w:right w:val="single" w:color="000000" w:sz="4" w:space="0"/>
            </w:tcBorders>
            <w:noWrap w:val="0"/>
            <w:vAlign w:val="center"/>
          </w:tcPr>
          <w:p w14:paraId="7F64D517">
            <w:pPr>
              <w:widowControl/>
              <w:spacing w:line="240" w:lineRule="exact"/>
              <w:jc w:val="center"/>
              <w:rPr>
                <w:rFonts w:hint="default" w:ascii="Times New Roman" w:hAnsi="Times New Roman" w:eastAsia="仿宋_GB2312"/>
                <w:kern w:val="0"/>
                <w:sz w:val="18"/>
                <w:szCs w:val="18"/>
                <w:lang w:val="en-US" w:eastAsia="zh-CN"/>
              </w:rPr>
            </w:pPr>
          </w:p>
        </w:tc>
        <w:tc>
          <w:tcPr>
            <w:tcW w:w="2381" w:type="dxa"/>
            <w:gridSpan w:val="2"/>
            <w:tcBorders>
              <w:top w:val="single" w:color="auto" w:sz="4" w:space="0"/>
              <w:left w:val="nil"/>
              <w:bottom w:val="single" w:color="auto" w:sz="4" w:space="0"/>
              <w:right w:val="single" w:color="000000" w:sz="4" w:space="0"/>
            </w:tcBorders>
            <w:noWrap w:val="0"/>
            <w:vAlign w:val="center"/>
          </w:tcPr>
          <w:p w14:paraId="163F8B5F">
            <w:pPr>
              <w:widowControl/>
              <w:spacing w:line="240" w:lineRule="exact"/>
              <w:jc w:val="center"/>
              <w:rPr>
                <w:rFonts w:hint="default" w:ascii="Times New Roman" w:hAnsi="Times New Roman" w:eastAsia="仿宋_GB2312"/>
                <w:kern w:val="0"/>
                <w:sz w:val="18"/>
                <w:szCs w:val="18"/>
                <w:lang w:val="en-US"/>
              </w:rPr>
            </w:pPr>
            <w:r>
              <w:rPr>
                <w:rFonts w:hint="eastAsia" w:ascii="Times New Roman" w:hAnsi="Times New Roman" w:eastAsia="仿宋_GB2312"/>
                <w:kern w:val="0"/>
                <w:sz w:val="18"/>
                <w:szCs w:val="18"/>
                <w:lang w:val="en-US" w:eastAsia="zh-CN"/>
              </w:rPr>
              <w:t>824</w:t>
            </w:r>
          </w:p>
        </w:tc>
      </w:tr>
      <w:tr w14:paraId="3C4F7D20">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58CFB5EB">
            <w:pPr>
              <w:widowControl/>
              <w:spacing w:line="240" w:lineRule="exact"/>
              <w:ind w:firstLine="900" w:firstLineChars="500"/>
              <w:jc w:val="left"/>
              <w:rPr>
                <w:rFonts w:ascii="Times New Roman" w:hAnsi="Times New Roman" w:eastAsia="仿宋_GB2312"/>
                <w:kern w:val="0"/>
                <w:sz w:val="18"/>
                <w:szCs w:val="18"/>
              </w:rPr>
            </w:pPr>
            <w:r>
              <w:rPr>
                <w:rFonts w:hint="eastAsia" w:ascii="Times New Roman" w:hAnsi="Times New Roman" w:eastAsia="仿宋_GB2312"/>
                <w:kern w:val="0"/>
                <w:sz w:val="18"/>
                <w:szCs w:val="18"/>
                <w:lang w:eastAsia="zh-CN"/>
              </w:rPr>
              <w:t>大山沼气工程项目</w:t>
            </w:r>
          </w:p>
        </w:tc>
        <w:tc>
          <w:tcPr>
            <w:tcW w:w="3067" w:type="dxa"/>
            <w:gridSpan w:val="2"/>
            <w:tcBorders>
              <w:top w:val="single" w:color="auto" w:sz="4" w:space="0"/>
              <w:left w:val="nil"/>
              <w:bottom w:val="single" w:color="auto" w:sz="4" w:space="0"/>
              <w:right w:val="single" w:color="000000" w:sz="4" w:space="0"/>
            </w:tcBorders>
            <w:noWrap w:val="0"/>
            <w:vAlign w:val="center"/>
          </w:tcPr>
          <w:p w14:paraId="23282B88">
            <w:pPr>
              <w:widowControl/>
              <w:spacing w:line="240" w:lineRule="exact"/>
              <w:jc w:val="center"/>
              <w:rPr>
                <w:rFonts w:hint="eastAsia" w:ascii="Times New Roman" w:hAnsi="Times New Roman" w:eastAsia="仿宋_GB2312"/>
                <w:kern w:val="0"/>
                <w:sz w:val="18"/>
                <w:szCs w:val="18"/>
                <w:lang w:val="en-US" w:eastAsia="zh-CN"/>
              </w:rPr>
            </w:pPr>
          </w:p>
        </w:tc>
        <w:tc>
          <w:tcPr>
            <w:tcW w:w="3369" w:type="dxa"/>
            <w:gridSpan w:val="2"/>
            <w:tcBorders>
              <w:top w:val="single" w:color="auto" w:sz="4" w:space="0"/>
              <w:left w:val="nil"/>
              <w:bottom w:val="single" w:color="auto" w:sz="4" w:space="0"/>
              <w:right w:val="single" w:color="000000" w:sz="4" w:space="0"/>
            </w:tcBorders>
            <w:noWrap w:val="0"/>
            <w:vAlign w:val="center"/>
          </w:tcPr>
          <w:p w14:paraId="082BD2C3">
            <w:pPr>
              <w:widowControl/>
              <w:spacing w:line="240" w:lineRule="exact"/>
              <w:jc w:val="center"/>
              <w:rPr>
                <w:rFonts w:hint="default" w:ascii="Times New Roman" w:hAnsi="Times New Roman" w:eastAsia="仿宋_GB2312"/>
                <w:kern w:val="0"/>
                <w:sz w:val="18"/>
                <w:szCs w:val="18"/>
                <w:lang w:val="en-US" w:eastAsia="zh-CN"/>
              </w:rPr>
            </w:pPr>
          </w:p>
        </w:tc>
        <w:tc>
          <w:tcPr>
            <w:tcW w:w="2381" w:type="dxa"/>
            <w:gridSpan w:val="2"/>
            <w:tcBorders>
              <w:top w:val="single" w:color="auto" w:sz="4" w:space="0"/>
              <w:left w:val="nil"/>
              <w:bottom w:val="single" w:color="auto" w:sz="4" w:space="0"/>
              <w:right w:val="single" w:color="000000" w:sz="4" w:space="0"/>
            </w:tcBorders>
            <w:noWrap w:val="0"/>
            <w:vAlign w:val="center"/>
          </w:tcPr>
          <w:p w14:paraId="5E9E6297">
            <w:pPr>
              <w:widowControl/>
              <w:spacing w:line="240" w:lineRule="exact"/>
              <w:jc w:val="center"/>
              <w:rPr>
                <w:rFonts w:hint="default"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23</w:t>
            </w:r>
          </w:p>
        </w:tc>
      </w:tr>
      <w:tr w14:paraId="53764923">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2AE589A2">
            <w:pPr>
              <w:widowControl/>
              <w:spacing w:line="240" w:lineRule="exact"/>
              <w:ind w:firstLine="900" w:firstLineChars="500"/>
              <w:jc w:val="left"/>
              <w:rPr>
                <w:rFonts w:ascii="Times New Roman" w:hAnsi="Times New Roman" w:eastAsia="仿宋_GB2312"/>
                <w:kern w:val="0"/>
                <w:sz w:val="18"/>
                <w:szCs w:val="18"/>
              </w:rPr>
            </w:pPr>
            <w:r>
              <w:rPr>
                <w:rFonts w:hint="eastAsia" w:ascii="Times New Roman" w:hAnsi="Times New Roman" w:eastAsia="仿宋_GB2312"/>
                <w:kern w:val="0"/>
                <w:sz w:val="18"/>
                <w:szCs w:val="18"/>
                <w:lang w:eastAsia="zh-CN"/>
              </w:rPr>
              <w:t>湘西地区开发产业发展专项资金</w:t>
            </w:r>
          </w:p>
        </w:tc>
        <w:tc>
          <w:tcPr>
            <w:tcW w:w="3067" w:type="dxa"/>
            <w:gridSpan w:val="2"/>
            <w:tcBorders>
              <w:top w:val="single" w:color="auto" w:sz="4" w:space="0"/>
              <w:left w:val="nil"/>
              <w:bottom w:val="single" w:color="auto" w:sz="4" w:space="0"/>
              <w:right w:val="single" w:color="000000" w:sz="4" w:space="0"/>
            </w:tcBorders>
            <w:noWrap w:val="0"/>
            <w:vAlign w:val="center"/>
          </w:tcPr>
          <w:p w14:paraId="75EE47DD">
            <w:pPr>
              <w:widowControl/>
              <w:spacing w:line="240" w:lineRule="exact"/>
              <w:jc w:val="center"/>
              <w:rPr>
                <w:rFonts w:hint="eastAsia" w:ascii="Times New Roman" w:hAnsi="Times New Roman" w:eastAsia="仿宋_GB2312"/>
                <w:kern w:val="0"/>
                <w:sz w:val="18"/>
                <w:szCs w:val="18"/>
                <w:lang w:val="en-US" w:eastAsia="zh-CN"/>
              </w:rPr>
            </w:pPr>
          </w:p>
        </w:tc>
        <w:tc>
          <w:tcPr>
            <w:tcW w:w="3369" w:type="dxa"/>
            <w:gridSpan w:val="2"/>
            <w:tcBorders>
              <w:top w:val="single" w:color="auto" w:sz="4" w:space="0"/>
              <w:left w:val="nil"/>
              <w:bottom w:val="single" w:color="auto" w:sz="4" w:space="0"/>
              <w:right w:val="single" w:color="000000" w:sz="4" w:space="0"/>
            </w:tcBorders>
            <w:noWrap w:val="0"/>
            <w:vAlign w:val="center"/>
          </w:tcPr>
          <w:p w14:paraId="7447593C">
            <w:pPr>
              <w:widowControl/>
              <w:spacing w:line="240" w:lineRule="exact"/>
              <w:jc w:val="center"/>
              <w:rPr>
                <w:rFonts w:hint="default" w:ascii="Times New Roman" w:hAnsi="Times New Roman" w:eastAsia="仿宋_GB2312"/>
                <w:kern w:val="0"/>
                <w:sz w:val="18"/>
                <w:szCs w:val="18"/>
                <w:lang w:val="en-US" w:eastAsia="zh-CN"/>
              </w:rPr>
            </w:pPr>
          </w:p>
        </w:tc>
        <w:tc>
          <w:tcPr>
            <w:tcW w:w="2381" w:type="dxa"/>
            <w:gridSpan w:val="2"/>
            <w:tcBorders>
              <w:top w:val="single" w:color="auto" w:sz="4" w:space="0"/>
              <w:left w:val="nil"/>
              <w:bottom w:val="single" w:color="auto" w:sz="4" w:space="0"/>
              <w:right w:val="single" w:color="000000" w:sz="4" w:space="0"/>
            </w:tcBorders>
            <w:noWrap w:val="0"/>
            <w:vAlign w:val="center"/>
          </w:tcPr>
          <w:p w14:paraId="282F4CE4">
            <w:pPr>
              <w:widowControl/>
              <w:spacing w:line="240" w:lineRule="exact"/>
              <w:jc w:val="center"/>
              <w:rPr>
                <w:rFonts w:hint="default"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781</w:t>
            </w:r>
          </w:p>
        </w:tc>
      </w:tr>
      <w:tr w14:paraId="5343E8E9">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2D704AA5">
            <w:pPr>
              <w:widowControl/>
              <w:spacing w:line="240" w:lineRule="exact"/>
              <w:jc w:val="left"/>
              <w:rPr>
                <w:rFonts w:hint="default"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 xml:space="preserve">          </w:t>
            </w:r>
            <w:r>
              <w:rPr>
                <w:rFonts w:hint="eastAsia" w:ascii="Times New Roman" w:hAnsi="Times New Roman" w:eastAsia="仿宋_GB2312"/>
                <w:kern w:val="0"/>
                <w:sz w:val="18"/>
                <w:szCs w:val="18"/>
                <w:lang w:eastAsia="zh-CN"/>
              </w:rPr>
              <w:t>乡村振兴规划编制费</w:t>
            </w:r>
          </w:p>
        </w:tc>
        <w:tc>
          <w:tcPr>
            <w:tcW w:w="3067" w:type="dxa"/>
            <w:gridSpan w:val="2"/>
            <w:tcBorders>
              <w:top w:val="single" w:color="auto" w:sz="4" w:space="0"/>
              <w:left w:val="nil"/>
              <w:bottom w:val="single" w:color="auto" w:sz="4" w:space="0"/>
              <w:right w:val="single" w:color="000000" w:sz="4" w:space="0"/>
            </w:tcBorders>
            <w:noWrap w:val="0"/>
            <w:vAlign w:val="center"/>
          </w:tcPr>
          <w:p w14:paraId="14294795">
            <w:pPr>
              <w:widowControl/>
              <w:spacing w:line="240" w:lineRule="exact"/>
              <w:jc w:val="center"/>
              <w:rPr>
                <w:rFonts w:hint="eastAsia" w:ascii="Times New Roman" w:hAnsi="Times New Roman" w:eastAsia="仿宋_GB2312"/>
                <w:kern w:val="0"/>
                <w:sz w:val="18"/>
                <w:szCs w:val="18"/>
                <w:lang w:val="en-US" w:eastAsia="zh-CN"/>
              </w:rPr>
            </w:pPr>
          </w:p>
        </w:tc>
        <w:tc>
          <w:tcPr>
            <w:tcW w:w="3369" w:type="dxa"/>
            <w:gridSpan w:val="2"/>
            <w:tcBorders>
              <w:top w:val="single" w:color="auto" w:sz="4" w:space="0"/>
              <w:left w:val="nil"/>
              <w:bottom w:val="single" w:color="auto" w:sz="4" w:space="0"/>
              <w:right w:val="single" w:color="000000" w:sz="4" w:space="0"/>
            </w:tcBorders>
            <w:noWrap w:val="0"/>
            <w:vAlign w:val="center"/>
          </w:tcPr>
          <w:p w14:paraId="6CA5D74F">
            <w:pPr>
              <w:widowControl/>
              <w:spacing w:line="240" w:lineRule="exact"/>
              <w:jc w:val="center"/>
              <w:rPr>
                <w:rFonts w:hint="default" w:ascii="Times New Roman" w:hAnsi="Times New Roman" w:eastAsia="仿宋_GB2312"/>
                <w:kern w:val="0"/>
                <w:sz w:val="18"/>
                <w:szCs w:val="18"/>
                <w:lang w:val="en-US" w:eastAsia="zh-CN"/>
              </w:rPr>
            </w:pPr>
          </w:p>
        </w:tc>
        <w:tc>
          <w:tcPr>
            <w:tcW w:w="2381" w:type="dxa"/>
            <w:gridSpan w:val="2"/>
            <w:tcBorders>
              <w:top w:val="single" w:color="auto" w:sz="4" w:space="0"/>
              <w:left w:val="nil"/>
              <w:bottom w:val="single" w:color="auto" w:sz="4" w:space="0"/>
              <w:right w:val="single" w:color="000000" w:sz="4" w:space="0"/>
            </w:tcBorders>
            <w:noWrap w:val="0"/>
            <w:vAlign w:val="center"/>
          </w:tcPr>
          <w:p w14:paraId="43C2AA31">
            <w:pPr>
              <w:widowControl/>
              <w:spacing w:line="240" w:lineRule="exact"/>
              <w:jc w:val="center"/>
              <w:rPr>
                <w:rFonts w:hint="default"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20</w:t>
            </w:r>
          </w:p>
        </w:tc>
      </w:tr>
      <w:tr w14:paraId="666DD0C1">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69FA5A06">
            <w:pPr>
              <w:widowControl/>
              <w:spacing w:line="24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xml:space="preserve">    2、运行维护专项</w:t>
            </w:r>
          </w:p>
        </w:tc>
        <w:tc>
          <w:tcPr>
            <w:tcW w:w="3067" w:type="dxa"/>
            <w:gridSpan w:val="2"/>
            <w:tcBorders>
              <w:top w:val="single" w:color="auto" w:sz="4" w:space="0"/>
              <w:left w:val="nil"/>
              <w:bottom w:val="single" w:color="auto" w:sz="4" w:space="0"/>
              <w:right w:val="single" w:color="000000" w:sz="4" w:space="0"/>
            </w:tcBorders>
            <w:noWrap w:val="0"/>
            <w:vAlign w:val="center"/>
          </w:tcPr>
          <w:p w14:paraId="77825BD0">
            <w:pPr>
              <w:widowControl/>
              <w:spacing w:line="240" w:lineRule="exact"/>
              <w:jc w:val="center"/>
              <w:rPr>
                <w:rFonts w:hint="default"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432.5</w:t>
            </w:r>
          </w:p>
        </w:tc>
        <w:tc>
          <w:tcPr>
            <w:tcW w:w="3369" w:type="dxa"/>
            <w:gridSpan w:val="2"/>
            <w:tcBorders>
              <w:top w:val="single" w:color="auto" w:sz="4" w:space="0"/>
              <w:left w:val="nil"/>
              <w:bottom w:val="single" w:color="auto" w:sz="4" w:space="0"/>
              <w:right w:val="single" w:color="000000" w:sz="4" w:space="0"/>
            </w:tcBorders>
            <w:noWrap w:val="0"/>
            <w:vAlign w:val="center"/>
          </w:tcPr>
          <w:p w14:paraId="6531C243">
            <w:pPr>
              <w:widowControl/>
              <w:spacing w:line="240" w:lineRule="exact"/>
              <w:jc w:val="center"/>
              <w:rPr>
                <w:rFonts w:hint="default"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112</w:t>
            </w:r>
          </w:p>
        </w:tc>
        <w:tc>
          <w:tcPr>
            <w:tcW w:w="2381" w:type="dxa"/>
            <w:gridSpan w:val="2"/>
            <w:tcBorders>
              <w:top w:val="single" w:color="auto" w:sz="4" w:space="0"/>
              <w:left w:val="nil"/>
              <w:bottom w:val="single" w:color="auto" w:sz="4" w:space="0"/>
              <w:right w:val="single" w:color="000000" w:sz="4" w:space="0"/>
            </w:tcBorders>
            <w:noWrap w:val="0"/>
            <w:vAlign w:val="center"/>
          </w:tcPr>
          <w:p w14:paraId="5A4C16B5">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168.41</w:t>
            </w:r>
            <w:r>
              <w:rPr>
                <w:rFonts w:ascii="Times New Roman" w:hAnsi="Times New Roman" w:eastAsia="仿宋_GB2312"/>
                <w:kern w:val="0"/>
                <w:sz w:val="18"/>
                <w:szCs w:val="18"/>
              </w:rPr>
              <w:t>　</w:t>
            </w:r>
          </w:p>
        </w:tc>
      </w:tr>
      <w:tr w14:paraId="59CD5432">
        <w:tblPrEx>
          <w:tblCellMar>
            <w:top w:w="0" w:type="dxa"/>
            <w:left w:w="108" w:type="dxa"/>
            <w:bottom w:w="0" w:type="dxa"/>
            <w:right w:w="108" w:type="dxa"/>
          </w:tblCellMar>
        </w:tblPrEx>
        <w:trPr>
          <w:trHeight w:val="263" w:hRule="atLeast"/>
          <w:jc w:val="center"/>
        </w:trPr>
        <w:tc>
          <w:tcPr>
            <w:tcW w:w="4883" w:type="dxa"/>
            <w:tcBorders>
              <w:top w:val="single" w:color="auto" w:sz="4" w:space="0"/>
              <w:left w:val="single" w:color="auto" w:sz="4" w:space="0"/>
              <w:bottom w:val="single" w:color="auto" w:sz="4" w:space="0"/>
              <w:right w:val="single" w:color="auto" w:sz="4" w:space="0"/>
            </w:tcBorders>
            <w:noWrap w:val="0"/>
            <w:vAlign w:val="center"/>
          </w:tcPr>
          <w:p w14:paraId="708E168D">
            <w:pPr>
              <w:widowControl/>
              <w:spacing w:line="240" w:lineRule="exact"/>
              <w:ind w:firstLine="900" w:firstLineChars="500"/>
              <w:jc w:val="left"/>
              <w:rPr>
                <w:rFonts w:ascii="Times New Roman" w:hAnsi="Times New Roman" w:eastAsia="仿宋_GB2312"/>
                <w:kern w:val="0"/>
                <w:sz w:val="18"/>
                <w:szCs w:val="18"/>
              </w:rPr>
            </w:pPr>
            <w:r>
              <w:rPr>
                <w:rFonts w:hint="eastAsia" w:ascii="Times New Roman" w:hAnsi="Times New Roman" w:eastAsia="仿宋_GB2312"/>
                <w:kern w:val="0"/>
                <w:sz w:val="18"/>
                <w:szCs w:val="18"/>
                <w:lang w:eastAsia="zh-CN"/>
              </w:rPr>
              <w:t>项目前期经费</w:t>
            </w:r>
          </w:p>
        </w:tc>
        <w:tc>
          <w:tcPr>
            <w:tcW w:w="3067" w:type="dxa"/>
            <w:gridSpan w:val="2"/>
            <w:tcBorders>
              <w:top w:val="single" w:color="auto" w:sz="4" w:space="0"/>
              <w:left w:val="single" w:color="auto" w:sz="4" w:space="0"/>
              <w:bottom w:val="single" w:color="auto" w:sz="4" w:space="0"/>
              <w:right w:val="single" w:color="auto" w:sz="4" w:space="0"/>
            </w:tcBorders>
            <w:noWrap w:val="0"/>
            <w:vAlign w:val="center"/>
          </w:tcPr>
          <w:p w14:paraId="6C9C7ED2">
            <w:pPr>
              <w:widowControl/>
              <w:spacing w:line="240" w:lineRule="exact"/>
              <w:jc w:val="center"/>
              <w:rPr>
                <w:rFonts w:ascii="Times New Roman" w:hAnsi="Times New Roman" w:eastAsia="仿宋_GB2312"/>
                <w:kern w:val="0"/>
                <w:sz w:val="18"/>
                <w:szCs w:val="18"/>
              </w:rPr>
            </w:pPr>
          </w:p>
        </w:tc>
        <w:tc>
          <w:tcPr>
            <w:tcW w:w="3369" w:type="dxa"/>
            <w:gridSpan w:val="2"/>
            <w:tcBorders>
              <w:top w:val="single" w:color="auto" w:sz="4" w:space="0"/>
              <w:left w:val="single" w:color="auto" w:sz="4" w:space="0"/>
              <w:bottom w:val="single" w:color="auto" w:sz="4" w:space="0"/>
              <w:right w:val="single" w:color="000000" w:sz="4" w:space="0"/>
            </w:tcBorders>
            <w:noWrap w:val="0"/>
            <w:vAlign w:val="center"/>
          </w:tcPr>
          <w:p w14:paraId="466285FA">
            <w:pPr>
              <w:widowControl/>
              <w:spacing w:line="240" w:lineRule="exact"/>
              <w:jc w:val="center"/>
              <w:rPr>
                <w:rFonts w:hint="default"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102</w:t>
            </w:r>
          </w:p>
        </w:tc>
        <w:tc>
          <w:tcPr>
            <w:tcW w:w="2381" w:type="dxa"/>
            <w:gridSpan w:val="2"/>
            <w:tcBorders>
              <w:top w:val="single" w:color="auto" w:sz="4" w:space="0"/>
              <w:left w:val="nil"/>
              <w:bottom w:val="single" w:color="auto" w:sz="4" w:space="0"/>
              <w:right w:val="single" w:color="000000" w:sz="4" w:space="0"/>
            </w:tcBorders>
            <w:noWrap w:val="0"/>
            <w:vAlign w:val="center"/>
          </w:tcPr>
          <w:p w14:paraId="24D9A857">
            <w:pPr>
              <w:widowControl/>
              <w:spacing w:line="240" w:lineRule="exact"/>
              <w:jc w:val="center"/>
              <w:rPr>
                <w:rFonts w:hint="default"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163.41</w:t>
            </w:r>
          </w:p>
        </w:tc>
      </w:tr>
      <w:tr w14:paraId="312CB16F">
        <w:tblPrEx>
          <w:tblCellMar>
            <w:top w:w="0" w:type="dxa"/>
            <w:left w:w="108" w:type="dxa"/>
            <w:bottom w:w="0" w:type="dxa"/>
            <w:right w:w="108" w:type="dxa"/>
          </w:tblCellMar>
        </w:tblPrEx>
        <w:trPr>
          <w:trHeight w:val="263" w:hRule="atLeast"/>
          <w:jc w:val="center"/>
        </w:trPr>
        <w:tc>
          <w:tcPr>
            <w:tcW w:w="4883" w:type="dxa"/>
            <w:tcBorders>
              <w:top w:val="single" w:color="auto" w:sz="4" w:space="0"/>
              <w:left w:val="single" w:color="auto" w:sz="4" w:space="0"/>
              <w:bottom w:val="single" w:color="auto" w:sz="4" w:space="0"/>
              <w:right w:val="single" w:color="auto" w:sz="4" w:space="0"/>
            </w:tcBorders>
            <w:noWrap w:val="0"/>
            <w:vAlign w:val="center"/>
          </w:tcPr>
          <w:p w14:paraId="2B421E3D">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  </w:t>
            </w:r>
            <w:r>
              <w:rPr>
                <w:rFonts w:hint="eastAsia" w:ascii="Times New Roman" w:hAnsi="Times New Roman" w:eastAsia="仿宋_GB2312"/>
                <w:kern w:val="0"/>
                <w:sz w:val="18"/>
                <w:szCs w:val="18"/>
                <w:lang w:val="en-US" w:eastAsia="zh-CN"/>
              </w:rPr>
              <w:t xml:space="preserve">        </w:t>
            </w:r>
            <w:r>
              <w:rPr>
                <w:rFonts w:hint="eastAsia" w:ascii="Times New Roman" w:hAnsi="Times New Roman" w:eastAsia="仿宋_GB2312"/>
                <w:kern w:val="0"/>
                <w:sz w:val="18"/>
                <w:szCs w:val="18"/>
                <w:lang w:eastAsia="zh-CN"/>
              </w:rPr>
              <w:t>易地扶贫搬迁经费</w:t>
            </w:r>
          </w:p>
        </w:tc>
        <w:tc>
          <w:tcPr>
            <w:tcW w:w="3067" w:type="dxa"/>
            <w:gridSpan w:val="2"/>
            <w:tcBorders>
              <w:top w:val="single" w:color="auto" w:sz="4" w:space="0"/>
              <w:left w:val="single" w:color="auto" w:sz="4" w:space="0"/>
              <w:bottom w:val="single" w:color="auto" w:sz="4" w:space="0"/>
              <w:right w:val="single" w:color="auto" w:sz="4" w:space="0"/>
            </w:tcBorders>
            <w:noWrap w:val="0"/>
            <w:vAlign w:val="center"/>
          </w:tcPr>
          <w:p w14:paraId="70EB8E4C">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　</w:t>
            </w:r>
          </w:p>
        </w:tc>
        <w:tc>
          <w:tcPr>
            <w:tcW w:w="3369" w:type="dxa"/>
            <w:gridSpan w:val="2"/>
            <w:tcBorders>
              <w:top w:val="single" w:color="auto" w:sz="4" w:space="0"/>
              <w:left w:val="single" w:color="auto" w:sz="4" w:space="0"/>
              <w:bottom w:val="single" w:color="auto" w:sz="4" w:space="0"/>
              <w:right w:val="single" w:color="000000" w:sz="4" w:space="0"/>
            </w:tcBorders>
            <w:noWrap w:val="0"/>
            <w:vAlign w:val="center"/>
          </w:tcPr>
          <w:p w14:paraId="6DBF10A6">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10</w:t>
            </w:r>
            <w:r>
              <w:rPr>
                <w:rFonts w:ascii="Times New Roman" w:hAnsi="Times New Roman" w:eastAsia="仿宋_GB2312"/>
                <w:kern w:val="0"/>
                <w:sz w:val="18"/>
                <w:szCs w:val="18"/>
              </w:rPr>
              <w:t>　</w:t>
            </w:r>
          </w:p>
        </w:tc>
        <w:tc>
          <w:tcPr>
            <w:tcW w:w="2381" w:type="dxa"/>
            <w:gridSpan w:val="2"/>
            <w:tcBorders>
              <w:top w:val="single" w:color="auto" w:sz="4" w:space="0"/>
              <w:left w:val="nil"/>
              <w:bottom w:val="single" w:color="auto" w:sz="4" w:space="0"/>
              <w:right w:val="single" w:color="000000" w:sz="4" w:space="0"/>
            </w:tcBorders>
            <w:noWrap w:val="0"/>
            <w:vAlign w:val="center"/>
          </w:tcPr>
          <w:p w14:paraId="318383DB">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5</w:t>
            </w:r>
            <w:r>
              <w:rPr>
                <w:rFonts w:ascii="Times New Roman" w:hAnsi="Times New Roman" w:eastAsia="仿宋_GB2312"/>
                <w:kern w:val="0"/>
                <w:sz w:val="18"/>
                <w:szCs w:val="18"/>
              </w:rPr>
              <w:t>　</w:t>
            </w:r>
          </w:p>
        </w:tc>
      </w:tr>
      <w:tr w14:paraId="49AB8770">
        <w:tblPrEx>
          <w:tblCellMar>
            <w:top w:w="0" w:type="dxa"/>
            <w:left w:w="108" w:type="dxa"/>
            <w:bottom w:w="0" w:type="dxa"/>
            <w:right w:w="108" w:type="dxa"/>
          </w:tblCellMar>
        </w:tblPrEx>
        <w:trPr>
          <w:trHeight w:val="263" w:hRule="atLeast"/>
          <w:jc w:val="center"/>
        </w:trPr>
        <w:tc>
          <w:tcPr>
            <w:tcW w:w="4883" w:type="dxa"/>
            <w:tcBorders>
              <w:top w:val="single" w:color="auto" w:sz="4" w:space="0"/>
              <w:left w:val="single" w:color="auto" w:sz="4" w:space="0"/>
              <w:bottom w:val="single" w:color="auto" w:sz="4" w:space="0"/>
              <w:right w:val="single" w:color="auto" w:sz="4" w:space="0"/>
            </w:tcBorders>
            <w:noWrap w:val="0"/>
            <w:vAlign w:val="center"/>
          </w:tcPr>
          <w:p w14:paraId="5701370A">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公用经费</w:t>
            </w:r>
          </w:p>
        </w:tc>
        <w:tc>
          <w:tcPr>
            <w:tcW w:w="3067" w:type="dxa"/>
            <w:gridSpan w:val="2"/>
            <w:tcBorders>
              <w:top w:val="single" w:color="auto" w:sz="4" w:space="0"/>
              <w:left w:val="nil"/>
              <w:bottom w:val="single" w:color="auto" w:sz="4" w:space="0"/>
              <w:right w:val="single" w:color="000000" w:sz="4" w:space="0"/>
            </w:tcBorders>
            <w:noWrap w:val="0"/>
            <w:vAlign w:val="center"/>
          </w:tcPr>
          <w:p w14:paraId="15A49C5D">
            <w:pPr>
              <w:widowControl/>
              <w:spacing w:line="240" w:lineRule="exact"/>
              <w:jc w:val="center"/>
              <w:rPr>
                <w:rFonts w:hint="default"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58.35</w:t>
            </w:r>
          </w:p>
        </w:tc>
        <w:tc>
          <w:tcPr>
            <w:tcW w:w="3369" w:type="dxa"/>
            <w:gridSpan w:val="2"/>
            <w:tcBorders>
              <w:top w:val="single" w:color="auto" w:sz="4" w:space="0"/>
              <w:left w:val="nil"/>
              <w:bottom w:val="single" w:color="auto" w:sz="4" w:space="0"/>
              <w:right w:val="single" w:color="000000" w:sz="4" w:space="0"/>
            </w:tcBorders>
            <w:noWrap w:val="0"/>
            <w:vAlign w:val="center"/>
          </w:tcPr>
          <w:p w14:paraId="4C09D1A3">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38.25</w:t>
            </w:r>
            <w:r>
              <w:rPr>
                <w:rFonts w:ascii="Times New Roman" w:hAnsi="Times New Roman" w:eastAsia="仿宋_GB2312"/>
                <w:kern w:val="0"/>
                <w:sz w:val="18"/>
                <w:szCs w:val="18"/>
              </w:rPr>
              <w:t>　</w:t>
            </w:r>
          </w:p>
        </w:tc>
        <w:tc>
          <w:tcPr>
            <w:tcW w:w="2381" w:type="dxa"/>
            <w:gridSpan w:val="2"/>
            <w:tcBorders>
              <w:top w:val="single" w:color="auto" w:sz="4" w:space="0"/>
              <w:left w:val="nil"/>
              <w:bottom w:val="single" w:color="auto" w:sz="4" w:space="0"/>
              <w:right w:val="single" w:color="000000" w:sz="4" w:space="0"/>
            </w:tcBorders>
            <w:noWrap w:val="0"/>
            <w:vAlign w:val="center"/>
          </w:tcPr>
          <w:p w14:paraId="31255B79">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56.57</w:t>
            </w:r>
            <w:r>
              <w:rPr>
                <w:rFonts w:ascii="Times New Roman" w:hAnsi="Times New Roman" w:eastAsia="仿宋_GB2312"/>
                <w:kern w:val="0"/>
                <w:sz w:val="18"/>
                <w:szCs w:val="18"/>
              </w:rPr>
              <w:t>　</w:t>
            </w:r>
          </w:p>
        </w:tc>
      </w:tr>
      <w:tr w14:paraId="55338521">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6F1D568C">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    其中：办公经费</w:t>
            </w:r>
          </w:p>
        </w:tc>
        <w:tc>
          <w:tcPr>
            <w:tcW w:w="3067" w:type="dxa"/>
            <w:gridSpan w:val="2"/>
            <w:tcBorders>
              <w:top w:val="single" w:color="auto" w:sz="4" w:space="0"/>
              <w:left w:val="nil"/>
              <w:bottom w:val="single" w:color="auto" w:sz="4" w:space="0"/>
              <w:right w:val="single" w:color="000000" w:sz="4" w:space="0"/>
            </w:tcBorders>
            <w:noWrap w:val="0"/>
            <w:vAlign w:val="center"/>
          </w:tcPr>
          <w:p w14:paraId="30F2CCAE">
            <w:pPr>
              <w:widowControl/>
              <w:spacing w:line="240" w:lineRule="exact"/>
              <w:jc w:val="center"/>
              <w:rPr>
                <w:rFonts w:hint="default" w:ascii="Times New Roman" w:hAnsi="Times New Roman" w:eastAsia="仿宋_GB2312"/>
                <w:color w:val="FF0000"/>
                <w:kern w:val="0"/>
                <w:sz w:val="18"/>
                <w:szCs w:val="18"/>
                <w:lang w:val="en-US" w:eastAsia="zh-CN"/>
              </w:rPr>
            </w:pPr>
            <w:r>
              <w:rPr>
                <w:rFonts w:ascii="Times New Roman" w:hAnsi="Times New Roman" w:eastAsia="仿宋_GB2312"/>
                <w:color w:val="FF0000"/>
                <w:kern w:val="0"/>
                <w:sz w:val="18"/>
                <w:szCs w:val="18"/>
              </w:rPr>
              <w:t>　</w:t>
            </w:r>
            <w:r>
              <w:rPr>
                <w:rFonts w:hint="eastAsia" w:ascii="Times New Roman" w:hAnsi="Times New Roman" w:eastAsia="仿宋_GB2312"/>
                <w:color w:val="FF0000"/>
                <w:kern w:val="0"/>
                <w:sz w:val="18"/>
                <w:szCs w:val="18"/>
                <w:lang w:val="en-US" w:eastAsia="zh-CN"/>
              </w:rPr>
              <w:t>34.03</w:t>
            </w:r>
          </w:p>
        </w:tc>
        <w:tc>
          <w:tcPr>
            <w:tcW w:w="3369" w:type="dxa"/>
            <w:gridSpan w:val="2"/>
            <w:tcBorders>
              <w:top w:val="single" w:color="auto" w:sz="4" w:space="0"/>
              <w:left w:val="nil"/>
              <w:bottom w:val="single" w:color="auto" w:sz="4" w:space="0"/>
              <w:right w:val="single" w:color="000000" w:sz="4" w:space="0"/>
            </w:tcBorders>
            <w:noWrap w:val="0"/>
            <w:vAlign w:val="center"/>
          </w:tcPr>
          <w:p w14:paraId="6FFC8921">
            <w:pPr>
              <w:widowControl/>
              <w:spacing w:line="240" w:lineRule="exact"/>
              <w:jc w:val="center"/>
              <w:rPr>
                <w:rFonts w:hint="default" w:ascii="Times New Roman" w:hAnsi="Times New Roman" w:eastAsia="仿宋_GB2312"/>
                <w:color w:val="FF0000"/>
                <w:kern w:val="0"/>
                <w:sz w:val="18"/>
                <w:szCs w:val="18"/>
                <w:lang w:val="en-US"/>
              </w:rPr>
            </w:pPr>
            <w:r>
              <w:rPr>
                <w:rFonts w:hint="eastAsia" w:ascii="Times New Roman" w:hAnsi="Times New Roman" w:eastAsia="仿宋_GB2312"/>
                <w:color w:val="FF0000"/>
                <w:kern w:val="0"/>
                <w:sz w:val="18"/>
                <w:szCs w:val="18"/>
                <w:lang w:val="en-US" w:eastAsia="zh-CN"/>
              </w:rPr>
              <w:t>36.55</w:t>
            </w:r>
          </w:p>
        </w:tc>
        <w:tc>
          <w:tcPr>
            <w:tcW w:w="2381" w:type="dxa"/>
            <w:gridSpan w:val="2"/>
            <w:tcBorders>
              <w:top w:val="single" w:color="auto" w:sz="4" w:space="0"/>
              <w:left w:val="nil"/>
              <w:bottom w:val="single" w:color="auto" w:sz="4" w:space="0"/>
              <w:right w:val="single" w:color="000000" w:sz="4" w:space="0"/>
            </w:tcBorders>
            <w:noWrap w:val="0"/>
            <w:vAlign w:val="center"/>
          </w:tcPr>
          <w:p w14:paraId="43E21F92">
            <w:pPr>
              <w:widowControl/>
              <w:spacing w:line="240" w:lineRule="exact"/>
              <w:jc w:val="center"/>
              <w:rPr>
                <w:rFonts w:ascii="Times New Roman" w:hAnsi="Times New Roman" w:eastAsia="仿宋_GB2312"/>
                <w:color w:val="FF0000"/>
                <w:kern w:val="0"/>
                <w:sz w:val="18"/>
                <w:szCs w:val="18"/>
              </w:rPr>
            </w:pPr>
            <w:r>
              <w:rPr>
                <w:rFonts w:hint="eastAsia" w:ascii="Times New Roman" w:hAnsi="Times New Roman" w:eastAsia="仿宋_GB2312"/>
                <w:color w:val="FF0000"/>
                <w:kern w:val="0"/>
                <w:sz w:val="18"/>
                <w:szCs w:val="18"/>
                <w:lang w:val="en-US" w:eastAsia="zh-CN"/>
              </w:rPr>
              <w:t>46.06</w:t>
            </w:r>
            <w:r>
              <w:rPr>
                <w:rFonts w:ascii="Times New Roman" w:hAnsi="Times New Roman" w:eastAsia="仿宋_GB2312"/>
                <w:color w:val="FF0000"/>
                <w:kern w:val="0"/>
                <w:sz w:val="18"/>
                <w:szCs w:val="18"/>
              </w:rPr>
              <w:t>　</w:t>
            </w:r>
          </w:p>
        </w:tc>
      </w:tr>
      <w:tr w14:paraId="443184AF">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04FD2321">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          水费、电费、差旅费</w:t>
            </w:r>
          </w:p>
        </w:tc>
        <w:tc>
          <w:tcPr>
            <w:tcW w:w="3067" w:type="dxa"/>
            <w:gridSpan w:val="2"/>
            <w:tcBorders>
              <w:top w:val="single" w:color="auto" w:sz="4" w:space="0"/>
              <w:left w:val="nil"/>
              <w:bottom w:val="single" w:color="auto" w:sz="4" w:space="0"/>
              <w:right w:val="single" w:color="000000" w:sz="4" w:space="0"/>
            </w:tcBorders>
            <w:noWrap w:val="0"/>
            <w:vAlign w:val="center"/>
          </w:tcPr>
          <w:p w14:paraId="3029FC5E">
            <w:pPr>
              <w:widowControl/>
              <w:spacing w:line="240" w:lineRule="exact"/>
              <w:jc w:val="center"/>
              <w:rPr>
                <w:rFonts w:hint="default" w:ascii="Times New Roman" w:hAnsi="Times New Roman" w:eastAsia="仿宋_GB2312"/>
                <w:color w:val="FF0000"/>
                <w:kern w:val="0"/>
                <w:sz w:val="18"/>
                <w:szCs w:val="18"/>
                <w:lang w:val="en-US" w:eastAsia="zh-CN"/>
              </w:rPr>
            </w:pPr>
            <w:r>
              <w:rPr>
                <w:rFonts w:ascii="Times New Roman" w:hAnsi="Times New Roman" w:eastAsia="仿宋_GB2312"/>
                <w:color w:val="FF0000"/>
                <w:kern w:val="0"/>
                <w:sz w:val="18"/>
                <w:szCs w:val="18"/>
              </w:rPr>
              <w:t>　</w:t>
            </w:r>
            <w:r>
              <w:rPr>
                <w:rFonts w:hint="eastAsia" w:ascii="Times New Roman" w:hAnsi="Times New Roman" w:eastAsia="仿宋_GB2312"/>
                <w:color w:val="FF0000"/>
                <w:kern w:val="0"/>
                <w:sz w:val="18"/>
                <w:szCs w:val="18"/>
                <w:lang w:val="en-US" w:eastAsia="zh-CN"/>
              </w:rPr>
              <w:t>23.06</w:t>
            </w:r>
          </w:p>
        </w:tc>
        <w:tc>
          <w:tcPr>
            <w:tcW w:w="3369" w:type="dxa"/>
            <w:gridSpan w:val="2"/>
            <w:tcBorders>
              <w:top w:val="single" w:color="auto" w:sz="4" w:space="0"/>
              <w:left w:val="nil"/>
              <w:bottom w:val="single" w:color="auto" w:sz="4" w:space="0"/>
              <w:right w:val="single" w:color="000000" w:sz="4" w:space="0"/>
            </w:tcBorders>
            <w:noWrap w:val="0"/>
            <w:vAlign w:val="center"/>
          </w:tcPr>
          <w:p w14:paraId="54353E22">
            <w:pPr>
              <w:widowControl/>
              <w:spacing w:line="240" w:lineRule="exact"/>
              <w:jc w:val="center"/>
              <w:rPr>
                <w:rFonts w:ascii="Times New Roman" w:hAnsi="Times New Roman" w:eastAsia="仿宋_GB2312"/>
                <w:color w:val="FF0000"/>
                <w:kern w:val="0"/>
                <w:sz w:val="18"/>
                <w:szCs w:val="18"/>
              </w:rPr>
            </w:pPr>
            <w:r>
              <w:rPr>
                <w:rFonts w:hint="eastAsia" w:ascii="Times New Roman" w:hAnsi="Times New Roman" w:eastAsia="仿宋_GB2312"/>
                <w:color w:val="FF0000"/>
                <w:kern w:val="0"/>
                <w:sz w:val="18"/>
                <w:szCs w:val="18"/>
                <w:lang w:val="en-US" w:eastAsia="zh-CN"/>
              </w:rPr>
              <w:t>1.7</w:t>
            </w:r>
            <w:r>
              <w:rPr>
                <w:rFonts w:ascii="Times New Roman" w:hAnsi="Times New Roman" w:eastAsia="仿宋_GB2312"/>
                <w:color w:val="FF0000"/>
                <w:kern w:val="0"/>
                <w:sz w:val="18"/>
                <w:szCs w:val="18"/>
              </w:rPr>
              <w:t>　</w:t>
            </w:r>
          </w:p>
        </w:tc>
        <w:tc>
          <w:tcPr>
            <w:tcW w:w="2381" w:type="dxa"/>
            <w:gridSpan w:val="2"/>
            <w:tcBorders>
              <w:top w:val="single" w:color="auto" w:sz="4" w:space="0"/>
              <w:left w:val="nil"/>
              <w:bottom w:val="single" w:color="auto" w:sz="4" w:space="0"/>
              <w:right w:val="single" w:color="000000" w:sz="4" w:space="0"/>
            </w:tcBorders>
            <w:noWrap w:val="0"/>
            <w:vAlign w:val="center"/>
          </w:tcPr>
          <w:p w14:paraId="1849E645">
            <w:pPr>
              <w:widowControl/>
              <w:spacing w:line="240" w:lineRule="exact"/>
              <w:jc w:val="center"/>
              <w:rPr>
                <w:rFonts w:ascii="Times New Roman" w:hAnsi="Times New Roman" w:eastAsia="仿宋_GB2312"/>
                <w:color w:val="FF0000"/>
                <w:kern w:val="0"/>
                <w:sz w:val="18"/>
                <w:szCs w:val="18"/>
              </w:rPr>
            </w:pPr>
            <w:r>
              <w:rPr>
                <w:rFonts w:hint="eastAsia" w:ascii="Times New Roman" w:hAnsi="Times New Roman" w:eastAsia="仿宋_GB2312"/>
                <w:color w:val="FF0000"/>
                <w:kern w:val="0"/>
                <w:sz w:val="18"/>
                <w:szCs w:val="18"/>
                <w:lang w:val="en-US" w:eastAsia="zh-CN"/>
              </w:rPr>
              <w:t>6.98</w:t>
            </w:r>
            <w:r>
              <w:rPr>
                <w:rFonts w:ascii="Times New Roman" w:hAnsi="Times New Roman" w:eastAsia="仿宋_GB2312"/>
                <w:color w:val="FF0000"/>
                <w:kern w:val="0"/>
                <w:sz w:val="18"/>
                <w:szCs w:val="18"/>
              </w:rPr>
              <w:t>　</w:t>
            </w:r>
          </w:p>
        </w:tc>
      </w:tr>
      <w:tr w14:paraId="2F8A971B">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7EC651AC">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          会议费、培训费</w:t>
            </w:r>
          </w:p>
        </w:tc>
        <w:tc>
          <w:tcPr>
            <w:tcW w:w="3067" w:type="dxa"/>
            <w:gridSpan w:val="2"/>
            <w:tcBorders>
              <w:top w:val="single" w:color="auto" w:sz="4" w:space="0"/>
              <w:left w:val="nil"/>
              <w:bottom w:val="single" w:color="auto" w:sz="4" w:space="0"/>
              <w:right w:val="single" w:color="000000" w:sz="4" w:space="0"/>
            </w:tcBorders>
            <w:noWrap w:val="0"/>
            <w:vAlign w:val="center"/>
          </w:tcPr>
          <w:p w14:paraId="2B8AE55A">
            <w:pPr>
              <w:widowControl/>
              <w:spacing w:line="240" w:lineRule="exact"/>
              <w:jc w:val="center"/>
              <w:rPr>
                <w:rFonts w:hint="default" w:ascii="Times New Roman" w:hAnsi="Times New Roman" w:eastAsia="仿宋_GB2312"/>
                <w:color w:val="FF0000"/>
                <w:kern w:val="0"/>
                <w:sz w:val="18"/>
                <w:szCs w:val="18"/>
                <w:lang w:val="en-US" w:eastAsia="zh-CN"/>
              </w:rPr>
            </w:pPr>
            <w:r>
              <w:rPr>
                <w:rFonts w:ascii="Times New Roman" w:hAnsi="Times New Roman" w:eastAsia="仿宋_GB2312"/>
                <w:color w:val="FF0000"/>
                <w:kern w:val="0"/>
                <w:sz w:val="18"/>
                <w:szCs w:val="18"/>
              </w:rPr>
              <w:t>　</w:t>
            </w:r>
            <w:r>
              <w:rPr>
                <w:rFonts w:hint="eastAsia" w:ascii="Times New Roman" w:hAnsi="Times New Roman" w:eastAsia="仿宋_GB2312"/>
                <w:color w:val="FF0000"/>
                <w:kern w:val="0"/>
                <w:sz w:val="18"/>
                <w:szCs w:val="18"/>
                <w:lang w:val="en-US" w:eastAsia="zh-CN"/>
              </w:rPr>
              <w:t>1.26</w:t>
            </w:r>
          </w:p>
        </w:tc>
        <w:tc>
          <w:tcPr>
            <w:tcW w:w="3369" w:type="dxa"/>
            <w:gridSpan w:val="2"/>
            <w:tcBorders>
              <w:top w:val="single" w:color="auto" w:sz="4" w:space="0"/>
              <w:left w:val="nil"/>
              <w:bottom w:val="single" w:color="auto" w:sz="4" w:space="0"/>
              <w:right w:val="single" w:color="000000" w:sz="4" w:space="0"/>
            </w:tcBorders>
            <w:noWrap w:val="0"/>
            <w:vAlign w:val="center"/>
          </w:tcPr>
          <w:p w14:paraId="5D98CD4D">
            <w:pPr>
              <w:widowControl/>
              <w:spacing w:line="240" w:lineRule="exact"/>
              <w:jc w:val="center"/>
              <w:rPr>
                <w:rFonts w:ascii="Times New Roman" w:hAnsi="Times New Roman" w:eastAsia="仿宋_GB2312"/>
                <w:color w:val="FF0000"/>
                <w:kern w:val="0"/>
                <w:sz w:val="18"/>
                <w:szCs w:val="18"/>
              </w:rPr>
            </w:pPr>
            <w:r>
              <w:rPr>
                <w:rFonts w:hint="eastAsia" w:ascii="Times New Roman" w:hAnsi="Times New Roman" w:eastAsia="仿宋_GB2312"/>
                <w:color w:val="FF0000"/>
                <w:kern w:val="0"/>
                <w:sz w:val="18"/>
                <w:szCs w:val="18"/>
                <w:lang w:val="en-US" w:eastAsia="zh-CN"/>
              </w:rPr>
              <w:t>0</w:t>
            </w:r>
            <w:r>
              <w:rPr>
                <w:rFonts w:ascii="Times New Roman" w:hAnsi="Times New Roman" w:eastAsia="仿宋_GB2312"/>
                <w:color w:val="FF0000"/>
                <w:kern w:val="0"/>
                <w:sz w:val="18"/>
                <w:szCs w:val="18"/>
              </w:rPr>
              <w:t>　</w:t>
            </w:r>
          </w:p>
        </w:tc>
        <w:tc>
          <w:tcPr>
            <w:tcW w:w="2381" w:type="dxa"/>
            <w:gridSpan w:val="2"/>
            <w:tcBorders>
              <w:top w:val="single" w:color="auto" w:sz="4" w:space="0"/>
              <w:left w:val="nil"/>
              <w:bottom w:val="single" w:color="auto" w:sz="4" w:space="0"/>
              <w:right w:val="single" w:color="000000" w:sz="4" w:space="0"/>
            </w:tcBorders>
            <w:noWrap w:val="0"/>
            <w:vAlign w:val="center"/>
          </w:tcPr>
          <w:p w14:paraId="3994C308">
            <w:pPr>
              <w:widowControl/>
              <w:spacing w:line="240" w:lineRule="exact"/>
              <w:jc w:val="center"/>
              <w:rPr>
                <w:rFonts w:ascii="Times New Roman" w:hAnsi="Times New Roman" w:eastAsia="仿宋_GB2312"/>
                <w:color w:val="FF0000"/>
                <w:kern w:val="0"/>
                <w:sz w:val="18"/>
                <w:szCs w:val="18"/>
              </w:rPr>
            </w:pPr>
            <w:r>
              <w:rPr>
                <w:rFonts w:hint="eastAsia" w:ascii="Times New Roman" w:hAnsi="Times New Roman" w:eastAsia="仿宋_GB2312"/>
                <w:color w:val="FF0000"/>
                <w:kern w:val="0"/>
                <w:sz w:val="18"/>
                <w:szCs w:val="18"/>
                <w:lang w:val="en-US" w:eastAsia="zh-CN"/>
              </w:rPr>
              <w:t>0.48</w:t>
            </w:r>
            <w:r>
              <w:rPr>
                <w:rFonts w:ascii="Times New Roman" w:hAnsi="Times New Roman" w:eastAsia="仿宋_GB2312"/>
                <w:color w:val="FF0000"/>
                <w:kern w:val="0"/>
                <w:sz w:val="18"/>
                <w:szCs w:val="18"/>
              </w:rPr>
              <w:t>　</w:t>
            </w:r>
          </w:p>
        </w:tc>
      </w:tr>
      <w:tr w14:paraId="4AE0AC9C">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30DC61F2">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政府采购金额</w:t>
            </w:r>
          </w:p>
        </w:tc>
        <w:tc>
          <w:tcPr>
            <w:tcW w:w="3067" w:type="dxa"/>
            <w:gridSpan w:val="2"/>
            <w:tcBorders>
              <w:top w:val="single" w:color="auto" w:sz="4" w:space="0"/>
              <w:left w:val="nil"/>
              <w:bottom w:val="single" w:color="auto" w:sz="4" w:space="0"/>
              <w:right w:val="single" w:color="000000" w:sz="4" w:space="0"/>
            </w:tcBorders>
            <w:noWrap w:val="0"/>
            <w:vAlign w:val="center"/>
          </w:tcPr>
          <w:p w14:paraId="27425552">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3369" w:type="dxa"/>
            <w:gridSpan w:val="2"/>
            <w:tcBorders>
              <w:top w:val="single" w:color="auto" w:sz="4" w:space="0"/>
              <w:left w:val="nil"/>
              <w:bottom w:val="single" w:color="auto" w:sz="4" w:space="0"/>
              <w:right w:val="single" w:color="000000" w:sz="4" w:space="0"/>
            </w:tcBorders>
            <w:noWrap w:val="0"/>
            <w:vAlign w:val="center"/>
          </w:tcPr>
          <w:p w14:paraId="1A8E1044">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847.9</w:t>
            </w:r>
            <w:r>
              <w:rPr>
                <w:rFonts w:ascii="Times New Roman" w:hAnsi="Times New Roman" w:eastAsia="仿宋_GB2312"/>
                <w:kern w:val="0"/>
                <w:sz w:val="18"/>
                <w:szCs w:val="18"/>
              </w:rPr>
              <w:t>　</w:t>
            </w:r>
          </w:p>
        </w:tc>
        <w:tc>
          <w:tcPr>
            <w:tcW w:w="2381" w:type="dxa"/>
            <w:gridSpan w:val="2"/>
            <w:tcBorders>
              <w:top w:val="single" w:color="auto" w:sz="4" w:space="0"/>
              <w:left w:val="nil"/>
              <w:bottom w:val="single" w:color="auto" w:sz="4" w:space="0"/>
              <w:right w:val="single" w:color="000000" w:sz="4" w:space="0"/>
            </w:tcBorders>
            <w:noWrap w:val="0"/>
            <w:vAlign w:val="center"/>
          </w:tcPr>
          <w:p w14:paraId="23950337">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123.86</w:t>
            </w:r>
            <w:r>
              <w:rPr>
                <w:rFonts w:ascii="Times New Roman" w:hAnsi="Times New Roman" w:eastAsia="仿宋_GB2312"/>
                <w:kern w:val="0"/>
                <w:sz w:val="18"/>
                <w:szCs w:val="18"/>
              </w:rPr>
              <w:t>　</w:t>
            </w:r>
          </w:p>
        </w:tc>
      </w:tr>
      <w:tr w14:paraId="4D55EF47">
        <w:tblPrEx>
          <w:tblCellMar>
            <w:top w:w="0" w:type="dxa"/>
            <w:left w:w="108" w:type="dxa"/>
            <w:bottom w:w="0" w:type="dxa"/>
            <w:right w:w="108" w:type="dxa"/>
          </w:tblCellMar>
        </w:tblPrEx>
        <w:trPr>
          <w:trHeight w:val="263" w:hRule="atLeast"/>
          <w:jc w:val="center"/>
        </w:trPr>
        <w:tc>
          <w:tcPr>
            <w:tcW w:w="4883" w:type="dxa"/>
            <w:tcBorders>
              <w:top w:val="nil"/>
              <w:left w:val="single" w:color="auto" w:sz="4" w:space="0"/>
              <w:bottom w:val="single" w:color="auto" w:sz="4" w:space="0"/>
              <w:right w:val="single" w:color="auto" w:sz="4" w:space="0"/>
            </w:tcBorders>
            <w:noWrap w:val="0"/>
            <w:vAlign w:val="center"/>
          </w:tcPr>
          <w:p w14:paraId="125E9E23">
            <w:pPr>
              <w:widowControl/>
              <w:spacing w:line="24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部门基本支出预算调整 </w:t>
            </w:r>
          </w:p>
        </w:tc>
        <w:tc>
          <w:tcPr>
            <w:tcW w:w="3067" w:type="dxa"/>
            <w:gridSpan w:val="2"/>
            <w:tcBorders>
              <w:top w:val="single" w:color="auto" w:sz="4" w:space="0"/>
              <w:left w:val="nil"/>
              <w:bottom w:val="single" w:color="auto" w:sz="4" w:space="0"/>
              <w:right w:val="single" w:color="000000" w:sz="4" w:space="0"/>
            </w:tcBorders>
            <w:noWrap w:val="0"/>
            <w:vAlign w:val="center"/>
          </w:tcPr>
          <w:p w14:paraId="05C8FB4E">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3369" w:type="dxa"/>
            <w:gridSpan w:val="2"/>
            <w:tcBorders>
              <w:top w:val="single" w:color="auto" w:sz="4" w:space="0"/>
              <w:left w:val="nil"/>
              <w:bottom w:val="single" w:color="auto" w:sz="4" w:space="0"/>
              <w:right w:val="single" w:color="000000" w:sz="4" w:space="0"/>
            </w:tcBorders>
            <w:noWrap w:val="0"/>
            <w:vAlign w:val="center"/>
          </w:tcPr>
          <w:p w14:paraId="1F8A20D2">
            <w:pPr>
              <w:widowControl/>
              <w:spacing w:line="240" w:lineRule="exact"/>
              <w:jc w:val="center"/>
              <w:rPr>
                <w:rFonts w:hint="default"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621</w:t>
            </w:r>
          </w:p>
        </w:tc>
        <w:tc>
          <w:tcPr>
            <w:tcW w:w="2381" w:type="dxa"/>
            <w:gridSpan w:val="2"/>
            <w:tcBorders>
              <w:top w:val="single" w:color="auto" w:sz="4" w:space="0"/>
              <w:left w:val="nil"/>
              <w:bottom w:val="single" w:color="auto" w:sz="4" w:space="0"/>
              <w:right w:val="single" w:color="000000" w:sz="4" w:space="0"/>
            </w:tcBorders>
            <w:noWrap w:val="0"/>
            <w:vAlign w:val="center"/>
          </w:tcPr>
          <w:p w14:paraId="00AB08AF">
            <w:pPr>
              <w:widowControl/>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lang w:val="en-US" w:eastAsia="zh-CN"/>
              </w:rPr>
              <w:t>621</w:t>
            </w:r>
            <w:r>
              <w:rPr>
                <w:rFonts w:ascii="Times New Roman" w:hAnsi="Times New Roman" w:eastAsia="仿宋_GB2312"/>
                <w:kern w:val="0"/>
                <w:sz w:val="18"/>
                <w:szCs w:val="18"/>
              </w:rPr>
              <w:t>　</w:t>
            </w:r>
          </w:p>
        </w:tc>
      </w:tr>
      <w:tr w14:paraId="051BA7C5">
        <w:tblPrEx>
          <w:tblCellMar>
            <w:top w:w="0" w:type="dxa"/>
            <w:left w:w="108" w:type="dxa"/>
            <w:bottom w:w="0" w:type="dxa"/>
            <w:right w:w="108" w:type="dxa"/>
          </w:tblCellMar>
        </w:tblPrEx>
        <w:trPr>
          <w:trHeight w:val="505" w:hRule="atLeast"/>
          <w:jc w:val="center"/>
        </w:trPr>
        <w:tc>
          <w:tcPr>
            <w:tcW w:w="4883" w:type="dxa"/>
            <w:vMerge w:val="restart"/>
            <w:tcBorders>
              <w:top w:val="nil"/>
              <w:left w:val="single" w:color="auto" w:sz="4" w:space="0"/>
              <w:bottom w:val="single" w:color="auto" w:sz="4" w:space="0"/>
              <w:right w:val="single" w:color="auto" w:sz="4" w:space="0"/>
            </w:tcBorders>
            <w:noWrap w:val="0"/>
            <w:vAlign w:val="center"/>
          </w:tcPr>
          <w:p w14:paraId="0B151339">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楼堂馆所控制情况</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（2019年完工项目）</w:t>
            </w:r>
          </w:p>
        </w:tc>
        <w:tc>
          <w:tcPr>
            <w:tcW w:w="1545" w:type="dxa"/>
            <w:tcBorders>
              <w:top w:val="nil"/>
              <w:left w:val="nil"/>
              <w:bottom w:val="single" w:color="auto" w:sz="4" w:space="0"/>
              <w:right w:val="single" w:color="auto" w:sz="4" w:space="0"/>
            </w:tcBorders>
            <w:noWrap w:val="0"/>
            <w:vAlign w:val="center"/>
          </w:tcPr>
          <w:p w14:paraId="5648C3D0">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批复规模</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w:t>
            </w:r>
          </w:p>
        </w:tc>
        <w:tc>
          <w:tcPr>
            <w:tcW w:w="1522" w:type="dxa"/>
            <w:tcBorders>
              <w:top w:val="nil"/>
              <w:left w:val="nil"/>
              <w:bottom w:val="single" w:color="auto" w:sz="4" w:space="0"/>
              <w:right w:val="single" w:color="auto" w:sz="4" w:space="0"/>
            </w:tcBorders>
            <w:noWrap w:val="0"/>
            <w:vAlign w:val="center"/>
          </w:tcPr>
          <w:p w14:paraId="40FA2B65">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实际规模（㎡）</w:t>
            </w:r>
          </w:p>
        </w:tc>
        <w:tc>
          <w:tcPr>
            <w:tcW w:w="1468" w:type="dxa"/>
            <w:tcBorders>
              <w:top w:val="nil"/>
              <w:left w:val="nil"/>
              <w:bottom w:val="single" w:color="auto" w:sz="4" w:space="0"/>
              <w:right w:val="single" w:color="auto" w:sz="4" w:space="0"/>
            </w:tcBorders>
            <w:noWrap w:val="0"/>
            <w:vAlign w:val="center"/>
          </w:tcPr>
          <w:p w14:paraId="65D5C70C">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规模控制率</w:t>
            </w:r>
          </w:p>
        </w:tc>
        <w:tc>
          <w:tcPr>
            <w:tcW w:w="1901" w:type="dxa"/>
            <w:tcBorders>
              <w:top w:val="nil"/>
              <w:left w:val="nil"/>
              <w:bottom w:val="single" w:color="auto" w:sz="4" w:space="0"/>
              <w:right w:val="single" w:color="auto" w:sz="4" w:space="0"/>
            </w:tcBorders>
            <w:noWrap w:val="0"/>
            <w:vAlign w:val="center"/>
          </w:tcPr>
          <w:p w14:paraId="35F3F180">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预算投资（万元）</w:t>
            </w:r>
          </w:p>
        </w:tc>
        <w:tc>
          <w:tcPr>
            <w:tcW w:w="1260" w:type="dxa"/>
            <w:tcBorders>
              <w:top w:val="nil"/>
              <w:left w:val="nil"/>
              <w:bottom w:val="single" w:color="auto" w:sz="4" w:space="0"/>
              <w:right w:val="single" w:color="auto" w:sz="4" w:space="0"/>
            </w:tcBorders>
            <w:noWrap w:val="0"/>
            <w:vAlign w:val="center"/>
          </w:tcPr>
          <w:p w14:paraId="4B1C09BB">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实际投资（万元）</w:t>
            </w:r>
          </w:p>
        </w:tc>
        <w:tc>
          <w:tcPr>
            <w:tcW w:w="1121" w:type="dxa"/>
            <w:tcBorders>
              <w:top w:val="nil"/>
              <w:left w:val="nil"/>
              <w:bottom w:val="single" w:color="auto" w:sz="4" w:space="0"/>
              <w:right w:val="single" w:color="auto" w:sz="4" w:space="0"/>
            </w:tcBorders>
            <w:noWrap w:val="0"/>
            <w:vAlign w:val="center"/>
          </w:tcPr>
          <w:p w14:paraId="1CF1E20F">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投资概算控制率</w:t>
            </w:r>
          </w:p>
        </w:tc>
      </w:tr>
      <w:tr w14:paraId="659E3B9F">
        <w:tblPrEx>
          <w:tblCellMar>
            <w:top w:w="0" w:type="dxa"/>
            <w:left w:w="108" w:type="dxa"/>
            <w:bottom w:w="0" w:type="dxa"/>
            <w:right w:w="108" w:type="dxa"/>
          </w:tblCellMar>
        </w:tblPrEx>
        <w:trPr>
          <w:trHeight w:val="263" w:hRule="atLeast"/>
          <w:jc w:val="center"/>
        </w:trPr>
        <w:tc>
          <w:tcPr>
            <w:tcW w:w="4883" w:type="dxa"/>
            <w:vMerge w:val="continue"/>
            <w:tcBorders>
              <w:top w:val="nil"/>
              <w:left w:val="single" w:color="auto" w:sz="4" w:space="0"/>
              <w:bottom w:val="single" w:color="auto" w:sz="4" w:space="0"/>
              <w:right w:val="single" w:color="auto" w:sz="4" w:space="0"/>
            </w:tcBorders>
            <w:noWrap w:val="0"/>
            <w:vAlign w:val="center"/>
          </w:tcPr>
          <w:p w14:paraId="5758A086">
            <w:pPr>
              <w:widowControl/>
              <w:spacing w:line="240" w:lineRule="exact"/>
              <w:jc w:val="left"/>
              <w:rPr>
                <w:rFonts w:ascii="Times New Roman" w:hAnsi="Times New Roman" w:eastAsia="仿宋_GB2312"/>
                <w:kern w:val="0"/>
                <w:sz w:val="18"/>
                <w:szCs w:val="18"/>
              </w:rPr>
            </w:pPr>
          </w:p>
        </w:tc>
        <w:tc>
          <w:tcPr>
            <w:tcW w:w="1545" w:type="dxa"/>
            <w:tcBorders>
              <w:top w:val="nil"/>
              <w:left w:val="nil"/>
              <w:bottom w:val="single" w:color="auto" w:sz="4" w:space="0"/>
              <w:right w:val="single" w:color="auto" w:sz="4" w:space="0"/>
            </w:tcBorders>
            <w:noWrap w:val="0"/>
            <w:vAlign w:val="center"/>
          </w:tcPr>
          <w:p w14:paraId="2A216651">
            <w:pPr>
              <w:widowControl/>
              <w:spacing w:line="240" w:lineRule="exact"/>
              <w:jc w:val="center"/>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c>
          <w:tcPr>
            <w:tcW w:w="1522" w:type="dxa"/>
            <w:tcBorders>
              <w:top w:val="nil"/>
              <w:left w:val="nil"/>
              <w:bottom w:val="single" w:color="auto" w:sz="4" w:space="0"/>
              <w:right w:val="single" w:color="auto" w:sz="4" w:space="0"/>
            </w:tcBorders>
            <w:noWrap w:val="0"/>
            <w:vAlign w:val="center"/>
          </w:tcPr>
          <w:p w14:paraId="22E69B53">
            <w:pPr>
              <w:widowControl/>
              <w:spacing w:line="24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c>
          <w:tcPr>
            <w:tcW w:w="1468" w:type="dxa"/>
            <w:tcBorders>
              <w:top w:val="nil"/>
              <w:left w:val="nil"/>
              <w:bottom w:val="single" w:color="auto" w:sz="4" w:space="0"/>
              <w:right w:val="single" w:color="auto" w:sz="4" w:space="0"/>
            </w:tcBorders>
            <w:noWrap w:val="0"/>
            <w:vAlign w:val="center"/>
          </w:tcPr>
          <w:p w14:paraId="1DDEEBE7">
            <w:pPr>
              <w:widowControl/>
              <w:spacing w:line="24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c>
          <w:tcPr>
            <w:tcW w:w="1901" w:type="dxa"/>
            <w:tcBorders>
              <w:top w:val="nil"/>
              <w:left w:val="nil"/>
              <w:bottom w:val="single" w:color="auto" w:sz="4" w:space="0"/>
              <w:right w:val="single" w:color="auto" w:sz="4" w:space="0"/>
            </w:tcBorders>
            <w:noWrap w:val="0"/>
            <w:vAlign w:val="center"/>
          </w:tcPr>
          <w:p w14:paraId="4D3B7533">
            <w:pPr>
              <w:widowControl/>
              <w:spacing w:line="24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c>
          <w:tcPr>
            <w:tcW w:w="1260" w:type="dxa"/>
            <w:tcBorders>
              <w:top w:val="nil"/>
              <w:left w:val="nil"/>
              <w:bottom w:val="single" w:color="auto" w:sz="4" w:space="0"/>
              <w:right w:val="single" w:color="auto" w:sz="4" w:space="0"/>
            </w:tcBorders>
            <w:noWrap w:val="0"/>
            <w:vAlign w:val="center"/>
          </w:tcPr>
          <w:p w14:paraId="7B7ADE4B">
            <w:pPr>
              <w:widowControl/>
              <w:spacing w:line="24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c>
          <w:tcPr>
            <w:tcW w:w="1121" w:type="dxa"/>
            <w:tcBorders>
              <w:top w:val="nil"/>
              <w:left w:val="nil"/>
              <w:bottom w:val="single" w:color="auto" w:sz="4" w:space="0"/>
              <w:right w:val="single" w:color="auto" w:sz="4" w:space="0"/>
            </w:tcBorders>
            <w:noWrap w:val="0"/>
            <w:vAlign w:val="center"/>
          </w:tcPr>
          <w:p w14:paraId="0F88ABE6">
            <w:pPr>
              <w:widowControl/>
              <w:spacing w:line="24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r>
      <w:tr w14:paraId="1AC6BF60">
        <w:tblPrEx>
          <w:tblCellMar>
            <w:top w:w="0" w:type="dxa"/>
            <w:left w:w="108" w:type="dxa"/>
            <w:bottom w:w="0" w:type="dxa"/>
            <w:right w:w="108" w:type="dxa"/>
          </w:tblCellMar>
        </w:tblPrEx>
        <w:trPr>
          <w:trHeight w:val="282" w:hRule="atLeast"/>
          <w:jc w:val="center"/>
        </w:trPr>
        <w:tc>
          <w:tcPr>
            <w:tcW w:w="4883" w:type="dxa"/>
            <w:tcBorders>
              <w:top w:val="nil"/>
              <w:left w:val="single" w:color="auto" w:sz="4" w:space="0"/>
              <w:bottom w:val="single" w:color="auto" w:sz="4" w:space="0"/>
              <w:right w:val="single" w:color="auto" w:sz="4" w:space="0"/>
            </w:tcBorders>
            <w:noWrap w:val="0"/>
            <w:vAlign w:val="center"/>
          </w:tcPr>
          <w:p w14:paraId="1DE67257">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厉行节约保障措施</w:t>
            </w:r>
          </w:p>
        </w:tc>
        <w:tc>
          <w:tcPr>
            <w:tcW w:w="8817" w:type="dxa"/>
            <w:gridSpan w:val="6"/>
            <w:tcBorders>
              <w:top w:val="single" w:color="auto" w:sz="4" w:space="0"/>
              <w:left w:val="nil"/>
              <w:bottom w:val="single" w:color="auto" w:sz="4" w:space="0"/>
              <w:right w:val="single" w:color="000000" w:sz="4" w:space="0"/>
            </w:tcBorders>
            <w:noWrap w:val="0"/>
            <w:vAlign w:val="center"/>
          </w:tcPr>
          <w:p w14:paraId="5E3A7024">
            <w:pPr>
              <w:widowControl/>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　</w:t>
            </w:r>
          </w:p>
        </w:tc>
      </w:tr>
    </w:tbl>
    <w:p w14:paraId="54EA940D">
      <w:pPr>
        <w:widowControl/>
        <w:spacing w:line="300" w:lineRule="exact"/>
        <w:ind w:firstLine="560" w:firstLineChars="200"/>
        <w:jc w:val="left"/>
        <w:rPr>
          <w:rFonts w:ascii="Times New Roman" w:hAnsi="Times New Roman" w:eastAsia="楷体_GB2312"/>
          <w:kern w:val="0"/>
          <w:sz w:val="28"/>
          <w:szCs w:val="28"/>
        </w:rPr>
      </w:pPr>
      <w:r>
        <w:rPr>
          <w:rFonts w:ascii="Times New Roman" w:hAnsi="Times New Roman" w:eastAsia="楷体_GB2312"/>
          <w:kern w:val="0"/>
          <w:sz w:val="28"/>
          <w:szCs w:val="28"/>
        </w:rPr>
        <w:t>说明：“项目支出”需要填报基本支出以外的所有项目情况，包括业务工作项目、运行维护项目等；“公用经费”填报基本支出中的一般商品和服务支出。</w:t>
      </w:r>
    </w:p>
    <w:p w14:paraId="3971C495">
      <w:pPr>
        <w:spacing w:line="560" w:lineRule="exact"/>
        <w:rPr>
          <w:rFonts w:ascii="Times New Roman" w:hAnsi="Times New Roman" w:eastAsia="仿宋_GB2312"/>
          <w:bCs/>
          <w:color w:val="000000"/>
          <w:sz w:val="32"/>
          <w:szCs w:val="32"/>
        </w:rPr>
      </w:pPr>
      <w:r>
        <w:rPr>
          <w:rFonts w:ascii="Times New Roman" w:hAnsi="Times New Roman" w:eastAsia="仿宋_GB2312"/>
          <w:bCs/>
          <w:color w:val="000000"/>
          <w:sz w:val="32"/>
          <w:szCs w:val="32"/>
        </w:rPr>
        <w:t>附件2</w:t>
      </w:r>
    </w:p>
    <w:p w14:paraId="0FB2FCE1">
      <w:pPr>
        <w:spacing w:after="161" w:afterLines="50" w:line="560" w:lineRule="exact"/>
        <w:jc w:val="center"/>
        <w:rPr>
          <w:rFonts w:ascii="Times New Roman" w:hAnsi="Times New Roman" w:eastAsia="方正小标宋简体"/>
          <w:kern w:val="0"/>
          <w:sz w:val="44"/>
          <w:szCs w:val="44"/>
        </w:rPr>
      </w:pPr>
      <w:r>
        <w:rPr>
          <w:rFonts w:ascii="Times New Roman" w:hAnsi="Times New Roman" w:eastAsia="方正小标宋简体"/>
          <w:kern w:val="0"/>
          <w:sz w:val="44"/>
          <w:szCs w:val="44"/>
        </w:rPr>
        <w:t>部门整体支出绩效评价指标表</w:t>
      </w:r>
    </w:p>
    <w:tbl>
      <w:tblPr>
        <w:tblStyle w:val="7"/>
        <w:tblW w:w="14196" w:type="dxa"/>
        <w:jc w:val="center"/>
        <w:tblLayout w:type="fixed"/>
        <w:tblCellMar>
          <w:top w:w="0" w:type="dxa"/>
          <w:left w:w="108" w:type="dxa"/>
          <w:bottom w:w="0" w:type="dxa"/>
          <w:right w:w="108" w:type="dxa"/>
        </w:tblCellMar>
      </w:tblPr>
      <w:tblGrid>
        <w:gridCol w:w="823"/>
        <w:gridCol w:w="519"/>
        <w:gridCol w:w="1258"/>
        <w:gridCol w:w="542"/>
        <w:gridCol w:w="1419"/>
        <w:gridCol w:w="565"/>
        <w:gridCol w:w="4593"/>
        <w:gridCol w:w="3773"/>
        <w:gridCol w:w="704"/>
      </w:tblGrid>
      <w:tr w14:paraId="48A63C43">
        <w:tblPrEx>
          <w:tblCellMar>
            <w:top w:w="0" w:type="dxa"/>
            <w:left w:w="108" w:type="dxa"/>
            <w:bottom w:w="0" w:type="dxa"/>
            <w:right w:w="108" w:type="dxa"/>
          </w:tblCellMar>
        </w:tblPrEx>
        <w:trPr>
          <w:trHeight w:val="679" w:hRule="atLeast"/>
          <w:tblHeader/>
          <w:jc w:val="center"/>
        </w:trPr>
        <w:tc>
          <w:tcPr>
            <w:tcW w:w="823" w:type="dxa"/>
            <w:tcBorders>
              <w:top w:val="single" w:color="auto" w:sz="4" w:space="0"/>
              <w:left w:val="single" w:color="auto" w:sz="4" w:space="0"/>
              <w:bottom w:val="single" w:color="auto" w:sz="4" w:space="0"/>
              <w:right w:val="single" w:color="auto" w:sz="4" w:space="0"/>
            </w:tcBorders>
            <w:noWrap w:val="0"/>
            <w:vAlign w:val="center"/>
          </w:tcPr>
          <w:p w14:paraId="100B42A0">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一级指标</w:t>
            </w:r>
          </w:p>
        </w:tc>
        <w:tc>
          <w:tcPr>
            <w:tcW w:w="519" w:type="dxa"/>
            <w:tcBorders>
              <w:top w:val="single" w:color="auto" w:sz="4" w:space="0"/>
              <w:left w:val="nil"/>
              <w:bottom w:val="single" w:color="auto" w:sz="4" w:space="0"/>
              <w:right w:val="single" w:color="auto" w:sz="4" w:space="0"/>
            </w:tcBorders>
            <w:noWrap w:val="0"/>
            <w:vAlign w:val="center"/>
          </w:tcPr>
          <w:p w14:paraId="47E23C7E">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分值</w:t>
            </w:r>
          </w:p>
        </w:tc>
        <w:tc>
          <w:tcPr>
            <w:tcW w:w="1258" w:type="dxa"/>
            <w:tcBorders>
              <w:top w:val="single" w:color="auto" w:sz="4" w:space="0"/>
              <w:left w:val="nil"/>
              <w:bottom w:val="single" w:color="auto" w:sz="4" w:space="0"/>
              <w:right w:val="single" w:color="auto" w:sz="4" w:space="0"/>
            </w:tcBorders>
            <w:noWrap w:val="0"/>
            <w:vAlign w:val="center"/>
          </w:tcPr>
          <w:p w14:paraId="7BFA19F4">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二级指标</w:t>
            </w:r>
          </w:p>
        </w:tc>
        <w:tc>
          <w:tcPr>
            <w:tcW w:w="542" w:type="dxa"/>
            <w:tcBorders>
              <w:top w:val="single" w:color="auto" w:sz="4" w:space="0"/>
              <w:left w:val="nil"/>
              <w:bottom w:val="single" w:color="auto" w:sz="4" w:space="0"/>
              <w:right w:val="single" w:color="auto" w:sz="4" w:space="0"/>
            </w:tcBorders>
            <w:noWrap w:val="0"/>
            <w:vAlign w:val="center"/>
          </w:tcPr>
          <w:p w14:paraId="00DAD57C">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分值</w:t>
            </w:r>
          </w:p>
        </w:tc>
        <w:tc>
          <w:tcPr>
            <w:tcW w:w="1419" w:type="dxa"/>
            <w:tcBorders>
              <w:top w:val="single" w:color="auto" w:sz="4" w:space="0"/>
              <w:left w:val="nil"/>
              <w:bottom w:val="single" w:color="auto" w:sz="4" w:space="0"/>
              <w:right w:val="single" w:color="auto" w:sz="4" w:space="0"/>
            </w:tcBorders>
            <w:noWrap w:val="0"/>
            <w:vAlign w:val="center"/>
          </w:tcPr>
          <w:p w14:paraId="4A408AB1">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三级</w:t>
            </w:r>
          </w:p>
          <w:p w14:paraId="5D575507">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指标</w:t>
            </w:r>
          </w:p>
        </w:tc>
        <w:tc>
          <w:tcPr>
            <w:tcW w:w="565" w:type="dxa"/>
            <w:tcBorders>
              <w:top w:val="single" w:color="auto" w:sz="4" w:space="0"/>
              <w:left w:val="nil"/>
              <w:bottom w:val="single" w:color="auto" w:sz="4" w:space="0"/>
              <w:right w:val="single" w:color="auto" w:sz="4" w:space="0"/>
            </w:tcBorders>
            <w:noWrap w:val="0"/>
            <w:vAlign w:val="center"/>
          </w:tcPr>
          <w:p w14:paraId="4FD4E2DF">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分值</w:t>
            </w:r>
          </w:p>
        </w:tc>
        <w:tc>
          <w:tcPr>
            <w:tcW w:w="4593" w:type="dxa"/>
            <w:tcBorders>
              <w:top w:val="single" w:color="auto" w:sz="4" w:space="0"/>
              <w:left w:val="nil"/>
              <w:bottom w:val="single" w:color="auto" w:sz="4" w:space="0"/>
              <w:right w:val="single" w:color="auto" w:sz="4" w:space="0"/>
            </w:tcBorders>
            <w:noWrap w:val="0"/>
            <w:vAlign w:val="center"/>
          </w:tcPr>
          <w:p w14:paraId="7ADF8677">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评价标准</w:t>
            </w:r>
          </w:p>
        </w:tc>
        <w:tc>
          <w:tcPr>
            <w:tcW w:w="3773" w:type="dxa"/>
            <w:tcBorders>
              <w:top w:val="single" w:color="auto" w:sz="4" w:space="0"/>
              <w:left w:val="nil"/>
              <w:bottom w:val="single" w:color="auto" w:sz="4" w:space="0"/>
              <w:right w:val="single" w:color="auto" w:sz="4" w:space="0"/>
            </w:tcBorders>
            <w:noWrap w:val="0"/>
            <w:vAlign w:val="center"/>
          </w:tcPr>
          <w:p w14:paraId="01C3AA41">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指标说明</w:t>
            </w:r>
          </w:p>
        </w:tc>
        <w:tc>
          <w:tcPr>
            <w:tcW w:w="704" w:type="dxa"/>
            <w:tcBorders>
              <w:top w:val="single" w:color="auto" w:sz="4" w:space="0"/>
              <w:left w:val="nil"/>
              <w:bottom w:val="single" w:color="auto" w:sz="4" w:space="0"/>
              <w:right w:val="single" w:color="auto" w:sz="4" w:space="0"/>
            </w:tcBorders>
            <w:noWrap w:val="0"/>
            <w:vAlign w:val="center"/>
          </w:tcPr>
          <w:p w14:paraId="3EFC7048">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得分</w:t>
            </w:r>
          </w:p>
        </w:tc>
      </w:tr>
      <w:tr w14:paraId="3172FA7D">
        <w:tblPrEx>
          <w:tblCellMar>
            <w:top w:w="0" w:type="dxa"/>
            <w:left w:w="108" w:type="dxa"/>
            <w:bottom w:w="0" w:type="dxa"/>
            <w:right w:w="108" w:type="dxa"/>
          </w:tblCellMar>
        </w:tblPrEx>
        <w:trPr>
          <w:trHeight w:val="750" w:hRule="atLeast"/>
          <w:jc w:val="center"/>
        </w:trPr>
        <w:tc>
          <w:tcPr>
            <w:tcW w:w="823" w:type="dxa"/>
            <w:vMerge w:val="restart"/>
            <w:tcBorders>
              <w:top w:val="nil"/>
              <w:left w:val="single" w:color="auto" w:sz="4" w:space="0"/>
              <w:bottom w:val="single" w:color="auto" w:sz="4" w:space="0"/>
              <w:right w:val="single" w:color="auto" w:sz="4" w:space="0"/>
            </w:tcBorders>
            <w:noWrap w:val="0"/>
            <w:vAlign w:val="center"/>
          </w:tcPr>
          <w:p w14:paraId="6114064B">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投入</w:t>
            </w:r>
          </w:p>
        </w:tc>
        <w:tc>
          <w:tcPr>
            <w:tcW w:w="519" w:type="dxa"/>
            <w:vMerge w:val="restart"/>
            <w:tcBorders>
              <w:top w:val="nil"/>
              <w:left w:val="single" w:color="auto" w:sz="4" w:space="0"/>
              <w:bottom w:val="single" w:color="000000" w:sz="4" w:space="0"/>
              <w:right w:val="single" w:color="auto" w:sz="4" w:space="0"/>
            </w:tcBorders>
            <w:noWrap w:val="0"/>
            <w:vAlign w:val="center"/>
          </w:tcPr>
          <w:p w14:paraId="32AFE7FF">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10</w:t>
            </w:r>
          </w:p>
        </w:tc>
        <w:tc>
          <w:tcPr>
            <w:tcW w:w="1258" w:type="dxa"/>
            <w:vMerge w:val="restart"/>
            <w:tcBorders>
              <w:top w:val="nil"/>
              <w:left w:val="nil"/>
              <w:bottom w:val="single" w:color="auto" w:sz="4" w:space="0"/>
              <w:right w:val="single" w:color="auto" w:sz="4" w:space="0"/>
            </w:tcBorders>
            <w:noWrap w:val="0"/>
            <w:vAlign w:val="center"/>
          </w:tcPr>
          <w:p w14:paraId="7FE86183">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预算配置</w:t>
            </w:r>
          </w:p>
        </w:tc>
        <w:tc>
          <w:tcPr>
            <w:tcW w:w="542" w:type="dxa"/>
            <w:vMerge w:val="restart"/>
            <w:tcBorders>
              <w:top w:val="nil"/>
              <w:left w:val="single" w:color="auto" w:sz="4" w:space="0"/>
              <w:bottom w:val="single" w:color="000000" w:sz="4" w:space="0"/>
              <w:right w:val="single" w:color="auto" w:sz="4" w:space="0"/>
            </w:tcBorders>
            <w:noWrap w:val="0"/>
            <w:vAlign w:val="center"/>
          </w:tcPr>
          <w:p w14:paraId="755FDB1E">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10</w:t>
            </w:r>
          </w:p>
        </w:tc>
        <w:tc>
          <w:tcPr>
            <w:tcW w:w="1419" w:type="dxa"/>
            <w:tcBorders>
              <w:top w:val="nil"/>
              <w:left w:val="nil"/>
              <w:bottom w:val="single" w:color="auto" w:sz="4" w:space="0"/>
              <w:right w:val="single" w:color="auto" w:sz="4" w:space="0"/>
            </w:tcBorders>
            <w:noWrap w:val="0"/>
            <w:vAlign w:val="center"/>
          </w:tcPr>
          <w:p w14:paraId="4B70AEB2">
            <w:pPr>
              <w:widowControl/>
              <w:spacing w:line="200" w:lineRule="exact"/>
              <w:jc w:val="center"/>
              <w:rPr>
                <w:rFonts w:ascii="Times New Roman" w:hAnsi="Times New Roman" w:eastAsia="仿宋_GB2312"/>
                <w:kern w:val="0"/>
                <w:sz w:val="18"/>
                <w:szCs w:val="18"/>
              </w:rPr>
            </w:pPr>
            <w:r>
              <w:rPr>
                <w:rFonts w:ascii="Times New Roman" w:hAnsi="Times New Roman" w:eastAsia="仿宋_GB2312"/>
                <w:spacing w:val="-20"/>
                <w:kern w:val="0"/>
                <w:sz w:val="18"/>
                <w:szCs w:val="18"/>
              </w:rPr>
              <w:t>在职人员控制率</w:t>
            </w:r>
          </w:p>
        </w:tc>
        <w:tc>
          <w:tcPr>
            <w:tcW w:w="565" w:type="dxa"/>
            <w:tcBorders>
              <w:top w:val="nil"/>
              <w:left w:val="nil"/>
              <w:bottom w:val="single" w:color="auto" w:sz="4" w:space="0"/>
              <w:right w:val="single" w:color="auto" w:sz="4" w:space="0"/>
            </w:tcBorders>
            <w:noWrap w:val="0"/>
            <w:vAlign w:val="center"/>
          </w:tcPr>
          <w:p w14:paraId="6242135E">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4593" w:type="dxa"/>
            <w:tcBorders>
              <w:top w:val="nil"/>
              <w:left w:val="nil"/>
              <w:bottom w:val="nil"/>
              <w:right w:val="nil"/>
            </w:tcBorders>
            <w:noWrap w:val="0"/>
            <w:vAlign w:val="center"/>
          </w:tcPr>
          <w:p w14:paraId="7AA012EC">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以100%为标准。在职人员控制率≦100%，计5分；每超过一个百分点扣0.5分，扣完为止。</w:t>
            </w:r>
          </w:p>
        </w:tc>
        <w:tc>
          <w:tcPr>
            <w:tcW w:w="3773" w:type="dxa"/>
            <w:tcBorders>
              <w:top w:val="nil"/>
              <w:left w:val="single" w:color="auto" w:sz="4" w:space="0"/>
              <w:bottom w:val="single" w:color="auto" w:sz="4" w:space="0"/>
              <w:right w:val="single" w:color="auto" w:sz="4" w:space="0"/>
            </w:tcBorders>
            <w:noWrap w:val="0"/>
            <w:vAlign w:val="center"/>
          </w:tcPr>
          <w:p w14:paraId="3FF33A8F">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在职人员控制率=（在职人员数/编制数）×100%，在职人员数：部门（单位）实际在职人数，以财政厅确定的部门决算编制口径为准。</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编制数：机构编制部门核定批复的部门（单位）的人员编制数。</w:t>
            </w:r>
          </w:p>
        </w:tc>
        <w:tc>
          <w:tcPr>
            <w:tcW w:w="704" w:type="dxa"/>
            <w:tcBorders>
              <w:top w:val="nil"/>
              <w:left w:val="nil"/>
              <w:bottom w:val="single" w:color="auto" w:sz="4" w:space="0"/>
              <w:right w:val="single" w:color="auto" w:sz="4" w:space="0"/>
            </w:tcBorders>
            <w:noWrap w:val="0"/>
            <w:vAlign w:val="center"/>
          </w:tcPr>
          <w:p w14:paraId="467A7953">
            <w:pPr>
              <w:widowControl/>
              <w:spacing w:line="200" w:lineRule="exact"/>
              <w:jc w:val="left"/>
              <w:rPr>
                <w:rFonts w:hint="default"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2.5</w:t>
            </w:r>
          </w:p>
        </w:tc>
      </w:tr>
      <w:tr w14:paraId="0F65A982">
        <w:tblPrEx>
          <w:tblCellMar>
            <w:top w:w="0" w:type="dxa"/>
            <w:left w:w="108" w:type="dxa"/>
            <w:bottom w:w="0" w:type="dxa"/>
            <w:right w:w="108" w:type="dxa"/>
          </w:tblCellMar>
        </w:tblPrEx>
        <w:trPr>
          <w:trHeight w:val="607" w:hRule="atLeast"/>
          <w:jc w:val="center"/>
        </w:trPr>
        <w:tc>
          <w:tcPr>
            <w:tcW w:w="823" w:type="dxa"/>
            <w:vMerge w:val="continue"/>
            <w:tcBorders>
              <w:top w:val="nil"/>
              <w:left w:val="single" w:color="auto" w:sz="4" w:space="0"/>
              <w:bottom w:val="single" w:color="auto" w:sz="4" w:space="0"/>
              <w:right w:val="single" w:color="auto" w:sz="4" w:space="0"/>
            </w:tcBorders>
            <w:noWrap w:val="0"/>
            <w:vAlign w:val="center"/>
          </w:tcPr>
          <w:p w14:paraId="7E8521B0">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7B6FE367">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nil"/>
              <w:bottom w:val="single" w:color="auto" w:sz="4" w:space="0"/>
              <w:right w:val="single" w:color="auto" w:sz="4" w:space="0"/>
            </w:tcBorders>
            <w:noWrap w:val="0"/>
            <w:vAlign w:val="center"/>
          </w:tcPr>
          <w:p w14:paraId="0B7E9E97">
            <w:pPr>
              <w:widowControl/>
              <w:spacing w:line="200" w:lineRule="exact"/>
              <w:jc w:val="left"/>
              <w:rPr>
                <w:rFonts w:ascii="Times New Roman" w:hAnsi="Times New Roman" w:eastAsia="仿宋_GB2312"/>
                <w:kern w:val="0"/>
                <w:sz w:val="18"/>
                <w:szCs w:val="18"/>
              </w:rPr>
            </w:pPr>
          </w:p>
        </w:tc>
        <w:tc>
          <w:tcPr>
            <w:tcW w:w="542" w:type="dxa"/>
            <w:vMerge w:val="continue"/>
            <w:tcBorders>
              <w:top w:val="nil"/>
              <w:left w:val="single" w:color="auto" w:sz="4" w:space="0"/>
              <w:bottom w:val="single" w:color="000000" w:sz="4" w:space="0"/>
              <w:right w:val="single" w:color="auto" w:sz="4" w:space="0"/>
            </w:tcBorders>
            <w:noWrap w:val="0"/>
            <w:vAlign w:val="center"/>
          </w:tcPr>
          <w:p w14:paraId="026CE26E">
            <w:pPr>
              <w:widowControl/>
              <w:spacing w:line="200" w:lineRule="exact"/>
              <w:jc w:val="left"/>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12A6F641">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“三公经费”变动率</w:t>
            </w:r>
          </w:p>
        </w:tc>
        <w:tc>
          <w:tcPr>
            <w:tcW w:w="565" w:type="dxa"/>
            <w:tcBorders>
              <w:top w:val="nil"/>
              <w:left w:val="nil"/>
              <w:bottom w:val="single" w:color="auto" w:sz="4" w:space="0"/>
              <w:right w:val="single" w:color="auto" w:sz="4" w:space="0"/>
            </w:tcBorders>
            <w:noWrap w:val="0"/>
            <w:vAlign w:val="center"/>
          </w:tcPr>
          <w:p w14:paraId="7A3237AC">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4593" w:type="dxa"/>
            <w:tcBorders>
              <w:top w:val="single" w:color="auto" w:sz="4" w:space="0"/>
              <w:left w:val="nil"/>
              <w:bottom w:val="single" w:color="auto" w:sz="4" w:space="0"/>
              <w:right w:val="single" w:color="auto" w:sz="4" w:space="0"/>
            </w:tcBorders>
            <w:noWrap w:val="0"/>
            <w:vAlign w:val="center"/>
          </w:tcPr>
          <w:p w14:paraId="2B891D52">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“三公经费”变动率≦0,计5分；“三公经费”＞0，每超过一个百分点扣0.5分，扣完为止。</w:t>
            </w:r>
          </w:p>
        </w:tc>
        <w:tc>
          <w:tcPr>
            <w:tcW w:w="3773" w:type="dxa"/>
            <w:tcBorders>
              <w:top w:val="nil"/>
              <w:left w:val="nil"/>
              <w:bottom w:val="single" w:color="auto" w:sz="4" w:space="0"/>
              <w:right w:val="single" w:color="auto" w:sz="4" w:space="0"/>
            </w:tcBorders>
            <w:noWrap w:val="0"/>
            <w:vAlign w:val="center"/>
          </w:tcPr>
          <w:p w14:paraId="2CD9F174">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“三公经费”变动率=[（本年度“三公经费”预算数-上年度“三公经费”预算数）/上年度“三公经费”预算数]×100%</w:t>
            </w:r>
          </w:p>
        </w:tc>
        <w:tc>
          <w:tcPr>
            <w:tcW w:w="704" w:type="dxa"/>
            <w:tcBorders>
              <w:top w:val="nil"/>
              <w:left w:val="nil"/>
              <w:bottom w:val="single" w:color="auto" w:sz="4" w:space="0"/>
              <w:right w:val="single" w:color="auto" w:sz="4" w:space="0"/>
            </w:tcBorders>
            <w:noWrap w:val="0"/>
            <w:vAlign w:val="center"/>
          </w:tcPr>
          <w:p w14:paraId="7DD6B7D0">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5</w:t>
            </w:r>
          </w:p>
        </w:tc>
      </w:tr>
      <w:tr w14:paraId="635A7276">
        <w:tblPrEx>
          <w:tblCellMar>
            <w:top w:w="0" w:type="dxa"/>
            <w:left w:w="108" w:type="dxa"/>
            <w:bottom w:w="0" w:type="dxa"/>
            <w:right w:w="108" w:type="dxa"/>
          </w:tblCellMar>
        </w:tblPrEx>
        <w:trPr>
          <w:trHeight w:val="495" w:hRule="atLeast"/>
          <w:jc w:val="center"/>
        </w:trPr>
        <w:tc>
          <w:tcPr>
            <w:tcW w:w="823" w:type="dxa"/>
            <w:vMerge w:val="restart"/>
            <w:tcBorders>
              <w:top w:val="nil"/>
              <w:left w:val="single" w:color="auto" w:sz="4" w:space="0"/>
              <w:bottom w:val="single" w:color="000000" w:sz="4" w:space="0"/>
              <w:right w:val="single" w:color="auto" w:sz="4" w:space="0"/>
            </w:tcBorders>
            <w:noWrap w:val="0"/>
            <w:vAlign w:val="center"/>
          </w:tcPr>
          <w:p w14:paraId="1C70B815">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过                                                                                                                                       程</w:t>
            </w:r>
          </w:p>
        </w:tc>
        <w:tc>
          <w:tcPr>
            <w:tcW w:w="519" w:type="dxa"/>
            <w:vMerge w:val="restart"/>
            <w:tcBorders>
              <w:top w:val="nil"/>
              <w:left w:val="single" w:color="auto" w:sz="4" w:space="0"/>
              <w:bottom w:val="single" w:color="000000" w:sz="4" w:space="0"/>
              <w:right w:val="single" w:color="auto" w:sz="4" w:space="0"/>
            </w:tcBorders>
            <w:noWrap w:val="0"/>
            <w:vAlign w:val="center"/>
          </w:tcPr>
          <w:p w14:paraId="34A4E813">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60</w:t>
            </w:r>
          </w:p>
        </w:tc>
        <w:tc>
          <w:tcPr>
            <w:tcW w:w="1258" w:type="dxa"/>
            <w:vMerge w:val="restart"/>
            <w:tcBorders>
              <w:top w:val="nil"/>
              <w:left w:val="single" w:color="auto" w:sz="4" w:space="0"/>
              <w:bottom w:val="single" w:color="000000" w:sz="4" w:space="0"/>
              <w:right w:val="single" w:color="auto" w:sz="4" w:space="0"/>
            </w:tcBorders>
            <w:noWrap w:val="0"/>
            <w:vAlign w:val="center"/>
          </w:tcPr>
          <w:p w14:paraId="17232C39">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预算执行</w:t>
            </w:r>
          </w:p>
        </w:tc>
        <w:tc>
          <w:tcPr>
            <w:tcW w:w="542" w:type="dxa"/>
            <w:vMerge w:val="restart"/>
            <w:tcBorders>
              <w:top w:val="nil"/>
              <w:left w:val="single" w:color="auto" w:sz="4" w:space="0"/>
              <w:bottom w:val="single" w:color="000000" w:sz="4" w:space="0"/>
              <w:right w:val="single" w:color="auto" w:sz="4" w:space="0"/>
            </w:tcBorders>
            <w:noWrap w:val="0"/>
            <w:vAlign w:val="center"/>
          </w:tcPr>
          <w:p w14:paraId="1E9C586A">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20</w:t>
            </w:r>
          </w:p>
        </w:tc>
        <w:tc>
          <w:tcPr>
            <w:tcW w:w="1419" w:type="dxa"/>
            <w:tcBorders>
              <w:top w:val="nil"/>
              <w:left w:val="nil"/>
              <w:bottom w:val="single" w:color="auto" w:sz="4" w:space="0"/>
              <w:right w:val="single" w:color="auto" w:sz="4" w:space="0"/>
            </w:tcBorders>
            <w:noWrap w:val="0"/>
            <w:vAlign w:val="center"/>
          </w:tcPr>
          <w:p w14:paraId="4709AA0B">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预算完成率</w:t>
            </w:r>
          </w:p>
        </w:tc>
        <w:tc>
          <w:tcPr>
            <w:tcW w:w="565" w:type="dxa"/>
            <w:tcBorders>
              <w:top w:val="nil"/>
              <w:left w:val="nil"/>
              <w:bottom w:val="single" w:color="auto" w:sz="4" w:space="0"/>
              <w:right w:val="single" w:color="auto" w:sz="4" w:space="0"/>
            </w:tcBorders>
            <w:noWrap w:val="0"/>
            <w:vAlign w:val="center"/>
          </w:tcPr>
          <w:p w14:paraId="7A5DE16D">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4593" w:type="dxa"/>
            <w:tcBorders>
              <w:top w:val="nil"/>
              <w:left w:val="nil"/>
              <w:bottom w:val="single" w:color="auto" w:sz="4" w:space="0"/>
              <w:right w:val="single" w:color="auto" w:sz="4" w:space="0"/>
            </w:tcBorders>
            <w:noWrap w:val="0"/>
            <w:vAlign w:val="center"/>
          </w:tcPr>
          <w:p w14:paraId="26DCEAC3">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100%计满分，每低于5%扣2分，扣完为止。</w:t>
            </w:r>
          </w:p>
        </w:tc>
        <w:tc>
          <w:tcPr>
            <w:tcW w:w="3773" w:type="dxa"/>
            <w:tcBorders>
              <w:top w:val="nil"/>
              <w:left w:val="nil"/>
              <w:bottom w:val="single" w:color="auto" w:sz="4" w:space="0"/>
              <w:right w:val="single" w:color="auto" w:sz="4" w:space="0"/>
            </w:tcBorders>
            <w:noWrap w:val="0"/>
            <w:vAlign w:val="center"/>
          </w:tcPr>
          <w:p w14:paraId="29735987">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预算完成率=（上年结转+年初预算+本年追加预算-年末结余）/（上年结转+年初预算+本年追加预算）×100%。</w:t>
            </w:r>
          </w:p>
        </w:tc>
        <w:tc>
          <w:tcPr>
            <w:tcW w:w="704" w:type="dxa"/>
            <w:tcBorders>
              <w:top w:val="nil"/>
              <w:left w:val="nil"/>
              <w:bottom w:val="single" w:color="auto" w:sz="4" w:space="0"/>
              <w:right w:val="single" w:color="auto" w:sz="4" w:space="0"/>
            </w:tcBorders>
            <w:noWrap w:val="0"/>
            <w:vAlign w:val="center"/>
          </w:tcPr>
          <w:p w14:paraId="50AD2792">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5</w:t>
            </w:r>
          </w:p>
        </w:tc>
      </w:tr>
      <w:tr w14:paraId="5E6BA6A4">
        <w:tblPrEx>
          <w:tblCellMar>
            <w:top w:w="0" w:type="dxa"/>
            <w:left w:w="108" w:type="dxa"/>
            <w:bottom w:w="0" w:type="dxa"/>
            <w:right w:w="108" w:type="dxa"/>
          </w:tblCellMar>
        </w:tblPrEx>
        <w:trPr>
          <w:trHeight w:val="582"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7DF6A211">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5F51C66F">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single" w:color="auto" w:sz="4" w:space="0"/>
              <w:bottom w:val="single" w:color="000000" w:sz="4" w:space="0"/>
              <w:right w:val="single" w:color="auto" w:sz="4" w:space="0"/>
            </w:tcBorders>
            <w:noWrap w:val="0"/>
            <w:vAlign w:val="center"/>
          </w:tcPr>
          <w:p w14:paraId="6CED3772">
            <w:pPr>
              <w:widowControl/>
              <w:spacing w:line="200" w:lineRule="exact"/>
              <w:jc w:val="left"/>
              <w:rPr>
                <w:rFonts w:ascii="Times New Roman" w:hAnsi="Times New Roman" w:eastAsia="仿宋_GB2312"/>
                <w:kern w:val="0"/>
                <w:sz w:val="18"/>
                <w:szCs w:val="18"/>
              </w:rPr>
            </w:pPr>
          </w:p>
        </w:tc>
        <w:tc>
          <w:tcPr>
            <w:tcW w:w="542" w:type="dxa"/>
            <w:vMerge w:val="continue"/>
            <w:tcBorders>
              <w:top w:val="nil"/>
              <w:left w:val="single" w:color="auto" w:sz="4" w:space="0"/>
              <w:bottom w:val="single" w:color="000000" w:sz="4" w:space="0"/>
              <w:right w:val="single" w:color="auto" w:sz="4" w:space="0"/>
            </w:tcBorders>
            <w:noWrap w:val="0"/>
            <w:vAlign w:val="center"/>
          </w:tcPr>
          <w:p w14:paraId="4AA6BB49">
            <w:pPr>
              <w:widowControl/>
              <w:spacing w:line="200" w:lineRule="exact"/>
              <w:jc w:val="left"/>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12BABC33">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预算控制率</w:t>
            </w:r>
          </w:p>
        </w:tc>
        <w:tc>
          <w:tcPr>
            <w:tcW w:w="565" w:type="dxa"/>
            <w:tcBorders>
              <w:top w:val="nil"/>
              <w:left w:val="nil"/>
              <w:bottom w:val="single" w:color="auto" w:sz="4" w:space="0"/>
              <w:right w:val="single" w:color="auto" w:sz="4" w:space="0"/>
            </w:tcBorders>
            <w:noWrap w:val="0"/>
            <w:vAlign w:val="center"/>
          </w:tcPr>
          <w:p w14:paraId="5D15C659">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4593" w:type="dxa"/>
            <w:tcBorders>
              <w:top w:val="nil"/>
              <w:left w:val="nil"/>
              <w:bottom w:val="single" w:color="auto" w:sz="4" w:space="0"/>
              <w:right w:val="single" w:color="auto" w:sz="4" w:space="0"/>
            </w:tcBorders>
            <w:noWrap w:val="0"/>
            <w:vAlign w:val="center"/>
          </w:tcPr>
          <w:p w14:paraId="2C526D95">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预算控制率=0，计5分；0-10%（含），计4分；10-20%（含），计3分；20-30%（含），计2分；大于30%不得分。</w:t>
            </w:r>
          </w:p>
        </w:tc>
        <w:tc>
          <w:tcPr>
            <w:tcW w:w="3773" w:type="dxa"/>
            <w:tcBorders>
              <w:top w:val="nil"/>
              <w:left w:val="nil"/>
              <w:bottom w:val="single" w:color="auto" w:sz="4" w:space="0"/>
              <w:right w:val="single" w:color="auto" w:sz="4" w:space="0"/>
            </w:tcBorders>
            <w:noWrap w:val="0"/>
            <w:vAlign w:val="center"/>
          </w:tcPr>
          <w:p w14:paraId="3DCD56AD">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预算控制率=（本年追加预算/年初预算）×100%。</w:t>
            </w:r>
          </w:p>
        </w:tc>
        <w:tc>
          <w:tcPr>
            <w:tcW w:w="704" w:type="dxa"/>
            <w:tcBorders>
              <w:top w:val="nil"/>
              <w:left w:val="nil"/>
              <w:bottom w:val="single" w:color="auto" w:sz="4" w:space="0"/>
              <w:right w:val="single" w:color="auto" w:sz="4" w:space="0"/>
            </w:tcBorders>
            <w:noWrap w:val="0"/>
            <w:vAlign w:val="center"/>
          </w:tcPr>
          <w:p w14:paraId="0F1F6C0E">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r>
      <w:tr w14:paraId="548F0C5A">
        <w:tblPrEx>
          <w:tblCellMar>
            <w:top w:w="0" w:type="dxa"/>
            <w:left w:w="108" w:type="dxa"/>
            <w:bottom w:w="0" w:type="dxa"/>
            <w:right w:w="108" w:type="dxa"/>
          </w:tblCellMar>
        </w:tblPrEx>
        <w:trPr>
          <w:trHeight w:val="582"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02FAADD8">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72B68D3A">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single" w:color="auto" w:sz="4" w:space="0"/>
              <w:bottom w:val="single" w:color="000000" w:sz="4" w:space="0"/>
              <w:right w:val="single" w:color="auto" w:sz="4" w:space="0"/>
            </w:tcBorders>
            <w:noWrap w:val="0"/>
            <w:vAlign w:val="center"/>
          </w:tcPr>
          <w:p w14:paraId="5980869E">
            <w:pPr>
              <w:widowControl/>
              <w:spacing w:line="200" w:lineRule="exact"/>
              <w:jc w:val="left"/>
              <w:rPr>
                <w:rFonts w:ascii="Times New Roman" w:hAnsi="Times New Roman" w:eastAsia="仿宋_GB2312"/>
                <w:kern w:val="0"/>
                <w:sz w:val="18"/>
                <w:szCs w:val="18"/>
              </w:rPr>
            </w:pPr>
          </w:p>
        </w:tc>
        <w:tc>
          <w:tcPr>
            <w:tcW w:w="542" w:type="dxa"/>
            <w:vMerge w:val="continue"/>
            <w:tcBorders>
              <w:top w:val="nil"/>
              <w:left w:val="single" w:color="auto" w:sz="4" w:space="0"/>
              <w:bottom w:val="single" w:color="000000" w:sz="4" w:space="0"/>
              <w:right w:val="single" w:color="auto" w:sz="4" w:space="0"/>
            </w:tcBorders>
            <w:noWrap w:val="0"/>
            <w:vAlign w:val="center"/>
          </w:tcPr>
          <w:p w14:paraId="732F84E2">
            <w:pPr>
              <w:widowControl/>
              <w:spacing w:line="200" w:lineRule="exact"/>
              <w:jc w:val="left"/>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28C18450">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新建楼堂馆所面积控制率</w:t>
            </w:r>
          </w:p>
        </w:tc>
        <w:tc>
          <w:tcPr>
            <w:tcW w:w="565" w:type="dxa"/>
            <w:tcBorders>
              <w:top w:val="nil"/>
              <w:left w:val="nil"/>
              <w:bottom w:val="single" w:color="auto" w:sz="4" w:space="0"/>
              <w:right w:val="single" w:color="auto" w:sz="4" w:space="0"/>
            </w:tcBorders>
            <w:noWrap w:val="0"/>
            <w:vAlign w:val="center"/>
          </w:tcPr>
          <w:p w14:paraId="11E75221">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4593" w:type="dxa"/>
            <w:tcBorders>
              <w:top w:val="nil"/>
              <w:left w:val="nil"/>
              <w:bottom w:val="single" w:color="auto" w:sz="4" w:space="0"/>
              <w:right w:val="single" w:color="auto" w:sz="4" w:space="0"/>
            </w:tcBorders>
            <w:noWrap w:val="0"/>
            <w:vAlign w:val="center"/>
          </w:tcPr>
          <w:p w14:paraId="783F4318">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100%以下（含）计满分，每超出5%扣2分，扣完为止。没有楼堂馆所项目的部门按满分计算。</w:t>
            </w:r>
          </w:p>
        </w:tc>
        <w:tc>
          <w:tcPr>
            <w:tcW w:w="3773" w:type="dxa"/>
            <w:tcBorders>
              <w:top w:val="nil"/>
              <w:left w:val="nil"/>
              <w:bottom w:val="single" w:color="auto" w:sz="4" w:space="0"/>
              <w:right w:val="single" w:color="auto" w:sz="4" w:space="0"/>
            </w:tcBorders>
            <w:noWrap w:val="0"/>
            <w:vAlign w:val="center"/>
          </w:tcPr>
          <w:p w14:paraId="19EDE9EF">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楼堂馆所面积控制率=实际建设面积/批准建设面积×100% 。</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该指标以2019年完工的新建楼堂馆所为评价内容。</w:t>
            </w:r>
          </w:p>
        </w:tc>
        <w:tc>
          <w:tcPr>
            <w:tcW w:w="704" w:type="dxa"/>
            <w:tcBorders>
              <w:top w:val="nil"/>
              <w:left w:val="nil"/>
              <w:bottom w:val="single" w:color="auto" w:sz="4" w:space="0"/>
              <w:right w:val="single" w:color="auto" w:sz="4" w:space="0"/>
            </w:tcBorders>
            <w:noWrap w:val="0"/>
            <w:vAlign w:val="center"/>
          </w:tcPr>
          <w:p w14:paraId="5896FDEC">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5</w:t>
            </w:r>
          </w:p>
        </w:tc>
      </w:tr>
      <w:tr w14:paraId="5BFE8442">
        <w:tblPrEx>
          <w:tblCellMar>
            <w:top w:w="0" w:type="dxa"/>
            <w:left w:w="108" w:type="dxa"/>
            <w:bottom w:w="0" w:type="dxa"/>
            <w:right w:w="108" w:type="dxa"/>
          </w:tblCellMar>
        </w:tblPrEx>
        <w:trPr>
          <w:trHeight w:val="686"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57501E7A">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2D840E31">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single" w:color="auto" w:sz="4" w:space="0"/>
              <w:bottom w:val="single" w:color="000000" w:sz="4" w:space="0"/>
              <w:right w:val="single" w:color="auto" w:sz="4" w:space="0"/>
            </w:tcBorders>
            <w:noWrap w:val="0"/>
            <w:vAlign w:val="center"/>
          </w:tcPr>
          <w:p w14:paraId="5AFC1816">
            <w:pPr>
              <w:widowControl/>
              <w:spacing w:line="200" w:lineRule="exact"/>
              <w:jc w:val="left"/>
              <w:rPr>
                <w:rFonts w:ascii="Times New Roman" w:hAnsi="Times New Roman" w:eastAsia="仿宋_GB2312"/>
                <w:kern w:val="0"/>
                <w:sz w:val="18"/>
                <w:szCs w:val="18"/>
              </w:rPr>
            </w:pPr>
          </w:p>
        </w:tc>
        <w:tc>
          <w:tcPr>
            <w:tcW w:w="542" w:type="dxa"/>
            <w:vMerge w:val="continue"/>
            <w:tcBorders>
              <w:top w:val="nil"/>
              <w:left w:val="single" w:color="auto" w:sz="4" w:space="0"/>
              <w:bottom w:val="single" w:color="000000" w:sz="4" w:space="0"/>
              <w:right w:val="single" w:color="auto" w:sz="4" w:space="0"/>
            </w:tcBorders>
            <w:noWrap w:val="0"/>
            <w:vAlign w:val="center"/>
          </w:tcPr>
          <w:p w14:paraId="3BAC7A60">
            <w:pPr>
              <w:widowControl/>
              <w:spacing w:line="200" w:lineRule="exact"/>
              <w:jc w:val="left"/>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59A92FA9">
            <w:pPr>
              <w:widowControl/>
              <w:spacing w:line="200" w:lineRule="exact"/>
              <w:jc w:val="center"/>
              <w:rPr>
                <w:rFonts w:ascii="Times New Roman" w:hAnsi="Times New Roman" w:eastAsia="仿宋_GB2312"/>
                <w:spacing w:val="-14"/>
                <w:kern w:val="0"/>
                <w:sz w:val="18"/>
                <w:szCs w:val="18"/>
              </w:rPr>
            </w:pPr>
            <w:r>
              <w:rPr>
                <w:rFonts w:ascii="Times New Roman" w:hAnsi="Times New Roman" w:eastAsia="仿宋_GB2312"/>
                <w:spacing w:val="-14"/>
                <w:kern w:val="0"/>
                <w:sz w:val="18"/>
                <w:szCs w:val="18"/>
              </w:rPr>
              <w:t>新建楼堂馆所投资概算控制率</w:t>
            </w:r>
          </w:p>
        </w:tc>
        <w:tc>
          <w:tcPr>
            <w:tcW w:w="565" w:type="dxa"/>
            <w:tcBorders>
              <w:top w:val="nil"/>
              <w:left w:val="nil"/>
              <w:bottom w:val="single" w:color="auto" w:sz="4" w:space="0"/>
              <w:right w:val="single" w:color="auto" w:sz="4" w:space="0"/>
            </w:tcBorders>
            <w:noWrap w:val="0"/>
            <w:vAlign w:val="center"/>
          </w:tcPr>
          <w:p w14:paraId="7FDDA8C1">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4593" w:type="dxa"/>
            <w:tcBorders>
              <w:top w:val="nil"/>
              <w:left w:val="nil"/>
              <w:bottom w:val="single" w:color="auto" w:sz="4" w:space="0"/>
              <w:right w:val="single" w:color="auto" w:sz="4" w:space="0"/>
            </w:tcBorders>
            <w:noWrap w:val="0"/>
            <w:vAlign w:val="center"/>
          </w:tcPr>
          <w:p w14:paraId="70E42F35">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100%以下（含）计满分，每超出5%扣2分，扣完为止。</w:t>
            </w:r>
          </w:p>
        </w:tc>
        <w:tc>
          <w:tcPr>
            <w:tcW w:w="3773" w:type="dxa"/>
            <w:tcBorders>
              <w:top w:val="nil"/>
              <w:left w:val="nil"/>
              <w:bottom w:val="single" w:color="auto" w:sz="4" w:space="0"/>
              <w:right w:val="single" w:color="auto" w:sz="4" w:space="0"/>
            </w:tcBorders>
            <w:noWrap w:val="0"/>
            <w:vAlign w:val="center"/>
          </w:tcPr>
          <w:p w14:paraId="4E9F7770">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楼堂馆所投资预算控制率=实际投资金额/批准投资金额×100% 。</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该指标以2019年完工的新建楼堂馆所为评价内容。</w:t>
            </w:r>
          </w:p>
        </w:tc>
        <w:tc>
          <w:tcPr>
            <w:tcW w:w="704" w:type="dxa"/>
            <w:tcBorders>
              <w:top w:val="nil"/>
              <w:left w:val="nil"/>
              <w:bottom w:val="single" w:color="auto" w:sz="4" w:space="0"/>
              <w:right w:val="single" w:color="auto" w:sz="4" w:space="0"/>
            </w:tcBorders>
            <w:noWrap w:val="0"/>
            <w:vAlign w:val="center"/>
          </w:tcPr>
          <w:p w14:paraId="62D9D5D5">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5</w:t>
            </w:r>
          </w:p>
        </w:tc>
      </w:tr>
      <w:tr w14:paraId="44D621C0">
        <w:tblPrEx>
          <w:tblCellMar>
            <w:top w:w="0" w:type="dxa"/>
            <w:left w:w="108" w:type="dxa"/>
            <w:bottom w:w="0" w:type="dxa"/>
            <w:right w:w="108" w:type="dxa"/>
          </w:tblCellMar>
        </w:tblPrEx>
        <w:trPr>
          <w:trHeight w:val="730"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40D7801A">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30C1EB33">
            <w:pPr>
              <w:widowControl/>
              <w:spacing w:line="200" w:lineRule="exact"/>
              <w:jc w:val="left"/>
              <w:rPr>
                <w:rFonts w:ascii="Times New Roman" w:hAnsi="Times New Roman" w:eastAsia="仿宋_GB2312"/>
                <w:kern w:val="0"/>
                <w:sz w:val="18"/>
                <w:szCs w:val="18"/>
              </w:rPr>
            </w:pPr>
          </w:p>
        </w:tc>
        <w:tc>
          <w:tcPr>
            <w:tcW w:w="1258" w:type="dxa"/>
            <w:vMerge w:val="restart"/>
            <w:tcBorders>
              <w:top w:val="nil"/>
              <w:left w:val="single" w:color="auto" w:sz="4" w:space="0"/>
              <w:bottom w:val="single" w:color="000000" w:sz="4" w:space="0"/>
              <w:right w:val="single" w:color="auto" w:sz="4" w:space="0"/>
            </w:tcBorders>
            <w:noWrap w:val="0"/>
            <w:vAlign w:val="center"/>
          </w:tcPr>
          <w:p w14:paraId="190DA1BD">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预算管理</w:t>
            </w:r>
          </w:p>
        </w:tc>
        <w:tc>
          <w:tcPr>
            <w:tcW w:w="542" w:type="dxa"/>
            <w:vMerge w:val="restart"/>
            <w:tcBorders>
              <w:top w:val="nil"/>
              <w:left w:val="single" w:color="auto" w:sz="4" w:space="0"/>
              <w:bottom w:val="single" w:color="000000" w:sz="4" w:space="0"/>
              <w:right w:val="single" w:color="auto" w:sz="4" w:space="0"/>
            </w:tcBorders>
            <w:noWrap w:val="0"/>
            <w:vAlign w:val="center"/>
          </w:tcPr>
          <w:p w14:paraId="33B07265">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40</w:t>
            </w:r>
          </w:p>
        </w:tc>
        <w:tc>
          <w:tcPr>
            <w:tcW w:w="1419" w:type="dxa"/>
            <w:tcBorders>
              <w:top w:val="nil"/>
              <w:left w:val="nil"/>
              <w:bottom w:val="single" w:color="auto" w:sz="4" w:space="0"/>
              <w:right w:val="single" w:color="auto" w:sz="4" w:space="0"/>
            </w:tcBorders>
            <w:noWrap w:val="0"/>
            <w:vAlign w:val="center"/>
          </w:tcPr>
          <w:p w14:paraId="6968FC44">
            <w:pPr>
              <w:widowControl/>
              <w:spacing w:line="200" w:lineRule="exact"/>
              <w:jc w:val="center"/>
              <w:rPr>
                <w:rFonts w:ascii="Times New Roman" w:hAnsi="Times New Roman" w:eastAsia="仿宋_GB2312"/>
                <w:kern w:val="0"/>
                <w:sz w:val="18"/>
                <w:szCs w:val="18"/>
              </w:rPr>
            </w:pPr>
            <w:r>
              <w:rPr>
                <w:rFonts w:ascii="Times New Roman" w:hAnsi="Times New Roman" w:eastAsia="仿宋_GB2312"/>
                <w:spacing w:val="-20"/>
                <w:kern w:val="0"/>
                <w:sz w:val="18"/>
                <w:szCs w:val="18"/>
              </w:rPr>
              <w:t>公用经费控制率</w:t>
            </w:r>
          </w:p>
        </w:tc>
        <w:tc>
          <w:tcPr>
            <w:tcW w:w="565" w:type="dxa"/>
            <w:tcBorders>
              <w:top w:val="nil"/>
              <w:left w:val="nil"/>
              <w:bottom w:val="single" w:color="auto" w:sz="4" w:space="0"/>
              <w:right w:val="single" w:color="auto" w:sz="4" w:space="0"/>
            </w:tcBorders>
            <w:noWrap w:val="0"/>
            <w:vAlign w:val="center"/>
          </w:tcPr>
          <w:p w14:paraId="2D20A4CA">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8</w:t>
            </w:r>
          </w:p>
        </w:tc>
        <w:tc>
          <w:tcPr>
            <w:tcW w:w="4593" w:type="dxa"/>
            <w:tcBorders>
              <w:top w:val="nil"/>
              <w:left w:val="nil"/>
              <w:bottom w:val="single" w:color="auto" w:sz="4" w:space="0"/>
              <w:right w:val="single" w:color="auto" w:sz="4" w:space="0"/>
            </w:tcBorders>
            <w:noWrap w:val="0"/>
            <w:vAlign w:val="center"/>
          </w:tcPr>
          <w:p w14:paraId="7DBF44AF">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100%以下（含）计满分，每超出1%扣1分，扣完为止。</w:t>
            </w:r>
          </w:p>
        </w:tc>
        <w:tc>
          <w:tcPr>
            <w:tcW w:w="3773" w:type="dxa"/>
            <w:tcBorders>
              <w:top w:val="nil"/>
              <w:left w:val="nil"/>
              <w:bottom w:val="single" w:color="auto" w:sz="4" w:space="0"/>
              <w:right w:val="single" w:color="auto" w:sz="4" w:space="0"/>
            </w:tcBorders>
            <w:noWrap w:val="0"/>
            <w:vAlign w:val="center"/>
          </w:tcPr>
          <w:p w14:paraId="37355DBC">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公用经费控制率=（实际支出公用经费总额/预算安排公用经费总额）×100%。</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公用经费支出是指部门基本支出中的一般商品和服务支出。</w:t>
            </w:r>
          </w:p>
        </w:tc>
        <w:tc>
          <w:tcPr>
            <w:tcW w:w="704" w:type="dxa"/>
            <w:tcBorders>
              <w:top w:val="nil"/>
              <w:left w:val="nil"/>
              <w:bottom w:val="single" w:color="auto" w:sz="4" w:space="0"/>
              <w:right w:val="single" w:color="auto" w:sz="4" w:space="0"/>
            </w:tcBorders>
            <w:noWrap w:val="0"/>
            <w:vAlign w:val="center"/>
          </w:tcPr>
          <w:p w14:paraId="67E9ADB3">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r>
      <w:tr w14:paraId="55282F19">
        <w:tblPrEx>
          <w:tblCellMar>
            <w:top w:w="0" w:type="dxa"/>
            <w:left w:w="108" w:type="dxa"/>
            <w:bottom w:w="0" w:type="dxa"/>
            <w:right w:w="108" w:type="dxa"/>
          </w:tblCellMar>
        </w:tblPrEx>
        <w:trPr>
          <w:trHeight w:val="584"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6EB2EB1F">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22A750B7">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single" w:color="auto" w:sz="4" w:space="0"/>
              <w:bottom w:val="single" w:color="000000" w:sz="4" w:space="0"/>
              <w:right w:val="single" w:color="auto" w:sz="4" w:space="0"/>
            </w:tcBorders>
            <w:noWrap w:val="0"/>
            <w:vAlign w:val="center"/>
          </w:tcPr>
          <w:p w14:paraId="2AC2553C">
            <w:pPr>
              <w:widowControl/>
              <w:spacing w:line="200" w:lineRule="exact"/>
              <w:jc w:val="center"/>
              <w:rPr>
                <w:rFonts w:ascii="Times New Roman" w:hAnsi="Times New Roman" w:eastAsia="仿宋_GB2312"/>
                <w:kern w:val="0"/>
                <w:sz w:val="18"/>
                <w:szCs w:val="18"/>
              </w:rPr>
            </w:pPr>
          </w:p>
        </w:tc>
        <w:tc>
          <w:tcPr>
            <w:tcW w:w="542" w:type="dxa"/>
            <w:vMerge w:val="continue"/>
            <w:tcBorders>
              <w:top w:val="nil"/>
              <w:left w:val="single" w:color="auto" w:sz="4" w:space="0"/>
              <w:bottom w:val="single" w:color="000000" w:sz="4" w:space="0"/>
              <w:right w:val="single" w:color="auto" w:sz="4" w:space="0"/>
            </w:tcBorders>
            <w:noWrap w:val="0"/>
            <w:vAlign w:val="center"/>
          </w:tcPr>
          <w:p w14:paraId="725CEE75">
            <w:pPr>
              <w:widowControl/>
              <w:spacing w:line="200" w:lineRule="exact"/>
              <w:jc w:val="center"/>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2B00A48E">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“三公经费”控制率</w:t>
            </w:r>
          </w:p>
        </w:tc>
        <w:tc>
          <w:tcPr>
            <w:tcW w:w="565" w:type="dxa"/>
            <w:tcBorders>
              <w:top w:val="nil"/>
              <w:left w:val="nil"/>
              <w:bottom w:val="single" w:color="auto" w:sz="4" w:space="0"/>
              <w:right w:val="single" w:color="auto" w:sz="4" w:space="0"/>
            </w:tcBorders>
            <w:noWrap w:val="0"/>
            <w:vAlign w:val="center"/>
          </w:tcPr>
          <w:p w14:paraId="301C1412">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7</w:t>
            </w:r>
          </w:p>
        </w:tc>
        <w:tc>
          <w:tcPr>
            <w:tcW w:w="4593" w:type="dxa"/>
            <w:tcBorders>
              <w:top w:val="nil"/>
              <w:left w:val="nil"/>
              <w:bottom w:val="single" w:color="auto" w:sz="4" w:space="0"/>
              <w:right w:val="single" w:color="auto" w:sz="4" w:space="0"/>
            </w:tcBorders>
            <w:noWrap w:val="0"/>
            <w:vAlign w:val="center"/>
          </w:tcPr>
          <w:p w14:paraId="62B1E940">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100%以下（含）计满分，每超出1%扣1分，扣完为止。</w:t>
            </w:r>
          </w:p>
        </w:tc>
        <w:tc>
          <w:tcPr>
            <w:tcW w:w="3773" w:type="dxa"/>
            <w:tcBorders>
              <w:top w:val="nil"/>
              <w:left w:val="nil"/>
              <w:bottom w:val="single" w:color="auto" w:sz="4" w:space="0"/>
              <w:right w:val="single" w:color="auto" w:sz="4" w:space="0"/>
            </w:tcBorders>
            <w:noWrap w:val="0"/>
            <w:vAlign w:val="center"/>
          </w:tcPr>
          <w:p w14:paraId="4F61E838">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“三公经费”控制率</w:t>
            </w:r>
            <w:r>
              <w:rPr>
                <w:rFonts w:hint="eastAsia" w:ascii="Times New Roman" w:hAnsi="Times New Roman" w:eastAsia="仿宋_GB2312"/>
                <w:kern w:val="0"/>
                <w:sz w:val="18"/>
                <w:szCs w:val="18"/>
                <w:lang w:val="en-US" w:eastAsia="zh-CN"/>
              </w:rPr>
              <w:t>=</w:t>
            </w:r>
            <w:r>
              <w:rPr>
                <w:rFonts w:ascii="Times New Roman" w:hAnsi="Times New Roman" w:eastAsia="仿宋_GB2312"/>
                <w:kern w:val="0"/>
                <w:sz w:val="18"/>
                <w:szCs w:val="18"/>
              </w:rPr>
              <w:t>（“三公经费”实际支出数/“三公经费”预算安排数）×100%。</w:t>
            </w:r>
          </w:p>
        </w:tc>
        <w:tc>
          <w:tcPr>
            <w:tcW w:w="704" w:type="dxa"/>
            <w:tcBorders>
              <w:top w:val="nil"/>
              <w:left w:val="nil"/>
              <w:bottom w:val="single" w:color="auto" w:sz="4" w:space="0"/>
              <w:right w:val="single" w:color="auto" w:sz="4" w:space="0"/>
            </w:tcBorders>
            <w:noWrap w:val="0"/>
            <w:vAlign w:val="center"/>
          </w:tcPr>
          <w:p w14:paraId="42A39D0F">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5</w:t>
            </w:r>
          </w:p>
        </w:tc>
      </w:tr>
      <w:tr w14:paraId="4E9FC333">
        <w:tblPrEx>
          <w:tblCellMar>
            <w:top w:w="0" w:type="dxa"/>
            <w:left w:w="108" w:type="dxa"/>
            <w:bottom w:w="0" w:type="dxa"/>
            <w:right w:w="108" w:type="dxa"/>
          </w:tblCellMar>
        </w:tblPrEx>
        <w:trPr>
          <w:trHeight w:val="504" w:hRule="atLeast"/>
          <w:jc w:val="center"/>
        </w:trPr>
        <w:tc>
          <w:tcPr>
            <w:tcW w:w="823" w:type="dxa"/>
            <w:vMerge w:val="continue"/>
            <w:tcBorders>
              <w:top w:val="nil"/>
              <w:left w:val="single" w:color="auto" w:sz="4" w:space="0"/>
              <w:bottom w:val="single" w:color="auto" w:sz="4" w:space="0"/>
              <w:right w:val="single" w:color="auto" w:sz="4" w:space="0"/>
            </w:tcBorders>
            <w:noWrap w:val="0"/>
            <w:vAlign w:val="center"/>
          </w:tcPr>
          <w:p w14:paraId="7FBBFBA0">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auto" w:sz="4" w:space="0"/>
              <w:right w:val="single" w:color="auto" w:sz="4" w:space="0"/>
            </w:tcBorders>
            <w:noWrap w:val="0"/>
            <w:vAlign w:val="center"/>
          </w:tcPr>
          <w:p w14:paraId="063B00CD">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single" w:color="auto" w:sz="4" w:space="0"/>
              <w:bottom w:val="single" w:color="000000" w:sz="4" w:space="0"/>
              <w:right w:val="single" w:color="auto" w:sz="4" w:space="0"/>
            </w:tcBorders>
            <w:noWrap w:val="0"/>
            <w:vAlign w:val="center"/>
          </w:tcPr>
          <w:p w14:paraId="6B3CBA36">
            <w:pPr>
              <w:widowControl/>
              <w:spacing w:line="200" w:lineRule="exact"/>
              <w:jc w:val="center"/>
              <w:rPr>
                <w:rFonts w:ascii="Times New Roman" w:hAnsi="Times New Roman" w:eastAsia="仿宋_GB2312"/>
                <w:kern w:val="0"/>
                <w:sz w:val="18"/>
                <w:szCs w:val="18"/>
              </w:rPr>
            </w:pPr>
          </w:p>
        </w:tc>
        <w:tc>
          <w:tcPr>
            <w:tcW w:w="542" w:type="dxa"/>
            <w:vMerge w:val="continue"/>
            <w:tcBorders>
              <w:top w:val="nil"/>
              <w:left w:val="single" w:color="auto" w:sz="4" w:space="0"/>
              <w:bottom w:val="single" w:color="000000" w:sz="4" w:space="0"/>
              <w:right w:val="single" w:color="auto" w:sz="4" w:space="0"/>
            </w:tcBorders>
            <w:noWrap w:val="0"/>
            <w:vAlign w:val="center"/>
          </w:tcPr>
          <w:p w14:paraId="4D378D49">
            <w:pPr>
              <w:widowControl/>
              <w:spacing w:line="200" w:lineRule="exact"/>
              <w:jc w:val="center"/>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61956C17">
            <w:pPr>
              <w:widowControl/>
              <w:spacing w:line="200" w:lineRule="exact"/>
              <w:jc w:val="center"/>
              <w:rPr>
                <w:rFonts w:ascii="Times New Roman" w:hAnsi="Times New Roman" w:eastAsia="仿宋_GB2312"/>
                <w:kern w:val="0"/>
                <w:sz w:val="18"/>
                <w:szCs w:val="18"/>
              </w:rPr>
            </w:pPr>
            <w:r>
              <w:rPr>
                <w:rFonts w:ascii="Times New Roman" w:hAnsi="Times New Roman" w:eastAsia="仿宋_GB2312"/>
                <w:spacing w:val="-20"/>
                <w:kern w:val="0"/>
                <w:sz w:val="18"/>
                <w:szCs w:val="18"/>
              </w:rPr>
              <w:t>政府采购执</w:t>
            </w:r>
            <w:r>
              <w:rPr>
                <w:rFonts w:ascii="Times New Roman" w:hAnsi="Times New Roman" w:eastAsia="仿宋_GB2312"/>
                <w:kern w:val="0"/>
                <w:sz w:val="18"/>
                <w:szCs w:val="18"/>
              </w:rPr>
              <w:t>行率</w:t>
            </w:r>
          </w:p>
        </w:tc>
        <w:tc>
          <w:tcPr>
            <w:tcW w:w="565" w:type="dxa"/>
            <w:tcBorders>
              <w:top w:val="nil"/>
              <w:left w:val="nil"/>
              <w:bottom w:val="single" w:color="auto" w:sz="4" w:space="0"/>
              <w:right w:val="single" w:color="auto" w:sz="4" w:space="0"/>
            </w:tcBorders>
            <w:noWrap w:val="0"/>
            <w:vAlign w:val="center"/>
          </w:tcPr>
          <w:p w14:paraId="15847E3D">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6</w:t>
            </w:r>
          </w:p>
        </w:tc>
        <w:tc>
          <w:tcPr>
            <w:tcW w:w="4593" w:type="dxa"/>
            <w:tcBorders>
              <w:top w:val="nil"/>
              <w:left w:val="nil"/>
              <w:bottom w:val="single" w:color="auto" w:sz="4" w:space="0"/>
              <w:right w:val="single" w:color="auto" w:sz="4" w:space="0"/>
            </w:tcBorders>
            <w:noWrap w:val="0"/>
            <w:vAlign w:val="center"/>
          </w:tcPr>
          <w:p w14:paraId="7DEB70E5">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100%计满分，每超过（降低）5%扣2分。扣完为止。</w:t>
            </w:r>
          </w:p>
        </w:tc>
        <w:tc>
          <w:tcPr>
            <w:tcW w:w="3773" w:type="dxa"/>
            <w:tcBorders>
              <w:top w:val="nil"/>
              <w:left w:val="nil"/>
              <w:bottom w:val="single" w:color="auto" w:sz="4" w:space="0"/>
              <w:right w:val="single" w:color="auto" w:sz="4" w:space="0"/>
            </w:tcBorders>
            <w:noWrap w:val="0"/>
            <w:vAlign w:val="center"/>
          </w:tcPr>
          <w:p w14:paraId="72472E5E">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政府采购执行率=（实际政府采购金额/政府采购预算数）×100%</w:t>
            </w:r>
          </w:p>
        </w:tc>
        <w:tc>
          <w:tcPr>
            <w:tcW w:w="704" w:type="dxa"/>
            <w:tcBorders>
              <w:top w:val="nil"/>
              <w:left w:val="nil"/>
              <w:bottom w:val="single" w:color="auto" w:sz="4" w:space="0"/>
              <w:right w:val="single" w:color="auto" w:sz="4" w:space="0"/>
            </w:tcBorders>
            <w:noWrap w:val="0"/>
            <w:vAlign w:val="center"/>
          </w:tcPr>
          <w:p w14:paraId="6703FBC2">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0</w:t>
            </w:r>
          </w:p>
        </w:tc>
      </w:tr>
      <w:tr w14:paraId="28C05FEC">
        <w:tblPrEx>
          <w:tblCellMar>
            <w:top w:w="0" w:type="dxa"/>
            <w:left w:w="108" w:type="dxa"/>
            <w:bottom w:w="0" w:type="dxa"/>
            <w:right w:w="108" w:type="dxa"/>
          </w:tblCellMar>
        </w:tblPrEx>
        <w:trPr>
          <w:trHeight w:val="1150" w:hRule="atLeast"/>
          <w:jc w:val="center"/>
        </w:trPr>
        <w:tc>
          <w:tcPr>
            <w:tcW w:w="823" w:type="dxa"/>
            <w:vMerge w:val="restart"/>
            <w:tcBorders>
              <w:top w:val="single" w:color="auto" w:sz="4" w:space="0"/>
              <w:left w:val="single" w:color="auto" w:sz="4" w:space="0"/>
              <w:bottom w:val="single" w:color="000000" w:sz="4" w:space="0"/>
              <w:right w:val="single" w:color="auto" w:sz="4" w:space="0"/>
            </w:tcBorders>
            <w:noWrap w:val="0"/>
            <w:vAlign w:val="center"/>
          </w:tcPr>
          <w:p w14:paraId="1B5FB93E">
            <w:pPr>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过程</w:t>
            </w:r>
          </w:p>
        </w:tc>
        <w:tc>
          <w:tcPr>
            <w:tcW w:w="519" w:type="dxa"/>
            <w:vMerge w:val="restart"/>
            <w:tcBorders>
              <w:top w:val="single" w:color="auto" w:sz="4" w:space="0"/>
              <w:left w:val="single" w:color="auto" w:sz="4" w:space="0"/>
              <w:bottom w:val="single" w:color="000000" w:sz="4" w:space="0"/>
              <w:right w:val="single" w:color="auto" w:sz="4" w:space="0"/>
            </w:tcBorders>
            <w:noWrap w:val="0"/>
            <w:vAlign w:val="center"/>
          </w:tcPr>
          <w:p w14:paraId="03823B9E">
            <w:pPr>
              <w:spacing w:line="200" w:lineRule="exact"/>
              <w:jc w:val="left"/>
              <w:rPr>
                <w:rFonts w:ascii="Times New Roman" w:hAnsi="Times New Roman" w:eastAsia="仿宋_GB2312"/>
                <w:kern w:val="0"/>
                <w:sz w:val="18"/>
                <w:szCs w:val="18"/>
              </w:rPr>
            </w:pPr>
          </w:p>
        </w:tc>
        <w:tc>
          <w:tcPr>
            <w:tcW w:w="1258" w:type="dxa"/>
            <w:vMerge w:val="restart"/>
            <w:tcBorders>
              <w:top w:val="nil"/>
              <w:left w:val="nil"/>
              <w:bottom w:val="single" w:color="auto" w:sz="4" w:space="0"/>
              <w:right w:val="single" w:color="auto" w:sz="4" w:space="0"/>
            </w:tcBorders>
            <w:noWrap w:val="0"/>
            <w:vAlign w:val="center"/>
          </w:tcPr>
          <w:p w14:paraId="17D58024">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预算管理</w:t>
            </w:r>
          </w:p>
        </w:tc>
        <w:tc>
          <w:tcPr>
            <w:tcW w:w="542" w:type="dxa"/>
            <w:vMerge w:val="continue"/>
            <w:tcBorders>
              <w:top w:val="nil"/>
              <w:left w:val="single" w:color="auto" w:sz="4" w:space="0"/>
              <w:bottom w:val="single" w:color="000000" w:sz="4" w:space="0"/>
              <w:right w:val="single" w:color="auto" w:sz="4" w:space="0"/>
            </w:tcBorders>
            <w:noWrap w:val="0"/>
            <w:vAlign w:val="center"/>
          </w:tcPr>
          <w:p w14:paraId="38EB1925">
            <w:pPr>
              <w:widowControl/>
              <w:spacing w:line="200" w:lineRule="exact"/>
              <w:jc w:val="center"/>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2C7F31C2">
            <w:pPr>
              <w:widowControl/>
              <w:spacing w:line="200" w:lineRule="exact"/>
              <w:jc w:val="center"/>
              <w:rPr>
                <w:rFonts w:ascii="Times New Roman" w:hAnsi="Times New Roman" w:eastAsia="仿宋_GB2312"/>
                <w:kern w:val="0"/>
                <w:sz w:val="18"/>
                <w:szCs w:val="18"/>
              </w:rPr>
            </w:pPr>
            <w:r>
              <w:rPr>
                <w:rFonts w:ascii="Times New Roman" w:hAnsi="Times New Roman" w:eastAsia="仿宋_GB2312"/>
                <w:spacing w:val="-20"/>
                <w:kern w:val="0"/>
                <w:sz w:val="18"/>
                <w:szCs w:val="18"/>
              </w:rPr>
              <w:t>管理制度</w:t>
            </w:r>
            <w:r>
              <w:rPr>
                <w:rFonts w:ascii="Times New Roman" w:hAnsi="Times New Roman" w:eastAsia="仿宋_GB2312"/>
                <w:kern w:val="0"/>
                <w:sz w:val="18"/>
                <w:szCs w:val="18"/>
              </w:rPr>
              <w:t>健全性</w:t>
            </w:r>
          </w:p>
        </w:tc>
        <w:tc>
          <w:tcPr>
            <w:tcW w:w="565" w:type="dxa"/>
            <w:tcBorders>
              <w:top w:val="nil"/>
              <w:left w:val="nil"/>
              <w:bottom w:val="single" w:color="auto" w:sz="4" w:space="0"/>
              <w:right w:val="single" w:color="auto" w:sz="4" w:space="0"/>
            </w:tcBorders>
            <w:noWrap w:val="0"/>
            <w:vAlign w:val="center"/>
          </w:tcPr>
          <w:p w14:paraId="0435F6EC">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8</w:t>
            </w:r>
          </w:p>
        </w:tc>
        <w:tc>
          <w:tcPr>
            <w:tcW w:w="4593" w:type="dxa"/>
            <w:tcBorders>
              <w:top w:val="nil"/>
              <w:left w:val="nil"/>
              <w:bottom w:val="single" w:color="auto" w:sz="4" w:space="0"/>
              <w:right w:val="single" w:color="auto" w:sz="4" w:space="0"/>
            </w:tcBorders>
            <w:noWrap w:val="0"/>
            <w:vAlign w:val="center"/>
          </w:tcPr>
          <w:p w14:paraId="4B4B873E">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①有内部财务管理制度、会计核算制度等管理制度，2分；</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②有本部门厉行节约制度,2分；</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③相关管理制度合法、合规、完整，2分；④相关管理制度得到有效执行，2分。</w:t>
            </w:r>
          </w:p>
        </w:tc>
        <w:tc>
          <w:tcPr>
            <w:tcW w:w="3773" w:type="dxa"/>
            <w:tcBorders>
              <w:top w:val="nil"/>
              <w:left w:val="nil"/>
              <w:bottom w:val="single" w:color="auto" w:sz="4" w:space="0"/>
              <w:right w:val="single" w:color="auto" w:sz="4" w:space="0"/>
            </w:tcBorders>
            <w:noWrap w:val="0"/>
            <w:vAlign w:val="center"/>
          </w:tcPr>
          <w:p w14:paraId="53BB2D7E">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w:t>
            </w:r>
          </w:p>
        </w:tc>
        <w:tc>
          <w:tcPr>
            <w:tcW w:w="704" w:type="dxa"/>
            <w:tcBorders>
              <w:top w:val="nil"/>
              <w:left w:val="nil"/>
              <w:bottom w:val="single" w:color="auto" w:sz="4" w:space="0"/>
              <w:right w:val="single" w:color="auto" w:sz="4" w:space="0"/>
            </w:tcBorders>
            <w:noWrap w:val="0"/>
            <w:vAlign w:val="center"/>
          </w:tcPr>
          <w:p w14:paraId="7F875A92">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8</w:t>
            </w:r>
          </w:p>
        </w:tc>
      </w:tr>
      <w:tr w14:paraId="3EA491CF">
        <w:tblPrEx>
          <w:tblCellMar>
            <w:top w:w="0" w:type="dxa"/>
            <w:left w:w="108" w:type="dxa"/>
            <w:bottom w:w="0" w:type="dxa"/>
            <w:right w:w="108" w:type="dxa"/>
          </w:tblCellMar>
        </w:tblPrEx>
        <w:trPr>
          <w:trHeight w:val="1434"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6E17E7CD">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3A483C4D">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nil"/>
              <w:bottom w:val="single" w:color="auto" w:sz="4" w:space="0"/>
              <w:right w:val="single" w:color="auto" w:sz="4" w:space="0"/>
            </w:tcBorders>
            <w:noWrap w:val="0"/>
            <w:vAlign w:val="center"/>
          </w:tcPr>
          <w:p w14:paraId="44D08414">
            <w:pPr>
              <w:widowControl/>
              <w:spacing w:line="200" w:lineRule="exact"/>
              <w:jc w:val="left"/>
              <w:rPr>
                <w:rFonts w:ascii="Times New Roman" w:hAnsi="Times New Roman" w:eastAsia="仿宋_GB2312"/>
                <w:kern w:val="0"/>
                <w:sz w:val="18"/>
                <w:szCs w:val="18"/>
              </w:rPr>
            </w:pPr>
          </w:p>
        </w:tc>
        <w:tc>
          <w:tcPr>
            <w:tcW w:w="542" w:type="dxa"/>
            <w:vMerge w:val="continue"/>
            <w:tcBorders>
              <w:top w:val="nil"/>
              <w:left w:val="single" w:color="auto" w:sz="4" w:space="0"/>
              <w:bottom w:val="single" w:color="000000" w:sz="4" w:space="0"/>
              <w:right w:val="single" w:color="auto" w:sz="4" w:space="0"/>
            </w:tcBorders>
            <w:noWrap w:val="0"/>
            <w:vAlign w:val="center"/>
          </w:tcPr>
          <w:p w14:paraId="3B1BDBB2">
            <w:pPr>
              <w:widowControl/>
              <w:spacing w:line="200" w:lineRule="exact"/>
              <w:jc w:val="left"/>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3F04972B">
            <w:pPr>
              <w:widowControl/>
              <w:spacing w:line="200" w:lineRule="exact"/>
              <w:jc w:val="center"/>
              <w:rPr>
                <w:rFonts w:ascii="Times New Roman" w:hAnsi="Times New Roman" w:eastAsia="仿宋_GB2312"/>
                <w:kern w:val="0"/>
                <w:sz w:val="18"/>
                <w:szCs w:val="18"/>
              </w:rPr>
            </w:pPr>
            <w:r>
              <w:rPr>
                <w:rFonts w:ascii="Times New Roman" w:hAnsi="Times New Roman" w:eastAsia="仿宋_GB2312"/>
                <w:spacing w:val="-20"/>
                <w:kern w:val="0"/>
                <w:sz w:val="18"/>
                <w:szCs w:val="18"/>
              </w:rPr>
              <w:t>资金使用</w:t>
            </w:r>
            <w:r>
              <w:rPr>
                <w:rFonts w:ascii="Times New Roman" w:hAnsi="Times New Roman" w:eastAsia="仿宋_GB2312"/>
                <w:kern w:val="0"/>
                <w:sz w:val="18"/>
                <w:szCs w:val="18"/>
              </w:rPr>
              <w:t>合规性</w:t>
            </w:r>
          </w:p>
        </w:tc>
        <w:tc>
          <w:tcPr>
            <w:tcW w:w="565" w:type="dxa"/>
            <w:tcBorders>
              <w:top w:val="nil"/>
              <w:left w:val="nil"/>
              <w:bottom w:val="single" w:color="auto" w:sz="4" w:space="0"/>
              <w:right w:val="single" w:color="auto" w:sz="4" w:space="0"/>
            </w:tcBorders>
            <w:noWrap w:val="0"/>
            <w:vAlign w:val="center"/>
          </w:tcPr>
          <w:p w14:paraId="04E0C5FA">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6</w:t>
            </w:r>
          </w:p>
        </w:tc>
        <w:tc>
          <w:tcPr>
            <w:tcW w:w="4593" w:type="dxa"/>
            <w:tcBorders>
              <w:top w:val="nil"/>
              <w:left w:val="nil"/>
              <w:bottom w:val="single" w:color="auto" w:sz="4" w:space="0"/>
              <w:right w:val="single" w:color="auto" w:sz="4" w:space="0"/>
            </w:tcBorders>
            <w:noWrap w:val="0"/>
            <w:vAlign w:val="center"/>
          </w:tcPr>
          <w:p w14:paraId="16D95946">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①支出符合国家财经法规和财务管理制度规定以及有关专项资金管理办法的规定；②资金拨付有完整的审批程序和手续；③项目支出按规定经过评估论证；④支出符合部门预算批复的用途；⑤资金使用无截留、挤占、挪用、虚列支出等情况。</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以上情况每出现一例不符合要求的扣1分，扣完为止。</w:t>
            </w:r>
          </w:p>
        </w:tc>
        <w:tc>
          <w:tcPr>
            <w:tcW w:w="3773" w:type="dxa"/>
            <w:tcBorders>
              <w:top w:val="nil"/>
              <w:left w:val="nil"/>
              <w:bottom w:val="single" w:color="auto" w:sz="4" w:space="0"/>
              <w:right w:val="single" w:color="auto" w:sz="4" w:space="0"/>
            </w:tcBorders>
            <w:noWrap w:val="0"/>
            <w:vAlign w:val="center"/>
          </w:tcPr>
          <w:p w14:paraId="2E355BFF">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w:t>
            </w:r>
          </w:p>
        </w:tc>
        <w:tc>
          <w:tcPr>
            <w:tcW w:w="704" w:type="dxa"/>
            <w:tcBorders>
              <w:top w:val="nil"/>
              <w:left w:val="nil"/>
              <w:bottom w:val="single" w:color="auto" w:sz="4" w:space="0"/>
              <w:right w:val="single" w:color="auto" w:sz="4" w:space="0"/>
            </w:tcBorders>
            <w:noWrap w:val="0"/>
            <w:vAlign w:val="center"/>
          </w:tcPr>
          <w:p w14:paraId="0023BB70">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6</w:t>
            </w:r>
          </w:p>
        </w:tc>
      </w:tr>
      <w:tr w14:paraId="56D579F8">
        <w:tblPrEx>
          <w:tblCellMar>
            <w:top w:w="0" w:type="dxa"/>
            <w:left w:w="108" w:type="dxa"/>
            <w:bottom w:w="0" w:type="dxa"/>
            <w:right w:w="108" w:type="dxa"/>
          </w:tblCellMar>
        </w:tblPrEx>
        <w:trPr>
          <w:trHeight w:val="892"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58904043">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66DD2DBB">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nil"/>
              <w:bottom w:val="single" w:color="auto" w:sz="4" w:space="0"/>
              <w:right w:val="single" w:color="auto" w:sz="4" w:space="0"/>
            </w:tcBorders>
            <w:noWrap w:val="0"/>
            <w:vAlign w:val="center"/>
          </w:tcPr>
          <w:p w14:paraId="635DFA96">
            <w:pPr>
              <w:widowControl/>
              <w:spacing w:line="200" w:lineRule="exact"/>
              <w:jc w:val="left"/>
              <w:rPr>
                <w:rFonts w:ascii="Times New Roman" w:hAnsi="Times New Roman" w:eastAsia="仿宋_GB2312"/>
                <w:kern w:val="0"/>
                <w:sz w:val="18"/>
                <w:szCs w:val="18"/>
              </w:rPr>
            </w:pPr>
          </w:p>
        </w:tc>
        <w:tc>
          <w:tcPr>
            <w:tcW w:w="542" w:type="dxa"/>
            <w:vMerge w:val="continue"/>
            <w:tcBorders>
              <w:top w:val="nil"/>
              <w:left w:val="single" w:color="auto" w:sz="4" w:space="0"/>
              <w:bottom w:val="single" w:color="000000" w:sz="4" w:space="0"/>
              <w:right w:val="single" w:color="auto" w:sz="4" w:space="0"/>
            </w:tcBorders>
            <w:noWrap w:val="0"/>
            <w:vAlign w:val="center"/>
          </w:tcPr>
          <w:p w14:paraId="2DCC09DA">
            <w:pPr>
              <w:widowControl/>
              <w:spacing w:line="200" w:lineRule="exact"/>
              <w:jc w:val="left"/>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04CCB49C">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预决算信息公开性</w:t>
            </w:r>
          </w:p>
        </w:tc>
        <w:tc>
          <w:tcPr>
            <w:tcW w:w="565" w:type="dxa"/>
            <w:tcBorders>
              <w:top w:val="nil"/>
              <w:left w:val="nil"/>
              <w:bottom w:val="single" w:color="auto" w:sz="4" w:space="0"/>
              <w:right w:val="single" w:color="auto" w:sz="4" w:space="0"/>
            </w:tcBorders>
            <w:noWrap w:val="0"/>
            <w:vAlign w:val="center"/>
          </w:tcPr>
          <w:p w14:paraId="74535FFB">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4593" w:type="dxa"/>
            <w:tcBorders>
              <w:top w:val="nil"/>
              <w:left w:val="nil"/>
              <w:bottom w:val="single" w:color="auto" w:sz="4" w:space="0"/>
              <w:right w:val="single" w:color="auto" w:sz="4" w:space="0"/>
            </w:tcBorders>
            <w:noWrap w:val="0"/>
            <w:vAlign w:val="center"/>
          </w:tcPr>
          <w:p w14:paraId="337E07BF">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xml:space="preserve">①按规定内容公开预决算信息，1分；②按规定时限公开预决算信息，1分；③基础数据信息和会计信息资料真实，1分；④基础数据信息和会计信息资料完整，1分；⑤基础数据信息和汇集信息资料准确，1分。  </w:t>
            </w:r>
          </w:p>
        </w:tc>
        <w:tc>
          <w:tcPr>
            <w:tcW w:w="3773" w:type="dxa"/>
            <w:tcBorders>
              <w:top w:val="nil"/>
              <w:left w:val="nil"/>
              <w:bottom w:val="single" w:color="auto" w:sz="4" w:space="0"/>
              <w:right w:val="single" w:color="auto" w:sz="4" w:space="0"/>
            </w:tcBorders>
            <w:noWrap w:val="0"/>
            <w:vAlign w:val="center"/>
          </w:tcPr>
          <w:p w14:paraId="00C1B8CF">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预决算信息是指与部门预算、执行、决算、监督、绩效等管理相关的信息。</w:t>
            </w:r>
          </w:p>
        </w:tc>
        <w:tc>
          <w:tcPr>
            <w:tcW w:w="704" w:type="dxa"/>
            <w:tcBorders>
              <w:top w:val="nil"/>
              <w:left w:val="nil"/>
              <w:bottom w:val="single" w:color="auto" w:sz="4" w:space="0"/>
              <w:right w:val="single" w:color="auto" w:sz="4" w:space="0"/>
            </w:tcBorders>
            <w:noWrap w:val="0"/>
            <w:vAlign w:val="center"/>
          </w:tcPr>
          <w:p w14:paraId="007D2418">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5</w:t>
            </w:r>
          </w:p>
        </w:tc>
      </w:tr>
      <w:tr w14:paraId="3CFE23AE">
        <w:tblPrEx>
          <w:tblCellMar>
            <w:top w:w="0" w:type="dxa"/>
            <w:left w:w="108" w:type="dxa"/>
            <w:bottom w:w="0" w:type="dxa"/>
            <w:right w:w="108" w:type="dxa"/>
          </w:tblCellMar>
        </w:tblPrEx>
        <w:trPr>
          <w:trHeight w:val="622" w:hRule="atLeast"/>
          <w:jc w:val="center"/>
        </w:trPr>
        <w:tc>
          <w:tcPr>
            <w:tcW w:w="823" w:type="dxa"/>
            <w:vMerge w:val="restart"/>
            <w:tcBorders>
              <w:top w:val="nil"/>
              <w:left w:val="single" w:color="auto" w:sz="4" w:space="0"/>
              <w:bottom w:val="single" w:color="000000" w:sz="4" w:space="0"/>
              <w:right w:val="single" w:color="auto" w:sz="4" w:space="0"/>
            </w:tcBorders>
            <w:noWrap w:val="0"/>
            <w:vAlign w:val="center"/>
          </w:tcPr>
          <w:p w14:paraId="284078A4">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产出及效率</w:t>
            </w:r>
          </w:p>
        </w:tc>
        <w:tc>
          <w:tcPr>
            <w:tcW w:w="519" w:type="dxa"/>
            <w:vMerge w:val="restart"/>
            <w:tcBorders>
              <w:top w:val="nil"/>
              <w:left w:val="single" w:color="auto" w:sz="4" w:space="0"/>
              <w:bottom w:val="single" w:color="000000" w:sz="4" w:space="0"/>
              <w:right w:val="single" w:color="auto" w:sz="4" w:space="0"/>
            </w:tcBorders>
            <w:noWrap w:val="0"/>
            <w:vAlign w:val="center"/>
          </w:tcPr>
          <w:p w14:paraId="504C907C">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30</w:t>
            </w:r>
          </w:p>
        </w:tc>
        <w:tc>
          <w:tcPr>
            <w:tcW w:w="1258" w:type="dxa"/>
            <w:tcBorders>
              <w:top w:val="nil"/>
              <w:left w:val="nil"/>
              <w:bottom w:val="single" w:color="auto" w:sz="4" w:space="0"/>
              <w:right w:val="single" w:color="auto" w:sz="4" w:space="0"/>
            </w:tcBorders>
            <w:noWrap w:val="0"/>
            <w:vAlign w:val="center"/>
          </w:tcPr>
          <w:p w14:paraId="025941F7">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职责履行</w:t>
            </w:r>
          </w:p>
        </w:tc>
        <w:tc>
          <w:tcPr>
            <w:tcW w:w="542" w:type="dxa"/>
            <w:tcBorders>
              <w:top w:val="nil"/>
              <w:left w:val="nil"/>
              <w:bottom w:val="single" w:color="auto" w:sz="4" w:space="0"/>
              <w:right w:val="single" w:color="auto" w:sz="4" w:space="0"/>
            </w:tcBorders>
            <w:noWrap w:val="0"/>
            <w:vAlign w:val="center"/>
          </w:tcPr>
          <w:p w14:paraId="6463DCC2">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8</w:t>
            </w:r>
          </w:p>
        </w:tc>
        <w:tc>
          <w:tcPr>
            <w:tcW w:w="1419" w:type="dxa"/>
            <w:tcBorders>
              <w:top w:val="nil"/>
              <w:left w:val="nil"/>
              <w:bottom w:val="nil"/>
              <w:right w:val="single" w:color="auto" w:sz="4" w:space="0"/>
            </w:tcBorders>
            <w:noWrap w:val="0"/>
            <w:vAlign w:val="center"/>
          </w:tcPr>
          <w:p w14:paraId="1B82CF15">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重点工作实际完成率</w:t>
            </w:r>
          </w:p>
        </w:tc>
        <w:tc>
          <w:tcPr>
            <w:tcW w:w="565" w:type="dxa"/>
            <w:tcBorders>
              <w:top w:val="nil"/>
              <w:left w:val="nil"/>
              <w:bottom w:val="single" w:color="auto" w:sz="4" w:space="0"/>
              <w:right w:val="single" w:color="auto" w:sz="4" w:space="0"/>
            </w:tcBorders>
            <w:noWrap w:val="0"/>
            <w:vAlign w:val="center"/>
          </w:tcPr>
          <w:p w14:paraId="294AEDAA">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8</w:t>
            </w:r>
          </w:p>
        </w:tc>
        <w:tc>
          <w:tcPr>
            <w:tcW w:w="4593" w:type="dxa"/>
            <w:tcBorders>
              <w:top w:val="nil"/>
              <w:left w:val="nil"/>
              <w:bottom w:val="single" w:color="auto" w:sz="4" w:space="0"/>
              <w:right w:val="single" w:color="auto" w:sz="4" w:space="0"/>
            </w:tcBorders>
            <w:noWrap w:val="0"/>
            <w:vAlign w:val="center"/>
          </w:tcPr>
          <w:p w14:paraId="5B55518E">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根据绩效办2019年对各部门为民办实事和部门重点工程与重点工作考核分数折算。</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该项得分=（绩效办对应部分考核得分/该部分总分）*8</w:t>
            </w:r>
          </w:p>
        </w:tc>
        <w:tc>
          <w:tcPr>
            <w:tcW w:w="3773" w:type="dxa"/>
            <w:tcBorders>
              <w:top w:val="nil"/>
              <w:left w:val="nil"/>
              <w:bottom w:val="single" w:color="auto" w:sz="4" w:space="0"/>
              <w:right w:val="single" w:color="auto" w:sz="4" w:space="0"/>
            </w:tcBorders>
            <w:noWrap w:val="0"/>
            <w:vAlign w:val="center"/>
          </w:tcPr>
          <w:p w14:paraId="0934B2CA">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　</w:t>
            </w:r>
          </w:p>
        </w:tc>
        <w:tc>
          <w:tcPr>
            <w:tcW w:w="704" w:type="dxa"/>
            <w:tcBorders>
              <w:top w:val="nil"/>
              <w:left w:val="nil"/>
              <w:bottom w:val="single" w:color="auto" w:sz="4" w:space="0"/>
              <w:right w:val="single" w:color="auto" w:sz="4" w:space="0"/>
            </w:tcBorders>
            <w:noWrap w:val="0"/>
            <w:vAlign w:val="center"/>
          </w:tcPr>
          <w:p w14:paraId="6FD1943A">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8</w:t>
            </w:r>
          </w:p>
        </w:tc>
      </w:tr>
      <w:tr w14:paraId="6AB63BE3">
        <w:tblPrEx>
          <w:tblCellMar>
            <w:top w:w="0" w:type="dxa"/>
            <w:left w:w="108" w:type="dxa"/>
            <w:bottom w:w="0" w:type="dxa"/>
            <w:right w:w="108" w:type="dxa"/>
          </w:tblCellMar>
        </w:tblPrEx>
        <w:trPr>
          <w:trHeight w:val="439"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60E21674">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523F5919">
            <w:pPr>
              <w:widowControl/>
              <w:spacing w:line="200" w:lineRule="exact"/>
              <w:jc w:val="left"/>
              <w:rPr>
                <w:rFonts w:ascii="Times New Roman" w:hAnsi="Times New Roman" w:eastAsia="仿宋_GB2312"/>
                <w:kern w:val="0"/>
                <w:sz w:val="18"/>
                <w:szCs w:val="18"/>
              </w:rPr>
            </w:pPr>
          </w:p>
        </w:tc>
        <w:tc>
          <w:tcPr>
            <w:tcW w:w="1258" w:type="dxa"/>
            <w:vMerge w:val="restart"/>
            <w:tcBorders>
              <w:top w:val="nil"/>
              <w:left w:val="single" w:color="auto" w:sz="4" w:space="0"/>
              <w:bottom w:val="single" w:color="000000" w:sz="4" w:space="0"/>
              <w:right w:val="single" w:color="auto" w:sz="4" w:space="0"/>
            </w:tcBorders>
            <w:noWrap w:val="0"/>
            <w:vAlign w:val="center"/>
          </w:tcPr>
          <w:p w14:paraId="715ABD97">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履职效益</w:t>
            </w:r>
          </w:p>
        </w:tc>
        <w:tc>
          <w:tcPr>
            <w:tcW w:w="542" w:type="dxa"/>
            <w:vMerge w:val="restart"/>
            <w:tcBorders>
              <w:top w:val="nil"/>
              <w:left w:val="single" w:color="auto" w:sz="4" w:space="0"/>
              <w:bottom w:val="single" w:color="000000" w:sz="4" w:space="0"/>
              <w:right w:val="single" w:color="auto" w:sz="4" w:space="0"/>
            </w:tcBorders>
            <w:noWrap w:val="0"/>
            <w:vAlign w:val="center"/>
          </w:tcPr>
          <w:p w14:paraId="3709A8B8">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10</w:t>
            </w:r>
          </w:p>
        </w:tc>
        <w:tc>
          <w:tcPr>
            <w:tcW w:w="1419" w:type="dxa"/>
            <w:tcBorders>
              <w:top w:val="single" w:color="auto" w:sz="4" w:space="0"/>
              <w:left w:val="nil"/>
              <w:bottom w:val="single" w:color="auto" w:sz="4" w:space="0"/>
              <w:right w:val="single" w:color="auto" w:sz="4" w:space="0"/>
            </w:tcBorders>
            <w:noWrap w:val="0"/>
            <w:vAlign w:val="center"/>
          </w:tcPr>
          <w:p w14:paraId="75683FAC">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经济效益</w:t>
            </w:r>
          </w:p>
        </w:tc>
        <w:tc>
          <w:tcPr>
            <w:tcW w:w="565" w:type="dxa"/>
            <w:tcBorders>
              <w:top w:val="nil"/>
              <w:left w:val="single" w:color="auto" w:sz="4" w:space="0"/>
              <w:bottom w:val="single" w:color="auto" w:sz="4" w:space="0"/>
              <w:right w:val="single" w:color="auto" w:sz="4" w:space="0"/>
            </w:tcBorders>
            <w:noWrap w:val="0"/>
            <w:vAlign w:val="center"/>
          </w:tcPr>
          <w:p w14:paraId="782B1DE2">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4593" w:type="dxa"/>
            <w:tcBorders>
              <w:top w:val="single" w:color="auto" w:sz="4" w:space="0"/>
              <w:left w:val="single" w:color="auto" w:sz="4" w:space="0"/>
              <w:bottom w:val="single" w:color="auto" w:sz="4" w:space="0"/>
              <w:right w:val="single" w:color="auto" w:sz="4" w:space="0"/>
            </w:tcBorders>
            <w:noWrap w:val="0"/>
            <w:vAlign w:val="center"/>
          </w:tcPr>
          <w:p w14:paraId="73C20A2B">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对经济发展带来的直接影响和间接影响。</w:t>
            </w:r>
          </w:p>
        </w:tc>
        <w:tc>
          <w:tcPr>
            <w:tcW w:w="3773" w:type="dxa"/>
            <w:vMerge w:val="restart"/>
            <w:tcBorders>
              <w:top w:val="single" w:color="auto" w:sz="4" w:space="0"/>
              <w:left w:val="single" w:color="auto" w:sz="4" w:space="0"/>
              <w:right w:val="single" w:color="000000" w:sz="4" w:space="0"/>
            </w:tcBorders>
            <w:noWrap w:val="0"/>
            <w:vAlign w:val="center"/>
          </w:tcPr>
          <w:p w14:paraId="2D565557">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此两项指标为设置部门整体支出绩效评价指标时必须考虑的共性要素，可根据部门实际情况有选择</w:t>
            </w:r>
            <w:r>
              <w:rPr>
                <w:rFonts w:hint="eastAsia" w:ascii="Times New Roman" w:hAnsi="Times New Roman" w:eastAsia="仿宋_GB2312"/>
                <w:kern w:val="0"/>
                <w:sz w:val="18"/>
                <w:szCs w:val="18"/>
                <w:lang w:val="en-US" w:eastAsia="zh-CN"/>
              </w:rPr>
              <w:t>地</w:t>
            </w:r>
            <w:r>
              <w:rPr>
                <w:rFonts w:ascii="Times New Roman" w:hAnsi="Times New Roman" w:eastAsia="仿宋_GB2312"/>
                <w:kern w:val="0"/>
                <w:sz w:val="18"/>
                <w:szCs w:val="18"/>
              </w:rPr>
              <w:t>进行设置，并将其细化为相应的个性化指标。</w:t>
            </w:r>
          </w:p>
        </w:tc>
        <w:tc>
          <w:tcPr>
            <w:tcW w:w="704" w:type="dxa"/>
            <w:tcBorders>
              <w:top w:val="nil"/>
              <w:left w:val="nil"/>
              <w:bottom w:val="single" w:color="auto" w:sz="4" w:space="0"/>
              <w:right w:val="single" w:color="auto" w:sz="4" w:space="0"/>
            </w:tcBorders>
            <w:noWrap w:val="0"/>
            <w:vAlign w:val="center"/>
          </w:tcPr>
          <w:p w14:paraId="20A8098B">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5</w:t>
            </w:r>
          </w:p>
        </w:tc>
      </w:tr>
      <w:tr w14:paraId="788A0EEF">
        <w:tblPrEx>
          <w:tblCellMar>
            <w:top w:w="0" w:type="dxa"/>
            <w:left w:w="108" w:type="dxa"/>
            <w:bottom w:w="0" w:type="dxa"/>
            <w:right w:w="108" w:type="dxa"/>
          </w:tblCellMar>
        </w:tblPrEx>
        <w:trPr>
          <w:trHeight w:val="428"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4DD7AEA8">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3261BC3D">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single" w:color="auto" w:sz="4" w:space="0"/>
              <w:bottom w:val="single" w:color="000000" w:sz="4" w:space="0"/>
              <w:right w:val="single" w:color="auto" w:sz="4" w:space="0"/>
            </w:tcBorders>
            <w:noWrap w:val="0"/>
            <w:vAlign w:val="center"/>
          </w:tcPr>
          <w:p w14:paraId="7FF69041">
            <w:pPr>
              <w:widowControl/>
              <w:spacing w:line="200" w:lineRule="exact"/>
              <w:jc w:val="left"/>
              <w:rPr>
                <w:rFonts w:ascii="Times New Roman" w:hAnsi="Times New Roman" w:eastAsia="仿宋_GB2312"/>
                <w:kern w:val="0"/>
                <w:sz w:val="18"/>
                <w:szCs w:val="18"/>
              </w:rPr>
            </w:pPr>
          </w:p>
        </w:tc>
        <w:tc>
          <w:tcPr>
            <w:tcW w:w="542" w:type="dxa"/>
            <w:vMerge w:val="continue"/>
            <w:tcBorders>
              <w:top w:val="nil"/>
              <w:left w:val="single" w:color="auto" w:sz="4" w:space="0"/>
              <w:bottom w:val="single" w:color="000000" w:sz="4" w:space="0"/>
              <w:right w:val="single" w:color="auto" w:sz="4" w:space="0"/>
            </w:tcBorders>
            <w:noWrap w:val="0"/>
            <w:vAlign w:val="center"/>
          </w:tcPr>
          <w:p w14:paraId="6781C2C8">
            <w:pPr>
              <w:widowControl/>
              <w:spacing w:line="200" w:lineRule="exact"/>
              <w:jc w:val="left"/>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6EC8ADED">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社会效益</w:t>
            </w:r>
          </w:p>
        </w:tc>
        <w:tc>
          <w:tcPr>
            <w:tcW w:w="565" w:type="dxa"/>
            <w:tcBorders>
              <w:top w:val="single" w:color="auto" w:sz="4" w:space="0"/>
              <w:left w:val="single" w:color="auto" w:sz="4" w:space="0"/>
              <w:bottom w:val="nil"/>
              <w:right w:val="single" w:color="auto" w:sz="4" w:space="0"/>
            </w:tcBorders>
            <w:noWrap w:val="0"/>
            <w:vAlign w:val="center"/>
          </w:tcPr>
          <w:p w14:paraId="59AC32F6">
            <w:pPr>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4593" w:type="dxa"/>
            <w:tcBorders>
              <w:top w:val="single" w:color="auto" w:sz="4" w:space="0"/>
              <w:left w:val="single" w:color="auto" w:sz="4" w:space="0"/>
              <w:bottom w:val="nil"/>
              <w:right w:val="single" w:color="auto" w:sz="4" w:space="0"/>
            </w:tcBorders>
            <w:noWrap w:val="0"/>
            <w:vAlign w:val="center"/>
          </w:tcPr>
          <w:p w14:paraId="52ACA792">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对社会发展带来的直接影响和间接影响。</w:t>
            </w:r>
          </w:p>
        </w:tc>
        <w:tc>
          <w:tcPr>
            <w:tcW w:w="3773" w:type="dxa"/>
            <w:vMerge w:val="continue"/>
            <w:tcBorders>
              <w:left w:val="single" w:color="auto" w:sz="4" w:space="0"/>
              <w:bottom w:val="nil"/>
              <w:right w:val="single" w:color="000000" w:sz="4" w:space="0"/>
            </w:tcBorders>
            <w:noWrap w:val="0"/>
            <w:vAlign w:val="center"/>
          </w:tcPr>
          <w:p w14:paraId="3254B01F">
            <w:pPr>
              <w:spacing w:line="200" w:lineRule="exact"/>
              <w:jc w:val="left"/>
              <w:rPr>
                <w:rFonts w:ascii="Times New Roman" w:hAnsi="Times New Roman" w:eastAsia="仿宋_GB2312"/>
                <w:kern w:val="0"/>
                <w:sz w:val="18"/>
                <w:szCs w:val="18"/>
              </w:rPr>
            </w:pPr>
          </w:p>
        </w:tc>
        <w:tc>
          <w:tcPr>
            <w:tcW w:w="704" w:type="dxa"/>
            <w:tcBorders>
              <w:top w:val="single" w:color="auto" w:sz="4" w:space="0"/>
              <w:left w:val="nil"/>
              <w:bottom w:val="nil"/>
              <w:right w:val="single" w:color="auto" w:sz="4" w:space="0"/>
            </w:tcBorders>
            <w:noWrap w:val="0"/>
            <w:vAlign w:val="center"/>
          </w:tcPr>
          <w:p w14:paraId="7A28FDC7">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5</w:t>
            </w:r>
          </w:p>
        </w:tc>
      </w:tr>
      <w:tr w14:paraId="197A25B2">
        <w:tblPrEx>
          <w:tblCellMar>
            <w:top w:w="0" w:type="dxa"/>
            <w:left w:w="108" w:type="dxa"/>
            <w:bottom w:w="0" w:type="dxa"/>
            <w:right w:w="108" w:type="dxa"/>
          </w:tblCellMar>
        </w:tblPrEx>
        <w:trPr>
          <w:trHeight w:val="835" w:hRule="atLeast"/>
          <w:jc w:val="center"/>
        </w:trPr>
        <w:tc>
          <w:tcPr>
            <w:tcW w:w="823" w:type="dxa"/>
            <w:vMerge w:val="continue"/>
            <w:tcBorders>
              <w:top w:val="nil"/>
              <w:left w:val="single" w:color="auto" w:sz="4" w:space="0"/>
              <w:bottom w:val="single" w:color="000000" w:sz="4" w:space="0"/>
              <w:right w:val="single" w:color="auto" w:sz="4" w:space="0"/>
            </w:tcBorders>
            <w:noWrap w:val="0"/>
            <w:vAlign w:val="center"/>
          </w:tcPr>
          <w:p w14:paraId="593D3105">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000000" w:sz="4" w:space="0"/>
              <w:right w:val="single" w:color="auto" w:sz="4" w:space="0"/>
            </w:tcBorders>
            <w:noWrap w:val="0"/>
            <w:vAlign w:val="center"/>
          </w:tcPr>
          <w:p w14:paraId="20846377">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single" w:color="auto" w:sz="4" w:space="0"/>
              <w:bottom w:val="single" w:color="000000" w:sz="4" w:space="0"/>
              <w:right w:val="single" w:color="auto" w:sz="4" w:space="0"/>
            </w:tcBorders>
            <w:noWrap w:val="0"/>
            <w:vAlign w:val="center"/>
          </w:tcPr>
          <w:p w14:paraId="05425D6C">
            <w:pPr>
              <w:widowControl/>
              <w:spacing w:line="200" w:lineRule="exact"/>
              <w:jc w:val="left"/>
              <w:rPr>
                <w:rFonts w:ascii="Times New Roman" w:hAnsi="Times New Roman" w:eastAsia="仿宋_GB2312"/>
                <w:kern w:val="0"/>
                <w:sz w:val="18"/>
                <w:szCs w:val="18"/>
              </w:rPr>
            </w:pPr>
          </w:p>
        </w:tc>
        <w:tc>
          <w:tcPr>
            <w:tcW w:w="542" w:type="dxa"/>
            <w:vMerge w:val="restart"/>
            <w:tcBorders>
              <w:top w:val="nil"/>
              <w:left w:val="single" w:color="auto" w:sz="4" w:space="0"/>
              <w:bottom w:val="single" w:color="000000" w:sz="4" w:space="0"/>
              <w:right w:val="single" w:color="auto" w:sz="4" w:space="0"/>
            </w:tcBorders>
            <w:noWrap w:val="0"/>
            <w:vAlign w:val="center"/>
          </w:tcPr>
          <w:p w14:paraId="322CD4E4">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12</w:t>
            </w:r>
          </w:p>
        </w:tc>
        <w:tc>
          <w:tcPr>
            <w:tcW w:w="1419" w:type="dxa"/>
            <w:tcBorders>
              <w:top w:val="nil"/>
              <w:left w:val="nil"/>
              <w:bottom w:val="single" w:color="auto" w:sz="4" w:space="0"/>
              <w:right w:val="single" w:color="auto" w:sz="4" w:space="0"/>
            </w:tcBorders>
            <w:noWrap w:val="0"/>
            <w:vAlign w:val="center"/>
          </w:tcPr>
          <w:p w14:paraId="491BCB3E">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行政效能</w:t>
            </w:r>
          </w:p>
        </w:tc>
        <w:tc>
          <w:tcPr>
            <w:tcW w:w="565" w:type="dxa"/>
            <w:tcBorders>
              <w:top w:val="single" w:color="auto" w:sz="4" w:space="0"/>
              <w:left w:val="nil"/>
              <w:bottom w:val="single" w:color="auto" w:sz="4" w:space="0"/>
              <w:right w:val="single" w:color="auto" w:sz="4" w:space="0"/>
            </w:tcBorders>
            <w:noWrap w:val="0"/>
            <w:vAlign w:val="center"/>
          </w:tcPr>
          <w:p w14:paraId="33213784">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6</w:t>
            </w:r>
          </w:p>
        </w:tc>
        <w:tc>
          <w:tcPr>
            <w:tcW w:w="4593" w:type="dxa"/>
            <w:tcBorders>
              <w:top w:val="single" w:color="auto" w:sz="4" w:space="0"/>
              <w:left w:val="nil"/>
              <w:bottom w:val="single" w:color="auto" w:sz="4" w:space="0"/>
              <w:right w:val="single" w:color="auto" w:sz="4" w:space="0"/>
            </w:tcBorders>
            <w:noWrap w:val="0"/>
            <w:vAlign w:val="center"/>
          </w:tcPr>
          <w:p w14:paraId="0A35AB21">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促进部门改进文风会风，加强经费及资产管理，推动网上办事，提高行政效率，降低行政成本效果较好的计6分；一般3分；无效果或者效果不明显0分。</w:t>
            </w:r>
          </w:p>
        </w:tc>
        <w:tc>
          <w:tcPr>
            <w:tcW w:w="3773" w:type="dxa"/>
            <w:tcBorders>
              <w:top w:val="single" w:color="auto" w:sz="4" w:space="0"/>
              <w:left w:val="nil"/>
              <w:bottom w:val="single" w:color="auto" w:sz="4" w:space="0"/>
              <w:right w:val="single" w:color="auto" w:sz="4" w:space="0"/>
            </w:tcBorders>
            <w:noWrap w:val="0"/>
            <w:vAlign w:val="center"/>
          </w:tcPr>
          <w:p w14:paraId="17CF0371">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根据部门自评材料评定。</w:t>
            </w:r>
          </w:p>
        </w:tc>
        <w:tc>
          <w:tcPr>
            <w:tcW w:w="704" w:type="dxa"/>
            <w:tcBorders>
              <w:top w:val="single" w:color="auto" w:sz="4" w:space="0"/>
              <w:left w:val="nil"/>
              <w:bottom w:val="single" w:color="auto" w:sz="4" w:space="0"/>
              <w:right w:val="single" w:color="auto" w:sz="4" w:space="0"/>
            </w:tcBorders>
            <w:noWrap w:val="0"/>
            <w:vAlign w:val="center"/>
          </w:tcPr>
          <w:p w14:paraId="001B0FC1">
            <w:pPr>
              <w:widowControl/>
              <w:spacing w:line="200" w:lineRule="exact"/>
              <w:jc w:val="left"/>
              <w:rPr>
                <w:rFonts w:hint="eastAsia" w:ascii="Times New Roman" w:hAnsi="Times New Roman" w:eastAsia="仿宋_GB2312"/>
                <w:kern w:val="0"/>
                <w:sz w:val="18"/>
                <w:szCs w:val="18"/>
                <w:lang w:val="en-US" w:eastAsia="zh-CN"/>
              </w:rPr>
            </w:pPr>
            <w:r>
              <w:rPr>
                <w:rFonts w:ascii="Times New Roman" w:hAnsi="Times New Roman" w:eastAsia="仿宋_GB2312"/>
                <w:kern w:val="0"/>
                <w:sz w:val="18"/>
                <w:szCs w:val="18"/>
              </w:rPr>
              <w:t>　</w:t>
            </w:r>
            <w:r>
              <w:rPr>
                <w:rFonts w:hint="eastAsia" w:ascii="Times New Roman" w:hAnsi="Times New Roman" w:eastAsia="仿宋_GB2312"/>
                <w:kern w:val="0"/>
                <w:sz w:val="18"/>
                <w:szCs w:val="18"/>
                <w:lang w:val="en-US" w:eastAsia="zh-CN"/>
              </w:rPr>
              <w:t>6</w:t>
            </w:r>
          </w:p>
        </w:tc>
      </w:tr>
      <w:tr w14:paraId="1741F2F9">
        <w:tblPrEx>
          <w:tblCellMar>
            <w:top w:w="0" w:type="dxa"/>
            <w:left w:w="108" w:type="dxa"/>
            <w:bottom w:w="0" w:type="dxa"/>
            <w:right w:w="108" w:type="dxa"/>
          </w:tblCellMar>
        </w:tblPrEx>
        <w:trPr>
          <w:trHeight w:val="832" w:hRule="atLeast"/>
          <w:jc w:val="center"/>
        </w:trPr>
        <w:tc>
          <w:tcPr>
            <w:tcW w:w="823" w:type="dxa"/>
            <w:vMerge w:val="continue"/>
            <w:tcBorders>
              <w:top w:val="nil"/>
              <w:left w:val="single" w:color="auto" w:sz="4" w:space="0"/>
              <w:bottom w:val="single" w:color="auto" w:sz="4" w:space="0"/>
              <w:right w:val="single" w:color="auto" w:sz="4" w:space="0"/>
            </w:tcBorders>
            <w:noWrap w:val="0"/>
            <w:vAlign w:val="center"/>
          </w:tcPr>
          <w:p w14:paraId="6B7F19EE">
            <w:pPr>
              <w:widowControl/>
              <w:spacing w:line="200" w:lineRule="exact"/>
              <w:jc w:val="left"/>
              <w:rPr>
                <w:rFonts w:ascii="Times New Roman" w:hAnsi="Times New Roman" w:eastAsia="仿宋_GB2312"/>
                <w:kern w:val="0"/>
                <w:sz w:val="18"/>
                <w:szCs w:val="18"/>
              </w:rPr>
            </w:pPr>
          </w:p>
        </w:tc>
        <w:tc>
          <w:tcPr>
            <w:tcW w:w="519" w:type="dxa"/>
            <w:vMerge w:val="continue"/>
            <w:tcBorders>
              <w:top w:val="nil"/>
              <w:left w:val="single" w:color="auto" w:sz="4" w:space="0"/>
              <w:bottom w:val="single" w:color="auto" w:sz="4" w:space="0"/>
              <w:right w:val="single" w:color="auto" w:sz="4" w:space="0"/>
            </w:tcBorders>
            <w:noWrap w:val="0"/>
            <w:vAlign w:val="center"/>
          </w:tcPr>
          <w:p w14:paraId="0AEB1082">
            <w:pPr>
              <w:widowControl/>
              <w:spacing w:line="200" w:lineRule="exact"/>
              <w:jc w:val="left"/>
              <w:rPr>
                <w:rFonts w:ascii="Times New Roman" w:hAnsi="Times New Roman" w:eastAsia="仿宋_GB2312"/>
                <w:kern w:val="0"/>
                <w:sz w:val="18"/>
                <w:szCs w:val="18"/>
              </w:rPr>
            </w:pPr>
          </w:p>
        </w:tc>
        <w:tc>
          <w:tcPr>
            <w:tcW w:w="1258" w:type="dxa"/>
            <w:vMerge w:val="continue"/>
            <w:tcBorders>
              <w:top w:val="nil"/>
              <w:left w:val="single" w:color="auto" w:sz="4" w:space="0"/>
              <w:bottom w:val="single" w:color="auto" w:sz="4" w:space="0"/>
              <w:right w:val="single" w:color="auto" w:sz="4" w:space="0"/>
            </w:tcBorders>
            <w:noWrap w:val="0"/>
            <w:vAlign w:val="center"/>
          </w:tcPr>
          <w:p w14:paraId="2F875138">
            <w:pPr>
              <w:widowControl/>
              <w:spacing w:line="200" w:lineRule="exact"/>
              <w:jc w:val="left"/>
              <w:rPr>
                <w:rFonts w:ascii="Times New Roman" w:hAnsi="Times New Roman" w:eastAsia="仿宋_GB2312"/>
                <w:kern w:val="0"/>
                <w:sz w:val="18"/>
                <w:szCs w:val="18"/>
              </w:rPr>
            </w:pPr>
          </w:p>
        </w:tc>
        <w:tc>
          <w:tcPr>
            <w:tcW w:w="542" w:type="dxa"/>
            <w:vMerge w:val="continue"/>
            <w:tcBorders>
              <w:top w:val="nil"/>
              <w:left w:val="single" w:color="auto" w:sz="4" w:space="0"/>
              <w:bottom w:val="single" w:color="auto" w:sz="4" w:space="0"/>
              <w:right w:val="single" w:color="auto" w:sz="4" w:space="0"/>
            </w:tcBorders>
            <w:noWrap w:val="0"/>
            <w:vAlign w:val="center"/>
          </w:tcPr>
          <w:p w14:paraId="4EFF8107">
            <w:pPr>
              <w:widowControl/>
              <w:spacing w:line="200" w:lineRule="exact"/>
              <w:jc w:val="left"/>
              <w:rPr>
                <w:rFonts w:ascii="Times New Roman" w:hAnsi="Times New Roman" w:eastAsia="仿宋_GB2312"/>
                <w:kern w:val="0"/>
                <w:sz w:val="18"/>
                <w:szCs w:val="18"/>
              </w:rPr>
            </w:pPr>
          </w:p>
        </w:tc>
        <w:tc>
          <w:tcPr>
            <w:tcW w:w="1419" w:type="dxa"/>
            <w:tcBorders>
              <w:top w:val="nil"/>
              <w:left w:val="nil"/>
              <w:bottom w:val="single" w:color="auto" w:sz="4" w:space="0"/>
              <w:right w:val="single" w:color="auto" w:sz="4" w:space="0"/>
            </w:tcBorders>
            <w:noWrap w:val="0"/>
            <w:vAlign w:val="center"/>
          </w:tcPr>
          <w:p w14:paraId="48B67A5F">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社会公众或服务对象满意度</w:t>
            </w:r>
          </w:p>
        </w:tc>
        <w:tc>
          <w:tcPr>
            <w:tcW w:w="565" w:type="dxa"/>
            <w:tcBorders>
              <w:top w:val="nil"/>
              <w:left w:val="nil"/>
              <w:bottom w:val="single" w:color="auto" w:sz="4" w:space="0"/>
              <w:right w:val="single" w:color="auto" w:sz="4" w:space="0"/>
            </w:tcBorders>
            <w:noWrap w:val="0"/>
            <w:vAlign w:val="center"/>
          </w:tcPr>
          <w:p w14:paraId="130DA828">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6</w:t>
            </w:r>
          </w:p>
        </w:tc>
        <w:tc>
          <w:tcPr>
            <w:tcW w:w="4593" w:type="dxa"/>
            <w:tcBorders>
              <w:top w:val="nil"/>
              <w:left w:val="nil"/>
              <w:bottom w:val="single" w:color="auto" w:sz="4" w:space="0"/>
              <w:right w:val="single" w:color="auto" w:sz="4" w:space="0"/>
            </w:tcBorders>
            <w:noWrap w:val="0"/>
            <w:vAlign w:val="center"/>
          </w:tcPr>
          <w:p w14:paraId="1ABDB42E">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90%（含）以上计6分；</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80%（含）-90%，计4分；</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70%（含）-80%，计2分；</w:t>
            </w:r>
            <w:r>
              <w:rPr>
                <w:rFonts w:ascii="Times New Roman" w:hAnsi="Times New Roman" w:eastAsia="仿宋_GB2312"/>
                <w:kern w:val="0"/>
                <w:sz w:val="18"/>
                <w:szCs w:val="18"/>
              </w:rPr>
              <w:br w:type="textWrapping"/>
            </w:r>
            <w:r>
              <w:rPr>
                <w:rFonts w:ascii="Times New Roman" w:hAnsi="Times New Roman" w:eastAsia="仿宋_GB2312"/>
                <w:kern w:val="0"/>
                <w:sz w:val="18"/>
                <w:szCs w:val="18"/>
              </w:rPr>
              <w:t>低于70%计0分。</w:t>
            </w:r>
          </w:p>
        </w:tc>
        <w:tc>
          <w:tcPr>
            <w:tcW w:w="3773" w:type="dxa"/>
            <w:tcBorders>
              <w:top w:val="nil"/>
              <w:left w:val="nil"/>
              <w:bottom w:val="single" w:color="auto" w:sz="4" w:space="0"/>
              <w:right w:val="single" w:color="auto" w:sz="4" w:space="0"/>
            </w:tcBorders>
            <w:noWrap w:val="0"/>
            <w:vAlign w:val="center"/>
          </w:tcPr>
          <w:p w14:paraId="7A534C87">
            <w:pPr>
              <w:widowControl/>
              <w:spacing w:line="200" w:lineRule="exact"/>
              <w:jc w:val="left"/>
              <w:rPr>
                <w:rFonts w:ascii="Times New Roman" w:hAnsi="Times New Roman" w:eastAsia="仿宋_GB2312"/>
                <w:kern w:val="0"/>
                <w:sz w:val="18"/>
                <w:szCs w:val="18"/>
              </w:rPr>
            </w:pPr>
            <w:r>
              <w:rPr>
                <w:rFonts w:ascii="Times New Roman" w:hAnsi="Times New Roman" w:eastAsia="仿宋_GB2312"/>
                <w:kern w:val="0"/>
                <w:sz w:val="18"/>
                <w:szCs w:val="18"/>
              </w:rPr>
              <w:t>社会公众或服务对象是指部门（单位）履行职责而影响到的部门、群体或个人，一般采取社会调查的方式。</w:t>
            </w:r>
          </w:p>
        </w:tc>
        <w:tc>
          <w:tcPr>
            <w:tcW w:w="704" w:type="dxa"/>
            <w:tcBorders>
              <w:top w:val="nil"/>
              <w:left w:val="nil"/>
              <w:bottom w:val="single" w:color="auto" w:sz="4" w:space="0"/>
              <w:right w:val="single" w:color="auto" w:sz="4" w:space="0"/>
            </w:tcBorders>
            <w:noWrap w:val="0"/>
            <w:vAlign w:val="center"/>
          </w:tcPr>
          <w:p w14:paraId="1079D470">
            <w:pPr>
              <w:widowControl/>
              <w:spacing w:line="200" w:lineRule="exact"/>
              <w:jc w:val="center"/>
              <w:rPr>
                <w:rFonts w:ascii="Times New Roman" w:hAnsi="Times New Roman" w:eastAsia="仿宋_GB2312"/>
                <w:kern w:val="0"/>
                <w:sz w:val="18"/>
                <w:szCs w:val="18"/>
              </w:rPr>
            </w:pPr>
          </w:p>
          <w:p w14:paraId="48008F95">
            <w:pPr>
              <w:widowControl/>
              <w:spacing w:line="200" w:lineRule="exact"/>
              <w:jc w:val="center"/>
              <w:rPr>
                <w:rFonts w:hint="eastAsia"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6</w:t>
            </w:r>
          </w:p>
        </w:tc>
      </w:tr>
      <w:tr w14:paraId="0E7C2488">
        <w:tblPrEx>
          <w:tblCellMar>
            <w:top w:w="0" w:type="dxa"/>
            <w:left w:w="108" w:type="dxa"/>
            <w:bottom w:w="0" w:type="dxa"/>
            <w:right w:w="108" w:type="dxa"/>
          </w:tblCellMar>
        </w:tblPrEx>
        <w:trPr>
          <w:trHeight w:val="832" w:hRule="atLeast"/>
          <w:jc w:val="center"/>
        </w:trPr>
        <w:tc>
          <w:tcPr>
            <w:tcW w:w="4561" w:type="dxa"/>
            <w:gridSpan w:val="5"/>
            <w:tcBorders>
              <w:top w:val="nil"/>
              <w:left w:val="single" w:color="auto" w:sz="4" w:space="0"/>
              <w:bottom w:val="single" w:color="auto" w:sz="4" w:space="0"/>
              <w:right w:val="single" w:color="auto" w:sz="4" w:space="0"/>
            </w:tcBorders>
            <w:noWrap w:val="0"/>
            <w:vAlign w:val="center"/>
          </w:tcPr>
          <w:p w14:paraId="1E6FB0F9">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总分</w:t>
            </w:r>
          </w:p>
        </w:tc>
        <w:tc>
          <w:tcPr>
            <w:tcW w:w="565" w:type="dxa"/>
            <w:tcBorders>
              <w:top w:val="nil"/>
              <w:left w:val="nil"/>
              <w:bottom w:val="single" w:color="auto" w:sz="4" w:space="0"/>
              <w:right w:val="single" w:color="auto" w:sz="4" w:space="0"/>
            </w:tcBorders>
            <w:noWrap w:val="0"/>
            <w:vAlign w:val="center"/>
          </w:tcPr>
          <w:p w14:paraId="1247B6D4">
            <w:pPr>
              <w:widowControl/>
              <w:spacing w:line="20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100</w:t>
            </w:r>
          </w:p>
        </w:tc>
        <w:tc>
          <w:tcPr>
            <w:tcW w:w="8366" w:type="dxa"/>
            <w:gridSpan w:val="2"/>
            <w:tcBorders>
              <w:top w:val="nil"/>
              <w:left w:val="nil"/>
              <w:bottom w:val="single" w:color="auto" w:sz="4" w:space="0"/>
              <w:right w:val="single" w:color="auto" w:sz="4" w:space="0"/>
            </w:tcBorders>
            <w:noWrap w:val="0"/>
            <w:vAlign w:val="center"/>
          </w:tcPr>
          <w:p w14:paraId="509FC37E">
            <w:pPr>
              <w:widowControl/>
              <w:spacing w:line="200" w:lineRule="exact"/>
              <w:jc w:val="left"/>
              <w:rPr>
                <w:rFonts w:ascii="Times New Roman" w:hAnsi="Times New Roman" w:eastAsia="仿宋_GB2312"/>
                <w:kern w:val="0"/>
                <w:sz w:val="18"/>
                <w:szCs w:val="18"/>
              </w:rPr>
            </w:pPr>
          </w:p>
        </w:tc>
        <w:tc>
          <w:tcPr>
            <w:tcW w:w="704" w:type="dxa"/>
            <w:tcBorders>
              <w:top w:val="nil"/>
              <w:left w:val="nil"/>
              <w:bottom w:val="single" w:color="auto" w:sz="4" w:space="0"/>
              <w:right w:val="single" w:color="auto" w:sz="4" w:space="0"/>
            </w:tcBorders>
            <w:noWrap w:val="0"/>
            <w:vAlign w:val="center"/>
          </w:tcPr>
          <w:p w14:paraId="481AFAD7">
            <w:pPr>
              <w:widowControl/>
              <w:spacing w:line="200" w:lineRule="exact"/>
              <w:jc w:val="left"/>
              <w:rPr>
                <w:rFonts w:hint="default" w:ascii="Times New Roman" w:hAnsi="Times New Roman" w:eastAsia="仿宋_GB2312"/>
                <w:kern w:val="0"/>
                <w:sz w:val="18"/>
                <w:szCs w:val="18"/>
                <w:lang w:val="en-US" w:eastAsia="zh-CN"/>
              </w:rPr>
            </w:pPr>
            <w:r>
              <w:rPr>
                <w:rFonts w:hint="eastAsia" w:ascii="Times New Roman" w:hAnsi="Times New Roman" w:eastAsia="仿宋_GB2312"/>
                <w:kern w:val="0"/>
                <w:sz w:val="18"/>
                <w:szCs w:val="18"/>
                <w:lang w:val="en-US" w:eastAsia="zh-CN"/>
              </w:rPr>
              <w:t>76.5</w:t>
            </w:r>
          </w:p>
        </w:tc>
      </w:tr>
    </w:tbl>
    <w:p w14:paraId="6F52059C">
      <w:pPr>
        <w:spacing w:line="20" w:lineRule="exact"/>
        <w:rPr>
          <w:rFonts w:ascii="Times New Roman" w:hAnsi="Times New Roman" w:eastAsia="新宋体"/>
          <w:bCs/>
          <w:color w:val="000000"/>
          <w:sz w:val="32"/>
          <w:szCs w:val="32"/>
        </w:rPr>
        <w:sectPr>
          <w:footerReference r:id="rId4" w:type="default"/>
          <w:pgSz w:w="16838" w:h="11906" w:orient="landscape"/>
          <w:pgMar w:top="1247" w:right="1134" w:bottom="907" w:left="1474" w:header="851" w:footer="1361" w:gutter="0"/>
          <w:pgBorders>
            <w:top w:val="none" w:sz="0" w:space="0"/>
            <w:left w:val="none" w:sz="0" w:space="0"/>
            <w:bottom w:val="none" w:sz="0" w:space="0"/>
            <w:right w:val="none" w:sz="0" w:space="0"/>
          </w:pgBorders>
          <w:cols w:space="720" w:num="1"/>
          <w:docGrid w:type="lines" w:linePitch="323" w:charSpace="0"/>
        </w:sectPr>
      </w:pPr>
    </w:p>
    <w:p w14:paraId="45AF4847">
      <w:pPr>
        <w:rPr>
          <w:rFonts w:cs="仿宋"/>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724DF0-56F4-4522-8AA1-35EC7F070B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FC3DEC4-7C6E-4953-86CF-9148CF9B1F70}"/>
  </w:font>
  <w:font w:name="仿宋_GB2312">
    <w:panose1 w:val="02010609030101010101"/>
    <w:charset w:val="86"/>
    <w:family w:val="auto"/>
    <w:pitch w:val="default"/>
    <w:sig w:usb0="00000001" w:usb1="080E0000" w:usb2="00000000" w:usb3="00000000" w:csb0="00040000" w:csb1="00000000"/>
    <w:embedRegular r:id="rId3" w:fontKey="{FEE4A996-500B-4B8B-9EBC-D1159BB2AB5F}"/>
  </w:font>
  <w:font w:name="仿宋">
    <w:panose1 w:val="02010609060101010101"/>
    <w:charset w:val="86"/>
    <w:family w:val="modern"/>
    <w:pitch w:val="default"/>
    <w:sig w:usb0="800002BF" w:usb1="38CF7CFA" w:usb2="00000016" w:usb3="00000000" w:csb0="00040001" w:csb1="00000000"/>
    <w:embedRegular r:id="rId4" w:fontKey="{F2872F5E-F2D7-4E0B-AC8C-93D68A3BB2C7}"/>
  </w:font>
  <w:font w:name="楷体_GB2312">
    <w:panose1 w:val="02010609030101010101"/>
    <w:charset w:val="86"/>
    <w:family w:val="modern"/>
    <w:pitch w:val="default"/>
    <w:sig w:usb0="00000001" w:usb1="080E0000" w:usb2="00000000" w:usb3="00000000" w:csb0="00040000" w:csb1="00000000"/>
    <w:embedRegular r:id="rId5" w:fontKey="{F040AF20-3BDD-41D4-94D3-FD58CFEA9E96}"/>
  </w:font>
  <w:font w:name="方正仿宋_GBK">
    <w:panose1 w:val="02000000000000000000"/>
    <w:charset w:val="86"/>
    <w:family w:val="auto"/>
    <w:pitch w:val="default"/>
    <w:sig w:usb0="00000001" w:usb1="080E0000" w:usb2="00000000" w:usb3="00000000" w:csb0="00040000" w:csb1="00000000"/>
    <w:embedRegular r:id="rId6" w:fontKey="{056F42CC-B261-468D-B6EA-3B7A2AC8AEFA}"/>
  </w:font>
  <w:font w:name="方正小标宋简体">
    <w:panose1 w:val="02010600010101010101"/>
    <w:charset w:val="86"/>
    <w:family w:val="script"/>
    <w:pitch w:val="default"/>
    <w:sig w:usb0="00000001" w:usb1="080E0000" w:usb2="00000000" w:usb3="00000000" w:csb0="00040000" w:csb1="00000000"/>
    <w:embedRegular r:id="rId7" w:fontKey="{1BFB550F-EE88-453D-BD19-414AF07E62E9}"/>
  </w:font>
  <w:font w:name="新宋体">
    <w:panose1 w:val="02010609030101010101"/>
    <w:charset w:val="86"/>
    <w:family w:val="modern"/>
    <w:pitch w:val="default"/>
    <w:sig w:usb0="00000203" w:usb1="288F0000" w:usb2="00000006" w:usb3="00000000" w:csb0="00040001" w:csb1="00000000"/>
    <w:embedRegular r:id="rId8" w:fontKey="{302218E8-CD50-43C6-A446-17E1550A5A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3F3A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8265">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422223">
                          <w:pPr>
                            <w:pStyle w:val="4"/>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2422223">
                    <w:pPr>
                      <w:pStyle w:val="4"/>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12</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26F2DD"/>
    <w:multiLevelType w:val="singleLevel"/>
    <w:tmpl w:val="BC26F2DD"/>
    <w:lvl w:ilvl="0" w:tentative="0">
      <w:start w:val="3"/>
      <w:numFmt w:val="decimal"/>
      <w:suff w:val="nothing"/>
      <w:lvlText w:val="%1、"/>
      <w:lvlJc w:val="left"/>
    </w:lvl>
  </w:abstractNum>
  <w:abstractNum w:abstractNumId="1">
    <w:nsid w:val="6FE018D5"/>
    <w:multiLevelType w:val="singleLevel"/>
    <w:tmpl w:val="6FE018D5"/>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F5F"/>
    <w:rsid w:val="003C4E5A"/>
    <w:rsid w:val="00686F37"/>
    <w:rsid w:val="00C15BB6"/>
    <w:rsid w:val="00CC6F5F"/>
    <w:rsid w:val="00E66B5F"/>
    <w:rsid w:val="08920125"/>
    <w:rsid w:val="0C9909C0"/>
    <w:rsid w:val="0DE11FAB"/>
    <w:rsid w:val="1BD67024"/>
    <w:rsid w:val="1E2D1765"/>
    <w:rsid w:val="1FCF77FF"/>
    <w:rsid w:val="209F49F3"/>
    <w:rsid w:val="25745D07"/>
    <w:rsid w:val="2876758A"/>
    <w:rsid w:val="28AF3795"/>
    <w:rsid w:val="2D446ECB"/>
    <w:rsid w:val="303F6E88"/>
    <w:rsid w:val="30940EB9"/>
    <w:rsid w:val="315D0D2C"/>
    <w:rsid w:val="340C63CC"/>
    <w:rsid w:val="37DF3AD6"/>
    <w:rsid w:val="395434D2"/>
    <w:rsid w:val="39DA533B"/>
    <w:rsid w:val="3DC52E7B"/>
    <w:rsid w:val="3F215A11"/>
    <w:rsid w:val="436E241B"/>
    <w:rsid w:val="444325E0"/>
    <w:rsid w:val="47534DA6"/>
    <w:rsid w:val="486B579F"/>
    <w:rsid w:val="4889701C"/>
    <w:rsid w:val="4D711481"/>
    <w:rsid w:val="4EF247D1"/>
    <w:rsid w:val="520D6323"/>
    <w:rsid w:val="569965C1"/>
    <w:rsid w:val="57242CD5"/>
    <w:rsid w:val="573D6A1E"/>
    <w:rsid w:val="5A28385D"/>
    <w:rsid w:val="5C0E65C1"/>
    <w:rsid w:val="5F462B02"/>
    <w:rsid w:val="671F10CD"/>
    <w:rsid w:val="6B852917"/>
    <w:rsid w:val="6D327E24"/>
    <w:rsid w:val="6DD5233A"/>
    <w:rsid w:val="6F875654"/>
    <w:rsid w:val="7251149F"/>
    <w:rsid w:val="733A1B68"/>
    <w:rsid w:val="7588459C"/>
    <w:rsid w:val="75B475DD"/>
    <w:rsid w:val="78D73527"/>
    <w:rsid w:val="7C0C254A"/>
    <w:rsid w:val="7CAE6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link w:val="9"/>
    <w:qFormat/>
    <w:uiPriority w:val="99"/>
    <w:pPr>
      <w:keepNext/>
      <w:keepLines/>
      <w:spacing w:before="260" w:after="260" w:line="412" w:lineRule="auto"/>
      <w:outlineLvl w:val="1"/>
    </w:pPr>
    <w:rPr>
      <w:rFonts w:ascii="Arial" w:hAnsi="Arial" w:eastAsia="黑体" w:cs="Arial"/>
      <w:b/>
      <w:bCs/>
      <w:sz w:val="32"/>
      <w:szCs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ascii="Calibri" w:hAnsi="Calibri" w:eastAsia="宋体"/>
      <w:kern w:val="0"/>
      <w:sz w:val="24"/>
    </w:rPr>
  </w:style>
  <w:style w:type="character" w:customStyle="1" w:styleId="9">
    <w:name w:val="标题 2 Char"/>
    <w:basedOn w:val="8"/>
    <w:link w:val="2"/>
    <w:qFormat/>
    <w:uiPriority w:val="99"/>
    <w:rPr>
      <w:rFonts w:ascii="Arial" w:hAnsi="Arial" w:eastAsia="黑体" w:cs="Arial"/>
      <w:b/>
      <w:bCs/>
      <w:sz w:val="32"/>
      <w:szCs w:val="32"/>
    </w:rPr>
  </w:style>
  <w:style w:type="paragraph" w:styleId="10">
    <w:name w:val="No Spacing"/>
    <w:basedOn w:val="1"/>
    <w:qFormat/>
    <w:uiPriority w:val="99"/>
  </w:style>
  <w:style w:type="paragraph" w:styleId="11">
    <w:name w:val="List Paragraph"/>
    <w:basedOn w:val="1"/>
    <w:qFormat/>
    <w:uiPriority w:val="99"/>
    <w:pPr>
      <w:ind w:firstLine="420" w:firstLineChars="200"/>
    </w:pPr>
    <w:rPr>
      <w:rFonts w:cs="Times New Roman"/>
    </w:rPr>
  </w:style>
  <w:style w:type="character" w:customStyle="1" w:styleId="12">
    <w:name w:val="批注框文本 Char"/>
    <w:basedOn w:val="8"/>
    <w:link w:val="3"/>
    <w:semiHidden/>
    <w:qFormat/>
    <w:uiPriority w:val="99"/>
    <w:rPr>
      <w:rFonts w:ascii="Calibri" w:hAnsi="Calibri" w:eastAsia="宋体" w:cs="Calibr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6907</Words>
  <Characters>7653</Characters>
  <Lines>31</Lines>
  <Paragraphs>8</Paragraphs>
  <TotalTime>3</TotalTime>
  <ScaleCrop>false</ScaleCrop>
  <LinksUpToDate>false</LinksUpToDate>
  <CharactersWithSpaces>8002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2020-06-10T07:21:00Z</dcterms:created>
  <dc:creator>Administrator</dc:creator>
  <cp:lastModifiedBy>祁某人</cp:lastModifiedBy>
  <dcterms:modified xsi:type="dcterms:W3CDTF">2026-07-06T03:13:30Z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240AFA422A7745D79A0C3832595FF79A_13</vt:lpwstr>
  </property>
  <property fmtid="{D5CDD505-2E9C-101B-9397-08002B2CF9AE}" pid="4" name="KSOTemplateDocerSaveRecord">
    <vt:lpwstr>eyJoZGlkIjoiYTYzOWYxNjMwNGEyNjY3YjI4MWZmNzQ2NGM0NjRhY2QiLCJ1c2VySWQiOiI0MDg5NDE3MTYifQ==</vt:lpwstr>
  </property>
</Properties>
</file>