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3BD" w:rsidRPr="00A32463" w:rsidRDefault="001B33BD" w:rsidP="001B33BD">
      <w:pPr>
        <w:widowControl/>
        <w:shd w:val="clear" w:color="auto" w:fill="FFFFFF"/>
        <w:jc w:val="left"/>
        <w:textAlignment w:val="center"/>
        <w:rPr>
          <w:rFonts w:ascii="黑体" w:eastAsia="黑体" w:hAnsi="黑体" w:cs="宋体"/>
          <w:color w:val="000000"/>
          <w:kern w:val="0"/>
          <w:sz w:val="32"/>
          <w:szCs w:val="32"/>
        </w:rPr>
      </w:pPr>
      <w:r w:rsidRPr="00A32463">
        <w:rPr>
          <w:rFonts w:ascii="黑体" w:eastAsia="黑体" w:hAnsi="黑体" w:cs="Times New Roman"/>
          <w:color w:val="000000"/>
          <w:kern w:val="0"/>
          <w:sz w:val="32"/>
          <w:szCs w:val="32"/>
          <w:shd w:val="clear" w:color="auto" w:fill="FFFFFF"/>
        </w:rPr>
        <w:t>附件2</w:t>
      </w:r>
    </w:p>
    <w:p w:rsidR="001B33BD" w:rsidRPr="00A32463" w:rsidRDefault="001B33BD" w:rsidP="00A32463">
      <w:pPr>
        <w:widowControl/>
        <w:shd w:val="clear" w:color="auto" w:fill="FFFFFF"/>
        <w:jc w:val="center"/>
        <w:textAlignment w:val="center"/>
        <w:rPr>
          <w:rFonts w:ascii="仿宋_GB2312" w:eastAsia="仿宋_GB2312" w:hAnsi="宋体" w:cs="宋体"/>
          <w:color w:val="000000"/>
          <w:kern w:val="0"/>
          <w:sz w:val="44"/>
          <w:szCs w:val="44"/>
        </w:rPr>
      </w:pPr>
      <w:r w:rsidRPr="00A32463">
        <w:rPr>
          <w:rFonts w:ascii="方正小标宋简体" w:eastAsia="方正小标宋简体" w:hAnsi="Times New Roman" w:cs="Times New Roman" w:hint="eastAsia"/>
          <w:color w:val="000000"/>
          <w:kern w:val="0"/>
          <w:sz w:val="44"/>
          <w:szCs w:val="44"/>
        </w:rPr>
        <w:t>中方县</w:t>
      </w:r>
      <w:r w:rsidRPr="00A32463">
        <w:rPr>
          <w:rFonts w:ascii="方正小标宋简体" w:eastAsia="方正小标宋简体" w:hAnsi="Times New Roman" w:cs="Times New Roman"/>
          <w:color w:val="000000"/>
          <w:kern w:val="0"/>
          <w:sz w:val="44"/>
          <w:szCs w:val="44"/>
        </w:rPr>
        <w:t>住宅前期物业服务收费标准</w:t>
      </w:r>
      <w:r w:rsidRPr="00A32463">
        <w:rPr>
          <w:rFonts w:ascii="方正小标宋简体" w:eastAsia="方正小标宋简体" w:hAnsi="宋体" w:cs="宋体" w:hint="eastAsia"/>
          <w:color w:val="000000"/>
          <w:kern w:val="0"/>
          <w:sz w:val="44"/>
          <w:szCs w:val="44"/>
        </w:rPr>
        <w:t>（基准价）</w:t>
      </w:r>
    </w:p>
    <w:p w:rsidR="001B33BD" w:rsidRPr="00A32463" w:rsidRDefault="001B33BD" w:rsidP="001B33BD">
      <w:pPr>
        <w:widowControl/>
        <w:shd w:val="clear" w:color="auto" w:fill="FFFFFF"/>
        <w:jc w:val="right"/>
        <w:textAlignment w:val="center"/>
        <w:rPr>
          <w:rFonts w:ascii="仿宋_GB2312" w:eastAsia="仿宋_GB2312" w:hAnsi="宋体" w:cs="宋体"/>
          <w:color w:val="000000"/>
          <w:kern w:val="0"/>
          <w:sz w:val="28"/>
          <w:szCs w:val="28"/>
        </w:rPr>
      </w:pPr>
      <w:r w:rsidRPr="00A32463">
        <w:rPr>
          <w:rFonts w:ascii="宋体" w:eastAsia="宋体" w:hAnsi="宋体" w:cs="Times New Roman"/>
          <w:color w:val="000000"/>
          <w:kern w:val="0"/>
          <w:sz w:val="28"/>
          <w:szCs w:val="28"/>
        </w:rPr>
        <w:t>（单位：元</w:t>
      </w:r>
      <w:r w:rsidRPr="00A32463">
        <w:rPr>
          <w:rFonts w:ascii="Times New Roman" w:eastAsia="仿宋_GB2312" w:hAnsi="Times New Roman" w:cs="Times New Roman"/>
          <w:color w:val="000000"/>
          <w:kern w:val="0"/>
          <w:sz w:val="28"/>
          <w:szCs w:val="28"/>
        </w:rPr>
        <w:t>/</w:t>
      </w:r>
      <w:r w:rsidRPr="00A32463">
        <w:rPr>
          <w:rFonts w:ascii="宋体" w:eastAsia="宋体" w:hAnsi="宋体" w:cs="Times New Roman"/>
          <w:color w:val="000000"/>
          <w:kern w:val="0"/>
          <w:sz w:val="28"/>
          <w:szCs w:val="28"/>
        </w:rPr>
        <w:t>平方米</w:t>
      </w:r>
      <w:r w:rsidRPr="00A32463">
        <w:rPr>
          <w:rFonts w:ascii="Times New Roman" w:eastAsia="仿宋_GB2312" w:hAnsi="Times New Roman" w:cs="Times New Roman"/>
          <w:color w:val="000000"/>
          <w:kern w:val="0"/>
          <w:sz w:val="28"/>
          <w:szCs w:val="28"/>
        </w:rPr>
        <w:t>·</w:t>
      </w:r>
      <w:r w:rsidRPr="00A32463">
        <w:rPr>
          <w:rFonts w:ascii="宋体" w:eastAsia="宋体" w:hAnsi="宋体" w:cs="Times New Roman"/>
          <w:color w:val="000000"/>
          <w:kern w:val="0"/>
          <w:sz w:val="28"/>
          <w:szCs w:val="28"/>
        </w:rPr>
        <w:t>月）</w:t>
      </w:r>
    </w:p>
    <w:tbl>
      <w:tblPr>
        <w:tblW w:w="14460" w:type="dxa"/>
        <w:jc w:val="center"/>
        <w:tblCellMar>
          <w:left w:w="0" w:type="dxa"/>
          <w:right w:w="0" w:type="dxa"/>
        </w:tblCellMar>
        <w:tblLook w:val="04A0"/>
      </w:tblPr>
      <w:tblGrid>
        <w:gridCol w:w="1849"/>
        <w:gridCol w:w="1946"/>
        <w:gridCol w:w="1867"/>
        <w:gridCol w:w="8798"/>
      </w:tblGrid>
      <w:tr w:rsidR="001B33BD" w:rsidRPr="001B33BD" w:rsidTr="001B33BD">
        <w:trPr>
          <w:trHeight w:val="690"/>
          <w:jc w:val="center"/>
        </w:trPr>
        <w:tc>
          <w:tcPr>
            <w:tcW w:w="1849" w:type="dxa"/>
            <w:vMerge w:val="restart"/>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物业服务等级</w:t>
            </w:r>
          </w:p>
        </w:tc>
        <w:tc>
          <w:tcPr>
            <w:tcW w:w="3813" w:type="dxa"/>
            <w:gridSpan w:val="2"/>
            <w:tcBorders>
              <w:top w:val="single" w:sz="8" w:space="0" w:color="auto"/>
              <w:left w:val="nil"/>
              <w:bottom w:val="nil"/>
              <w:right w:val="nil"/>
            </w:tcBorders>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物业服务收费标准</w:t>
            </w:r>
          </w:p>
        </w:tc>
        <w:tc>
          <w:tcPr>
            <w:tcW w:w="8798" w:type="dxa"/>
            <w:vMerge w:val="restart"/>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备</w:t>
            </w:r>
            <w:r w:rsidRPr="001B33BD">
              <w:rPr>
                <w:rFonts w:ascii="Times New Roman" w:eastAsia="宋体" w:hAnsi="Times New Roman" w:cs="Times New Roman"/>
                <w:color w:val="000000"/>
                <w:kern w:val="0"/>
                <w:sz w:val="24"/>
                <w:szCs w:val="24"/>
              </w:rPr>
              <w:t xml:space="preserve"> </w:t>
            </w:r>
            <w:r w:rsidRPr="001B33BD">
              <w:rPr>
                <w:rFonts w:ascii="Times New Roman" w:eastAsia="宋体" w:hAnsi="Times New Roman" w:cs="Times New Roman"/>
                <w:color w:val="000000"/>
                <w:kern w:val="0"/>
                <w:sz w:val="24"/>
                <w:szCs w:val="24"/>
              </w:rPr>
              <w:t> </w:t>
            </w:r>
            <w:r w:rsidRPr="001B33BD">
              <w:rPr>
                <w:rFonts w:ascii="Times New Roman" w:eastAsia="宋体" w:hAnsi="Times New Roman" w:cs="Times New Roman"/>
                <w:color w:val="000000"/>
                <w:kern w:val="0"/>
                <w:sz w:val="24"/>
                <w:szCs w:val="24"/>
              </w:rPr>
              <w:t> </w:t>
            </w:r>
            <w:r w:rsidRPr="001B33BD">
              <w:rPr>
                <w:rFonts w:ascii="Times New Roman" w:eastAsia="宋体" w:hAnsi="Times New Roman" w:cs="Times New Roman"/>
                <w:color w:val="000000"/>
                <w:kern w:val="0"/>
                <w:sz w:val="24"/>
                <w:szCs w:val="24"/>
              </w:rPr>
              <w:t> </w:t>
            </w:r>
            <w:r w:rsidRPr="001B33BD">
              <w:rPr>
                <w:rFonts w:ascii="Times New Roman" w:eastAsia="宋体" w:hAnsi="Times New Roman" w:cs="Times New Roman"/>
                <w:color w:val="000000"/>
                <w:kern w:val="0"/>
                <w:sz w:val="24"/>
                <w:szCs w:val="24"/>
              </w:rPr>
              <w:t> </w:t>
            </w:r>
            <w:r w:rsidRPr="001B33BD">
              <w:rPr>
                <w:rFonts w:ascii="Times New Roman" w:eastAsia="宋体" w:hAnsi="Times New Roman" w:cs="Times New Roman"/>
                <w:color w:val="000000"/>
                <w:kern w:val="0"/>
                <w:sz w:val="24"/>
                <w:szCs w:val="24"/>
              </w:rPr>
              <w:t> </w:t>
            </w:r>
            <w:r w:rsidRPr="001B33BD">
              <w:rPr>
                <w:rFonts w:ascii="Times New Roman" w:eastAsia="宋体" w:hAnsi="Times New Roman" w:cs="Times New Roman"/>
                <w:color w:val="000000"/>
                <w:kern w:val="0"/>
                <w:sz w:val="24"/>
                <w:szCs w:val="24"/>
              </w:rPr>
              <w:t> </w:t>
            </w:r>
            <w:r w:rsidRPr="001B33BD">
              <w:rPr>
                <w:rFonts w:ascii="Times New Roman" w:eastAsia="宋体" w:hAnsi="Times New Roman" w:cs="Times New Roman"/>
                <w:color w:val="000000"/>
                <w:kern w:val="0"/>
                <w:sz w:val="24"/>
                <w:szCs w:val="24"/>
              </w:rPr>
              <w:t> </w:t>
            </w:r>
            <w:r w:rsidRPr="001B33BD">
              <w:rPr>
                <w:rFonts w:ascii="Times New Roman" w:eastAsia="宋体" w:hAnsi="Times New Roman" w:cs="Times New Roman"/>
                <w:color w:val="000000"/>
                <w:kern w:val="0"/>
                <w:sz w:val="24"/>
                <w:szCs w:val="24"/>
              </w:rPr>
              <w:t>注</w:t>
            </w:r>
          </w:p>
        </w:tc>
      </w:tr>
      <w:tr w:rsidR="001B33BD" w:rsidRPr="001B33BD" w:rsidTr="001B33BD">
        <w:trPr>
          <w:trHeight w:val="60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B33BD" w:rsidRPr="001B33BD" w:rsidRDefault="001B33BD" w:rsidP="001B33BD">
            <w:pPr>
              <w:widowControl/>
              <w:jc w:val="left"/>
              <w:rPr>
                <w:rFonts w:ascii="宋体" w:eastAsia="宋体" w:hAnsi="宋体" w:cs="宋体"/>
                <w:kern w:val="0"/>
                <w:sz w:val="24"/>
                <w:szCs w:val="24"/>
              </w:rPr>
            </w:pPr>
          </w:p>
        </w:tc>
        <w:tc>
          <w:tcPr>
            <w:tcW w:w="1946" w:type="dxa"/>
            <w:tcBorders>
              <w:top w:val="single" w:sz="8" w:space="0" w:color="auto"/>
              <w:left w:val="nil"/>
              <w:bottom w:val="single" w:sz="8" w:space="0" w:color="auto"/>
              <w:right w:val="single" w:sz="8" w:space="0" w:color="auto"/>
            </w:tcBorders>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多层无电梯楼</w:t>
            </w:r>
          </w:p>
        </w:tc>
        <w:tc>
          <w:tcPr>
            <w:tcW w:w="1867" w:type="dxa"/>
            <w:tcBorders>
              <w:top w:val="single" w:sz="4" w:space="0" w:color="auto"/>
              <w:left w:val="nil"/>
              <w:bottom w:val="single" w:sz="8" w:space="0" w:color="auto"/>
              <w:right w:val="single" w:sz="8" w:space="0" w:color="auto"/>
            </w:tcBorders>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电梯楼</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B33BD" w:rsidRPr="001B33BD" w:rsidRDefault="001B33BD" w:rsidP="001B33BD">
            <w:pPr>
              <w:widowControl/>
              <w:jc w:val="left"/>
              <w:rPr>
                <w:rFonts w:ascii="宋体" w:eastAsia="宋体" w:hAnsi="宋体" w:cs="宋体"/>
                <w:kern w:val="0"/>
                <w:sz w:val="24"/>
                <w:szCs w:val="24"/>
              </w:rPr>
            </w:pPr>
          </w:p>
        </w:tc>
      </w:tr>
      <w:tr w:rsidR="001B33BD" w:rsidRPr="001B33BD" w:rsidTr="00E35D75">
        <w:trPr>
          <w:trHeight w:val="913"/>
          <w:jc w:val="center"/>
        </w:trPr>
        <w:tc>
          <w:tcPr>
            <w:tcW w:w="1849" w:type="dxa"/>
            <w:tcBorders>
              <w:top w:val="nil"/>
              <w:left w:val="single" w:sz="8" w:space="0" w:color="auto"/>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五级</w:t>
            </w:r>
          </w:p>
        </w:tc>
        <w:tc>
          <w:tcPr>
            <w:tcW w:w="1946"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1.50</w:t>
            </w:r>
          </w:p>
        </w:tc>
        <w:tc>
          <w:tcPr>
            <w:tcW w:w="1867"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2.00</w:t>
            </w:r>
          </w:p>
        </w:tc>
        <w:tc>
          <w:tcPr>
            <w:tcW w:w="8798" w:type="dxa"/>
            <w:vMerge w:val="restart"/>
            <w:tcBorders>
              <w:top w:val="nil"/>
              <w:left w:val="nil"/>
              <w:bottom w:val="single" w:sz="8" w:space="0" w:color="auto"/>
              <w:right w:val="single" w:sz="8" w:space="0" w:color="auto"/>
            </w:tcBorders>
            <w:tcMar>
              <w:top w:w="12" w:type="dxa"/>
              <w:left w:w="12" w:type="dxa"/>
              <w:bottom w:w="0" w:type="dxa"/>
              <w:right w:w="12" w:type="dxa"/>
            </w:tcMar>
            <w:vAlign w:val="center"/>
            <w:hideMark/>
          </w:tcPr>
          <w:p w:rsidR="00A32463" w:rsidRDefault="001B33BD" w:rsidP="00A32463">
            <w:pPr>
              <w:widowControl/>
              <w:spacing w:line="400" w:lineRule="exact"/>
              <w:ind w:left="119" w:right="113" w:firstLine="482"/>
              <w:jc w:val="left"/>
              <w:textAlignment w:val="center"/>
              <w:rPr>
                <w:rFonts w:ascii="宋体" w:eastAsia="宋体" w:hAnsi="宋体" w:cs="Times New Roman" w:hint="eastAsia"/>
                <w:color w:val="000000"/>
                <w:kern w:val="0"/>
                <w:sz w:val="24"/>
                <w:szCs w:val="24"/>
              </w:rPr>
            </w:pPr>
            <w:r w:rsidRPr="001B33BD">
              <w:rPr>
                <w:rFonts w:ascii="Times New Roman" w:eastAsia="宋体" w:hAnsi="Times New Roman" w:cs="Times New Roman"/>
                <w:color w:val="000000"/>
                <w:kern w:val="0"/>
                <w:sz w:val="24"/>
                <w:szCs w:val="24"/>
              </w:rPr>
              <w:t>1</w:t>
            </w:r>
            <w:r w:rsidRPr="001B33BD">
              <w:rPr>
                <w:rFonts w:ascii="宋体" w:eastAsia="宋体" w:hAnsi="宋体" w:cs="Times New Roman"/>
                <w:color w:val="000000"/>
                <w:kern w:val="0"/>
                <w:sz w:val="24"/>
                <w:szCs w:val="24"/>
              </w:rPr>
              <w:t>、物业服务企业提供的服务达不到其选定的等级服务标准，收费标准应在基准价的基础上下调；提供的服务高于其选定的等级服务标准但又低于高一个等级的服务标准，收费标准可在基准价的基础上上调；上下调整幅度不得到超过</w:t>
            </w:r>
            <w:r w:rsidRPr="001B33BD">
              <w:rPr>
                <w:rFonts w:ascii="Times New Roman" w:eastAsia="宋体" w:hAnsi="Times New Roman" w:cs="Times New Roman"/>
                <w:color w:val="000000"/>
                <w:kern w:val="0"/>
                <w:sz w:val="24"/>
                <w:szCs w:val="24"/>
              </w:rPr>
              <w:t>10%</w:t>
            </w:r>
            <w:r w:rsidRPr="001B33BD">
              <w:rPr>
                <w:rFonts w:ascii="宋体" w:eastAsia="宋体" w:hAnsi="宋体" w:cs="Times New Roman"/>
                <w:color w:val="000000"/>
                <w:kern w:val="0"/>
                <w:sz w:val="24"/>
                <w:szCs w:val="24"/>
              </w:rPr>
              <w:t>。服务标准达不到一级服务标准的，收费标准不得超过一级基准价。</w:t>
            </w:r>
          </w:p>
          <w:p w:rsidR="001B33BD" w:rsidRPr="001B33BD" w:rsidRDefault="001B33BD" w:rsidP="00A32463">
            <w:pPr>
              <w:widowControl/>
              <w:spacing w:line="400" w:lineRule="exact"/>
              <w:ind w:left="119" w:right="113" w:firstLine="482"/>
              <w:jc w:val="left"/>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2</w:t>
            </w:r>
            <w:r w:rsidRPr="001B33BD">
              <w:rPr>
                <w:rFonts w:ascii="宋体" w:eastAsia="宋体" w:hAnsi="宋体" w:cs="Times New Roman"/>
                <w:color w:val="000000"/>
                <w:kern w:val="0"/>
                <w:sz w:val="24"/>
                <w:szCs w:val="24"/>
              </w:rPr>
              <w:t>、保障性住房物业服务收费最高不得超过二级物业服务收费基准价。</w:t>
            </w:r>
          </w:p>
          <w:p w:rsidR="001B33BD" w:rsidRPr="001B33BD" w:rsidRDefault="001B33BD" w:rsidP="00A32463">
            <w:pPr>
              <w:widowControl/>
              <w:spacing w:line="400" w:lineRule="exact"/>
              <w:ind w:left="119" w:right="113" w:firstLine="482"/>
              <w:jc w:val="left"/>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3</w:t>
            </w:r>
            <w:r w:rsidRPr="001B33BD">
              <w:rPr>
                <w:rFonts w:ascii="宋体" w:eastAsia="宋体" w:hAnsi="宋体" w:cs="Times New Roman"/>
                <w:color w:val="000000"/>
                <w:kern w:val="0"/>
                <w:sz w:val="24"/>
                <w:szCs w:val="24"/>
              </w:rPr>
              <w:t>、物业服务收费标准已包含电梯运行费用即电梯运行电耗、电梯定期常规保养、零星配件及维修、电梯年安全检测。</w:t>
            </w:r>
          </w:p>
          <w:p w:rsidR="001B33BD" w:rsidRPr="001B33BD" w:rsidRDefault="001B33BD" w:rsidP="00A32463">
            <w:pPr>
              <w:widowControl/>
              <w:spacing w:line="400" w:lineRule="exact"/>
              <w:ind w:left="119" w:right="113" w:firstLine="482"/>
              <w:jc w:val="left"/>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4</w:t>
            </w:r>
            <w:r w:rsidRPr="001B33BD">
              <w:rPr>
                <w:rFonts w:ascii="宋体" w:eastAsia="宋体" w:hAnsi="宋体" w:cs="Times New Roman"/>
                <w:color w:val="000000"/>
                <w:kern w:val="0"/>
                <w:sz w:val="24"/>
                <w:szCs w:val="24"/>
              </w:rPr>
              <w:t>、物业服务收费标准不含消防、防雷公共设施设备检测费用。发生的消防、防雷公共设施设备检测费则按实分摊。</w:t>
            </w:r>
          </w:p>
          <w:p w:rsidR="001B33BD" w:rsidRPr="001B33BD" w:rsidRDefault="001B33BD" w:rsidP="00A32463">
            <w:pPr>
              <w:widowControl/>
              <w:spacing w:line="400" w:lineRule="exact"/>
              <w:ind w:left="119" w:right="113" w:firstLine="482"/>
              <w:jc w:val="left"/>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5</w:t>
            </w:r>
            <w:r w:rsidRPr="001B33BD">
              <w:rPr>
                <w:rFonts w:ascii="宋体" w:eastAsia="宋体" w:hAnsi="宋体" w:cs="Times New Roman"/>
                <w:color w:val="000000"/>
                <w:kern w:val="0"/>
                <w:sz w:val="24"/>
                <w:szCs w:val="24"/>
              </w:rPr>
              <w:t>、水景动力费用按实分摊。分摊公式</w:t>
            </w:r>
            <w:r w:rsidRPr="001B33BD">
              <w:rPr>
                <w:rFonts w:ascii="Times New Roman" w:eastAsia="宋体" w:hAnsi="Times New Roman" w:cs="Times New Roman"/>
                <w:color w:val="000000"/>
                <w:kern w:val="0"/>
                <w:sz w:val="24"/>
                <w:szCs w:val="24"/>
              </w:rPr>
              <w:t>:</w:t>
            </w:r>
            <w:r w:rsidRPr="001B33BD">
              <w:rPr>
                <w:rFonts w:ascii="宋体" w:eastAsia="宋体" w:hAnsi="宋体" w:cs="Times New Roman"/>
                <w:color w:val="000000"/>
                <w:kern w:val="0"/>
                <w:sz w:val="24"/>
                <w:szCs w:val="24"/>
              </w:rPr>
              <w:t>［电价</w:t>
            </w:r>
            <w:r w:rsidRPr="001B33BD">
              <w:rPr>
                <w:rFonts w:ascii="Times New Roman" w:eastAsia="宋体" w:hAnsi="Times New Roman" w:cs="Times New Roman"/>
                <w:color w:val="000000"/>
                <w:kern w:val="0"/>
                <w:sz w:val="24"/>
                <w:szCs w:val="24"/>
              </w:rPr>
              <w:t>×</w:t>
            </w:r>
            <w:r w:rsidRPr="001B33BD">
              <w:rPr>
                <w:rFonts w:ascii="宋体" w:eastAsia="宋体" w:hAnsi="宋体" w:cs="Times New Roman"/>
                <w:color w:val="000000"/>
                <w:kern w:val="0"/>
                <w:sz w:val="24"/>
                <w:szCs w:val="24"/>
              </w:rPr>
              <w:t>水泵总功率（</w:t>
            </w:r>
            <w:r w:rsidRPr="001B33BD">
              <w:rPr>
                <w:rFonts w:ascii="Times New Roman" w:eastAsia="宋体" w:hAnsi="Times New Roman" w:cs="Times New Roman"/>
                <w:color w:val="000000"/>
                <w:kern w:val="0"/>
                <w:sz w:val="24"/>
                <w:szCs w:val="24"/>
              </w:rPr>
              <w:t>KW)×</w:t>
            </w:r>
            <w:r w:rsidRPr="001B33BD">
              <w:rPr>
                <w:rFonts w:ascii="宋体" w:eastAsia="宋体" w:hAnsi="宋体" w:cs="Times New Roman"/>
                <w:color w:val="000000"/>
                <w:kern w:val="0"/>
                <w:sz w:val="24"/>
                <w:szCs w:val="24"/>
              </w:rPr>
              <w:t>运行时间（小时）＋水价</w:t>
            </w:r>
            <w:r w:rsidRPr="001B33BD">
              <w:rPr>
                <w:rFonts w:ascii="Times New Roman" w:eastAsia="宋体" w:hAnsi="Times New Roman" w:cs="Times New Roman"/>
                <w:color w:val="000000"/>
                <w:kern w:val="0"/>
                <w:sz w:val="24"/>
                <w:szCs w:val="24"/>
              </w:rPr>
              <w:t>×</w:t>
            </w:r>
            <w:r w:rsidRPr="001B33BD">
              <w:rPr>
                <w:rFonts w:ascii="宋体" w:eastAsia="宋体" w:hAnsi="宋体" w:cs="Times New Roman"/>
                <w:color w:val="000000"/>
                <w:kern w:val="0"/>
                <w:sz w:val="24"/>
                <w:szCs w:val="24"/>
              </w:rPr>
              <w:t>耗水量＋设备保养费］</w:t>
            </w:r>
            <w:r w:rsidRPr="001B33BD">
              <w:rPr>
                <w:rFonts w:ascii="Times New Roman" w:eastAsia="宋体" w:hAnsi="Times New Roman" w:cs="Times New Roman"/>
                <w:color w:val="000000"/>
                <w:kern w:val="0"/>
                <w:sz w:val="24"/>
                <w:szCs w:val="24"/>
              </w:rPr>
              <w:t>÷</w:t>
            </w:r>
            <w:r w:rsidRPr="001B33BD">
              <w:rPr>
                <w:rFonts w:ascii="宋体" w:eastAsia="宋体" w:hAnsi="宋体" w:cs="Times New Roman"/>
                <w:color w:val="000000"/>
                <w:kern w:val="0"/>
                <w:sz w:val="24"/>
                <w:szCs w:val="24"/>
              </w:rPr>
              <w:t>可分摊建筑面积</w:t>
            </w:r>
          </w:p>
        </w:tc>
      </w:tr>
      <w:tr w:rsidR="001B33BD" w:rsidRPr="001B33BD" w:rsidTr="00E35D75">
        <w:trPr>
          <w:trHeight w:val="957"/>
          <w:jc w:val="center"/>
        </w:trPr>
        <w:tc>
          <w:tcPr>
            <w:tcW w:w="1849" w:type="dxa"/>
            <w:tcBorders>
              <w:top w:val="nil"/>
              <w:left w:val="single" w:sz="8" w:space="0" w:color="auto"/>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四级</w:t>
            </w:r>
          </w:p>
        </w:tc>
        <w:tc>
          <w:tcPr>
            <w:tcW w:w="1946"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1.30</w:t>
            </w:r>
          </w:p>
        </w:tc>
        <w:tc>
          <w:tcPr>
            <w:tcW w:w="1867"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1.80</w:t>
            </w:r>
          </w:p>
        </w:tc>
        <w:tc>
          <w:tcPr>
            <w:tcW w:w="0" w:type="auto"/>
            <w:vMerge/>
            <w:tcBorders>
              <w:top w:val="nil"/>
              <w:left w:val="nil"/>
              <w:bottom w:val="single" w:sz="8" w:space="0" w:color="auto"/>
              <w:right w:val="single" w:sz="8" w:space="0" w:color="auto"/>
            </w:tcBorders>
            <w:vAlign w:val="center"/>
            <w:hideMark/>
          </w:tcPr>
          <w:p w:rsidR="001B33BD" w:rsidRPr="001B33BD" w:rsidRDefault="001B33BD" w:rsidP="001B33BD">
            <w:pPr>
              <w:widowControl/>
              <w:jc w:val="left"/>
              <w:rPr>
                <w:rFonts w:ascii="宋体" w:eastAsia="宋体" w:hAnsi="宋体" w:cs="宋体"/>
                <w:kern w:val="0"/>
                <w:sz w:val="24"/>
                <w:szCs w:val="24"/>
              </w:rPr>
            </w:pPr>
          </w:p>
        </w:tc>
      </w:tr>
      <w:tr w:rsidR="001B33BD" w:rsidRPr="001B33BD" w:rsidTr="00E35D75">
        <w:trPr>
          <w:trHeight w:val="997"/>
          <w:jc w:val="center"/>
        </w:trPr>
        <w:tc>
          <w:tcPr>
            <w:tcW w:w="1849" w:type="dxa"/>
            <w:tcBorders>
              <w:top w:val="nil"/>
              <w:left w:val="single" w:sz="8" w:space="0" w:color="auto"/>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三级</w:t>
            </w:r>
          </w:p>
        </w:tc>
        <w:tc>
          <w:tcPr>
            <w:tcW w:w="1946"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0.95</w:t>
            </w:r>
          </w:p>
        </w:tc>
        <w:tc>
          <w:tcPr>
            <w:tcW w:w="1867"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1.60</w:t>
            </w:r>
          </w:p>
        </w:tc>
        <w:tc>
          <w:tcPr>
            <w:tcW w:w="0" w:type="auto"/>
            <w:vMerge/>
            <w:tcBorders>
              <w:top w:val="nil"/>
              <w:left w:val="nil"/>
              <w:bottom w:val="single" w:sz="8" w:space="0" w:color="auto"/>
              <w:right w:val="single" w:sz="8" w:space="0" w:color="auto"/>
            </w:tcBorders>
            <w:vAlign w:val="center"/>
            <w:hideMark/>
          </w:tcPr>
          <w:p w:rsidR="001B33BD" w:rsidRPr="001B33BD" w:rsidRDefault="001B33BD" w:rsidP="001B33BD">
            <w:pPr>
              <w:widowControl/>
              <w:jc w:val="left"/>
              <w:rPr>
                <w:rFonts w:ascii="宋体" w:eastAsia="宋体" w:hAnsi="宋体" w:cs="宋体"/>
                <w:kern w:val="0"/>
                <w:sz w:val="24"/>
                <w:szCs w:val="24"/>
              </w:rPr>
            </w:pPr>
          </w:p>
        </w:tc>
      </w:tr>
      <w:tr w:rsidR="001B33BD" w:rsidRPr="001B33BD" w:rsidTr="00E35D75">
        <w:trPr>
          <w:trHeight w:val="969"/>
          <w:jc w:val="center"/>
        </w:trPr>
        <w:tc>
          <w:tcPr>
            <w:tcW w:w="1849" w:type="dxa"/>
            <w:tcBorders>
              <w:top w:val="nil"/>
              <w:left w:val="single" w:sz="8" w:space="0" w:color="auto"/>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二级</w:t>
            </w:r>
          </w:p>
        </w:tc>
        <w:tc>
          <w:tcPr>
            <w:tcW w:w="1946"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0.80</w:t>
            </w:r>
          </w:p>
        </w:tc>
        <w:tc>
          <w:tcPr>
            <w:tcW w:w="1867"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1.40</w:t>
            </w:r>
          </w:p>
        </w:tc>
        <w:tc>
          <w:tcPr>
            <w:tcW w:w="0" w:type="auto"/>
            <w:vMerge/>
            <w:tcBorders>
              <w:top w:val="nil"/>
              <w:left w:val="nil"/>
              <w:bottom w:val="single" w:sz="8" w:space="0" w:color="auto"/>
              <w:right w:val="single" w:sz="8" w:space="0" w:color="auto"/>
            </w:tcBorders>
            <w:vAlign w:val="center"/>
            <w:hideMark/>
          </w:tcPr>
          <w:p w:rsidR="001B33BD" w:rsidRPr="001B33BD" w:rsidRDefault="001B33BD" w:rsidP="001B33BD">
            <w:pPr>
              <w:widowControl/>
              <w:jc w:val="left"/>
              <w:rPr>
                <w:rFonts w:ascii="宋体" w:eastAsia="宋体" w:hAnsi="宋体" w:cs="宋体"/>
                <w:kern w:val="0"/>
                <w:sz w:val="24"/>
                <w:szCs w:val="24"/>
              </w:rPr>
            </w:pPr>
          </w:p>
        </w:tc>
      </w:tr>
      <w:tr w:rsidR="001B33BD" w:rsidRPr="001B33BD" w:rsidTr="00E35D75">
        <w:trPr>
          <w:trHeight w:val="840"/>
          <w:jc w:val="center"/>
        </w:trPr>
        <w:tc>
          <w:tcPr>
            <w:tcW w:w="1849" w:type="dxa"/>
            <w:tcBorders>
              <w:top w:val="nil"/>
              <w:left w:val="single" w:sz="8" w:space="0" w:color="auto"/>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一级</w:t>
            </w:r>
          </w:p>
        </w:tc>
        <w:tc>
          <w:tcPr>
            <w:tcW w:w="1946"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0.65</w:t>
            </w:r>
          </w:p>
        </w:tc>
        <w:tc>
          <w:tcPr>
            <w:tcW w:w="1867" w:type="dxa"/>
            <w:tcBorders>
              <w:top w:val="nil"/>
              <w:left w:val="nil"/>
              <w:bottom w:val="single" w:sz="8" w:space="0" w:color="auto"/>
              <w:right w:val="single" w:sz="8" w:space="0" w:color="auto"/>
            </w:tcBorders>
            <w:noWrap/>
            <w:tcMar>
              <w:top w:w="12" w:type="dxa"/>
              <w:left w:w="12" w:type="dxa"/>
              <w:bottom w:w="0" w:type="dxa"/>
              <w:right w:w="12" w:type="dxa"/>
            </w:tcMar>
            <w:vAlign w:val="center"/>
            <w:hideMark/>
          </w:tcPr>
          <w:p w:rsidR="001B33BD" w:rsidRPr="001B33BD" w:rsidRDefault="001B33BD" w:rsidP="001B33BD">
            <w:pPr>
              <w:widowControl/>
              <w:jc w:val="center"/>
              <w:textAlignment w:val="center"/>
              <w:rPr>
                <w:rFonts w:ascii="宋体" w:eastAsia="宋体" w:hAnsi="宋体" w:cs="宋体"/>
                <w:kern w:val="0"/>
                <w:sz w:val="24"/>
                <w:szCs w:val="24"/>
              </w:rPr>
            </w:pPr>
            <w:r w:rsidRPr="001B33BD">
              <w:rPr>
                <w:rFonts w:ascii="Times New Roman" w:eastAsia="宋体" w:hAnsi="Times New Roman" w:cs="Times New Roman"/>
                <w:color w:val="000000"/>
                <w:kern w:val="0"/>
                <w:sz w:val="24"/>
                <w:szCs w:val="24"/>
              </w:rPr>
              <w:t>1.20</w:t>
            </w:r>
          </w:p>
        </w:tc>
        <w:tc>
          <w:tcPr>
            <w:tcW w:w="0" w:type="auto"/>
            <w:vMerge/>
            <w:tcBorders>
              <w:top w:val="nil"/>
              <w:left w:val="nil"/>
              <w:bottom w:val="single" w:sz="8" w:space="0" w:color="auto"/>
              <w:right w:val="single" w:sz="8" w:space="0" w:color="auto"/>
            </w:tcBorders>
            <w:vAlign w:val="center"/>
            <w:hideMark/>
          </w:tcPr>
          <w:p w:rsidR="001B33BD" w:rsidRPr="001B33BD" w:rsidRDefault="001B33BD" w:rsidP="001B33BD">
            <w:pPr>
              <w:widowControl/>
              <w:jc w:val="left"/>
              <w:rPr>
                <w:rFonts w:ascii="宋体" w:eastAsia="宋体" w:hAnsi="宋体" w:cs="宋体"/>
                <w:kern w:val="0"/>
                <w:sz w:val="24"/>
                <w:szCs w:val="24"/>
              </w:rPr>
            </w:pPr>
          </w:p>
        </w:tc>
      </w:tr>
    </w:tbl>
    <w:p w:rsidR="0074404E" w:rsidRDefault="0074404E"/>
    <w:sectPr w:rsidR="0074404E" w:rsidSect="00A32463">
      <w:pgSz w:w="16838" w:h="11906" w:orient="landscape" w:code="9"/>
      <w:pgMar w:top="1701" w:right="1440" w:bottom="1418" w:left="1440" w:header="851" w:footer="113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920" w:rsidRDefault="00C62920" w:rsidP="00A32463">
      <w:r>
        <w:separator/>
      </w:r>
    </w:p>
  </w:endnote>
  <w:endnote w:type="continuationSeparator" w:id="0">
    <w:p w:rsidR="00C62920" w:rsidRDefault="00C62920" w:rsidP="00A324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920" w:rsidRDefault="00C62920" w:rsidP="00A32463">
      <w:r>
        <w:separator/>
      </w:r>
    </w:p>
  </w:footnote>
  <w:footnote w:type="continuationSeparator" w:id="0">
    <w:p w:rsidR="00C62920" w:rsidRDefault="00C62920" w:rsidP="00A324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33BD"/>
    <w:rsid w:val="001B33BD"/>
    <w:rsid w:val="0074404E"/>
    <w:rsid w:val="00A32463"/>
    <w:rsid w:val="00C62920"/>
    <w:rsid w:val="00D22533"/>
    <w:rsid w:val="00E35D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24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2463"/>
    <w:rPr>
      <w:sz w:val="18"/>
      <w:szCs w:val="18"/>
    </w:rPr>
  </w:style>
  <w:style w:type="paragraph" w:styleId="a4">
    <w:name w:val="footer"/>
    <w:basedOn w:val="a"/>
    <w:link w:val="Char0"/>
    <w:uiPriority w:val="99"/>
    <w:semiHidden/>
    <w:unhideWhenUsed/>
    <w:rsid w:val="00A3246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2463"/>
    <w:rPr>
      <w:sz w:val="18"/>
      <w:szCs w:val="18"/>
    </w:rPr>
  </w:style>
</w:styles>
</file>

<file path=word/webSettings.xml><?xml version="1.0" encoding="utf-8"?>
<w:webSettings xmlns:r="http://schemas.openxmlformats.org/officeDocument/2006/relationships" xmlns:w="http://schemas.openxmlformats.org/wordprocessingml/2006/main">
  <w:divs>
    <w:div w:id="104452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73</Words>
  <Characters>418</Characters>
  <Application>Microsoft Office Word</Application>
  <DocSecurity>0</DocSecurity>
  <Lines>3</Lines>
  <Paragraphs>1</Paragraphs>
  <ScaleCrop>false</ScaleCrop>
  <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2021-05-19T00:18:00Z</dcterms:created>
  <dcterms:modified xsi:type="dcterms:W3CDTF">2021-05-19T02:54:00Z</dcterms:modified>
</cp:coreProperties>
</file>