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7F8" w:rsidRDefault="00A207F8">
      <w:pPr>
        <w:pStyle w:val="a6"/>
        <w:spacing w:line="510" w:lineRule="exact"/>
        <w:jc w:val="center"/>
        <w:rPr>
          <w:rFonts w:ascii="宋体" w:hAnsi="宋体" w:cs="宋体"/>
          <w:sz w:val="44"/>
          <w:szCs w:val="44"/>
        </w:rPr>
      </w:pPr>
    </w:p>
    <w:p w:rsidR="00A207F8" w:rsidRDefault="00FA70B0">
      <w:pPr>
        <w:pStyle w:val="a6"/>
        <w:spacing w:line="510" w:lineRule="exact"/>
        <w:jc w:val="center"/>
        <w:rPr>
          <w:rFonts w:ascii="宋体" w:hAnsi="宋体" w:cs="宋体"/>
          <w:sz w:val="44"/>
          <w:szCs w:val="44"/>
        </w:rPr>
      </w:pPr>
      <w:r>
        <w:rPr>
          <w:rFonts w:ascii="宋体" w:hAnsi="宋体" w:cs="宋体" w:hint="eastAsia"/>
          <w:sz w:val="44"/>
          <w:szCs w:val="44"/>
        </w:rPr>
        <w:t>中方县自然资源局2022年度花桥镇怀化磷矿矿井涌水污染综合治理项目支出绩效自评</w:t>
      </w:r>
    </w:p>
    <w:p w:rsidR="00A207F8" w:rsidRDefault="00FA70B0">
      <w:pPr>
        <w:pStyle w:val="a6"/>
        <w:spacing w:line="510" w:lineRule="exact"/>
        <w:jc w:val="center"/>
        <w:rPr>
          <w:rFonts w:eastAsia="黑体"/>
          <w:sz w:val="44"/>
          <w:szCs w:val="44"/>
        </w:rPr>
      </w:pPr>
      <w:r>
        <w:rPr>
          <w:rFonts w:ascii="宋体" w:hAnsi="宋体" w:cs="宋体" w:hint="eastAsia"/>
          <w:sz w:val="44"/>
          <w:szCs w:val="44"/>
        </w:rPr>
        <w:t>报告</w:t>
      </w:r>
    </w:p>
    <w:p w:rsidR="00A207F8" w:rsidRDefault="00A207F8">
      <w:pPr>
        <w:pStyle w:val="a6"/>
        <w:spacing w:line="510" w:lineRule="exact"/>
        <w:ind w:firstLineChars="200" w:firstLine="643"/>
        <w:rPr>
          <w:rFonts w:ascii="楷体" w:eastAsia="楷体" w:hAnsi="楷体"/>
          <w:b/>
          <w:sz w:val="32"/>
          <w:szCs w:val="32"/>
        </w:rPr>
      </w:pPr>
    </w:p>
    <w:p w:rsidR="00A207F8" w:rsidRDefault="00FA70B0">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根据专项资金支出绩效评价工作要求，规范专项资金的管理，提升财政资金管理科学化、规范化和精细化水平，对中方县花桥镇怀化磷矿矿井涌水污染综合治理项目专项资金使用情况进行绩效评估。现将项目专项资金绩效自评情况汇报如下：</w:t>
      </w:r>
    </w:p>
    <w:p w:rsidR="00A207F8" w:rsidRDefault="00FA70B0">
      <w:pPr>
        <w:pStyle w:val="a6"/>
        <w:spacing w:line="4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一、项目基本情况</w:t>
      </w:r>
    </w:p>
    <w:p w:rsidR="00A207F8" w:rsidRDefault="00FA70B0">
      <w:pPr>
        <w:pStyle w:val="a6"/>
        <w:spacing w:line="4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（一）项目概况</w:t>
      </w:r>
    </w:p>
    <w:p w:rsidR="00A207F8" w:rsidRDefault="00FA70B0">
      <w:pPr>
        <w:autoSpaceDE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项目背景：2019年被列为长江“三磷”专项整治范围，由市生态环境委员督办。限期我县在2020年6月30日前完成污染综合整治。由于时间紧，任务重，加之今年新冠疫情及极端天气影响，经县委、县政府专题会议研究，将污染综治理分为应急处置加综合治理两步推进的方案，专题向省厅汇报申请延期项目应急处理工程竣工时限至2020年9月30日。</w:t>
      </w:r>
    </w:p>
    <w:p w:rsidR="00A207F8" w:rsidRDefault="00FA70B0">
      <w:pPr>
        <w:autoSpaceDE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2、项目主要建设内容：总治理面积约30541平方米；建设内容包括矿井涌水源头减量工程、污水处理工程（污水处理站）、污水管网收集工程、底泥和废渣清理工程、生态修复工程。项目总投资估算为2870.94万元。</w:t>
      </w:r>
    </w:p>
    <w:p w:rsidR="00A207F8" w:rsidRDefault="00FA70B0">
      <w:pPr>
        <w:autoSpaceDE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项目实施情况：项目建设按照应急处置和综合治理两步推进的方案。2020年实施项目应急工程建设内容为污水处理和污水管网收集工程，于2020年6月10日开工建设，2020年9月底主体工程已基本完成，目前工程完善资料待验收，污水处理站于2020年10月23日开始试运行，10月28日污水排放抽祥检测结果达标，当前花桥镇龙门溪水质明显改善。2021年组织实施项目综合治理工程：矿井涌水源头减量工程、废渣和底泥清理工程、生态恢复工程建设、污水提升泵站新增工程。</w:t>
      </w:r>
    </w:p>
    <w:p w:rsidR="00A207F8" w:rsidRDefault="00FA70B0">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4、资金投入和使用情况：2022年，县财政安排中方县花桥镇怀化磷矿矿井涌水污染综合治理项目抗疫专项国债及预算金额</w:t>
      </w:r>
      <w:r w:rsidR="00CA1B26">
        <w:rPr>
          <w:rFonts w:ascii="仿宋" w:eastAsia="仿宋" w:hAnsi="仿宋" w:cs="仿宋" w:hint="eastAsia"/>
          <w:sz w:val="32"/>
          <w:szCs w:val="32"/>
        </w:rPr>
        <w:t>265.61</w:t>
      </w:r>
      <w:r>
        <w:rPr>
          <w:rFonts w:ascii="仿宋" w:eastAsia="仿宋" w:hAnsi="仿宋" w:cs="仿宋" w:hint="eastAsia"/>
          <w:sz w:val="32"/>
          <w:szCs w:val="32"/>
        </w:rPr>
        <w:t>万元。我局严格按照专款专用的原则使用，按工程进度积</w:t>
      </w:r>
      <w:r w:rsidR="00CB7EE9">
        <w:rPr>
          <w:rFonts w:ascii="仿宋" w:eastAsia="仿宋" w:hAnsi="仿宋" w:cs="仿宋" w:hint="eastAsia"/>
          <w:sz w:val="32"/>
          <w:szCs w:val="32"/>
        </w:rPr>
        <w:t>极协调财政及时落实工程建设资金，确保工程建设质量，和工期。</w:t>
      </w:r>
      <w:r>
        <w:rPr>
          <w:rFonts w:ascii="仿宋" w:eastAsia="仿宋" w:hAnsi="仿宋" w:cs="仿宋" w:hint="eastAsia"/>
          <w:sz w:val="32"/>
          <w:szCs w:val="32"/>
        </w:rPr>
        <w:t>资金</w:t>
      </w:r>
      <w:r w:rsidR="00CB7EE9">
        <w:rPr>
          <w:rFonts w:ascii="仿宋" w:eastAsia="仿宋" w:hAnsi="仿宋" w:cs="仿宋" w:hint="eastAsia"/>
          <w:sz w:val="32"/>
          <w:szCs w:val="32"/>
        </w:rPr>
        <w:t>使用情况</w:t>
      </w:r>
      <w:r>
        <w:rPr>
          <w:rFonts w:ascii="仿宋" w:eastAsia="仿宋" w:hAnsi="仿宋" w:cs="仿宋" w:hint="eastAsia"/>
          <w:sz w:val="32"/>
          <w:szCs w:val="32"/>
        </w:rPr>
        <w:t>：</w:t>
      </w:r>
      <w:r w:rsidR="00CB7EE9">
        <w:rPr>
          <w:rFonts w:ascii="仿宋" w:eastAsia="仿宋" w:hAnsi="仿宋" w:cs="仿宋" w:hint="eastAsia"/>
          <w:sz w:val="32"/>
          <w:szCs w:val="32"/>
        </w:rPr>
        <w:t>2022年支付项目污水处理工程款115万元；污水处理运营费124.74万元；项目协调指挥部工员工作经费4.7万元；花桥白沙溪矿治理项目防污、环保监理费13.4万元，泸阳细缅垅村土地复垦项目7.77万元。</w:t>
      </w:r>
    </w:p>
    <w:p w:rsidR="00A207F8" w:rsidRDefault="00FA70B0">
      <w:pPr>
        <w:pStyle w:val="p15"/>
        <w:spacing w:line="480" w:lineRule="exact"/>
        <w:ind w:firstLineChars="200" w:firstLine="643"/>
        <w:jc w:val="both"/>
        <w:rPr>
          <w:rFonts w:ascii="仿宋" w:eastAsia="仿宋" w:hAnsi="仿宋" w:cs="仿宋"/>
          <w:b/>
          <w:bCs/>
          <w:kern w:val="2"/>
          <w:sz w:val="32"/>
          <w:szCs w:val="32"/>
        </w:rPr>
      </w:pPr>
      <w:r>
        <w:rPr>
          <w:rFonts w:ascii="仿宋" w:eastAsia="仿宋" w:hAnsi="仿宋" w:cs="仿宋" w:hint="eastAsia"/>
          <w:b/>
          <w:bCs/>
          <w:sz w:val="32"/>
          <w:szCs w:val="32"/>
        </w:rPr>
        <w:t>（二）项目绩效目标</w:t>
      </w:r>
    </w:p>
    <w:p w:rsidR="00A207F8" w:rsidRDefault="00FA70B0">
      <w:pPr>
        <w:pStyle w:val="p15"/>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总体目标：按照省环保专项督察组和市生环委要求，编制花桥镇怀化磷矿矿井涌水污染综合治理实施方案，2020年9月30日完成矿涌水集中收集处理，2020年12月底磷矿涌水污染问题销号。2021年实施内容为矿井涌水源头减量工程、污水处理工程（污水处理站）、污水管网收集工程、底泥和废渣清理工程、生态修复工程。</w:t>
      </w:r>
      <w:r>
        <w:rPr>
          <w:rStyle w:val="NormalCharacter"/>
          <w:rFonts w:ascii="仿宋_GB2312" w:eastAsia="仿宋_GB2312" w:hAnsi="仿宋_GB2312" w:hint="eastAsia"/>
          <w:sz w:val="32"/>
          <w:szCs w:val="32"/>
        </w:rPr>
        <w:t>2022年11月30日完成项目治理工程环保竣工验收。</w:t>
      </w:r>
    </w:p>
    <w:p w:rsidR="00A207F8" w:rsidRDefault="00FA70B0">
      <w:pPr>
        <w:pStyle w:val="p15"/>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2、年度目标：2022年度主要实施项目综合治理工程竣工综合验收、环保竣工验收、污水处理厂运营管理</w:t>
      </w:r>
      <w:r>
        <w:rPr>
          <w:rStyle w:val="NormalCharacter"/>
          <w:rFonts w:ascii="仿宋_GB2312" w:eastAsia="仿宋_GB2312" w:hAnsi="仿宋_GB2312" w:hint="eastAsia"/>
          <w:sz w:val="32"/>
          <w:szCs w:val="32"/>
        </w:rPr>
        <w:t>。2022年11月30日完成项目治理工程环保竣工验收。</w:t>
      </w:r>
    </w:p>
    <w:p w:rsidR="00A207F8" w:rsidRDefault="00FA70B0">
      <w:pPr>
        <w:pStyle w:val="a6"/>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二、绩效评价工作开展情况</w:t>
      </w:r>
    </w:p>
    <w:p w:rsidR="00A207F8" w:rsidRDefault="00FA70B0">
      <w:pPr>
        <w:pStyle w:val="a6"/>
        <w:spacing w:line="4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（一）绩效评价目的、对象和范围。</w:t>
      </w:r>
    </w:p>
    <w:p w:rsidR="00A207F8" w:rsidRDefault="00FA70B0">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1、绩效评价目的</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为贯彻落实省委省政府关于全面实施预算绩效管理的决策部署，改善预算部门的财政支出管理，优化资源配置及提高公众服务水平，开展财政专项项目绩效评价工作。项目绩效评价是对项目从申报到结束全过程的总结和提炼，是项目完成与否、完成好坏的最后把关。通过开展中方县花桥镇怀化磷矿矿井涌水污染综合治理项目绩效评价，可以确保项目主管部门和资金投入方获知该项目进展情况，满足检查项目进展情况的需求，进一步确认项目组织对项目承诺的实现程度，并作为预测项目</w:t>
      </w:r>
      <w:r>
        <w:rPr>
          <w:rFonts w:ascii="仿宋" w:eastAsia="仿宋" w:hAnsi="仿宋" w:cs="仿宋" w:hint="eastAsia"/>
          <w:sz w:val="32"/>
          <w:szCs w:val="32"/>
        </w:rPr>
        <w:lastRenderedPageBreak/>
        <w:t>建设终结绩效的依据，作为考核工作成果和实施奖惩的依据。同时总结经验，分析存在问题及原因，提出对策建议，为相关部门决策、管理提供参考依据，为以后专项资金及同类专项资金安排提供重要依据。</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2、绩效评价对象：2022年中方县花桥镇怀化磷矿矿井涌水污染综合治理项目专项资金的使用绩效。</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3、绩效评价范围：评价范围为2022年度中方县花桥镇怀化磷矿矿井涌水污染综合治理项目的项目决策情况、项目实施情况、项目完成情况、项目资金及使用情况、项目产出效益情况。</w:t>
      </w:r>
    </w:p>
    <w:p w:rsidR="00A207F8" w:rsidRDefault="00FA70B0">
      <w:pPr>
        <w:pStyle w:val="a6"/>
        <w:spacing w:line="480" w:lineRule="exact"/>
        <w:ind w:leftChars="200" w:left="420"/>
        <w:rPr>
          <w:rFonts w:ascii="仿宋" w:eastAsia="仿宋" w:hAnsi="仿宋" w:cs="仿宋"/>
          <w:b/>
          <w:bCs/>
          <w:sz w:val="32"/>
          <w:szCs w:val="32"/>
        </w:rPr>
      </w:pPr>
      <w:r>
        <w:rPr>
          <w:rFonts w:ascii="仿宋" w:eastAsia="仿宋" w:hAnsi="仿宋" w:cs="仿宋" w:hint="eastAsia"/>
          <w:b/>
          <w:bCs/>
          <w:sz w:val="32"/>
          <w:szCs w:val="32"/>
        </w:rPr>
        <w:t>（二）绩效评价原则、评价指标体系（附表说明）、评价方法、评价标准等。</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1、绩效评价原则：项目绩效评价应遵循综合全名性原则、主导性原则、动态性原则、可操作性原则、经济性原则。</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2、评价指标体系：本次评价指标体系分项目决策、项目过程、项目产出、项目效益共4项一级指标，细分二级指标和三级指标，进行综合评价。</w:t>
      </w:r>
    </w:p>
    <w:p w:rsidR="00A207F8" w:rsidRDefault="00FA70B0">
      <w:pPr>
        <w:spacing w:line="480" w:lineRule="exact"/>
        <w:ind w:firstLineChars="200" w:firstLine="640"/>
        <w:outlineLvl w:val="2"/>
        <w:rPr>
          <w:rFonts w:ascii="仿宋" w:eastAsia="仿宋" w:hAnsi="仿宋" w:cs="仿宋"/>
          <w:sz w:val="32"/>
          <w:szCs w:val="32"/>
        </w:rPr>
      </w:pPr>
      <w:r>
        <w:rPr>
          <w:rFonts w:ascii="仿宋" w:eastAsia="仿宋" w:hAnsi="仿宋" w:cs="仿宋" w:hint="eastAsia"/>
          <w:sz w:val="32"/>
          <w:szCs w:val="32"/>
        </w:rPr>
        <w:t>3、评价方法：绩效评价方法主要采用比较分析法、因数分析法、公众评判法等。</w:t>
      </w:r>
    </w:p>
    <w:p w:rsidR="00A207F8" w:rsidRDefault="00FA70B0">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（三）绩效评价工作过程</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本次绩效评价工作由中方县自然资源局组织实施，按照绩效评价工作方案具体开展。具体分为四个步骤：</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前期准备阶段：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2、资料整理阶段：一是资料收集。对本次绩效涉及的资料进行全面的收集。二是整理分析。评价项目组专门组织人员按</w:t>
      </w:r>
      <w:r>
        <w:rPr>
          <w:rFonts w:ascii="仿宋" w:eastAsia="仿宋" w:hAnsi="仿宋" w:cs="仿宋" w:hint="eastAsia"/>
          <w:sz w:val="32"/>
          <w:szCs w:val="32"/>
        </w:rPr>
        <w:lastRenderedPageBreak/>
        <w:t>照绩效评价的原则、思路和方法，对收集的资料进行全面整理和汇总，并对缺少的资料进行补充调查。三是补充调查。</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绩效评价阶段：按照既定的绩效评价思路和路线方法开展绩效评价工作，根据构建的评价指标体系对2022年度中方县花桥镇怀化磷矿矿井涌水污染综合治理项目进行综合绩效评价；总结项目决策情况、项目实施情况、本单位管理制度情况、项目资金及使用情况、项目产出效益情况等基本内容，撰写评价报告。</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4、成果报备阶段：完成评价成果的报备并按照反馈意见进行修改完善。</w:t>
      </w:r>
    </w:p>
    <w:p w:rsidR="00A207F8" w:rsidRDefault="00FA70B0">
      <w:pPr>
        <w:pStyle w:val="a6"/>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三、综合评价情况及评价结论（附相关评分表）</w:t>
      </w:r>
    </w:p>
    <w:p w:rsidR="00A207F8" w:rsidRDefault="00FA70B0">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绩效评价等级为优，94分。</w:t>
      </w:r>
    </w:p>
    <w:p w:rsidR="00A207F8" w:rsidRDefault="00FA70B0">
      <w:pPr>
        <w:pStyle w:val="a6"/>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四、绩效评价指标分析</w:t>
      </w:r>
    </w:p>
    <w:p w:rsidR="00A207F8" w:rsidRDefault="00FA70B0">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（一）项目决策情况</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项目立项分析：项目立项符合法律法规、相关政策、县发展规划及部门职责。</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1、绩效目标分析：项目的设定依据充分，符合实际，绩效指标清晰，具有合理性和明确性。</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资金投入分析：项目相关的技术指标和数据来源准确，相关预算标准来源于自然资源部、财政部和省财政厅颁发的相关标准，所用预算标准可靠，并充分考虑了专项资金项目的主要特点，编制方法基本正确。项目经费预算编制较为合理可行，资金分配合理。</w:t>
      </w:r>
    </w:p>
    <w:p w:rsidR="00A207F8" w:rsidRDefault="00FA70B0">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（二）项目过程情况</w:t>
      </w:r>
    </w:p>
    <w:p w:rsidR="00A207F8" w:rsidRDefault="00FA70B0">
      <w:pPr>
        <w:pStyle w:val="p15"/>
        <w:spacing w:line="48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1、资金管理分析：2022年项目到位资金</w:t>
      </w:r>
      <w:r w:rsidR="00CA1B26">
        <w:rPr>
          <w:rFonts w:ascii="仿宋" w:eastAsia="仿宋" w:hAnsi="仿宋" w:cs="仿宋" w:hint="eastAsia"/>
          <w:sz w:val="32"/>
          <w:szCs w:val="32"/>
        </w:rPr>
        <w:t>265.61</w:t>
      </w:r>
      <w:r>
        <w:rPr>
          <w:rFonts w:ascii="仿宋" w:eastAsia="仿宋" w:hAnsi="仿宋" w:cs="仿宋" w:hint="eastAsia"/>
          <w:sz w:val="32"/>
          <w:szCs w:val="32"/>
        </w:rPr>
        <w:t>万元，全部为县财政拨付专项资金。截至2022年12月31日，项目合计支出金额</w:t>
      </w:r>
      <w:r w:rsidR="00CA1B26">
        <w:rPr>
          <w:rFonts w:ascii="仿宋" w:eastAsia="仿宋" w:hAnsi="仿宋" w:cs="仿宋" w:hint="eastAsia"/>
          <w:sz w:val="32"/>
          <w:szCs w:val="32"/>
        </w:rPr>
        <w:t>265.61</w:t>
      </w:r>
      <w:r>
        <w:rPr>
          <w:rFonts w:ascii="仿宋" w:eastAsia="仿宋" w:hAnsi="仿宋" w:cs="仿宋" w:hint="eastAsia"/>
          <w:sz w:val="32"/>
          <w:szCs w:val="32"/>
        </w:rPr>
        <w:t>万元，预算执行率100%。</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项目未虚列项目开支，不存在擅自转包项目、改变项目设计、调整项目经费预算等行为，未截留、挪用、挤占项目经费、随意转拨项目资金。在项目预算执行过程中做到专款专用、专</w:t>
      </w:r>
      <w:r>
        <w:rPr>
          <w:rFonts w:ascii="仿宋" w:eastAsia="仿宋" w:hAnsi="仿宋" w:cs="仿宋" w:hint="eastAsia"/>
          <w:sz w:val="32"/>
          <w:szCs w:val="32"/>
        </w:rPr>
        <w:lastRenderedPageBreak/>
        <w:t>账核算，保证了项目按时保质保量的完成。在项目成本费用支出中，经费使用合理，无任何违规违纪情况发生。</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2、组织实施分析：项目由县自然资源局制定相应的财务和业务管理制度，项目实施符合相关法律法规的规定，各项目的合同书等资料齐全并及时归档，有相关的人员及信息技术支撑。</w:t>
      </w:r>
    </w:p>
    <w:p w:rsidR="00A207F8" w:rsidRDefault="00FA70B0">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（三）项目产出情况</w:t>
      </w:r>
    </w:p>
    <w:p w:rsidR="00A207F8" w:rsidRDefault="00FA70B0">
      <w:pPr>
        <w:pStyle w:val="p15"/>
        <w:spacing w:line="480" w:lineRule="exact"/>
        <w:ind w:firstLineChars="200" w:firstLine="640"/>
        <w:jc w:val="both"/>
        <w:rPr>
          <w:rFonts w:ascii="仿宋" w:eastAsia="仿宋" w:hAnsi="仿宋" w:cs="仿宋"/>
          <w:sz w:val="32"/>
          <w:szCs w:val="32"/>
        </w:rPr>
      </w:pPr>
      <w:r>
        <w:rPr>
          <w:rFonts w:ascii="仿宋" w:eastAsia="仿宋" w:hAnsi="仿宋" w:cs="仿宋" w:hint="eastAsia"/>
          <w:bCs/>
          <w:sz w:val="32"/>
          <w:szCs w:val="32"/>
        </w:rPr>
        <w:t>1、产出数量分析：</w:t>
      </w:r>
      <w:r>
        <w:rPr>
          <w:rFonts w:ascii="仿宋" w:eastAsia="仿宋" w:hAnsi="仿宋" w:cs="仿宋" w:hint="eastAsia"/>
          <w:sz w:val="32"/>
          <w:szCs w:val="32"/>
        </w:rPr>
        <w:t>2022年支付项目污水处理工程款</w:t>
      </w:r>
      <w:r w:rsidR="00807C9E">
        <w:rPr>
          <w:rFonts w:ascii="仿宋" w:eastAsia="仿宋" w:hAnsi="仿宋" w:cs="仿宋" w:hint="eastAsia"/>
          <w:sz w:val="32"/>
          <w:szCs w:val="32"/>
        </w:rPr>
        <w:t>115</w:t>
      </w:r>
      <w:r>
        <w:rPr>
          <w:rFonts w:ascii="仿宋" w:eastAsia="仿宋" w:hAnsi="仿宋" w:cs="仿宋" w:hint="eastAsia"/>
          <w:sz w:val="32"/>
          <w:szCs w:val="32"/>
        </w:rPr>
        <w:t>万元；污水处理运营费</w:t>
      </w:r>
      <w:r w:rsidR="00807C9E">
        <w:rPr>
          <w:rFonts w:ascii="仿宋" w:eastAsia="仿宋" w:hAnsi="仿宋" w:cs="仿宋" w:hint="eastAsia"/>
          <w:sz w:val="32"/>
          <w:szCs w:val="32"/>
        </w:rPr>
        <w:t>124.74</w:t>
      </w:r>
      <w:r>
        <w:rPr>
          <w:rFonts w:ascii="仿宋" w:eastAsia="仿宋" w:hAnsi="仿宋" w:cs="仿宋" w:hint="eastAsia"/>
          <w:sz w:val="32"/>
          <w:szCs w:val="32"/>
        </w:rPr>
        <w:t>万元；项目协调指挥部工员工作经费</w:t>
      </w:r>
      <w:r w:rsidR="00807C9E">
        <w:rPr>
          <w:rFonts w:ascii="仿宋" w:eastAsia="仿宋" w:hAnsi="仿宋" w:cs="仿宋" w:hint="eastAsia"/>
          <w:sz w:val="32"/>
          <w:szCs w:val="32"/>
        </w:rPr>
        <w:t>4.7</w:t>
      </w:r>
      <w:r>
        <w:rPr>
          <w:rFonts w:ascii="仿宋" w:eastAsia="仿宋" w:hAnsi="仿宋" w:cs="仿宋" w:hint="eastAsia"/>
          <w:sz w:val="32"/>
          <w:szCs w:val="32"/>
        </w:rPr>
        <w:t>万元；</w:t>
      </w:r>
      <w:r w:rsidR="00807C9E">
        <w:rPr>
          <w:rFonts w:ascii="仿宋" w:eastAsia="仿宋" w:hAnsi="仿宋" w:cs="仿宋" w:hint="eastAsia"/>
          <w:sz w:val="32"/>
          <w:szCs w:val="32"/>
        </w:rPr>
        <w:t>花桥白沙溪矿治理项目防污、环保监理费13.4万元，泸阳细缅垅村土地复垦项目7.77万元</w:t>
      </w:r>
      <w:r>
        <w:rPr>
          <w:rFonts w:ascii="仿宋" w:eastAsia="仿宋" w:hAnsi="仿宋" w:cs="仿宋" w:hint="eastAsia"/>
          <w:sz w:val="32"/>
          <w:szCs w:val="32"/>
        </w:rPr>
        <w:t>。该共支出</w:t>
      </w:r>
      <w:r w:rsidR="00807C9E">
        <w:rPr>
          <w:rFonts w:ascii="仿宋" w:eastAsia="仿宋" w:hAnsi="仿宋" w:cs="仿宋" w:hint="eastAsia"/>
          <w:sz w:val="32"/>
          <w:szCs w:val="32"/>
        </w:rPr>
        <w:t>265.61</w:t>
      </w:r>
      <w:r>
        <w:rPr>
          <w:rFonts w:ascii="仿宋" w:eastAsia="仿宋" w:hAnsi="仿宋" w:cs="仿宋" w:hint="eastAsia"/>
          <w:sz w:val="32"/>
          <w:szCs w:val="32"/>
        </w:rPr>
        <w:t>万元。</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2、产出质量分析：</w:t>
      </w:r>
      <w:r>
        <w:rPr>
          <w:rFonts w:ascii="仿宋" w:eastAsia="仿宋" w:hAnsi="仿宋" w:cs="仿宋" w:hint="eastAsia"/>
          <w:sz w:val="32"/>
          <w:szCs w:val="32"/>
        </w:rPr>
        <w:t>各项目严格按照省自然资源厅及中方县人民政府的要求，完成了工作方案中要求的各项工作任务，成果质量达到预期目标，相关工作成果得到省厅及县政府的高度认可。</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3、产出时效分析：各</w:t>
      </w:r>
      <w:r>
        <w:rPr>
          <w:rFonts w:ascii="仿宋" w:eastAsia="仿宋" w:hAnsi="仿宋" w:cs="仿宋" w:hint="eastAsia"/>
          <w:sz w:val="32"/>
          <w:szCs w:val="32"/>
        </w:rPr>
        <w:t>项目严格按照工作方案的要求，在各个时间节点完成全部工作任务，项目完成及时。</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4、产出成本分析：</w:t>
      </w:r>
      <w:r>
        <w:rPr>
          <w:rFonts w:ascii="仿宋" w:eastAsia="仿宋" w:hAnsi="仿宋" w:cs="仿宋" w:hint="eastAsia"/>
          <w:sz w:val="32"/>
          <w:szCs w:val="32"/>
        </w:rPr>
        <w:t>各项目经费执行率为100%。项目执行过程中，厉行节约，坚持从严从简降低项目成本，坚持依法依规严格按程序办事，坚持严格控制经费支出。</w:t>
      </w:r>
    </w:p>
    <w:p w:rsidR="00A207F8" w:rsidRDefault="00FA70B0">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（四）项目效益情况</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1、经济效益分析：</w:t>
      </w:r>
      <w:r>
        <w:rPr>
          <w:rFonts w:ascii="仿宋" w:eastAsia="仿宋" w:hAnsi="仿宋" w:cs="仿宋" w:hint="eastAsia"/>
          <w:sz w:val="32"/>
          <w:szCs w:val="32"/>
        </w:rPr>
        <w:t>中方县花桥镇怀化磷矿矿井涌水污染综合治理项目建设各项工作，对土地资源的保护和开发利用具有重要意义，对促进全县经济社会发展意义重大。</w:t>
      </w:r>
    </w:p>
    <w:p w:rsidR="00A207F8" w:rsidRDefault="00FA70B0">
      <w:pPr>
        <w:spacing w:line="480" w:lineRule="exact"/>
        <w:ind w:firstLineChars="200" w:firstLine="640"/>
        <w:rPr>
          <w:rFonts w:ascii="仿宋" w:eastAsia="仿宋" w:hAnsi="仿宋" w:cs="仿宋"/>
          <w:b/>
          <w:sz w:val="32"/>
          <w:szCs w:val="32"/>
        </w:rPr>
      </w:pPr>
      <w:r>
        <w:rPr>
          <w:rFonts w:ascii="仿宋" w:eastAsia="仿宋" w:hAnsi="仿宋" w:cs="仿宋" w:hint="eastAsia"/>
          <w:bCs/>
          <w:sz w:val="32"/>
          <w:szCs w:val="32"/>
        </w:rPr>
        <w:t>2、社会效益分析：</w:t>
      </w:r>
      <w:r>
        <w:rPr>
          <w:rFonts w:ascii="仿宋" w:eastAsia="仿宋" w:hAnsi="仿宋" w:cs="仿宋" w:hint="eastAsia"/>
          <w:sz w:val="32"/>
          <w:szCs w:val="32"/>
        </w:rPr>
        <w:t>中方县花桥镇怀化磷矿矿井涌水污染综合治理项目建设工作，有利于提高人民群众防灾避险能力，确保人民群众生命财产安全。</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3、可持续影响分析：</w:t>
      </w:r>
      <w:r>
        <w:rPr>
          <w:rFonts w:ascii="仿宋" w:eastAsia="仿宋" w:hAnsi="仿宋" w:cs="仿宋" w:hint="eastAsia"/>
          <w:sz w:val="32"/>
          <w:szCs w:val="32"/>
        </w:rPr>
        <w:t>中方县花桥镇怀化磷矿矿井涌水污染综合治理项目建设工作，确保人民生命财产安全，生态环境修复，保障可持续发，促进经济社会的可持续发展。</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lastRenderedPageBreak/>
        <w:t>4、环境生态效益分析：</w:t>
      </w:r>
      <w:r>
        <w:rPr>
          <w:rFonts w:ascii="仿宋" w:eastAsia="仿宋" w:hAnsi="仿宋" w:cs="仿宋" w:hint="eastAsia"/>
          <w:sz w:val="32"/>
          <w:szCs w:val="32"/>
        </w:rPr>
        <w:t>中方县花桥镇怀化磷矿矿井涌水污染综合治理项目建设工作，提高生态环境质量。</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5、社会公众或服务对象满意度分析：</w:t>
      </w:r>
      <w:r>
        <w:rPr>
          <w:rFonts w:ascii="仿宋" w:eastAsia="仿宋" w:hAnsi="仿宋" w:cs="仿宋" w:hint="eastAsia"/>
          <w:sz w:val="32"/>
          <w:szCs w:val="32"/>
        </w:rPr>
        <w:t>各项目严格按照国家和省自然资源厅及县人民政府的相关要求，按时完成了各项工作任务，工作成果丰厚，得到上级部门高度认可。</w:t>
      </w:r>
    </w:p>
    <w:p w:rsidR="00A207F8" w:rsidRDefault="00FA70B0">
      <w:pPr>
        <w:pStyle w:val="a6"/>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五、主要经验及做法、存在的问题及原因分析</w:t>
      </w:r>
    </w:p>
    <w:p w:rsidR="00A207F8" w:rsidRDefault="00FA70B0">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1、主要经验做法：成立项目协调指挥部，县长担任指挥长协调相关工作，全力推动项目建设各项工作。所有项目严格按照财务管理制度，逐级签字付款。项目所需付款均由财政统筹安排。</w:t>
      </w:r>
    </w:p>
    <w:p w:rsidR="00A207F8" w:rsidRDefault="00FA70B0">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存在的问题及原因分析：花桥镇原怀化磷矿矿井涌水污染属重金属环境污染，属于历史遗留问题，磷矿开采区域较大，环境复杂，项目实施时间紧，任务重，汛期长，加之新冠疫情的影响，项目建设压力大，县财政困难。</w:t>
      </w:r>
    </w:p>
    <w:p w:rsidR="00A207F8" w:rsidRDefault="00FA70B0">
      <w:pPr>
        <w:pStyle w:val="a6"/>
        <w:numPr>
          <w:ilvl w:val="0"/>
          <w:numId w:val="1"/>
        </w:numPr>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有关建议</w:t>
      </w:r>
    </w:p>
    <w:p w:rsidR="00A207F8" w:rsidRDefault="00FA70B0">
      <w:pPr>
        <w:pStyle w:val="p15"/>
        <w:spacing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建议县财政将</w:t>
      </w:r>
      <w:r>
        <w:rPr>
          <w:rFonts w:ascii="仿宋" w:eastAsia="仿宋" w:hAnsi="仿宋" w:cs="仿宋" w:hint="eastAsia"/>
          <w:sz w:val="32"/>
          <w:szCs w:val="32"/>
        </w:rPr>
        <w:t>花桥镇怀化磷矿矿井涌水污染综合治理项目建设资金列入财政预算编制</w:t>
      </w:r>
      <w:r>
        <w:rPr>
          <w:rFonts w:ascii="仿宋" w:eastAsia="仿宋" w:hAnsi="仿宋" w:cs="仿宋" w:hint="eastAsia"/>
          <w:kern w:val="2"/>
          <w:sz w:val="32"/>
          <w:szCs w:val="32"/>
        </w:rPr>
        <w:t>，统筹好项目建设配套资金及污水处理运营费。</w:t>
      </w:r>
    </w:p>
    <w:p w:rsidR="00A207F8" w:rsidRDefault="00FA70B0">
      <w:pPr>
        <w:pStyle w:val="a6"/>
        <w:numPr>
          <w:ilvl w:val="0"/>
          <w:numId w:val="1"/>
        </w:numPr>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其他需要说明的问题</w:t>
      </w:r>
    </w:p>
    <w:p w:rsidR="00A207F8" w:rsidRDefault="00FA70B0">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进一步加快项目环保竣工验收进度，督促污水运营单位做好污水处理，力争2022年11月底完成项目环保竣工验收任务。</w:t>
      </w:r>
    </w:p>
    <w:p w:rsidR="00A207F8" w:rsidRDefault="00A207F8">
      <w:pPr>
        <w:widowControl/>
        <w:spacing w:line="480" w:lineRule="exact"/>
        <w:ind w:firstLineChars="200" w:firstLine="640"/>
        <w:jc w:val="left"/>
        <w:rPr>
          <w:rFonts w:ascii="仿宋" w:eastAsia="仿宋" w:hAnsi="仿宋" w:cs="仿宋"/>
          <w:sz w:val="32"/>
          <w:szCs w:val="32"/>
        </w:rPr>
      </w:pPr>
    </w:p>
    <w:p w:rsidR="00A207F8" w:rsidRDefault="00FA70B0">
      <w:pPr>
        <w:widowControl/>
        <w:spacing w:line="48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附件</w:t>
      </w:r>
    </w:p>
    <w:p w:rsidR="00A207F8" w:rsidRDefault="00FA70B0">
      <w:pPr>
        <w:widowControl/>
        <w:spacing w:line="480" w:lineRule="exact"/>
        <w:ind w:firstLine="645"/>
        <w:jc w:val="left"/>
        <w:rPr>
          <w:rFonts w:ascii="仿宋" w:eastAsia="仿宋" w:hAnsi="仿宋" w:cs="仿宋"/>
          <w:sz w:val="32"/>
          <w:szCs w:val="32"/>
        </w:rPr>
      </w:pPr>
      <w:r>
        <w:rPr>
          <w:rFonts w:ascii="仿宋" w:eastAsia="仿宋" w:hAnsi="仿宋" w:cs="仿宋" w:hint="eastAsia"/>
          <w:sz w:val="32"/>
          <w:szCs w:val="32"/>
        </w:rPr>
        <w:t>1.项目支出绩效自评表</w:t>
      </w:r>
    </w:p>
    <w:p w:rsidR="00A207F8" w:rsidRDefault="00FA70B0">
      <w:pPr>
        <w:pStyle w:val="p15"/>
        <w:spacing w:line="480" w:lineRule="exact"/>
        <w:ind w:firstLineChars="200" w:firstLine="640"/>
        <w:jc w:val="both"/>
        <w:rPr>
          <w:rFonts w:ascii="仿宋_GB2312" w:eastAsia="仿宋_GB2312" w:hAnsi="仿宋_GB2312"/>
          <w:bCs/>
          <w:color w:val="000000"/>
          <w:sz w:val="32"/>
          <w:szCs w:val="32"/>
        </w:rPr>
      </w:pPr>
      <w:r>
        <w:rPr>
          <w:rFonts w:ascii="仿宋" w:eastAsia="仿宋" w:hAnsi="仿宋" w:cs="仿宋" w:hint="eastAsia"/>
          <w:sz w:val="32"/>
          <w:szCs w:val="32"/>
        </w:rPr>
        <w:t>2.项目支出绩效评价指标</w:t>
      </w:r>
      <w:r>
        <w:rPr>
          <w:rFonts w:ascii="仿宋" w:eastAsia="仿宋" w:hAnsi="仿宋" w:cs="仿宋" w:hint="eastAsia"/>
          <w:bCs/>
          <w:color w:val="000000"/>
          <w:sz w:val="32"/>
          <w:szCs w:val="32"/>
        </w:rPr>
        <w:t>评分表</w:t>
      </w:r>
    </w:p>
    <w:p w:rsidR="00A207F8" w:rsidRDefault="00A207F8">
      <w:pPr>
        <w:spacing w:line="400" w:lineRule="exact"/>
        <w:rPr>
          <w:rFonts w:ascii="仿宋_GB2312" w:eastAsia="仿宋_GB2312" w:hAnsi="仿宋_GB2312"/>
          <w:bCs/>
          <w:color w:val="000000"/>
          <w:sz w:val="32"/>
          <w:szCs w:val="32"/>
        </w:rPr>
      </w:pPr>
    </w:p>
    <w:p w:rsidR="00A207F8" w:rsidRDefault="00A207F8">
      <w:pPr>
        <w:spacing w:line="400" w:lineRule="exact"/>
        <w:rPr>
          <w:rFonts w:ascii="仿宋_GB2312" w:eastAsia="仿宋_GB2312" w:hAnsi="仿宋_GB2312"/>
          <w:bCs/>
          <w:color w:val="000000"/>
          <w:sz w:val="32"/>
          <w:szCs w:val="32"/>
        </w:rPr>
      </w:pPr>
    </w:p>
    <w:p w:rsidR="00A207F8" w:rsidRDefault="00A207F8">
      <w:pPr>
        <w:spacing w:line="400" w:lineRule="exact"/>
        <w:rPr>
          <w:rFonts w:ascii="仿宋_GB2312" w:eastAsia="仿宋_GB2312" w:hAnsi="仿宋_GB2312"/>
          <w:bCs/>
          <w:color w:val="000000"/>
          <w:sz w:val="32"/>
          <w:szCs w:val="32"/>
        </w:rPr>
      </w:pPr>
    </w:p>
    <w:p w:rsidR="00A207F8" w:rsidRDefault="00A207F8">
      <w:pPr>
        <w:spacing w:line="400" w:lineRule="exact"/>
        <w:rPr>
          <w:rFonts w:ascii="仿宋_GB2312" w:eastAsia="仿宋_GB2312" w:hAnsi="仿宋_GB2312"/>
          <w:bCs/>
          <w:color w:val="000000"/>
          <w:sz w:val="32"/>
          <w:szCs w:val="32"/>
        </w:rPr>
      </w:pPr>
    </w:p>
    <w:p w:rsidR="00A207F8" w:rsidRDefault="00A207F8">
      <w:pPr>
        <w:spacing w:line="400" w:lineRule="exact"/>
        <w:rPr>
          <w:rFonts w:ascii="仿宋_GB2312" w:eastAsia="仿宋_GB2312" w:hAnsi="仿宋_GB2312"/>
          <w:bCs/>
          <w:color w:val="000000"/>
          <w:sz w:val="32"/>
          <w:szCs w:val="32"/>
        </w:rPr>
      </w:pPr>
    </w:p>
    <w:p w:rsidR="00A207F8" w:rsidRDefault="00A207F8">
      <w:pPr>
        <w:spacing w:line="400" w:lineRule="exact"/>
        <w:rPr>
          <w:rFonts w:ascii="仿宋_GB2312" w:eastAsia="仿宋_GB2312" w:hAnsi="仿宋_GB2312"/>
          <w:bCs/>
          <w:color w:val="000000"/>
          <w:sz w:val="32"/>
          <w:szCs w:val="32"/>
        </w:rPr>
      </w:pPr>
    </w:p>
    <w:p w:rsidR="00A207F8" w:rsidRDefault="00A207F8">
      <w:pPr>
        <w:spacing w:line="400" w:lineRule="exact"/>
        <w:rPr>
          <w:rFonts w:ascii="仿宋_GB2312" w:eastAsia="仿宋_GB2312" w:hAnsi="仿宋_GB2312"/>
          <w:bCs/>
          <w:color w:val="000000"/>
          <w:sz w:val="32"/>
          <w:szCs w:val="32"/>
        </w:rPr>
      </w:pPr>
    </w:p>
    <w:p w:rsidR="00A207F8" w:rsidRDefault="00FA70B0">
      <w:pPr>
        <w:spacing w:line="400" w:lineRule="exact"/>
        <w:rPr>
          <w:bCs/>
          <w:color w:val="000000"/>
          <w:sz w:val="32"/>
          <w:szCs w:val="32"/>
        </w:rPr>
      </w:pPr>
      <w:r>
        <w:rPr>
          <w:rFonts w:ascii="仿宋_GB2312" w:eastAsia="仿宋_GB2312" w:hAnsi="仿宋_GB2312"/>
          <w:bCs/>
          <w:color w:val="000000"/>
          <w:sz w:val="32"/>
          <w:szCs w:val="32"/>
        </w:rPr>
        <w:t>附件</w:t>
      </w:r>
      <w:r>
        <w:rPr>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A207F8">
        <w:trPr>
          <w:trHeight w:val="349"/>
          <w:jc w:val="center"/>
        </w:trPr>
        <w:tc>
          <w:tcPr>
            <w:tcW w:w="9080" w:type="dxa"/>
            <w:gridSpan w:val="14"/>
            <w:tcBorders>
              <w:top w:val="nil"/>
              <w:left w:val="nil"/>
              <w:bottom w:val="nil"/>
              <w:right w:val="nil"/>
            </w:tcBorders>
            <w:vAlign w:val="center"/>
          </w:tcPr>
          <w:p w:rsidR="00A207F8" w:rsidRDefault="00FA70B0">
            <w:pPr>
              <w:widowControl/>
              <w:spacing w:line="320" w:lineRule="exact"/>
              <w:jc w:val="center"/>
              <w:rPr>
                <w:b/>
                <w:bCs/>
                <w:kern w:val="0"/>
                <w:sz w:val="32"/>
                <w:szCs w:val="32"/>
              </w:rPr>
            </w:pPr>
            <w:r>
              <w:rPr>
                <w:b/>
                <w:bCs/>
                <w:kern w:val="0"/>
                <w:sz w:val="32"/>
                <w:szCs w:val="32"/>
              </w:rPr>
              <w:t>项目支出绩效自评表</w:t>
            </w:r>
          </w:p>
        </w:tc>
      </w:tr>
      <w:tr w:rsidR="00A207F8">
        <w:trPr>
          <w:trHeight w:val="201"/>
          <w:jc w:val="center"/>
        </w:trPr>
        <w:tc>
          <w:tcPr>
            <w:tcW w:w="9080" w:type="dxa"/>
            <w:gridSpan w:val="14"/>
            <w:tcBorders>
              <w:top w:val="nil"/>
              <w:left w:val="nil"/>
              <w:bottom w:val="nil"/>
              <w:right w:val="nil"/>
            </w:tcBorders>
          </w:tcPr>
          <w:p w:rsidR="00A207F8" w:rsidRDefault="00FA70B0">
            <w:pPr>
              <w:widowControl/>
              <w:jc w:val="center"/>
              <w:rPr>
                <w:kern w:val="0"/>
                <w:sz w:val="22"/>
                <w:szCs w:val="22"/>
              </w:rPr>
            </w:pPr>
            <w:r>
              <w:rPr>
                <w:kern w:val="0"/>
                <w:sz w:val="22"/>
                <w:szCs w:val="22"/>
              </w:rPr>
              <w:t>（</w:t>
            </w:r>
            <w:r>
              <w:rPr>
                <w:rFonts w:hint="eastAsia"/>
                <w:kern w:val="0"/>
                <w:sz w:val="22"/>
                <w:szCs w:val="22"/>
              </w:rPr>
              <w:t>2022</w:t>
            </w:r>
            <w:r>
              <w:rPr>
                <w:kern w:val="0"/>
                <w:sz w:val="22"/>
                <w:szCs w:val="22"/>
              </w:rPr>
              <w:t>年度）</w:t>
            </w:r>
          </w:p>
        </w:tc>
      </w:tr>
      <w:tr w:rsidR="00A207F8">
        <w:trPr>
          <w:trHeigh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sz w:val="18"/>
                <w:szCs w:val="18"/>
              </w:rPr>
              <w:t>中方县花桥镇怀化磷矿矿井涌水污染综合治理项目</w:t>
            </w:r>
          </w:p>
        </w:tc>
      </w:tr>
      <w:tr w:rsidR="00A207F8">
        <w:trPr>
          <w:trHeigh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中方县人民政府</w:t>
            </w:r>
          </w:p>
        </w:tc>
        <w:tc>
          <w:tcPr>
            <w:tcW w:w="1134"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中方县然资源局</w:t>
            </w:r>
          </w:p>
        </w:tc>
      </w:tr>
      <w:tr w:rsidR="00A207F8">
        <w:trPr>
          <w:trHeight w:val="436"/>
          <w:jc w:val="center"/>
        </w:trPr>
        <w:tc>
          <w:tcPr>
            <w:tcW w:w="1568" w:type="dxa"/>
            <w:gridSpan w:val="2"/>
            <w:vMerge w:val="restart"/>
            <w:tcBorders>
              <w:top w:val="nil"/>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r>
              <w:rPr>
                <w:rFonts w:ascii="宋体" w:hAnsi="宋体" w:cs="宋体" w:hint="eastAsia"/>
                <w:color w:val="000000"/>
                <w:kern w:val="0"/>
                <w:sz w:val="18"/>
                <w:szCs w:val="18"/>
              </w:rPr>
              <w:t>（A）</w:t>
            </w:r>
          </w:p>
        </w:tc>
        <w:tc>
          <w:tcPr>
            <w:tcW w:w="1134"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r>
              <w:rPr>
                <w:rFonts w:ascii="宋体" w:hAnsi="宋体" w:cs="宋体" w:hint="eastAsia"/>
                <w:color w:val="000000"/>
                <w:kern w:val="0"/>
                <w:sz w:val="18"/>
                <w:szCs w:val="18"/>
              </w:rPr>
              <w:t>（B）</w:t>
            </w:r>
          </w:p>
        </w:tc>
        <w:tc>
          <w:tcPr>
            <w:tcW w:w="709"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r>
              <w:rPr>
                <w:rFonts w:ascii="宋体" w:hAnsi="宋体" w:cs="宋体" w:hint="eastAsia"/>
                <w:color w:val="000000"/>
                <w:kern w:val="0"/>
                <w:sz w:val="18"/>
                <w:szCs w:val="18"/>
              </w:rPr>
              <w:t>（B/A)</w:t>
            </w:r>
          </w:p>
        </w:tc>
        <w:tc>
          <w:tcPr>
            <w:tcW w:w="708"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A207F8">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A207F8" w:rsidRDefault="00CA1B26">
            <w:pPr>
              <w:widowControl/>
              <w:spacing w:line="240" w:lineRule="exact"/>
              <w:jc w:val="center"/>
              <w:rPr>
                <w:rFonts w:ascii="宋体" w:hAnsi="宋体" w:cs="宋体"/>
                <w:kern w:val="0"/>
                <w:sz w:val="18"/>
                <w:szCs w:val="18"/>
              </w:rPr>
            </w:pPr>
            <w:r>
              <w:rPr>
                <w:rFonts w:ascii="宋体" w:hAnsi="宋体" w:cs="宋体" w:hint="eastAsia"/>
                <w:kern w:val="0"/>
                <w:sz w:val="18"/>
                <w:szCs w:val="18"/>
              </w:rPr>
              <w:t>265.61</w:t>
            </w:r>
          </w:p>
        </w:tc>
        <w:tc>
          <w:tcPr>
            <w:tcW w:w="1134" w:type="dxa"/>
            <w:gridSpan w:val="2"/>
            <w:tcBorders>
              <w:top w:val="nil"/>
              <w:left w:val="nil"/>
              <w:bottom w:val="single" w:sz="4" w:space="0" w:color="auto"/>
              <w:right w:val="single" w:sz="4" w:space="0" w:color="auto"/>
            </w:tcBorders>
            <w:vAlign w:val="center"/>
          </w:tcPr>
          <w:p w:rsidR="00A207F8" w:rsidRDefault="00CA1B26">
            <w:pPr>
              <w:widowControl/>
              <w:spacing w:line="240" w:lineRule="exact"/>
              <w:jc w:val="center"/>
              <w:rPr>
                <w:rFonts w:ascii="宋体" w:hAnsi="宋体" w:cs="宋体"/>
                <w:kern w:val="0"/>
                <w:sz w:val="18"/>
                <w:szCs w:val="18"/>
              </w:rPr>
            </w:pPr>
            <w:r>
              <w:rPr>
                <w:rFonts w:ascii="宋体" w:hAnsi="宋体" w:cs="宋体" w:hint="eastAsia"/>
                <w:kern w:val="0"/>
                <w:sz w:val="18"/>
                <w:szCs w:val="18"/>
              </w:rPr>
              <w:t>265.61</w:t>
            </w:r>
          </w:p>
        </w:tc>
        <w:tc>
          <w:tcPr>
            <w:tcW w:w="709"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207F8">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207F8">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207F8">
        <w:trPr>
          <w:trHeight w:val="229"/>
          <w:jc w:val="center"/>
        </w:trPr>
        <w:tc>
          <w:tcPr>
            <w:tcW w:w="588" w:type="dxa"/>
            <w:vMerge w:val="restart"/>
            <w:tcBorders>
              <w:top w:val="nil"/>
              <w:left w:val="single" w:sz="4" w:space="0" w:color="auto"/>
              <w:bottom w:val="single" w:sz="4" w:space="0" w:color="auto"/>
              <w:right w:val="single" w:sz="4" w:space="0" w:color="auto"/>
            </w:tcBorders>
          </w:tcPr>
          <w:p w:rsidR="00A207F8" w:rsidRDefault="00A207F8">
            <w:pPr>
              <w:widowControl/>
              <w:spacing w:line="240" w:lineRule="exact"/>
              <w:rPr>
                <w:rFonts w:ascii="宋体" w:hAnsi="宋体" w:cs="宋体"/>
                <w:kern w:val="0"/>
                <w:sz w:val="18"/>
                <w:szCs w:val="18"/>
              </w:rPr>
            </w:pPr>
          </w:p>
          <w:p w:rsidR="00A207F8" w:rsidRDefault="00A207F8">
            <w:pPr>
              <w:widowControl/>
              <w:spacing w:line="240" w:lineRule="exact"/>
              <w:rPr>
                <w:rFonts w:ascii="宋体" w:hAnsi="宋体" w:cs="宋体"/>
                <w:kern w:val="0"/>
                <w:sz w:val="18"/>
                <w:szCs w:val="18"/>
              </w:rPr>
            </w:pPr>
          </w:p>
          <w:p w:rsidR="00A207F8" w:rsidRDefault="00FA70B0">
            <w:pPr>
              <w:widowControl/>
              <w:spacing w:line="240" w:lineRule="exact"/>
              <w:rPr>
                <w:rFonts w:ascii="宋体" w:hAnsi="宋体" w:cs="宋体"/>
                <w:kern w:val="0"/>
                <w:sz w:val="18"/>
                <w:szCs w:val="18"/>
              </w:rPr>
            </w:pPr>
            <w:r>
              <w:rPr>
                <w:rFonts w:ascii="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tcPr>
          <w:p w:rsidR="00A207F8" w:rsidRDefault="00FA70B0">
            <w:pPr>
              <w:widowControl/>
              <w:spacing w:line="240" w:lineRule="exact"/>
              <w:rPr>
                <w:rFonts w:ascii="宋体" w:hAnsi="宋体" w:cs="宋体"/>
                <w:kern w:val="0"/>
                <w:sz w:val="18"/>
                <w:szCs w:val="18"/>
              </w:rPr>
            </w:pPr>
            <w:r>
              <w:rPr>
                <w:rFonts w:ascii="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tcPr>
          <w:p w:rsidR="00A207F8" w:rsidRDefault="00FA70B0">
            <w:pPr>
              <w:widowControl/>
              <w:spacing w:line="240" w:lineRule="exact"/>
              <w:rPr>
                <w:rFonts w:ascii="宋体" w:hAnsi="宋体" w:cs="宋体"/>
                <w:kern w:val="0"/>
                <w:sz w:val="18"/>
                <w:szCs w:val="18"/>
              </w:rPr>
            </w:pPr>
            <w:r>
              <w:rPr>
                <w:rFonts w:ascii="宋体" w:hAnsi="宋体" w:cs="宋体" w:hint="eastAsia"/>
                <w:kern w:val="0"/>
                <w:sz w:val="18"/>
                <w:szCs w:val="18"/>
              </w:rPr>
              <w:t>实际完成情况</w:t>
            </w:r>
          </w:p>
        </w:tc>
      </w:tr>
      <w:tr w:rsidR="00A207F8">
        <w:trPr>
          <w:trHeight w:val="1190"/>
          <w:jc w:val="center"/>
        </w:trPr>
        <w:tc>
          <w:tcPr>
            <w:tcW w:w="588" w:type="dxa"/>
            <w:vMerge/>
            <w:tcBorders>
              <w:top w:val="nil"/>
              <w:left w:val="single" w:sz="4" w:space="0" w:color="auto"/>
              <w:bottom w:val="single" w:sz="4" w:space="0" w:color="auto"/>
              <w:right w:val="single" w:sz="4" w:space="0" w:color="auto"/>
            </w:tcBorders>
          </w:tcPr>
          <w:p w:rsidR="00A207F8" w:rsidRDefault="00A207F8">
            <w:pPr>
              <w:widowControl/>
              <w:rPr>
                <w:rFonts w:ascii="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tcPr>
          <w:p w:rsidR="00A207F8" w:rsidRDefault="00A207F8">
            <w:pPr>
              <w:spacing w:line="200" w:lineRule="exact"/>
              <w:textAlignment w:val="baseline"/>
              <w:rPr>
                <w:rFonts w:ascii="宋体" w:hAnsi="宋体" w:cs="宋体"/>
                <w:sz w:val="18"/>
                <w:szCs w:val="18"/>
              </w:rPr>
            </w:pPr>
          </w:p>
          <w:p w:rsidR="00A207F8" w:rsidRDefault="00A207F8">
            <w:pPr>
              <w:spacing w:line="200" w:lineRule="exact"/>
              <w:textAlignment w:val="baseline"/>
              <w:rPr>
                <w:rFonts w:ascii="宋体" w:hAnsi="宋体" w:cs="宋体"/>
                <w:sz w:val="18"/>
                <w:szCs w:val="18"/>
              </w:rPr>
            </w:pPr>
          </w:p>
          <w:p w:rsidR="00A207F8" w:rsidRDefault="00FA70B0">
            <w:pPr>
              <w:spacing w:line="200" w:lineRule="exact"/>
              <w:textAlignment w:val="baseline"/>
              <w:rPr>
                <w:rFonts w:ascii="宋体" w:hAnsi="宋体" w:cs="宋体"/>
                <w:kern w:val="0"/>
                <w:sz w:val="18"/>
                <w:szCs w:val="18"/>
              </w:rPr>
            </w:pPr>
            <w:r>
              <w:rPr>
                <w:rFonts w:ascii="宋体" w:hAnsi="宋体" w:cs="宋体" w:hint="eastAsia"/>
                <w:sz w:val="18"/>
                <w:szCs w:val="18"/>
              </w:rPr>
              <w:t>2022年度主要实施项目综合治理工程竣工综合验收、环保竣工验收、污水处理厂运营管理</w:t>
            </w:r>
            <w:r>
              <w:rPr>
                <w:rStyle w:val="NormalCharacter"/>
                <w:rFonts w:ascii="宋体" w:hAnsi="宋体" w:cs="宋体" w:hint="eastAsia"/>
                <w:sz w:val="18"/>
                <w:szCs w:val="18"/>
              </w:rPr>
              <w:t>。2022年11月30日完成项目治理工程环保竣工验收。</w:t>
            </w:r>
          </w:p>
        </w:tc>
        <w:tc>
          <w:tcPr>
            <w:tcW w:w="3402" w:type="dxa"/>
            <w:gridSpan w:val="7"/>
            <w:tcBorders>
              <w:top w:val="single" w:sz="4" w:space="0" w:color="auto"/>
              <w:left w:val="nil"/>
              <w:bottom w:val="single" w:sz="4" w:space="0" w:color="auto"/>
              <w:right w:val="single" w:sz="4" w:space="0" w:color="auto"/>
            </w:tcBorders>
          </w:tcPr>
          <w:p w:rsidR="00A207F8" w:rsidRDefault="00A207F8">
            <w:pPr>
              <w:widowControl/>
              <w:spacing w:line="240" w:lineRule="exact"/>
              <w:rPr>
                <w:rFonts w:ascii="宋体" w:hAnsi="宋体" w:cs="宋体"/>
                <w:kern w:val="0"/>
                <w:sz w:val="18"/>
                <w:szCs w:val="18"/>
              </w:rPr>
            </w:pPr>
          </w:p>
          <w:p w:rsidR="00A207F8" w:rsidRDefault="00FA70B0">
            <w:pPr>
              <w:widowControl/>
              <w:spacing w:line="240" w:lineRule="exact"/>
              <w:rPr>
                <w:rFonts w:ascii="宋体" w:hAnsi="宋体" w:cs="宋体"/>
                <w:kern w:val="0"/>
                <w:sz w:val="18"/>
                <w:szCs w:val="18"/>
              </w:rPr>
            </w:pPr>
            <w:r>
              <w:rPr>
                <w:rFonts w:ascii="宋体" w:hAnsi="宋体" w:cs="宋体" w:hint="eastAsia"/>
                <w:kern w:val="0"/>
                <w:sz w:val="18"/>
                <w:szCs w:val="18"/>
              </w:rPr>
              <w:t>工程综合竣工验收、环保竣工验收完成技术服务采购，污水运营完成年度运营管理。</w:t>
            </w:r>
          </w:p>
        </w:tc>
      </w:tr>
      <w:tr w:rsidR="00A207F8">
        <w:trPr>
          <w:trHeight w:val="527"/>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80"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112"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A207F8">
        <w:trPr>
          <w:trHeight w:val="9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产出指标(50分)</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sz w:val="18"/>
                <w:szCs w:val="18"/>
              </w:rPr>
              <w:t>项目综合治理工程竣工综合验收</w:t>
            </w:r>
          </w:p>
        </w:tc>
        <w:tc>
          <w:tcPr>
            <w:tcW w:w="850"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88"/>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sz w:val="18"/>
                <w:szCs w:val="18"/>
              </w:rPr>
              <w:t>项目环保竣工验收</w:t>
            </w:r>
          </w:p>
        </w:tc>
        <w:tc>
          <w:tcPr>
            <w:tcW w:w="850"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88"/>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sz w:val="18"/>
                <w:szCs w:val="18"/>
              </w:rPr>
              <w:t>污水处理厂运营管理</w:t>
            </w:r>
          </w:p>
        </w:tc>
        <w:tc>
          <w:tcPr>
            <w:tcW w:w="850" w:type="dxa"/>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88"/>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Style w:val="NormalCharacter"/>
                <w:rFonts w:ascii="宋体" w:hAnsi="宋体" w:cs="宋体" w:hint="eastAsia"/>
                <w:sz w:val="18"/>
                <w:szCs w:val="18"/>
              </w:rPr>
              <w:t>污水检测 设备运维</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474"/>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目标验收合格率</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污水排放达标</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污水排放达标</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工程建设合格率</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项目计划开工率</w:t>
            </w:r>
          </w:p>
        </w:tc>
        <w:tc>
          <w:tcPr>
            <w:tcW w:w="850"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nil"/>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项目计划完成率</w:t>
            </w:r>
          </w:p>
        </w:tc>
        <w:tc>
          <w:tcPr>
            <w:tcW w:w="850"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nil"/>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工程款支付进度</w:t>
            </w:r>
          </w:p>
        </w:tc>
        <w:tc>
          <w:tcPr>
            <w:tcW w:w="850" w:type="dxa"/>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851" w:type="dxa"/>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567"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nil"/>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val="restart"/>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项目工作经费</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single" w:sz="4" w:space="0" w:color="auto"/>
              <w:left w:val="nil"/>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vMerge/>
            <w:tcBorders>
              <w:top w:val="single" w:sz="4" w:space="0" w:color="auto"/>
              <w:left w:val="nil"/>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项目工程技术服务费</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single" w:sz="4" w:space="0" w:color="auto"/>
              <w:left w:val="single" w:sz="4" w:space="0" w:color="auto"/>
              <w:bottom w:val="nil"/>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val="restart"/>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效益指标(30分)</w:t>
            </w:r>
          </w:p>
        </w:tc>
        <w:tc>
          <w:tcPr>
            <w:tcW w:w="1112" w:type="dxa"/>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不产生直接经济效益，保证当地居民人身健康，生产生活用水安全</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nil"/>
              <w:left w:val="single" w:sz="4" w:space="0" w:color="auto"/>
              <w:bottom w:val="nil"/>
              <w:right w:val="single" w:sz="4" w:space="0" w:color="auto"/>
            </w:tcBorders>
            <w:vAlign w:val="center"/>
          </w:tcPr>
          <w:p w:rsidR="00A207F8" w:rsidRDefault="00A207F8">
            <w:pPr>
              <w:widowControl/>
              <w:jc w:val="left"/>
              <w:rPr>
                <w:rFonts w:ascii="宋体" w:hAnsi="宋体" w:cs="宋体"/>
                <w:kern w:val="0"/>
                <w:sz w:val="18"/>
                <w:szCs w:val="18"/>
              </w:rPr>
            </w:pPr>
          </w:p>
        </w:tc>
        <w:tc>
          <w:tcPr>
            <w:tcW w:w="980" w:type="dxa"/>
            <w:vMerge/>
            <w:tcBorders>
              <w:top w:val="nil"/>
              <w:left w:val="nil"/>
              <w:bottom w:val="single" w:sz="4" w:space="0" w:color="auto"/>
              <w:right w:val="single" w:sz="4" w:space="0" w:color="auto"/>
            </w:tcBorders>
            <w:vAlign w:val="center"/>
          </w:tcPr>
          <w:p w:rsidR="00A207F8" w:rsidRDefault="00A207F8">
            <w:pPr>
              <w:widowControl/>
              <w:jc w:val="left"/>
              <w:rPr>
                <w:rFonts w:ascii="宋体" w:hAnsi="宋体" w:cs="宋体"/>
                <w:kern w:val="0"/>
                <w:sz w:val="18"/>
                <w:szCs w:val="18"/>
              </w:rPr>
            </w:pPr>
          </w:p>
        </w:tc>
        <w:tc>
          <w:tcPr>
            <w:tcW w:w="1112"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保证居民安全与身体健康， 同时改善区域的生态环境，项目工程实施完成可安排当地部分人员就业</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rFonts w:ascii="宋体" w:hAnsi="宋体" w:cs="宋体"/>
                <w:kern w:val="0"/>
                <w:sz w:val="18"/>
                <w:szCs w:val="18"/>
              </w:rPr>
            </w:pPr>
          </w:p>
        </w:tc>
      </w:tr>
      <w:tr w:rsidR="00A207F8">
        <w:trPr>
          <w:trHeight w:val="300"/>
          <w:jc w:val="center"/>
        </w:trPr>
        <w:tc>
          <w:tcPr>
            <w:tcW w:w="588" w:type="dxa"/>
            <w:vMerge/>
            <w:tcBorders>
              <w:top w:val="nil"/>
              <w:left w:val="single" w:sz="4" w:space="0" w:color="auto"/>
              <w:bottom w:val="nil"/>
              <w:right w:val="single" w:sz="4" w:space="0" w:color="auto"/>
            </w:tcBorders>
            <w:vAlign w:val="center"/>
          </w:tcPr>
          <w:p w:rsidR="00A207F8" w:rsidRDefault="00A207F8">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A207F8" w:rsidRDefault="00A207F8">
            <w:pPr>
              <w:widowControl/>
              <w:jc w:val="left"/>
              <w:rPr>
                <w:kern w:val="0"/>
                <w:sz w:val="18"/>
                <w:szCs w:val="18"/>
              </w:rPr>
            </w:pPr>
          </w:p>
        </w:tc>
        <w:tc>
          <w:tcPr>
            <w:tcW w:w="1112"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kern w:val="0"/>
                <w:sz w:val="18"/>
                <w:szCs w:val="18"/>
              </w:rPr>
              <w:t>生态效益</w:t>
            </w:r>
          </w:p>
          <w:p w:rsidR="00A207F8" w:rsidRDefault="00FA70B0">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color w:val="000000"/>
                <w:kern w:val="0"/>
                <w:sz w:val="18"/>
                <w:szCs w:val="18"/>
              </w:rPr>
            </w:pPr>
            <w:r>
              <w:rPr>
                <w:rFonts w:hint="eastAsia"/>
                <w:color w:val="000000"/>
                <w:kern w:val="0"/>
                <w:sz w:val="18"/>
                <w:szCs w:val="18"/>
              </w:rPr>
              <w:t>逐步改善流域水质环境，逐步恢复流域生态系统服务功能，促进区域生态系统物种多祥性发展</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r>
      <w:tr w:rsidR="00A207F8">
        <w:trPr>
          <w:trHeight w:val="300"/>
          <w:jc w:val="center"/>
        </w:trPr>
        <w:tc>
          <w:tcPr>
            <w:tcW w:w="588" w:type="dxa"/>
            <w:vMerge/>
            <w:tcBorders>
              <w:top w:val="nil"/>
              <w:left w:val="single" w:sz="4" w:space="0" w:color="auto"/>
              <w:bottom w:val="nil"/>
              <w:right w:val="single" w:sz="4" w:space="0" w:color="auto"/>
            </w:tcBorders>
            <w:vAlign w:val="center"/>
          </w:tcPr>
          <w:p w:rsidR="00A207F8" w:rsidRDefault="00A207F8">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A207F8" w:rsidRDefault="00A207F8">
            <w:pPr>
              <w:widowControl/>
              <w:jc w:val="left"/>
              <w:rPr>
                <w:kern w:val="0"/>
                <w:sz w:val="18"/>
                <w:szCs w:val="18"/>
              </w:rPr>
            </w:pPr>
          </w:p>
        </w:tc>
        <w:tc>
          <w:tcPr>
            <w:tcW w:w="1112" w:type="dxa"/>
            <w:vMerge w:val="restart"/>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color w:val="000000"/>
                <w:kern w:val="0"/>
                <w:sz w:val="18"/>
                <w:szCs w:val="18"/>
              </w:rPr>
            </w:pPr>
            <w:r>
              <w:rPr>
                <w:rFonts w:hint="eastAsia"/>
                <w:color w:val="000000"/>
                <w:kern w:val="0"/>
                <w:sz w:val="18"/>
                <w:szCs w:val="18"/>
              </w:rPr>
              <w:t>污水处理站增加地方政府运行成本约</w:t>
            </w:r>
            <w:r>
              <w:rPr>
                <w:rFonts w:hint="eastAsia"/>
                <w:color w:val="000000"/>
                <w:kern w:val="0"/>
                <w:sz w:val="18"/>
                <w:szCs w:val="18"/>
              </w:rPr>
              <w:t>220</w:t>
            </w:r>
            <w:r>
              <w:rPr>
                <w:rFonts w:hint="eastAsia"/>
                <w:color w:val="000000"/>
                <w:kern w:val="0"/>
                <w:sz w:val="18"/>
                <w:szCs w:val="18"/>
              </w:rPr>
              <w:t>万元</w:t>
            </w:r>
            <w:r>
              <w:rPr>
                <w:rFonts w:hint="eastAsia"/>
                <w:color w:val="000000"/>
                <w:kern w:val="0"/>
                <w:sz w:val="18"/>
                <w:szCs w:val="18"/>
              </w:rPr>
              <w:t>/</w:t>
            </w:r>
            <w:r>
              <w:rPr>
                <w:rFonts w:hint="eastAsia"/>
                <w:color w:val="000000"/>
                <w:kern w:val="0"/>
                <w:sz w:val="18"/>
                <w:szCs w:val="18"/>
              </w:rPr>
              <w:t>年</w:t>
            </w:r>
          </w:p>
        </w:tc>
        <w:tc>
          <w:tcPr>
            <w:tcW w:w="850"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r>
      <w:tr w:rsidR="00A207F8">
        <w:trPr>
          <w:trHeight w:val="300"/>
          <w:jc w:val="center"/>
        </w:trPr>
        <w:tc>
          <w:tcPr>
            <w:tcW w:w="588" w:type="dxa"/>
            <w:vMerge/>
            <w:tcBorders>
              <w:top w:val="nil"/>
              <w:left w:val="single" w:sz="4" w:space="0" w:color="auto"/>
              <w:bottom w:val="nil"/>
              <w:right w:val="single" w:sz="4" w:space="0" w:color="auto"/>
            </w:tcBorders>
            <w:vAlign w:val="center"/>
          </w:tcPr>
          <w:p w:rsidR="00A207F8" w:rsidRDefault="00A207F8">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A207F8" w:rsidRDefault="00A207F8">
            <w:pPr>
              <w:widowControl/>
              <w:jc w:val="left"/>
              <w:rPr>
                <w:kern w:val="0"/>
                <w:sz w:val="18"/>
                <w:szCs w:val="18"/>
              </w:rPr>
            </w:pPr>
          </w:p>
        </w:tc>
        <w:tc>
          <w:tcPr>
            <w:tcW w:w="1112" w:type="dxa"/>
            <w:vMerge/>
            <w:tcBorders>
              <w:top w:val="nil"/>
              <w:left w:val="nil"/>
              <w:bottom w:val="single" w:sz="4" w:space="0" w:color="auto"/>
              <w:right w:val="single" w:sz="4" w:space="0" w:color="auto"/>
            </w:tcBorders>
            <w:vAlign w:val="center"/>
          </w:tcPr>
          <w:p w:rsidR="00A207F8" w:rsidRDefault="00A207F8">
            <w:pPr>
              <w:widowControl/>
              <w:jc w:val="left"/>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r>
      <w:tr w:rsidR="00A207F8">
        <w:trPr>
          <w:trHeight w:val="300"/>
          <w:jc w:val="center"/>
        </w:trPr>
        <w:tc>
          <w:tcPr>
            <w:tcW w:w="588" w:type="dxa"/>
            <w:vMerge/>
            <w:tcBorders>
              <w:top w:val="nil"/>
              <w:left w:val="single" w:sz="4" w:space="0" w:color="auto"/>
              <w:bottom w:val="nil"/>
              <w:right w:val="single" w:sz="4" w:space="0" w:color="auto"/>
            </w:tcBorders>
            <w:vAlign w:val="center"/>
          </w:tcPr>
          <w:p w:rsidR="00A207F8" w:rsidRDefault="00A207F8">
            <w:pPr>
              <w:widowControl/>
              <w:jc w:val="left"/>
              <w:rPr>
                <w:kern w:val="0"/>
                <w:sz w:val="18"/>
                <w:szCs w:val="18"/>
              </w:rPr>
            </w:pPr>
          </w:p>
        </w:tc>
        <w:tc>
          <w:tcPr>
            <w:tcW w:w="980" w:type="dxa"/>
            <w:vMerge w:val="restart"/>
            <w:tcBorders>
              <w:top w:val="nil"/>
              <w:left w:val="nil"/>
              <w:bottom w:val="nil"/>
              <w:right w:val="single" w:sz="4" w:space="0" w:color="auto"/>
            </w:tcBorders>
            <w:vAlign w:val="center"/>
          </w:tcPr>
          <w:p w:rsidR="00A207F8" w:rsidRDefault="00FA70B0">
            <w:pPr>
              <w:widowControl/>
              <w:spacing w:line="240" w:lineRule="exact"/>
              <w:jc w:val="center"/>
              <w:rPr>
                <w:kern w:val="0"/>
                <w:sz w:val="18"/>
                <w:szCs w:val="18"/>
              </w:rPr>
            </w:pPr>
            <w:r>
              <w:rPr>
                <w:kern w:val="0"/>
                <w:sz w:val="18"/>
                <w:szCs w:val="18"/>
              </w:rPr>
              <w:t>满意度</w:t>
            </w:r>
          </w:p>
          <w:p w:rsidR="00A207F8" w:rsidRDefault="00FA70B0">
            <w:pPr>
              <w:widowControl/>
              <w:spacing w:line="240" w:lineRule="exact"/>
              <w:jc w:val="center"/>
              <w:rPr>
                <w:kern w:val="0"/>
                <w:sz w:val="18"/>
                <w:szCs w:val="18"/>
              </w:rPr>
            </w:pPr>
            <w:r>
              <w:rPr>
                <w:kern w:val="0"/>
                <w:sz w:val="18"/>
                <w:szCs w:val="18"/>
              </w:rPr>
              <w:t>指标</w:t>
            </w:r>
            <w:r>
              <w:rPr>
                <w:kern w:val="0"/>
                <w:sz w:val="20"/>
                <w:szCs w:val="20"/>
              </w:rPr>
              <w:t>(10</w:t>
            </w:r>
            <w:r>
              <w:rPr>
                <w:rFonts w:ascii="宋体" w:hAnsi="宋体"/>
                <w:kern w:val="0"/>
                <w:sz w:val="20"/>
                <w:szCs w:val="20"/>
              </w:rPr>
              <w:lastRenderedPageBreak/>
              <w:t>分</w:t>
            </w:r>
            <w:r>
              <w:rPr>
                <w:kern w:val="0"/>
                <w:sz w:val="20"/>
                <w:szCs w:val="20"/>
              </w:rPr>
              <w:t>)</w:t>
            </w:r>
          </w:p>
        </w:tc>
        <w:tc>
          <w:tcPr>
            <w:tcW w:w="1112" w:type="dxa"/>
            <w:vMerge w:val="restart"/>
            <w:tcBorders>
              <w:top w:val="nil"/>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kern w:val="0"/>
                <w:sz w:val="18"/>
                <w:szCs w:val="18"/>
              </w:rPr>
              <w:lastRenderedPageBreak/>
              <w:t>服务对象满意度指</w:t>
            </w:r>
            <w:r>
              <w:rPr>
                <w:kern w:val="0"/>
                <w:sz w:val="18"/>
                <w:szCs w:val="18"/>
              </w:rPr>
              <w:lastRenderedPageBreak/>
              <w:t>标</w:t>
            </w: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color w:val="000000"/>
                <w:kern w:val="0"/>
                <w:sz w:val="18"/>
                <w:szCs w:val="18"/>
              </w:rPr>
            </w:pPr>
            <w:r>
              <w:rPr>
                <w:rFonts w:hint="eastAsia"/>
                <w:color w:val="000000"/>
                <w:kern w:val="0"/>
                <w:sz w:val="18"/>
                <w:szCs w:val="18"/>
              </w:rPr>
              <w:lastRenderedPageBreak/>
              <w:t>削除当地居民对生态环境污染的影响，群众满意</w:t>
            </w:r>
            <w:r>
              <w:rPr>
                <w:rFonts w:hint="eastAsia"/>
                <w:color w:val="000000"/>
                <w:kern w:val="0"/>
                <w:sz w:val="18"/>
                <w:szCs w:val="18"/>
              </w:rPr>
              <w:lastRenderedPageBreak/>
              <w:t>度</w:t>
            </w:r>
          </w:p>
        </w:tc>
        <w:tc>
          <w:tcPr>
            <w:tcW w:w="850" w:type="dxa"/>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lastRenderedPageBreak/>
              <w:t>100</w:t>
            </w:r>
          </w:p>
        </w:tc>
        <w:tc>
          <w:tcPr>
            <w:tcW w:w="851" w:type="dxa"/>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r>
      <w:tr w:rsidR="00A207F8">
        <w:trPr>
          <w:trHeight w:val="300"/>
          <w:jc w:val="center"/>
        </w:trPr>
        <w:tc>
          <w:tcPr>
            <w:tcW w:w="588" w:type="dxa"/>
            <w:vMerge/>
            <w:tcBorders>
              <w:top w:val="nil"/>
              <w:left w:val="single" w:sz="4" w:space="0" w:color="auto"/>
              <w:bottom w:val="nil"/>
              <w:right w:val="single" w:sz="4" w:space="0" w:color="auto"/>
            </w:tcBorders>
            <w:vAlign w:val="center"/>
          </w:tcPr>
          <w:p w:rsidR="00A207F8" w:rsidRDefault="00A207F8">
            <w:pPr>
              <w:widowControl/>
              <w:jc w:val="left"/>
              <w:rPr>
                <w:kern w:val="0"/>
                <w:sz w:val="18"/>
                <w:szCs w:val="18"/>
              </w:rPr>
            </w:pPr>
          </w:p>
        </w:tc>
        <w:tc>
          <w:tcPr>
            <w:tcW w:w="980" w:type="dxa"/>
            <w:vMerge/>
            <w:tcBorders>
              <w:top w:val="nil"/>
              <w:left w:val="nil"/>
              <w:bottom w:val="nil"/>
              <w:right w:val="single" w:sz="4" w:space="0" w:color="auto"/>
            </w:tcBorders>
            <w:vAlign w:val="center"/>
          </w:tcPr>
          <w:p w:rsidR="00A207F8" w:rsidRDefault="00A207F8">
            <w:pPr>
              <w:widowControl/>
              <w:jc w:val="left"/>
              <w:rPr>
                <w:kern w:val="0"/>
                <w:sz w:val="18"/>
                <w:szCs w:val="18"/>
              </w:rPr>
            </w:pPr>
          </w:p>
        </w:tc>
        <w:tc>
          <w:tcPr>
            <w:tcW w:w="1112" w:type="dxa"/>
            <w:vMerge/>
            <w:tcBorders>
              <w:top w:val="nil"/>
              <w:left w:val="nil"/>
              <w:bottom w:val="single" w:sz="4" w:space="0" w:color="auto"/>
              <w:right w:val="single" w:sz="4" w:space="0" w:color="auto"/>
            </w:tcBorders>
            <w:vAlign w:val="center"/>
          </w:tcPr>
          <w:p w:rsidR="00A207F8" w:rsidRDefault="00A207F8">
            <w:pPr>
              <w:widowControl/>
              <w:jc w:val="left"/>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07F8" w:rsidRDefault="00FA70B0">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r>
      <w:tr w:rsidR="00A207F8">
        <w:trPr>
          <w:trHeigh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A207F8" w:rsidRDefault="00FA70B0">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A207F8" w:rsidRDefault="00FA70B0">
            <w:pPr>
              <w:widowControl/>
              <w:spacing w:line="240" w:lineRule="exact"/>
              <w:jc w:val="center"/>
              <w:rPr>
                <w:color w:val="000000"/>
                <w:kern w:val="0"/>
                <w:sz w:val="18"/>
                <w:szCs w:val="18"/>
              </w:rPr>
            </w:pPr>
            <w:r>
              <w:rPr>
                <w:rFonts w:hint="eastAsia"/>
                <w:color w:val="000000"/>
                <w:kern w:val="0"/>
                <w:sz w:val="18"/>
                <w:szCs w:val="18"/>
              </w:rPr>
              <w:t>94</w:t>
            </w:r>
          </w:p>
        </w:tc>
        <w:tc>
          <w:tcPr>
            <w:tcW w:w="1417" w:type="dxa"/>
            <w:gridSpan w:val="2"/>
            <w:tcBorders>
              <w:top w:val="single" w:sz="4" w:space="0" w:color="auto"/>
              <w:left w:val="nil"/>
              <w:bottom w:val="single" w:sz="4" w:space="0" w:color="auto"/>
              <w:right w:val="single" w:sz="4" w:space="0" w:color="auto"/>
            </w:tcBorders>
            <w:vAlign w:val="center"/>
          </w:tcPr>
          <w:p w:rsidR="00A207F8" w:rsidRDefault="00A207F8">
            <w:pPr>
              <w:widowControl/>
              <w:spacing w:line="240" w:lineRule="exact"/>
              <w:jc w:val="center"/>
              <w:rPr>
                <w:kern w:val="0"/>
                <w:sz w:val="18"/>
                <w:szCs w:val="18"/>
              </w:rPr>
            </w:pPr>
          </w:p>
        </w:tc>
      </w:tr>
    </w:tbl>
    <w:p w:rsidR="00A207F8" w:rsidRDefault="00FA70B0">
      <w:pPr>
        <w:widowControl/>
        <w:spacing w:line="400" w:lineRule="exact"/>
        <w:jc w:val="left"/>
        <w:rPr>
          <w:color w:val="000000"/>
          <w:kern w:val="0"/>
          <w:sz w:val="18"/>
          <w:szCs w:val="18"/>
        </w:rPr>
      </w:pPr>
      <w:r>
        <w:rPr>
          <w:color w:val="000000"/>
          <w:kern w:val="0"/>
          <w:sz w:val="18"/>
          <w:szCs w:val="18"/>
        </w:rPr>
        <w:br w:type="page"/>
      </w:r>
      <w:r>
        <w:rPr>
          <w:noProof/>
        </w:rPr>
        <w:lastRenderedPageBreak/>
        <w:drawing>
          <wp:inline distT="0" distB="0" distL="0" distR="0">
            <wp:extent cx="6410325" cy="133350"/>
            <wp:effectExtent l="19050" t="0" r="9525" b="0"/>
            <wp:docPr id="1" name="图片 1" descr="C:\Users\ADMINI~1\AppData\Local\Temp\ksohtml879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8796\wps1.png"/>
                    <pic:cNvPicPr>
                      <a:picLocks noChangeAspect="1" noChangeArrowheads="1"/>
                    </pic:cNvPicPr>
                  </pic:nvPicPr>
                  <pic:blipFill>
                    <a:blip r:embed="rId8"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W w:w="9540" w:type="dxa"/>
        <w:tblInd w:w="97" w:type="dxa"/>
        <w:tblLayout w:type="fixed"/>
        <w:tblLook w:val="04A0"/>
      </w:tblPr>
      <w:tblGrid>
        <w:gridCol w:w="9540"/>
      </w:tblGrid>
      <w:tr w:rsidR="00A207F8">
        <w:trPr>
          <w:trHeight w:val="465"/>
        </w:trPr>
        <w:tc>
          <w:tcPr>
            <w:tcW w:w="9540" w:type="dxa"/>
            <w:tcBorders>
              <w:top w:val="single" w:sz="4" w:space="0" w:color="auto"/>
              <w:left w:val="nil"/>
              <w:bottom w:val="nil"/>
              <w:right w:val="nil"/>
            </w:tcBorders>
            <w:vAlign w:val="center"/>
          </w:tcPr>
          <w:p w:rsidR="00A207F8" w:rsidRDefault="00FA70B0">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rFonts w:ascii="宋体" w:hAnsi="宋体"/>
                <w:color w:val="000000"/>
                <w:kern w:val="0"/>
                <w:sz w:val="18"/>
                <w:szCs w:val="18"/>
              </w:rPr>
              <w:t>一级指标分值统一设置为：产出指标</w:t>
            </w:r>
            <w:r>
              <w:rPr>
                <w:color w:val="000000"/>
                <w:kern w:val="0"/>
                <w:sz w:val="18"/>
                <w:szCs w:val="18"/>
              </w:rPr>
              <w:t>50</w:t>
            </w:r>
            <w:r>
              <w:rPr>
                <w:rFonts w:ascii="宋体" w:hAnsi="宋体"/>
                <w:color w:val="000000"/>
                <w:kern w:val="0"/>
                <w:sz w:val="18"/>
                <w:szCs w:val="18"/>
              </w:rPr>
              <w:t>分、效益指标</w:t>
            </w:r>
            <w:r>
              <w:rPr>
                <w:color w:val="000000"/>
                <w:kern w:val="0"/>
                <w:sz w:val="18"/>
                <w:szCs w:val="18"/>
              </w:rPr>
              <w:t>30</w:t>
            </w:r>
            <w:r>
              <w:rPr>
                <w:rFonts w:ascii="宋体" w:hAnsi="宋体"/>
                <w:color w:val="000000"/>
                <w:kern w:val="0"/>
                <w:sz w:val="18"/>
                <w:szCs w:val="18"/>
              </w:rPr>
              <w:t>分、服务对象满意度指标</w:t>
            </w:r>
            <w:r>
              <w:rPr>
                <w:color w:val="000000"/>
                <w:kern w:val="0"/>
                <w:sz w:val="18"/>
                <w:szCs w:val="18"/>
              </w:rPr>
              <w:t>10</w:t>
            </w:r>
            <w:r>
              <w:rPr>
                <w:rFonts w:ascii="宋体" w:hAnsi="宋体"/>
                <w:color w:val="000000"/>
                <w:kern w:val="0"/>
                <w:sz w:val="18"/>
                <w:szCs w:val="18"/>
              </w:rPr>
              <w:t>分、预算资金执行率</w:t>
            </w:r>
            <w:r>
              <w:rPr>
                <w:color w:val="000000"/>
                <w:kern w:val="0"/>
                <w:sz w:val="18"/>
                <w:szCs w:val="18"/>
              </w:rPr>
              <w:t>10</w:t>
            </w:r>
            <w:r>
              <w:rPr>
                <w:rFonts w:ascii="宋体" w:hAnsi="宋体"/>
                <w:color w:val="000000"/>
                <w:kern w:val="0"/>
                <w:sz w:val="18"/>
                <w:szCs w:val="18"/>
              </w:rPr>
              <w:t>分。如有特殊情况，上述权重可做适当调整，但加总后应等于</w:t>
            </w:r>
            <w:r>
              <w:rPr>
                <w:color w:val="000000"/>
                <w:kern w:val="0"/>
                <w:sz w:val="18"/>
                <w:szCs w:val="18"/>
              </w:rPr>
              <w:t>100</w:t>
            </w:r>
            <w:r>
              <w:rPr>
                <w:rFonts w:ascii="宋体" w:hAnsi="宋体"/>
                <w:color w:val="000000"/>
                <w:kern w:val="0"/>
                <w:sz w:val="18"/>
                <w:szCs w:val="18"/>
              </w:rPr>
              <w:t>分。各部门根据各项指标重要程度确定三级指标的分值。得分一档最高不能超过该指标分值上限。</w:t>
            </w:r>
          </w:p>
        </w:tc>
      </w:tr>
      <w:tr w:rsidR="00A207F8">
        <w:trPr>
          <w:trHeight w:val="465"/>
        </w:trPr>
        <w:tc>
          <w:tcPr>
            <w:tcW w:w="9540" w:type="dxa"/>
            <w:tcBorders>
              <w:top w:val="nil"/>
              <w:left w:val="nil"/>
              <w:bottom w:val="nil"/>
              <w:right w:val="nil"/>
            </w:tcBorders>
            <w:vAlign w:val="center"/>
          </w:tcPr>
          <w:p w:rsidR="00A207F8" w:rsidRDefault="00FA70B0">
            <w:pPr>
              <w:widowControl/>
              <w:spacing w:line="400" w:lineRule="exact"/>
              <w:jc w:val="left"/>
              <w:rPr>
                <w:color w:val="000000"/>
                <w:kern w:val="0"/>
                <w:sz w:val="18"/>
                <w:szCs w:val="18"/>
              </w:rPr>
            </w:pPr>
            <w:r>
              <w:rPr>
                <w:color w:val="000000"/>
                <w:kern w:val="0"/>
                <w:sz w:val="18"/>
                <w:szCs w:val="18"/>
              </w:rPr>
              <w:t xml:space="preserve">    2.</w:t>
            </w:r>
            <w:r>
              <w:rPr>
                <w:rFonts w:ascii="宋体" w:hAnsi="宋体"/>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ascii="宋体" w:hAnsi="宋体"/>
                <w:color w:val="000000"/>
                <w:kern w:val="0"/>
                <w:sz w:val="18"/>
                <w:szCs w:val="18"/>
              </w:rPr>
              <w:t>含</w:t>
            </w:r>
            <w:r>
              <w:rPr>
                <w:color w:val="000000"/>
                <w:kern w:val="0"/>
                <w:sz w:val="18"/>
                <w:szCs w:val="18"/>
              </w:rPr>
              <w:t>80%)</w:t>
            </w:r>
            <w:r>
              <w:rPr>
                <w:rFonts w:ascii="宋体" w:hAnsi="宋体"/>
                <w:color w:val="000000"/>
                <w:kern w:val="0"/>
                <w:sz w:val="18"/>
                <w:szCs w:val="18"/>
              </w:rPr>
              <w:t>、</w:t>
            </w:r>
            <w:r>
              <w:rPr>
                <w:color w:val="000000"/>
                <w:kern w:val="0"/>
                <w:sz w:val="18"/>
                <w:szCs w:val="18"/>
              </w:rPr>
              <w:t>80-50%(</w:t>
            </w:r>
            <w:r>
              <w:rPr>
                <w:rFonts w:ascii="宋体" w:hAnsi="宋体"/>
                <w:color w:val="000000"/>
                <w:kern w:val="0"/>
                <w:sz w:val="18"/>
                <w:szCs w:val="18"/>
              </w:rPr>
              <w:t>含</w:t>
            </w:r>
            <w:r>
              <w:rPr>
                <w:color w:val="000000"/>
                <w:kern w:val="0"/>
                <w:sz w:val="18"/>
                <w:szCs w:val="18"/>
              </w:rPr>
              <w:t>50%)</w:t>
            </w:r>
            <w:r>
              <w:rPr>
                <w:rFonts w:ascii="宋体" w:hAnsi="宋体"/>
                <w:color w:val="000000"/>
                <w:kern w:val="0"/>
                <w:sz w:val="18"/>
                <w:szCs w:val="18"/>
              </w:rPr>
              <w:t>、</w:t>
            </w:r>
            <w:r>
              <w:rPr>
                <w:color w:val="000000"/>
                <w:kern w:val="0"/>
                <w:sz w:val="18"/>
                <w:szCs w:val="18"/>
              </w:rPr>
              <w:t>50-0%</w:t>
            </w:r>
            <w:r>
              <w:rPr>
                <w:rFonts w:ascii="宋体" w:hAnsi="宋体"/>
                <w:color w:val="000000"/>
                <w:kern w:val="0"/>
                <w:sz w:val="18"/>
                <w:szCs w:val="18"/>
              </w:rPr>
              <w:t>合理确定分值。</w:t>
            </w:r>
          </w:p>
        </w:tc>
      </w:tr>
      <w:tr w:rsidR="00A207F8">
        <w:trPr>
          <w:trHeight w:val="465"/>
        </w:trPr>
        <w:tc>
          <w:tcPr>
            <w:tcW w:w="9540" w:type="dxa"/>
            <w:tcBorders>
              <w:top w:val="nil"/>
              <w:left w:val="nil"/>
              <w:bottom w:val="nil"/>
              <w:right w:val="nil"/>
            </w:tcBorders>
            <w:vAlign w:val="center"/>
          </w:tcPr>
          <w:p w:rsidR="00A207F8" w:rsidRDefault="00FA70B0">
            <w:pPr>
              <w:widowControl/>
              <w:spacing w:line="400" w:lineRule="exact"/>
              <w:jc w:val="left"/>
              <w:rPr>
                <w:color w:val="000000"/>
                <w:kern w:val="0"/>
                <w:sz w:val="18"/>
                <w:szCs w:val="18"/>
              </w:rPr>
            </w:pPr>
            <w:r>
              <w:rPr>
                <w:color w:val="000000"/>
                <w:kern w:val="0"/>
                <w:sz w:val="18"/>
                <w:szCs w:val="18"/>
              </w:rPr>
              <w:t xml:space="preserve">    3.</w:t>
            </w:r>
            <w:r>
              <w:rPr>
                <w:rFonts w:ascii="宋体" w:hAnsi="宋体"/>
                <w:color w:val="000000"/>
                <w:kern w:val="0"/>
                <w:sz w:val="18"/>
                <w:szCs w:val="18"/>
              </w:rPr>
              <w:t>定量指标若为正向指标（即指标值为</w:t>
            </w:r>
            <w:r>
              <w:rPr>
                <w:color w:val="000000"/>
                <w:kern w:val="0"/>
                <w:sz w:val="18"/>
                <w:szCs w:val="18"/>
              </w:rPr>
              <w:t>≥*</w:t>
            </w:r>
            <w:r>
              <w:rPr>
                <w:rFonts w:ascii="宋体" w:hAnsi="宋体"/>
                <w:color w:val="000000"/>
                <w:kern w:val="0"/>
                <w:sz w:val="18"/>
                <w:szCs w:val="18"/>
              </w:rPr>
              <w:t>），则得分计算方法应用全年实际值（</w:t>
            </w:r>
            <w:r>
              <w:rPr>
                <w:color w:val="000000"/>
                <w:kern w:val="0"/>
                <w:sz w:val="18"/>
                <w:szCs w:val="18"/>
              </w:rPr>
              <w:t>B</w:t>
            </w:r>
            <w:r>
              <w:rPr>
                <w:rFonts w:ascii="宋体" w:hAnsi="宋体"/>
                <w:color w:val="000000"/>
                <w:kern w:val="0"/>
                <w:sz w:val="18"/>
                <w:szCs w:val="18"/>
              </w:rPr>
              <w:t>）</w:t>
            </w:r>
            <w:r>
              <w:rPr>
                <w:color w:val="000000"/>
                <w:kern w:val="0"/>
                <w:sz w:val="18"/>
                <w:szCs w:val="18"/>
              </w:rPr>
              <w:t>/</w:t>
            </w:r>
            <w:r>
              <w:rPr>
                <w:rFonts w:ascii="宋体" w:hAnsi="宋体"/>
                <w:color w:val="000000"/>
                <w:kern w:val="0"/>
                <w:sz w:val="18"/>
                <w:szCs w:val="18"/>
              </w:rPr>
              <w:t>年度指标值（</w:t>
            </w:r>
            <w:r>
              <w:rPr>
                <w:color w:val="000000"/>
                <w:kern w:val="0"/>
                <w:sz w:val="18"/>
                <w:szCs w:val="18"/>
              </w:rPr>
              <w:t>A</w:t>
            </w:r>
            <w:r>
              <w:rPr>
                <w:rFonts w:ascii="宋体" w:hAnsi="宋体"/>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rFonts w:ascii="宋体" w:hAnsi="宋体"/>
                <w:color w:val="000000"/>
                <w:kern w:val="0"/>
                <w:sz w:val="18"/>
                <w:szCs w:val="18"/>
              </w:rPr>
              <w:t>），则得分计算方法应用年度指标值（</w:t>
            </w:r>
            <w:r>
              <w:rPr>
                <w:color w:val="000000"/>
                <w:kern w:val="0"/>
                <w:sz w:val="18"/>
                <w:szCs w:val="18"/>
              </w:rPr>
              <w:t>A</w:t>
            </w:r>
            <w:r>
              <w:rPr>
                <w:rFonts w:ascii="宋体" w:hAnsi="宋体"/>
                <w:color w:val="000000"/>
                <w:kern w:val="0"/>
                <w:sz w:val="18"/>
                <w:szCs w:val="18"/>
              </w:rPr>
              <w:t>）</w:t>
            </w:r>
            <w:r>
              <w:rPr>
                <w:color w:val="000000"/>
                <w:kern w:val="0"/>
                <w:sz w:val="18"/>
                <w:szCs w:val="18"/>
              </w:rPr>
              <w:t>/</w:t>
            </w:r>
            <w:r>
              <w:rPr>
                <w:rFonts w:ascii="宋体" w:hAnsi="宋体"/>
                <w:color w:val="000000"/>
                <w:kern w:val="0"/>
                <w:sz w:val="18"/>
                <w:szCs w:val="18"/>
              </w:rPr>
              <w:t>全年实际值（</w:t>
            </w:r>
            <w:r>
              <w:rPr>
                <w:color w:val="000000"/>
                <w:kern w:val="0"/>
                <w:sz w:val="18"/>
                <w:szCs w:val="18"/>
              </w:rPr>
              <w:t>B</w:t>
            </w:r>
            <w:r>
              <w:rPr>
                <w:rFonts w:ascii="宋体" w:hAnsi="宋体"/>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w:t>
            </w:r>
          </w:p>
        </w:tc>
      </w:tr>
      <w:tr w:rsidR="00A207F8">
        <w:trPr>
          <w:trHeight w:val="210"/>
        </w:trPr>
        <w:tc>
          <w:tcPr>
            <w:tcW w:w="9540" w:type="dxa"/>
            <w:tcBorders>
              <w:top w:val="nil"/>
              <w:left w:val="nil"/>
              <w:bottom w:val="nil"/>
              <w:right w:val="nil"/>
            </w:tcBorders>
            <w:noWrap/>
            <w:vAlign w:val="center"/>
          </w:tcPr>
          <w:p w:rsidR="00A207F8" w:rsidRDefault="00FA70B0">
            <w:pPr>
              <w:widowControl/>
              <w:spacing w:line="400" w:lineRule="exact"/>
              <w:jc w:val="left"/>
              <w:rPr>
                <w:color w:val="000000"/>
                <w:kern w:val="0"/>
                <w:sz w:val="18"/>
                <w:szCs w:val="18"/>
              </w:rPr>
            </w:pPr>
            <w:r>
              <w:rPr>
                <w:color w:val="000000"/>
                <w:kern w:val="0"/>
                <w:sz w:val="18"/>
                <w:szCs w:val="18"/>
              </w:rPr>
              <w:t xml:space="preserve">    4.</w:t>
            </w:r>
            <w:r>
              <w:rPr>
                <w:rFonts w:ascii="宋体" w:hAnsi="宋体"/>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rFonts w:ascii="宋体" w:hAnsi="宋体"/>
                <w:color w:val="000000"/>
                <w:kern w:val="0"/>
                <w:sz w:val="18"/>
                <w:szCs w:val="18"/>
              </w:rPr>
              <w:t>中说明偏离目标、不能完成目标的原因及拟采取的措施。</w:t>
            </w:r>
          </w:p>
        </w:tc>
      </w:tr>
    </w:tbl>
    <w:p w:rsidR="00A207F8" w:rsidRDefault="00FA70B0">
      <w:pPr>
        <w:widowControl/>
        <w:spacing w:line="400" w:lineRule="exact"/>
        <w:jc w:val="left"/>
        <w:rPr>
          <w:color w:val="000000"/>
          <w:kern w:val="0"/>
          <w:sz w:val="18"/>
          <w:szCs w:val="18"/>
        </w:rPr>
      </w:pPr>
      <w:r>
        <w:rPr>
          <w:color w:val="000000"/>
          <w:kern w:val="0"/>
          <w:sz w:val="18"/>
          <w:szCs w:val="18"/>
        </w:rPr>
        <w:t xml:space="preserve"> </w:t>
      </w:r>
    </w:p>
    <w:p w:rsidR="00A207F8" w:rsidRDefault="00FA70B0">
      <w:r>
        <w:t xml:space="preserve"> </w:t>
      </w:r>
    </w:p>
    <w:p w:rsidR="00A207F8" w:rsidRDefault="00A207F8">
      <w:pPr>
        <w:widowControl/>
        <w:jc w:val="left"/>
        <w:rPr>
          <w:rFonts w:eastAsia="仿宋_GB2312"/>
          <w:bCs/>
          <w:color w:val="000000"/>
          <w:sz w:val="32"/>
          <w:szCs w:val="32"/>
        </w:rPr>
        <w:sectPr w:rsidR="00A207F8">
          <w:footerReference w:type="default" r:id="rId9"/>
          <w:pgSz w:w="11906" w:h="16838"/>
          <w:pgMar w:top="747" w:right="1587" w:bottom="1587" w:left="1587" w:header="737" w:footer="850" w:gutter="0"/>
          <w:cols w:space="720"/>
          <w:docGrid w:type="lines" w:linePitch="408"/>
        </w:sectPr>
      </w:pPr>
    </w:p>
    <w:p w:rsidR="00A207F8" w:rsidRDefault="00FA70B0">
      <w:pPr>
        <w:spacing w:line="560" w:lineRule="exact"/>
        <w:rPr>
          <w:rFonts w:eastAsia="仿宋_GB2312"/>
          <w:bCs/>
          <w:color w:val="000000"/>
          <w:sz w:val="32"/>
          <w:szCs w:val="32"/>
        </w:rPr>
      </w:pPr>
      <w:r>
        <w:rPr>
          <w:rFonts w:ascii="仿宋_GB2312" w:eastAsia="仿宋_GB2312" w:hAnsi="仿宋_GB2312"/>
          <w:bCs/>
          <w:color w:val="000000"/>
          <w:sz w:val="32"/>
          <w:szCs w:val="32"/>
        </w:rPr>
        <w:lastRenderedPageBreak/>
        <w:t>附件</w:t>
      </w:r>
      <w:r>
        <w:rPr>
          <w:bCs/>
          <w:color w:val="000000"/>
          <w:sz w:val="32"/>
          <w:szCs w:val="32"/>
        </w:rPr>
        <w:t>2</w:t>
      </w:r>
    </w:p>
    <w:p w:rsidR="00A207F8" w:rsidRDefault="00FA70B0">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A207F8">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A207F8" w:rsidRDefault="00FA70B0">
            <w:pPr>
              <w:widowControl/>
              <w:spacing w:line="0" w:lineRule="atLeast"/>
              <w:jc w:val="center"/>
              <w:rPr>
                <w:b/>
                <w:bCs/>
                <w:color w:val="000000"/>
                <w:kern w:val="0"/>
                <w:sz w:val="22"/>
                <w:szCs w:val="22"/>
              </w:rPr>
            </w:pPr>
            <w:r>
              <w:rPr>
                <w:rFonts w:hint="eastAsia"/>
                <w:b/>
                <w:bCs/>
                <w:color w:val="000000"/>
                <w:kern w:val="0"/>
                <w:sz w:val="22"/>
                <w:szCs w:val="22"/>
              </w:rPr>
              <w:t>分</w:t>
            </w:r>
          </w:p>
          <w:p w:rsidR="00A207F8" w:rsidRDefault="00FA70B0">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b/>
                <w:bCs/>
                <w:color w:val="000000"/>
                <w:kern w:val="0"/>
                <w:sz w:val="22"/>
                <w:szCs w:val="22"/>
              </w:rPr>
            </w:pPr>
            <w:r>
              <w:rPr>
                <w:rFonts w:hint="eastAsia"/>
                <w:b/>
                <w:bCs/>
                <w:color w:val="000000"/>
                <w:kern w:val="0"/>
                <w:sz w:val="22"/>
                <w:szCs w:val="22"/>
              </w:rPr>
              <w:t>得分</w:t>
            </w:r>
          </w:p>
        </w:tc>
      </w:tr>
      <w:tr w:rsidR="00A207F8">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 xml:space="preserve">决策　</w:t>
            </w:r>
          </w:p>
          <w:p w:rsidR="00A207F8" w:rsidRDefault="00FA70B0">
            <w:pPr>
              <w:widowControl/>
              <w:spacing w:line="0" w:lineRule="atLeast"/>
              <w:jc w:val="center"/>
              <w:rPr>
                <w:rFonts w:ascii="Calibri" w:hAnsi="Calibri"/>
                <w:color w:val="000000"/>
                <w:kern w:val="0"/>
                <w:sz w:val="22"/>
                <w:szCs w:val="22"/>
              </w:rPr>
            </w:pPr>
            <w:r>
              <w:rPr>
                <w:rFonts w:hint="eastAsia"/>
                <w:color w:val="000000"/>
                <w:kern w:val="0"/>
                <w:sz w:val="22"/>
                <w:szCs w:val="22"/>
              </w:rPr>
              <w:t xml:space="preserve">　</w:t>
            </w:r>
          </w:p>
          <w:p w:rsidR="00A207F8" w:rsidRDefault="00FA70B0">
            <w:pPr>
              <w:spacing w:line="0" w:lineRule="atLeast"/>
              <w:jc w:val="center"/>
              <w:rPr>
                <w:color w:val="000000"/>
                <w:kern w:val="0"/>
                <w:sz w:val="22"/>
                <w:szCs w:val="22"/>
              </w:rPr>
            </w:pPr>
            <w:r>
              <w:rPr>
                <w:rFonts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立项依据</w:t>
            </w:r>
          </w:p>
          <w:p w:rsidR="00A207F8" w:rsidRDefault="00FA70B0">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w:t>
            </w:r>
            <w:bookmarkStart w:id="0" w:name="_GoBack"/>
            <w:bookmarkEnd w:id="0"/>
            <w:r>
              <w:rPr>
                <w:rFonts w:hint="eastAsia"/>
                <w:color w:val="000000"/>
                <w:kern w:val="0"/>
                <w:sz w:val="22"/>
                <w:szCs w:val="22"/>
              </w:rPr>
              <w:t>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r>
      <w:tr w:rsidR="00A207F8">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立项程序</w:t>
            </w:r>
          </w:p>
          <w:p w:rsidR="00A207F8" w:rsidRDefault="00FA70B0">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3</w:t>
            </w:r>
          </w:p>
        </w:tc>
      </w:tr>
      <w:tr w:rsidR="00A207F8">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绩效目标</w:t>
            </w:r>
          </w:p>
          <w:p w:rsidR="00A207F8" w:rsidRDefault="00FA70B0">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A207F8" w:rsidRDefault="00FA70B0">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r>
      <w:tr w:rsidR="00A207F8">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绩效指标</w:t>
            </w:r>
          </w:p>
          <w:p w:rsidR="00A207F8" w:rsidRDefault="00FA70B0">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r>
              <w:rPr>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r>
      <w:tr w:rsidR="00A207F8">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资金投入</w:t>
            </w:r>
          </w:p>
          <w:p w:rsidR="00A207F8" w:rsidRDefault="00FA70B0">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预算编制</w:t>
            </w:r>
          </w:p>
          <w:p w:rsidR="00A207F8" w:rsidRDefault="00FA70B0">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3</w:t>
            </w:r>
          </w:p>
        </w:tc>
      </w:tr>
      <w:tr w:rsidR="00A207F8">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资金分配</w:t>
            </w:r>
          </w:p>
          <w:p w:rsidR="00A207F8" w:rsidRDefault="00FA70B0">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3</w:t>
            </w:r>
          </w:p>
        </w:tc>
      </w:tr>
      <w:tr w:rsidR="00A207F8">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A207F8" w:rsidRDefault="00FA70B0">
            <w:pPr>
              <w:widowControl/>
              <w:spacing w:line="0" w:lineRule="atLeast"/>
              <w:rPr>
                <w:rFonts w:ascii="Calibri" w:hAnsi="Calibri"/>
                <w:color w:val="000000"/>
                <w:kern w:val="0"/>
                <w:sz w:val="22"/>
                <w:szCs w:val="22"/>
              </w:rPr>
            </w:pPr>
            <w:r>
              <w:rPr>
                <w:rFonts w:hint="eastAsia"/>
                <w:color w:val="000000"/>
                <w:kern w:val="0"/>
                <w:sz w:val="22"/>
                <w:szCs w:val="22"/>
              </w:rPr>
              <w:t>实际到位资金：一定时期（本年度或项目期）内落实到具体项目的资金。</w:t>
            </w:r>
          </w:p>
          <w:p w:rsidR="00A207F8" w:rsidRDefault="00FA70B0">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3</w:t>
            </w:r>
          </w:p>
        </w:tc>
      </w:tr>
      <w:tr w:rsidR="00A207F8">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3</w:t>
            </w:r>
          </w:p>
        </w:tc>
      </w:tr>
      <w:tr w:rsidR="00A207F8">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 xml:space="preserve">　</w:t>
            </w:r>
          </w:p>
          <w:p w:rsidR="00A207F8" w:rsidRDefault="00FA70B0">
            <w:pPr>
              <w:spacing w:line="0" w:lineRule="atLeast"/>
              <w:jc w:val="center"/>
              <w:rPr>
                <w:color w:val="000000"/>
                <w:kern w:val="0"/>
                <w:sz w:val="22"/>
                <w:szCs w:val="22"/>
              </w:rPr>
            </w:pPr>
            <w:r>
              <w:rPr>
                <w:rFonts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资金使用</w:t>
            </w:r>
          </w:p>
          <w:p w:rsidR="00A207F8" w:rsidRDefault="00FA70B0">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r>
      <w:tr w:rsidR="00A207F8">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组织实施</w:t>
            </w:r>
          </w:p>
          <w:p w:rsidR="00A207F8" w:rsidRDefault="00FA70B0">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管理制度</w:t>
            </w:r>
          </w:p>
          <w:p w:rsidR="00A207F8" w:rsidRDefault="00FA70B0">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7C6F42">
            <w:pPr>
              <w:widowControl/>
              <w:spacing w:line="0" w:lineRule="atLeast"/>
              <w:jc w:val="center"/>
              <w:rPr>
                <w:color w:val="000000"/>
                <w:kern w:val="0"/>
                <w:sz w:val="22"/>
                <w:szCs w:val="22"/>
              </w:rPr>
            </w:pPr>
            <w:r>
              <w:rPr>
                <w:rFonts w:hint="eastAsia"/>
                <w:color w:val="000000"/>
                <w:kern w:val="0"/>
                <w:sz w:val="22"/>
                <w:szCs w:val="22"/>
              </w:rPr>
              <w:t>2</w:t>
            </w:r>
          </w:p>
        </w:tc>
      </w:tr>
      <w:tr w:rsidR="00A207F8">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制度执行</w:t>
            </w:r>
          </w:p>
          <w:p w:rsidR="00A207F8" w:rsidRDefault="00FA70B0">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4</w:t>
            </w:r>
          </w:p>
        </w:tc>
      </w:tr>
      <w:tr w:rsidR="00A207F8">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7</w:t>
            </w:r>
          </w:p>
        </w:tc>
      </w:tr>
      <w:tr w:rsidR="00A207F8">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A207F8" w:rsidRDefault="00FA70B0">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7</w:t>
            </w:r>
          </w:p>
        </w:tc>
      </w:tr>
      <w:tr w:rsidR="00A207F8">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7</w:t>
            </w:r>
          </w:p>
        </w:tc>
      </w:tr>
      <w:tr w:rsidR="00A207F8">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8</w:t>
            </w:r>
          </w:p>
        </w:tc>
      </w:tr>
      <w:tr w:rsidR="00A207F8">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lastRenderedPageBreak/>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20</w:t>
            </w:r>
          </w:p>
        </w:tc>
      </w:tr>
      <w:tr w:rsidR="00A207F8">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A207F8" w:rsidRDefault="00A207F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8</w:t>
            </w:r>
          </w:p>
        </w:tc>
      </w:tr>
      <w:tr w:rsidR="00A207F8">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A207F8">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A207F8">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207F8" w:rsidRDefault="00FA70B0">
            <w:pPr>
              <w:widowControl/>
              <w:spacing w:line="0" w:lineRule="atLeast"/>
              <w:jc w:val="center"/>
              <w:rPr>
                <w:color w:val="000000"/>
                <w:kern w:val="0"/>
                <w:sz w:val="22"/>
                <w:szCs w:val="22"/>
              </w:rPr>
            </w:pPr>
            <w:r>
              <w:rPr>
                <w:color w:val="000000"/>
                <w:kern w:val="0"/>
                <w:sz w:val="22"/>
                <w:szCs w:val="22"/>
              </w:rPr>
              <w:t>9</w:t>
            </w:r>
            <w:r w:rsidR="007C6F42">
              <w:rPr>
                <w:rFonts w:hint="eastAsia"/>
                <w:color w:val="000000"/>
                <w:kern w:val="0"/>
                <w:sz w:val="22"/>
                <w:szCs w:val="22"/>
              </w:rPr>
              <w:t>4</w:t>
            </w:r>
          </w:p>
        </w:tc>
      </w:tr>
    </w:tbl>
    <w:p w:rsidR="00A207F8" w:rsidRDefault="00FA70B0">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A207F8" w:rsidRDefault="00A207F8">
      <w:pPr>
        <w:spacing w:line="560" w:lineRule="exact"/>
        <w:ind w:firstLineChars="100" w:firstLine="200"/>
        <w:rPr>
          <w:rFonts w:eastAsia="仿宋_GB2312"/>
          <w:sz w:val="20"/>
          <w:szCs w:val="20"/>
        </w:rPr>
      </w:pPr>
    </w:p>
    <w:p w:rsidR="00A207F8" w:rsidRDefault="00A207F8"/>
    <w:sectPr w:rsidR="00A207F8" w:rsidSect="00A207F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C87" w:rsidRDefault="00930C87" w:rsidP="00A207F8">
      <w:r>
        <w:separator/>
      </w:r>
    </w:p>
  </w:endnote>
  <w:endnote w:type="continuationSeparator" w:id="0">
    <w:p w:rsidR="00930C87" w:rsidRDefault="00930C87" w:rsidP="00A207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7F8" w:rsidRDefault="00F1183A">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filled="f" stroked="f">
          <v:textbox style="mso-fit-shape-to-text:t" inset="0,0,0,0">
            <w:txbxContent>
              <w:p w:rsidR="00A207F8" w:rsidRDefault="00F1183A">
                <w:pPr>
                  <w:pStyle w:val="a4"/>
                </w:pPr>
                <w:r>
                  <w:fldChar w:fldCharType="begin"/>
                </w:r>
                <w:r w:rsidR="00FA70B0">
                  <w:instrText xml:space="preserve"> PAGE  \* MERGEFORMAT </w:instrText>
                </w:r>
                <w:r>
                  <w:fldChar w:fldCharType="separate"/>
                </w:r>
                <w:r w:rsidR="00CB7EE9">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C87" w:rsidRDefault="00930C87" w:rsidP="00A207F8">
      <w:r>
        <w:separator/>
      </w:r>
    </w:p>
  </w:footnote>
  <w:footnote w:type="continuationSeparator" w:id="0">
    <w:p w:rsidR="00930C87" w:rsidRDefault="00930C87" w:rsidP="00A207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6E7E6"/>
    <w:multiLevelType w:val="singleLevel"/>
    <w:tmpl w:val="6E46E7E6"/>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xZjQ5OTA1YzJmNTJkNDFiMTU0ZGNlMzllMzkzZGQifQ=="/>
  </w:docVars>
  <w:rsids>
    <w:rsidRoot w:val="00EE3AEB"/>
    <w:rsid w:val="000430C5"/>
    <w:rsid w:val="000F6640"/>
    <w:rsid w:val="00147B71"/>
    <w:rsid w:val="001E108A"/>
    <w:rsid w:val="001E5FE0"/>
    <w:rsid w:val="002A4A90"/>
    <w:rsid w:val="002D65BA"/>
    <w:rsid w:val="003C43D6"/>
    <w:rsid w:val="00434CE0"/>
    <w:rsid w:val="00495423"/>
    <w:rsid w:val="004E6D07"/>
    <w:rsid w:val="004E71C0"/>
    <w:rsid w:val="005C30C4"/>
    <w:rsid w:val="005F799E"/>
    <w:rsid w:val="006458F1"/>
    <w:rsid w:val="00796EE6"/>
    <w:rsid w:val="007C6F42"/>
    <w:rsid w:val="007E0188"/>
    <w:rsid w:val="00807C9E"/>
    <w:rsid w:val="00811E15"/>
    <w:rsid w:val="009100DF"/>
    <w:rsid w:val="009201ED"/>
    <w:rsid w:val="00926D50"/>
    <w:rsid w:val="00930C87"/>
    <w:rsid w:val="009D2EDF"/>
    <w:rsid w:val="00A207F8"/>
    <w:rsid w:val="00A336AC"/>
    <w:rsid w:val="00AD29B2"/>
    <w:rsid w:val="00AE7CC8"/>
    <w:rsid w:val="00B2276E"/>
    <w:rsid w:val="00B305C1"/>
    <w:rsid w:val="00B609D8"/>
    <w:rsid w:val="00BC6CC9"/>
    <w:rsid w:val="00CA1B26"/>
    <w:rsid w:val="00CB7EE9"/>
    <w:rsid w:val="00CC26FF"/>
    <w:rsid w:val="00D37094"/>
    <w:rsid w:val="00DA2BCF"/>
    <w:rsid w:val="00DC29BF"/>
    <w:rsid w:val="00DC7B92"/>
    <w:rsid w:val="00E40F31"/>
    <w:rsid w:val="00E80B3C"/>
    <w:rsid w:val="00EE3AEB"/>
    <w:rsid w:val="00F1183A"/>
    <w:rsid w:val="00F90A28"/>
    <w:rsid w:val="00FA70B0"/>
    <w:rsid w:val="0300236B"/>
    <w:rsid w:val="04AC452F"/>
    <w:rsid w:val="05F06D8B"/>
    <w:rsid w:val="06D424B0"/>
    <w:rsid w:val="081746FA"/>
    <w:rsid w:val="0CAA333B"/>
    <w:rsid w:val="0E5D316B"/>
    <w:rsid w:val="0E920B06"/>
    <w:rsid w:val="0FB20378"/>
    <w:rsid w:val="11466B80"/>
    <w:rsid w:val="12CA3FF1"/>
    <w:rsid w:val="132A3135"/>
    <w:rsid w:val="134A79DA"/>
    <w:rsid w:val="136E2957"/>
    <w:rsid w:val="13FB590C"/>
    <w:rsid w:val="14114DE1"/>
    <w:rsid w:val="151402A1"/>
    <w:rsid w:val="182B0148"/>
    <w:rsid w:val="1A6D4DCE"/>
    <w:rsid w:val="1AE70484"/>
    <w:rsid w:val="1BC82724"/>
    <w:rsid w:val="1EA44029"/>
    <w:rsid w:val="1FA019EB"/>
    <w:rsid w:val="22976BE6"/>
    <w:rsid w:val="23164566"/>
    <w:rsid w:val="23305B51"/>
    <w:rsid w:val="239441BD"/>
    <w:rsid w:val="23B01254"/>
    <w:rsid w:val="2486439E"/>
    <w:rsid w:val="253A49D0"/>
    <w:rsid w:val="28DC048C"/>
    <w:rsid w:val="2C9B3ABA"/>
    <w:rsid w:val="312538C1"/>
    <w:rsid w:val="33DE00A7"/>
    <w:rsid w:val="34036770"/>
    <w:rsid w:val="37DB24BB"/>
    <w:rsid w:val="394C1CCA"/>
    <w:rsid w:val="40AD045A"/>
    <w:rsid w:val="411D4080"/>
    <w:rsid w:val="427C7AB3"/>
    <w:rsid w:val="42E574F9"/>
    <w:rsid w:val="46870210"/>
    <w:rsid w:val="47CD3730"/>
    <w:rsid w:val="4AC22670"/>
    <w:rsid w:val="4BC4638C"/>
    <w:rsid w:val="4C9E5862"/>
    <w:rsid w:val="4D582560"/>
    <w:rsid w:val="520A0074"/>
    <w:rsid w:val="535C61AC"/>
    <w:rsid w:val="541317C9"/>
    <w:rsid w:val="54DE4B42"/>
    <w:rsid w:val="55785AE1"/>
    <w:rsid w:val="55FF29CA"/>
    <w:rsid w:val="593A424E"/>
    <w:rsid w:val="595501D6"/>
    <w:rsid w:val="597F7DC4"/>
    <w:rsid w:val="5BF00282"/>
    <w:rsid w:val="5C2D344A"/>
    <w:rsid w:val="5D1F15C5"/>
    <w:rsid w:val="5D1F7158"/>
    <w:rsid w:val="5D555659"/>
    <w:rsid w:val="60AE14F9"/>
    <w:rsid w:val="61BE6A6F"/>
    <w:rsid w:val="63682222"/>
    <w:rsid w:val="63EB237B"/>
    <w:rsid w:val="646D5F93"/>
    <w:rsid w:val="656F1618"/>
    <w:rsid w:val="65937D7A"/>
    <w:rsid w:val="660B5F1A"/>
    <w:rsid w:val="66F0603A"/>
    <w:rsid w:val="6712451C"/>
    <w:rsid w:val="67DE4D07"/>
    <w:rsid w:val="69047309"/>
    <w:rsid w:val="6A5570D8"/>
    <w:rsid w:val="6B2F1028"/>
    <w:rsid w:val="6C354F3D"/>
    <w:rsid w:val="6C9E186A"/>
    <w:rsid w:val="6D5413D8"/>
    <w:rsid w:val="6E290167"/>
    <w:rsid w:val="72B52174"/>
    <w:rsid w:val="74DA2ED1"/>
    <w:rsid w:val="783A48BC"/>
    <w:rsid w:val="78753828"/>
    <w:rsid w:val="7A5B2E99"/>
    <w:rsid w:val="7C59694A"/>
    <w:rsid w:val="7EC93A6B"/>
    <w:rsid w:val="7F0D3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7F8"/>
    <w:pPr>
      <w:widowControl w:val="0"/>
      <w:jc w:val="both"/>
    </w:pPr>
    <w:rPr>
      <w:rFonts w:ascii="Times New Roman" w:eastAsia="宋体" w:hAnsi="Times New Roman" w:cs="Times New Roman"/>
      <w:kern w:val="2"/>
      <w:sz w:val="21"/>
      <w:szCs w:val="21"/>
    </w:rPr>
  </w:style>
  <w:style w:type="paragraph" w:styleId="2">
    <w:name w:val="heading 2"/>
    <w:basedOn w:val="a"/>
    <w:next w:val="a"/>
    <w:link w:val="2Char"/>
    <w:uiPriority w:val="99"/>
    <w:qFormat/>
    <w:rsid w:val="00A207F8"/>
    <w:pPr>
      <w:keepNext/>
      <w:keepLines/>
      <w:spacing w:before="260" w:after="260" w:line="412" w:lineRule="auto"/>
      <w:outlineLvl w:val="1"/>
    </w:pPr>
    <w:rPr>
      <w:rFonts w:ascii="Arial" w:eastAsia="黑体"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207F8"/>
    <w:rPr>
      <w:sz w:val="18"/>
      <w:szCs w:val="18"/>
    </w:rPr>
  </w:style>
  <w:style w:type="paragraph" w:styleId="a4">
    <w:name w:val="footer"/>
    <w:basedOn w:val="a"/>
    <w:uiPriority w:val="99"/>
    <w:semiHidden/>
    <w:unhideWhenUsed/>
    <w:qFormat/>
    <w:rsid w:val="00A207F8"/>
    <w:pPr>
      <w:tabs>
        <w:tab w:val="center" w:pos="4153"/>
        <w:tab w:val="right" w:pos="8306"/>
      </w:tabs>
      <w:snapToGrid w:val="0"/>
      <w:jc w:val="left"/>
    </w:pPr>
    <w:rPr>
      <w:sz w:val="18"/>
    </w:rPr>
  </w:style>
  <w:style w:type="paragraph" w:styleId="a5">
    <w:name w:val="header"/>
    <w:basedOn w:val="a"/>
    <w:uiPriority w:val="99"/>
    <w:semiHidden/>
    <w:unhideWhenUsed/>
    <w:qFormat/>
    <w:rsid w:val="00A207F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2Char">
    <w:name w:val="标题 2 Char"/>
    <w:basedOn w:val="a0"/>
    <w:link w:val="2"/>
    <w:uiPriority w:val="99"/>
    <w:qFormat/>
    <w:rsid w:val="00A207F8"/>
    <w:rPr>
      <w:rFonts w:ascii="Arial" w:eastAsia="黑体" w:hAnsi="Arial" w:cs="Arial"/>
      <w:b/>
      <w:sz w:val="32"/>
      <w:szCs w:val="32"/>
    </w:rPr>
  </w:style>
  <w:style w:type="paragraph" w:styleId="a6">
    <w:name w:val="No Spacing"/>
    <w:basedOn w:val="a"/>
    <w:uiPriority w:val="99"/>
    <w:qFormat/>
    <w:rsid w:val="00A207F8"/>
  </w:style>
  <w:style w:type="character" w:customStyle="1" w:styleId="Char">
    <w:name w:val="批注框文本 Char"/>
    <w:basedOn w:val="a0"/>
    <w:link w:val="a3"/>
    <w:uiPriority w:val="99"/>
    <w:semiHidden/>
    <w:qFormat/>
    <w:rsid w:val="00A207F8"/>
    <w:rPr>
      <w:rFonts w:ascii="Times New Roman" w:eastAsia="宋体" w:hAnsi="Times New Roman" w:cs="Times New Roman"/>
      <w:sz w:val="18"/>
      <w:szCs w:val="18"/>
    </w:rPr>
  </w:style>
  <w:style w:type="paragraph" w:customStyle="1" w:styleId="p15">
    <w:name w:val="p15"/>
    <w:basedOn w:val="a"/>
    <w:qFormat/>
    <w:rsid w:val="00A207F8"/>
    <w:pPr>
      <w:widowControl/>
      <w:jc w:val="left"/>
    </w:pPr>
    <w:rPr>
      <w:rFonts w:ascii="宋体" w:hAnsi="宋体" w:cs="宋体"/>
      <w:kern w:val="0"/>
      <w:sz w:val="24"/>
    </w:rPr>
  </w:style>
  <w:style w:type="character" w:customStyle="1" w:styleId="NormalCharacter">
    <w:name w:val="NormalCharacter"/>
    <w:qFormat/>
    <w:rsid w:val="00A207F8"/>
    <w:rPr>
      <w:rFonts w:ascii="Times New Roman" w:eastAsia="宋体" w:hAnsi="Times New Roman" w:cs="Times New Roman"/>
      <w:kern w:val="2"/>
      <w:sz w:val="21"/>
      <w:szCs w:val="21"/>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1198</Words>
  <Characters>6832</Characters>
  <Application>Microsoft Office Word</Application>
  <DocSecurity>0</DocSecurity>
  <Lines>56</Lines>
  <Paragraphs>16</Paragraphs>
  <ScaleCrop>false</ScaleCrop>
  <Company/>
  <LinksUpToDate>false</LinksUpToDate>
  <CharactersWithSpaces>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32</cp:revision>
  <cp:lastPrinted>2021-08-04T00:36:00Z</cp:lastPrinted>
  <dcterms:created xsi:type="dcterms:W3CDTF">2021-07-17T01:25:00Z</dcterms:created>
  <dcterms:modified xsi:type="dcterms:W3CDTF">2023-07-06T01:42:00Z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6F01104948A84087A9D81AA5C075EE71</vt:lpwstr>
  </property>
</Properties>
</file>