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F1B" w:rsidRDefault="00363F1B" w:rsidP="00363F1B">
      <w:pPr>
        <w:pStyle w:val="a4"/>
        <w:spacing w:line="510" w:lineRule="exact"/>
        <w:ind w:left="3300" w:hangingChars="750" w:hanging="3300"/>
        <w:jc w:val="center"/>
        <w:rPr>
          <w:rFonts w:eastAsia="黑体"/>
          <w:sz w:val="44"/>
          <w:szCs w:val="44"/>
        </w:rPr>
      </w:pPr>
      <w:r>
        <w:rPr>
          <w:rFonts w:eastAsia="黑体" w:hint="eastAsia"/>
          <w:sz w:val="44"/>
          <w:szCs w:val="44"/>
        </w:rPr>
        <w:t>中方县自然资源局</w:t>
      </w:r>
    </w:p>
    <w:p w:rsidR="00363F1B" w:rsidRDefault="00363F1B" w:rsidP="00363F1B">
      <w:pPr>
        <w:pStyle w:val="a4"/>
        <w:spacing w:line="510" w:lineRule="exact"/>
        <w:ind w:left="3300" w:hangingChars="750" w:hanging="3300"/>
        <w:jc w:val="center"/>
        <w:rPr>
          <w:rFonts w:eastAsia="黑体"/>
          <w:sz w:val="44"/>
          <w:szCs w:val="44"/>
        </w:rPr>
      </w:pPr>
      <w:r>
        <w:rPr>
          <w:rFonts w:eastAsia="黑体" w:hint="eastAsia"/>
          <w:sz w:val="44"/>
          <w:szCs w:val="44"/>
        </w:rPr>
        <w:t>2022</w:t>
      </w:r>
      <w:r>
        <w:rPr>
          <w:rFonts w:eastAsia="黑体" w:hint="eastAsia"/>
          <w:sz w:val="44"/>
          <w:szCs w:val="44"/>
        </w:rPr>
        <w:t>年度土地出让评估</w:t>
      </w:r>
      <w:r>
        <w:rPr>
          <w:rFonts w:eastAsia="黑体"/>
          <w:sz w:val="44"/>
          <w:szCs w:val="44"/>
        </w:rPr>
        <w:t>项目支出绩效</w:t>
      </w:r>
    </w:p>
    <w:p w:rsidR="00363F1B" w:rsidRDefault="00363F1B" w:rsidP="00363F1B">
      <w:pPr>
        <w:pStyle w:val="a4"/>
        <w:spacing w:line="510" w:lineRule="exact"/>
        <w:ind w:left="3300" w:hangingChars="750" w:hanging="3300"/>
        <w:jc w:val="center"/>
        <w:rPr>
          <w:rFonts w:eastAsia="黑体"/>
          <w:sz w:val="44"/>
          <w:szCs w:val="44"/>
        </w:rPr>
      </w:pPr>
      <w:r>
        <w:rPr>
          <w:rFonts w:eastAsia="黑体" w:hint="eastAsia"/>
          <w:sz w:val="44"/>
          <w:szCs w:val="44"/>
        </w:rPr>
        <w:t>自评</w:t>
      </w:r>
      <w:r>
        <w:rPr>
          <w:rFonts w:eastAsia="黑体"/>
          <w:sz w:val="44"/>
          <w:szCs w:val="44"/>
        </w:rPr>
        <w:t>报告</w:t>
      </w:r>
    </w:p>
    <w:p w:rsidR="00363F1B" w:rsidRDefault="00363F1B" w:rsidP="00363F1B">
      <w:pPr>
        <w:pStyle w:val="p15"/>
        <w:spacing w:line="560" w:lineRule="exact"/>
        <w:jc w:val="both"/>
        <w:rPr>
          <w:rFonts w:ascii="仿宋_GB2312" w:eastAsia="仿宋_GB2312"/>
          <w:sz w:val="32"/>
          <w:szCs w:val="32"/>
        </w:rPr>
      </w:pPr>
    </w:p>
    <w:p w:rsidR="00363F1B" w:rsidRDefault="00363F1B" w:rsidP="00363F1B">
      <w:pPr>
        <w:pStyle w:val="p15"/>
        <w:numPr>
          <w:ilvl w:val="0"/>
          <w:numId w:val="1"/>
        </w:numPr>
        <w:spacing w:line="590" w:lineRule="exact"/>
        <w:ind w:firstLineChars="200" w:firstLine="640"/>
        <w:jc w:val="both"/>
        <w:rPr>
          <w:rFonts w:ascii="黑体" w:eastAsia="黑体" w:hAnsi="黑体" w:cs="黑体"/>
          <w:sz w:val="32"/>
          <w:szCs w:val="32"/>
        </w:rPr>
      </w:pPr>
      <w:r>
        <w:rPr>
          <w:rFonts w:ascii="黑体" w:eastAsia="黑体" w:hAnsi="黑体" w:cs="黑体" w:hint="eastAsia"/>
          <w:sz w:val="32"/>
          <w:szCs w:val="32"/>
        </w:rPr>
        <w:t>基本情况</w:t>
      </w:r>
    </w:p>
    <w:p w:rsidR="00363F1B" w:rsidRPr="00691262" w:rsidRDefault="00363F1B" w:rsidP="00363F1B">
      <w:pPr>
        <w:pStyle w:val="p15"/>
        <w:numPr>
          <w:ilvl w:val="0"/>
          <w:numId w:val="2"/>
        </w:numPr>
        <w:spacing w:line="590" w:lineRule="exact"/>
        <w:ind w:firstLineChars="200" w:firstLine="640"/>
        <w:jc w:val="both"/>
        <w:rPr>
          <w:rFonts w:ascii="仿宋" w:eastAsia="仿宋" w:hAnsi="仿宋" w:cs="华文仿宋"/>
          <w:sz w:val="32"/>
          <w:szCs w:val="32"/>
        </w:rPr>
      </w:pPr>
      <w:r w:rsidRPr="00691262">
        <w:rPr>
          <w:rFonts w:ascii="仿宋" w:eastAsia="仿宋" w:hAnsi="仿宋" w:cs="华文仿宋" w:hint="eastAsia"/>
          <w:kern w:val="2"/>
          <w:sz w:val="32"/>
          <w:szCs w:val="32"/>
        </w:rPr>
        <w:t>项目概况。</w:t>
      </w:r>
      <w:r w:rsidRPr="00691262">
        <w:rPr>
          <w:rFonts w:ascii="仿宋" w:eastAsia="仿宋" w:hAnsi="仿宋" w:cs="华文仿宋" w:hint="eastAsia"/>
          <w:sz w:val="32"/>
          <w:szCs w:val="32"/>
        </w:rPr>
        <w:t>以科学发展观为指导，以实现国有建设用地出让收益最大化为目标，促进土地市场健康有序发展。根据中方县人民政府发布实施的基准地价，结合土地开发利用现状和确定的规划条件指标，按照《国有建设用地使用权出让地价评估技术规范》[2018]4号文件，科学评估202</w:t>
      </w:r>
      <w:r w:rsidR="00691262" w:rsidRPr="00691262">
        <w:rPr>
          <w:rFonts w:ascii="仿宋" w:eastAsia="仿宋" w:hAnsi="仿宋" w:cs="华文仿宋" w:hint="eastAsia"/>
          <w:sz w:val="32"/>
          <w:szCs w:val="32"/>
        </w:rPr>
        <w:t>0</w:t>
      </w:r>
      <w:r w:rsidRPr="00691262">
        <w:rPr>
          <w:rFonts w:ascii="仿宋" w:eastAsia="仿宋" w:hAnsi="仿宋" w:cs="华文仿宋" w:hint="eastAsia"/>
          <w:sz w:val="32"/>
          <w:szCs w:val="32"/>
        </w:rPr>
        <w:t>年政府拟出让土地价格，为政府决策提供参考依据。</w:t>
      </w:r>
      <w:r w:rsidR="002D6BC7">
        <w:rPr>
          <w:rFonts w:ascii="仿宋" w:eastAsia="仿宋" w:hAnsi="仿宋" w:cs="华文仿宋" w:hint="eastAsia"/>
          <w:sz w:val="32"/>
          <w:szCs w:val="32"/>
        </w:rPr>
        <w:t>、</w:t>
      </w:r>
    </w:p>
    <w:p w:rsidR="00363F1B" w:rsidRPr="00691262" w:rsidRDefault="00363F1B" w:rsidP="00363F1B">
      <w:pPr>
        <w:pStyle w:val="p15"/>
        <w:numPr>
          <w:ilvl w:val="0"/>
          <w:numId w:val="2"/>
        </w:numPr>
        <w:spacing w:line="590" w:lineRule="exact"/>
        <w:ind w:firstLineChars="200" w:firstLine="640"/>
        <w:jc w:val="both"/>
        <w:rPr>
          <w:rFonts w:ascii="仿宋" w:eastAsia="仿宋" w:hAnsi="仿宋" w:cs="华文仿宋"/>
          <w:sz w:val="32"/>
          <w:szCs w:val="32"/>
        </w:rPr>
      </w:pPr>
      <w:r w:rsidRPr="00691262">
        <w:rPr>
          <w:rFonts w:ascii="仿宋" w:eastAsia="仿宋" w:hAnsi="仿宋" w:cs="华文仿宋" w:hint="eastAsia"/>
          <w:sz w:val="32"/>
          <w:szCs w:val="32"/>
        </w:rPr>
        <w:t>项目绩效目标。规范土地供地秩序，加强土地价格管理，为政府决策提供参考依据，实现土地收益最大化。</w:t>
      </w:r>
    </w:p>
    <w:p w:rsidR="00363F1B" w:rsidRPr="00691262" w:rsidRDefault="00363F1B" w:rsidP="00691262">
      <w:pPr>
        <w:pStyle w:val="a6"/>
        <w:numPr>
          <w:ilvl w:val="0"/>
          <w:numId w:val="4"/>
        </w:numPr>
        <w:ind w:firstLineChars="0"/>
        <w:rPr>
          <w:rFonts w:ascii="黑体" w:eastAsia="黑体" w:hAnsi="黑体" w:cs="黑体"/>
          <w:sz w:val="32"/>
          <w:szCs w:val="32"/>
        </w:rPr>
      </w:pPr>
      <w:r w:rsidRPr="00691262">
        <w:rPr>
          <w:rFonts w:ascii="黑体" w:eastAsia="黑体" w:hAnsi="黑体" w:cs="黑体" w:hint="eastAsia"/>
          <w:sz w:val="32"/>
          <w:szCs w:val="32"/>
        </w:rPr>
        <w:t>绩效评价工作开展情况</w:t>
      </w:r>
    </w:p>
    <w:p w:rsidR="00363F1B" w:rsidRPr="00691262" w:rsidRDefault="002D6BC7" w:rsidP="002D6BC7">
      <w:pPr>
        <w:pStyle w:val="p15"/>
        <w:spacing w:line="590" w:lineRule="exact"/>
        <w:ind w:firstLineChars="200" w:firstLine="640"/>
        <w:jc w:val="both"/>
        <w:rPr>
          <w:rFonts w:ascii="仿宋" w:eastAsia="仿宋" w:hAnsi="仿宋" w:cs="华文仿宋"/>
          <w:kern w:val="2"/>
          <w:sz w:val="32"/>
          <w:szCs w:val="32"/>
        </w:rPr>
      </w:pPr>
      <w:r>
        <w:rPr>
          <w:rFonts w:ascii="仿宋" w:eastAsia="仿宋" w:hAnsi="仿宋" w:cs="华文仿宋" w:hint="eastAsia"/>
          <w:kern w:val="2"/>
          <w:sz w:val="32"/>
          <w:szCs w:val="32"/>
        </w:rPr>
        <w:t>1</w:t>
      </w:r>
      <w:r>
        <w:rPr>
          <w:rFonts w:ascii="仿宋" w:eastAsia="仿宋" w:hAnsi="仿宋" w:cs="华文仿宋" w:hint="eastAsia"/>
          <w:sz w:val="32"/>
          <w:szCs w:val="32"/>
        </w:rPr>
        <w:t>、</w:t>
      </w:r>
      <w:r w:rsidR="00363F1B" w:rsidRPr="00691262">
        <w:rPr>
          <w:rFonts w:ascii="仿宋" w:eastAsia="仿宋" w:hAnsi="仿宋" w:cs="华文仿宋" w:hint="eastAsia"/>
          <w:kern w:val="2"/>
          <w:sz w:val="32"/>
          <w:szCs w:val="32"/>
        </w:rPr>
        <w:t>绩效评价目的、对象和范围。</w:t>
      </w:r>
    </w:p>
    <w:p w:rsidR="00363F1B" w:rsidRPr="00691262" w:rsidRDefault="00363F1B" w:rsidP="00691262">
      <w:pPr>
        <w:pStyle w:val="p15"/>
        <w:spacing w:line="590" w:lineRule="exact"/>
        <w:ind w:firstLineChars="200" w:firstLine="640"/>
        <w:jc w:val="both"/>
        <w:rPr>
          <w:rFonts w:ascii="仿宋" w:eastAsia="仿宋" w:hAnsi="仿宋" w:cs="华文仿宋"/>
          <w:kern w:val="2"/>
          <w:sz w:val="32"/>
          <w:szCs w:val="32"/>
        </w:rPr>
      </w:pPr>
      <w:r w:rsidRPr="00691262">
        <w:rPr>
          <w:rFonts w:ascii="仿宋" w:eastAsia="仿宋" w:hAnsi="仿宋" w:cs="华文仿宋" w:hint="eastAsia"/>
          <w:kern w:val="2"/>
          <w:sz w:val="32"/>
          <w:szCs w:val="32"/>
        </w:rPr>
        <w:t>2、目的：加强土地评估工作经费的规范使用和监管。</w:t>
      </w:r>
    </w:p>
    <w:p w:rsidR="00363F1B" w:rsidRPr="00691262" w:rsidRDefault="00363F1B" w:rsidP="00363F1B">
      <w:pPr>
        <w:pStyle w:val="p15"/>
        <w:numPr>
          <w:ilvl w:val="0"/>
          <w:numId w:val="2"/>
        </w:numPr>
        <w:spacing w:line="590" w:lineRule="exact"/>
        <w:ind w:firstLineChars="200" w:firstLine="640"/>
        <w:jc w:val="both"/>
        <w:rPr>
          <w:rFonts w:ascii="仿宋" w:eastAsia="仿宋" w:hAnsi="仿宋" w:cs="华文仿宋"/>
          <w:kern w:val="2"/>
          <w:sz w:val="32"/>
          <w:szCs w:val="32"/>
        </w:rPr>
      </w:pPr>
      <w:r w:rsidRPr="00691262">
        <w:rPr>
          <w:rFonts w:ascii="仿宋" w:eastAsia="仿宋" w:hAnsi="仿宋" w:cs="华文仿宋" w:hint="eastAsia"/>
          <w:kern w:val="2"/>
          <w:sz w:val="32"/>
          <w:szCs w:val="32"/>
        </w:rPr>
        <w:t>对象：中方县自然资源局</w:t>
      </w:r>
    </w:p>
    <w:p w:rsidR="00363F1B" w:rsidRPr="00691262" w:rsidRDefault="00363F1B" w:rsidP="00363F1B">
      <w:pPr>
        <w:pStyle w:val="p15"/>
        <w:numPr>
          <w:ilvl w:val="0"/>
          <w:numId w:val="2"/>
        </w:numPr>
        <w:spacing w:line="590" w:lineRule="exact"/>
        <w:ind w:firstLineChars="200" w:firstLine="640"/>
        <w:jc w:val="both"/>
        <w:rPr>
          <w:rFonts w:ascii="仿宋" w:eastAsia="仿宋" w:hAnsi="仿宋" w:cs="华文仿宋"/>
          <w:kern w:val="2"/>
          <w:sz w:val="32"/>
          <w:szCs w:val="32"/>
        </w:rPr>
      </w:pPr>
      <w:r w:rsidRPr="00691262">
        <w:rPr>
          <w:rFonts w:ascii="仿宋" w:eastAsia="仿宋" w:hAnsi="仿宋" w:cs="华文仿宋" w:hint="eastAsia"/>
          <w:kern w:val="2"/>
          <w:sz w:val="32"/>
          <w:szCs w:val="32"/>
        </w:rPr>
        <w:t>范围：202</w:t>
      </w:r>
      <w:r w:rsidR="00691262" w:rsidRPr="00691262">
        <w:rPr>
          <w:rFonts w:ascii="仿宋" w:eastAsia="仿宋" w:hAnsi="仿宋" w:cs="华文仿宋" w:hint="eastAsia"/>
          <w:kern w:val="2"/>
          <w:sz w:val="32"/>
          <w:szCs w:val="32"/>
        </w:rPr>
        <w:t>2</w:t>
      </w:r>
      <w:r w:rsidRPr="00691262">
        <w:rPr>
          <w:rFonts w:ascii="仿宋" w:eastAsia="仿宋" w:hAnsi="仿宋" w:cs="华文仿宋" w:hint="eastAsia"/>
          <w:kern w:val="2"/>
          <w:sz w:val="32"/>
          <w:szCs w:val="32"/>
        </w:rPr>
        <w:t>年政府拟出让土地价格评估技术服务费情况，2022年支付的161000.00元。</w:t>
      </w:r>
    </w:p>
    <w:p w:rsidR="00363F1B" w:rsidRPr="00691262" w:rsidRDefault="00363F1B" w:rsidP="00363F1B">
      <w:pPr>
        <w:pStyle w:val="p15"/>
        <w:numPr>
          <w:ilvl w:val="0"/>
          <w:numId w:val="2"/>
        </w:numPr>
        <w:spacing w:line="590" w:lineRule="exact"/>
        <w:ind w:firstLineChars="200" w:firstLine="640"/>
        <w:jc w:val="both"/>
        <w:rPr>
          <w:rFonts w:ascii="仿宋" w:eastAsia="仿宋" w:hAnsi="仿宋" w:cs="华文仿宋"/>
          <w:kern w:val="2"/>
          <w:sz w:val="32"/>
          <w:szCs w:val="32"/>
        </w:rPr>
      </w:pPr>
      <w:r w:rsidRPr="00691262">
        <w:rPr>
          <w:rFonts w:ascii="仿宋" w:eastAsia="仿宋" w:hAnsi="仿宋" w:cs="华文仿宋" w:hint="eastAsia"/>
          <w:kern w:val="2"/>
          <w:sz w:val="32"/>
          <w:szCs w:val="32"/>
        </w:rPr>
        <w:t>绩效评价原则、评价指标体系、评价方法、评价标准。</w:t>
      </w:r>
    </w:p>
    <w:p w:rsidR="00363F1B" w:rsidRPr="00691262" w:rsidRDefault="00363F1B" w:rsidP="00363F1B">
      <w:pPr>
        <w:pStyle w:val="p15"/>
        <w:numPr>
          <w:ilvl w:val="0"/>
          <w:numId w:val="2"/>
        </w:numPr>
        <w:spacing w:line="590" w:lineRule="exact"/>
        <w:ind w:firstLineChars="200" w:firstLine="640"/>
        <w:jc w:val="both"/>
        <w:rPr>
          <w:rFonts w:ascii="仿宋" w:eastAsia="仿宋" w:hAnsi="仿宋" w:cs="华文仿宋"/>
          <w:kern w:val="2"/>
          <w:sz w:val="32"/>
          <w:szCs w:val="32"/>
        </w:rPr>
      </w:pPr>
      <w:r w:rsidRPr="00691262">
        <w:rPr>
          <w:rFonts w:ascii="仿宋" w:eastAsia="仿宋" w:hAnsi="仿宋" w:cs="华文仿宋" w:hint="eastAsia"/>
          <w:kern w:val="2"/>
          <w:sz w:val="32"/>
          <w:szCs w:val="32"/>
        </w:rPr>
        <w:t>原则：经济性、效率性、有效性、真实性、科学性、规范性原则进行评价。</w:t>
      </w:r>
    </w:p>
    <w:p w:rsidR="00363F1B" w:rsidRPr="00E75F0D" w:rsidRDefault="00363F1B" w:rsidP="00363F1B">
      <w:pPr>
        <w:pStyle w:val="p15"/>
        <w:numPr>
          <w:ilvl w:val="0"/>
          <w:numId w:val="2"/>
        </w:numPr>
        <w:spacing w:line="590" w:lineRule="exact"/>
        <w:ind w:firstLineChars="200" w:firstLine="640"/>
        <w:jc w:val="both"/>
        <w:rPr>
          <w:rFonts w:ascii="仿宋" w:eastAsia="仿宋" w:hAnsi="仿宋" w:cs="华文仿宋"/>
          <w:sz w:val="32"/>
          <w:szCs w:val="32"/>
        </w:rPr>
      </w:pPr>
      <w:r w:rsidRPr="00E75F0D">
        <w:rPr>
          <w:rFonts w:ascii="仿宋" w:eastAsia="仿宋" w:hAnsi="仿宋" w:cs="华文仿宋" w:hint="eastAsia"/>
          <w:sz w:val="32"/>
          <w:szCs w:val="32"/>
        </w:rPr>
        <w:lastRenderedPageBreak/>
        <w:t>评价指标体系：对项目依据、程序，资金分配到位率、执行率、使用合规性，项目产出的完成率、质量达标率、及时性，支出的经济效益、社会效益、可持续影响等指标的评价。</w:t>
      </w:r>
    </w:p>
    <w:p w:rsidR="00363F1B" w:rsidRPr="00E75F0D" w:rsidRDefault="00363F1B" w:rsidP="00363F1B">
      <w:pPr>
        <w:pStyle w:val="p15"/>
        <w:numPr>
          <w:ilvl w:val="0"/>
          <w:numId w:val="2"/>
        </w:numPr>
        <w:spacing w:line="590" w:lineRule="exact"/>
        <w:ind w:firstLineChars="200" w:firstLine="640"/>
        <w:jc w:val="both"/>
        <w:rPr>
          <w:rFonts w:ascii="仿宋" w:eastAsia="仿宋" w:hAnsi="仿宋" w:cs="华文仿宋"/>
          <w:sz w:val="32"/>
          <w:szCs w:val="32"/>
        </w:rPr>
      </w:pPr>
      <w:r w:rsidRPr="00E75F0D">
        <w:rPr>
          <w:rFonts w:ascii="仿宋" w:eastAsia="仿宋" w:hAnsi="仿宋" w:cs="华文仿宋" w:hint="eastAsia"/>
          <w:sz w:val="32"/>
          <w:szCs w:val="32"/>
        </w:rPr>
        <w:t>评价方法：对项目进行检查、核实，阶段审计、初审、终审。</w:t>
      </w:r>
    </w:p>
    <w:p w:rsidR="00363F1B" w:rsidRPr="00E75F0D" w:rsidRDefault="00363F1B" w:rsidP="00363F1B">
      <w:pPr>
        <w:pStyle w:val="p15"/>
        <w:numPr>
          <w:ilvl w:val="0"/>
          <w:numId w:val="2"/>
        </w:numPr>
        <w:spacing w:line="590" w:lineRule="exact"/>
        <w:ind w:firstLineChars="200" w:firstLine="640"/>
        <w:jc w:val="both"/>
        <w:rPr>
          <w:rFonts w:ascii="仿宋" w:eastAsia="仿宋" w:hAnsi="仿宋" w:cs="华文仿宋"/>
          <w:sz w:val="32"/>
          <w:szCs w:val="32"/>
        </w:rPr>
      </w:pPr>
      <w:r w:rsidRPr="00E75F0D">
        <w:rPr>
          <w:rFonts w:ascii="仿宋" w:eastAsia="仿宋" w:hAnsi="仿宋" w:cs="华文仿宋" w:hint="eastAsia"/>
          <w:sz w:val="32"/>
          <w:szCs w:val="32"/>
        </w:rPr>
        <w:t>评价标准：按照202</w:t>
      </w:r>
      <w:r w:rsidR="00691262" w:rsidRPr="00E75F0D">
        <w:rPr>
          <w:rFonts w:ascii="仿宋" w:eastAsia="仿宋" w:hAnsi="仿宋" w:cs="华文仿宋" w:hint="eastAsia"/>
          <w:sz w:val="32"/>
          <w:szCs w:val="32"/>
        </w:rPr>
        <w:t>2</w:t>
      </w:r>
      <w:r w:rsidRPr="00E75F0D">
        <w:rPr>
          <w:rFonts w:ascii="仿宋" w:eastAsia="仿宋" w:hAnsi="仿宋" w:cs="华文仿宋" w:hint="eastAsia"/>
          <w:sz w:val="32"/>
          <w:szCs w:val="32"/>
        </w:rPr>
        <w:t>年土地评估项目支出绩效评价评分标准进行指标化计分评价。</w:t>
      </w:r>
    </w:p>
    <w:p w:rsidR="00363F1B" w:rsidRPr="00E75F0D" w:rsidRDefault="00363F1B" w:rsidP="00363F1B">
      <w:pPr>
        <w:pStyle w:val="p15"/>
        <w:numPr>
          <w:ilvl w:val="0"/>
          <w:numId w:val="2"/>
        </w:numPr>
        <w:spacing w:line="590" w:lineRule="exact"/>
        <w:ind w:firstLineChars="200" w:firstLine="640"/>
        <w:jc w:val="both"/>
        <w:rPr>
          <w:rFonts w:ascii="仿宋" w:eastAsia="仿宋" w:hAnsi="仿宋" w:cs="华文仿宋"/>
          <w:sz w:val="32"/>
          <w:szCs w:val="32"/>
        </w:rPr>
      </w:pPr>
      <w:r w:rsidRPr="00E75F0D">
        <w:rPr>
          <w:rFonts w:ascii="仿宋" w:eastAsia="仿宋" w:hAnsi="仿宋" w:cs="华文仿宋" w:hint="eastAsia"/>
          <w:sz w:val="32"/>
          <w:szCs w:val="32"/>
        </w:rPr>
        <w:t>绩效评价工作过程</w:t>
      </w:r>
    </w:p>
    <w:p w:rsidR="00363F1B" w:rsidRPr="00E75F0D" w:rsidRDefault="00363F1B" w:rsidP="00363F1B">
      <w:pPr>
        <w:pStyle w:val="p15"/>
        <w:numPr>
          <w:ilvl w:val="0"/>
          <w:numId w:val="2"/>
        </w:numPr>
        <w:spacing w:line="590" w:lineRule="exact"/>
        <w:ind w:firstLineChars="200" w:firstLine="640"/>
        <w:jc w:val="both"/>
        <w:rPr>
          <w:rFonts w:ascii="仿宋" w:eastAsia="仿宋" w:hAnsi="仿宋"/>
          <w:sz w:val="32"/>
          <w:szCs w:val="32"/>
        </w:rPr>
      </w:pPr>
      <w:r w:rsidRPr="00E75F0D">
        <w:rPr>
          <w:rFonts w:ascii="仿宋" w:eastAsia="仿宋" w:hAnsi="仿宋" w:cs="华文仿宋" w:hint="eastAsia"/>
          <w:sz w:val="32"/>
          <w:szCs w:val="32"/>
        </w:rPr>
        <w:t>主要采取对项目立项、预算、采购文件、技术合同等项目文件进行核查，对土地评估技术报告编制进度进行跟踪，编制过程中未发生质量和技术性问题，按要求提交</w:t>
      </w:r>
      <w:r w:rsidRPr="00E75F0D">
        <w:rPr>
          <w:rFonts w:ascii="仿宋" w:eastAsia="仿宋" w:hAnsi="仿宋" w:hint="eastAsia"/>
          <w:sz w:val="32"/>
          <w:szCs w:val="32"/>
        </w:rPr>
        <w:t>了技术报告成果。</w:t>
      </w:r>
    </w:p>
    <w:p w:rsidR="00363F1B" w:rsidRPr="00E75F0D" w:rsidRDefault="00363F1B" w:rsidP="00363F1B">
      <w:pPr>
        <w:ind w:firstLineChars="200" w:firstLine="640"/>
        <w:rPr>
          <w:rFonts w:ascii="仿宋" w:eastAsia="仿宋" w:hAnsi="仿宋"/>
          <w:sz w:val="32"/>
          <w:szCs w:val="32"/>
        </w:rPr>
      </w:pPr>
      <w:r w:rsidRPr="00E75F0D">
        <w:rPr>
          <w:rFonts w:ascii="仿宋" w:eastAsia="仿宋" w:hAnsi="仿宋" w:cs="黑体" w:hint="eastAsia"/>
          <w:sz w:val="32"/>
          <w:szCs w:val="32"/>
        </w:rPr>
        <w:t>三、综合评价情况及评价结论</w:t>
      </w:r>
    </w:p>
    <w:p w:rsidR="00363F1B" w:rsidRPr="00E75F0D" w:rsidRDefault="00363F1B" w:rsidP="00363F1B">
      <w:pPr>
        <w:pStyle w:val="p15"/>
        <w:spacing w:line="590" w:lineRule="exact"/>
        <w:ind w:firstLineChars="200" w:firstLine="640"/>
        <w:jc w:val="both"/>
        <w:rPr>
          <w:rFonts w:ascii="仿宋" w:eastAsia="仿宋" w:hAnsi="仿宋" w:cs="黑体"/>
          <w:sz w:val="32"/>
          <w:szCs w:val="32"/>
        </w:rPr>
      </w:pPr>
      <w:r w:rsidRPr="00E75F0D">
        <w:rPr>
          <w:rFonts w:ascii="仿宋" w:eastAsia="仿宋" w:hAnsi="仿宋" w:hint="eastAsia"/>
          <w:sz w:val="32"/>
          <w:szCs w:val="32"/>
        </w:rPr>
        <w:t>项目已按合同约定完成各项内容，资料齐全，满足使用需要，符合资金使用规定，达到预期目标。评价优。</w:t>
      </w:r>
    </w:p>
    <w:p w:rsidR="00363F1B" w:rsidRPr="00E75F0D" w:rsidRDefault="00363F1B" w:rsidP="00363F1B">
      <w:pPr>
        <w:pStyle w:val="p15"/>
        <w:spacing w:line="590" w:lineRule="exact"/>
        <w:ind w:firstLineChars="200" w:firstLine="640"/>
        <w:jc w:val="both"/>
        <w:rPr>
          <w:rFonts w:ascii="仿宋" w:eastAsia="仿宋" w:hAnsi="仿宋" w:cs="黑体"/>
          <w:sz w:val="32"/>
          <w:szCs w:val="32"/>
        </w:rPr>
      </w:pPr>
      <w:r w:rsidRPr="00E75F0D">
        <w:rPr>
          <w:rFonts w:ascii="仿宋" w:eastAsia="仿宋" w:hAnsi="仿宋" w:cs="黑体" w:hint="eastAsia"/>
          <w:sz w:val="32"/>
          <w:szCs w:val="32"/>
        </w:rPr>
        <w:t>四、绩效评价指标分析</w:t>
      </w:r>
    </w:p>
    <w:p w:rsidR="00363F1B" w:rsidRPr="00E75F0D" w:rsidRDefault="00363F1B" w:rsidP="00363F1B">
      <w:pPr>
        <w:pStyle w:val="p15"/>
        <w:spacing w:line="590" w:lineRule="exact"/>
        <w:ind w:firstLineChars="200" w:firstLine="640"/>
        <w:jc w:val="both"/>
        <w:rPr>
          <w:rFonts w:ascii="仿宋" w:eastAsia="仿宋" w:hAnsi="仿宋" w:cs="华文仿宋"/>
          <w:sz w:val="32"/>
          <w:szCs w:val="32"/>
        </w:rPr>
      </w:pPr>
      <w:r w:rsidRPr="00E75F0D">
        <w:rPr>
          <w:rFonts w:ascii="仿宋" w:eastAsia="仿宋" w:hAnsi="仿宋" w:cs="华文仿宋" w:hint="eastAsia"/>
          <w:sz w:val="32"/>
          <w:szCs w:val="32"/>
        </w:rPr>
        <w:t>1、项目决策情况。根据《招标拍卖挂牌出让国有土地使用权规范》文件，决定对拟出让土地进行价格评估。</w:t>
      </w:r>
    </w:p>
    <w:p w:rsidR="00363F1B" w:rsidRPr="00E75F0D" w:rsidRDefault="00363F1B" w:rsidP="00363F1B">
      <w:pPr>
        <w:pStyle w:val="p15"/>
        <w:spacing w:line="590" w:lineRule="exact"/>
        <w:ind w:firstLineChars="200" w:firstLine="640"/>
        <w:jc w:val="both"/>
        <w:rPr>
          <w:rFonts w:ascii="仿宋" w:eastAsia="仿宋" w:hAnsi="仿宋" w:cs="华文仿宋"/>
          <w:sz w:val="32"/>
          <w:szCs w:val="32"/>
        </w:rPr>
      </w:pPr>
      <w:r w:rsidRPr="00E75F0D">
        <w:rPr>
          <w:rFonts w:ascii="仿宋" w:eastAsia="仿宋" w:hAnsi="仿宋" w:cs="华文仿宋" w:hint="eastAsia"/>
          <w:sz w:val="32"/>
          <w:szCs w:val="32"/>
        </w:rPr>
        <w:t>2、项目过程情况。根据县财政审批的采购方式，经协议采购确定技术服务单位，以宗地为单位对2020年度拟出让土地进行价格评估编制评估报告。项目通过前期调查、技术文本编制、</w:t>
      </w:r>
      <w:r w:rsidRPr="00E75F0D">
        <w:rPr>
          <w:rFonts w:ascii="仿宋" w:eastAsia="仿宋" w:hAnsi="仿宋" w:cs="华文仿宋" w:hint="eastAsia"/>
          <w:sz w:val="32"/>
          <w:szCs w:val="32"/>
        </w:rPr>
        <w:lastRenderedPageBreak/>
        <w:t>技术单位审核、报全国土地评估备案系统备案通才后提交正式评估报告。</w:t>
      </w:r>
    </w:p>
    <w:p w:rsidR="00363F1B" w:rsidRPr="00E75F0D" w:rsidRDefault="00363F1B" w:rsidP="00363F1B">
      <w:pPr>
        <w:pStyle w:val="p15"/>
        <w:spacing w:line="590" w:lineRule="exact"/>
        <w:ind w:firstLineChars="200" w:firstLine="640"/>
        <w:jc w:val="both"/>
        <w:rPr>
          <w:rFonts w:ascii="仿宋" w:eastAsia="仿宋" w:hAnsi="仿宋" w:cs="华文仿宋"/>
          <w:sz w:val="32"/>
          <w:szCs w:val="32"/>
        </w:rPr>
      </w:pPr>
      <w:r w:rsidRPr="00E75F0D">
        <w:rPr>
          <w:rFonts w:ascii="仿宋" w:eastAsia="仿宋" w:hAnsi="仿宋" w:cs="华文仿宋" w:hint="eastAsia"/>
          <w:sz w:val="32"/>
          <w:szCs w:val="32"/>
        </w:rPr>
        <w:t>3、项目产出情况。每宗土地提交2套《土地评估报告》文本资料等。</w:t>
      </w:r>
    </w:p>
    <w:p w:rsidR="00363F1B" w:rsidRPr="00E75F0D" w:rsidRDefault="00363F1B" w:rsidP="00363F1B">
      <w:pPr>
        <w:pStyle w:val="p15"/>
        <w:spacing w:line="590" w:lineRule="exact"/>
        <w:ind w:firstLineChars="200" w:firstLine="640"/>
        <w:jc w:val="both"/>
        <w:rPr>
          <w:rFonts w:ascii="仿宋" w:eastAsia="仿宋" w:hAnsi="仿宋" w:cs="华文仿宋"/>
          <w:sz w:val="32"/>
          <w:szCs w:val="32"/>
        </w:rPr>
      </w:pPr>
      <w:r w:rsidRPr="00E75F0D">
        <w:rPr>
          <w:rFonts w:ascii="仿宋" w:eastAsia="仿宋" w:hAnsi="仿宋" w:cs="华文仿宋" w:hint="eastAsia"/>
          <w:sz w:val="32"/>
          <w:szCs w:val="32"/>
        </w:rPr>
        <w:t>4、项目效益情况。规范土地供地秩序，加强土地价格管理，为政府决策提供参考依据，实现土地收益最大化。</w:t>
      </w:r>
    </w:p>
    <w:p w:rsidR="00363F1B" w:rsidRPr="00E75F0D" w:rsidRDefault="00363F1B" w:rsidP="00363F1B">
      <w:pPr>
        <w:pStyle w:val="p15"/>
        <w:spacing w:line="590" w:lineRule="exact"/>
        <w:ind w:firstLineChars="200" w:firstLine="640"/>
        <w:jc w:val="both"/>
        <w:rPr>
          <w:rFonts w:ascii="仿宋" w:eastAsia="仿宋" w:hAnsi="仿宋" w:cs="黑体"/>
          <w:sz w:val="32"/>
          <w:szCs w:val="32"/>
        </w:rPr>
      </w:pPr>
      <w:r w:rsidRPr="00E75F0D">
        <w:rPr>
          <w:rFonts w:ascii="仿宋" w:eastAsia="仿宋" w:hAnsi="仿宋" w:cs="黑体" w:hint="eastAsia"/>
          <w:sz w:val="32"/>
          <w:szCs w:val="32"/>
        </w:rPr>
        <w:t>五、主要经验及做法、存在的问题及原因分析</w:t>
      </w:r>
    </w:p>
    <w:p w:rsidR="00363F1B" w:rsidRPr="00E75F0D" w:rsidRDefault="00363F1B" w:rsidP="00363F1B">
      <w:pPr>
        <w:pStyle w:val="p15"/>
        <w:spacing w:line="590" w:lineRule="exact"/>
        <w:ind w:firstLineChars="200" w:firstLine="640"/>
        <w:jc w:val="both"/>
        <w:rPr>
          <w:rFonts w:ascii="仿宋" w:eastAsia="仿宋" w:hAnsi="仿宋"/>
          <w:sz w:val="32"/>
          <w:szCs w:val="32"/>
        </w:rPr>
      </w:pPr>
      <w:r w:rsidRPr="00E75F0D">
        <w:rPr>
          <w:rFonts w:ascii="仿宋" w:eastAsia="仿宋" w:hAnsi="仿宋" w:hint="eastAsia"/>
          <w:sz w:val="32"/>
          <w:szCs w:val="32"/>
        </w:rPr>
        <w:t>主要经验是通过聘请第三方技术单位能快速优质完成技术文本的编制工作，提供工作效率。但存在经费保障难的问题。</w:t>
      </w:r>
    </w:p>
    <w:p w:rsidR="00363F1B" w:rsidRPr="00E75F0D" w:rsidRDefault="00363F1B" w:rsidP="00363F1B">
      <w:pPr>
        <w:pStyle w:val="p15"/>
        <w:numPr>
          <w:ilvl w:val="0"/>
          <w:numId w:val="3"/>
        </w:numPr>
        <w:spacing w:line="590" w:lineRule="exact"/>
        <w:ind w:firstLineChars="200" w:firstLine="640"/>
        <w:jc w:val="both"/>
        <w:rPr>
          <w:rFonts w:ascii="仿宋" w:eastAsia="仿宋" w:hAnsi="仿宋" w:cs="黑体"/>
          <w:sz w:val="32"/>
          <w:szCs w:val="32"/>
        </w:rPr>
      </w:pPr>
      <w:r w:rsidRPr="00E75F0D">
        <w:rPr>
          <w:rFonts w:ascii="仿宋" w:eastAsia="仿宋" w:hAnsi="仿宋" w:cs="黑体" w:hint="eastAsia"/>
          <w:sz w:val="32"/>
          <w:szCs w:val="32"/>
        </w:rPr>
        <w:t>有关建议</w:t>
      </w:r>
    </w:p>
    <w:p w:rsidR="00363F1B" w:rsidRPr="00E75F0D" w:rsidRDefault="00363F1B" w:rsidP="00363F1B">
      <w:pPr>
        <w:pStyle w:val="p15"/>
        <w:spacing w:line="590" w:lineRule="exact"/>
        <w:ind w:firstLineChars="200" w:firstLine="640"/>
        <w:jc w:val="both"/>
        <w:rPr>
          <w:rFonts w:ascii="仿宋" w:eastAsia="仿宋" w:hAnsi="仿宋"/>
          <w:sz w:val="32"/>
          <w:szCs w:val="32"/>
        </w:rPr>
      </w:pPr>
      <w:r w:rsidRPr="00E75F0D">
        <w:rPr>
          <w:rFonts w:ascii="仿宋" w:eastAsia="仿宋" w:hAnsi="仿宋" w:hint="eastAsia"/>
          <w:sz w:val="32"/>
          <w:szCs w:val="32"/>
        </w:rPr>
        <w:t>根据省相关文件精神，将土地评估费用列入土地出让成本，纳入财政预算，按宗地核拨经费。</w:t>
      </w:r>
    </w:p>
    <w:p w:rsidR="00363F1B" w:rsidRPr="00E75F0D" w:rsidRDefault="00363F1B" w:rsidP="008E5A9F">
      <w:pPr>
        <w:ind w:firstLineChars="150" w:firstLine="480"/>
        <w:rPr>
          <w:rFonts w:ascii="仿宋" w:eastAsia="仿宋" w:hAnsi="仿宋" w:cs="黑体"/>
          <w:kern w:val="0"/>
          <w:sz w:val="32"/>
          <w:szCs w:val="32"/>
        </w:rPr>
      </w:pPr>
      <w:r w:rsidRPr="00E75F0D">
        <w:rPr>
          <w:rFonts w:ascii="仿宋" w:eastAsia="仿宋" w:hAnsi="仿宋" w:cs="黑体" w:hint="eastAsia"/>
          <w:kern w:val="0"/>
          <w:sz w:val="32"/>
          <w:szCs w:val="32"/>
        </w:rPr>
        <w:t>七、其他需要说明的问题</w:t>
      </w:r>
    </w:p>
    <w:p w:rsidR="00363F1B" w:rsidRPr="00E75F0D" w:rsidRDefault="00363F1B" w:rsidP="008E5A9F">
      <w:pPr>
        <w:ind w:firstLineChars="250" w:firstLine="800"/>
        <w:rPr>
          <w:rFonts w:ascii="仿宋" w:eastAsia="仿宋" w:hAnsi="仿宋" w:cs="宋体"/>
          <w:kern w:val="0"/>
          <w:sz w:val="32"/>
          <w:szCs w:val="32"/>
        </w:rPr>
      </w:pPr>
      <w:r w:rsidRPr="00E75F0D">
        <w:rPr>
          <w:rFonts w:ascii="仿宋" w:eastAsia="仿宋" w:hAnsi="仿宋" w:cs="宋体" w:hint="eastAsia"/>
          <w:kern w:val="0"/>
          <w:sz w:val="32"/>
          <w:szCs w:val="32"/>
        </w:rPr>
        <w:t>无</w:t>
      </w:r>
    </w:p>
    <w:p w:rsidR="00363F1B" w:rsidRDefault="00363F1B" w:rsidP="00363F1B"/>
    <w:p w:rsidR="00363F1B" w:rsidRDefault="00363F1B" w:rsidP="00363F1B"/>
    <w:p w:rsidR="00363F1B" w:rsidRDefault="00363F1B" w:rsidP="00363F1B"/>
    <w:p w:rsidR="00363F1B" w:rsidRDefault="00363F1B" w:rsidP="00363F1B"/>
    <w:p w:rsidR="00363F1B" w:rsidRDefault="00363F1B" w:rsidP="00363F1B"/>
    <w:p w:rsidR="00363F1B" w:rsidRDefault="00363F1B" w:rsidP="00363F1B"/>
    <w:p w:rsidR="00363F1B" w:rsidRDefault="00363F1B" w:rsidP="00363F1B"/>
    <w:p w:rsidR="00363F1B" w:rsidRDefault="00363F1B" w:rsidP="00363F1B"/>
    <w:p w:rsidR="00363F1B" w:rsidRDefault="00363F1B" w:rsidP="00363F1B"/>
    <w:p w:rsidR="00363F1B" w:rsidRDefault="00363F1B" w:rsidP="00363F1B"/>
    <w:p w:rsidR="00363F1B" w:rsidRDefault="00363F1B" w:rsidP="00363F1B"/>
    <w:p w:rsidR="00363F1B" w:rsidRDefault="00363F1B" w:rsidP="00363F1B"/>
    <w:p w:rsidR="00363F1B" w:rsidRDefault="00363F1B" w:rsidP="00363F1B"/>
    <w:p w:rsidR="00363F1B" w:rsidRDefault="00363F1B" w:rsidP="00363F1B">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w:t>
      </w:r>
      <w:r>
        <w:rPr>
          <w:rFonts w:ascii="Times New Roman" w:eastAsia="仿宋_GB2312" w:hAnsi="Times New Roman"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708"/>
      </w:tblGrid>
      <w:tr w:rsidR="00363F1B" w:rsidTr="009811C8">
        <w:trPr>
          <w:trHeight w:hRule="exact" w:val="349"/>
          <w:jc w:val="center"/>
        </w:trPr>
        <w:tc>
          <w:tcPr>
            <w:tcW w:w="9080" w:type="dxa"/>
            <w:gridSpan w:val="14"/>
            <w:tcBorders>
              <w:top w:val="nil"/>
              <w:left w:val="nil"/>
              <w:bottom w:val="nil"/>
              <w:right w:val="nil"/>
            </w:tcBorders>
            <w:vAlign w:val="center"/>
          </w:tcPr>
          <w:p w:rsidR="00363F1B" w:rsidRDefault="00363F1B" w:rsidP="009811C8">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363F1B" w:rsidTr="009811C8">
        <w:trPr>
          <w:trHeight w:val="201"/>
          <w:jc w:val="center"/>
        </w:trPr>
        <w:tc>
          <w:tcPr>
            <w:tcW w:w="9080" w:type="dxa"/>
            <w:gridSpan w:val="14"/>
            <w:tcBorders>
              <w:top w:val="nil"/>
              <w:left w:val="nil"/>
              <w:bottom w:val="nil"/>
              <w:right w:val="nil"/>
            </w:tcBorders>
          </w:tcPr>
          <w:p w:rsidR="00363F1B" w:rsidRDefault="00363F1B" w:rsidP="009811C8">
            <w:pPr>
              <w:widowControl/>
              <w:jc w:val="center"/>
              <w:rPr>
                <w:rFonts w:ascii="Times New Roman" w:hAnsi="Times New Roman"/>
                <w:kern w:val="0"/>
                <w:sz w:val="22"/>
              </w:rPr>
            </w:pPr>
            <w:r>
              <w:rPr>
                <w:rFonts w:ascii="Times New Roman" w:hAnsi="Times New Roman"/>
                <w:kern w:val="0"/>
                <w:sz w:val="22"/>
              </w:rPr>
              <w:t>（</w:t>
            </w:r>
            <w:r>
              <w:rPr>
                <w:rFonts w:ascii="Times New Roman" w:hAnsi="Times New Roman"/>
                <w:kern w:val="0"/>
                <w:sz w:val="22"/>
              </w:rPr>
              <w:t>20</w:t>
            </w:r>
            <w:r>
              <w:rPr>
                <w:rFonts w:ascii="Times New Roman" w:hAnsi="Times New Roman" w:hint="eastAsia"/>
                <w:kern w:val="0"/>
                <w:sz w:val="22"/>
              </w:rPr>
              <w:t>22</w:t>
            </w:r>
            <w:r>
              <w:rPr>
                <w:rFonts w:ascii="Times New Roman" w:hAnsi="Times New Roman"/>
                <w:kern w:val="0"/>
                <w:sz w:val="22"/>
              </w:rPr>
              <w:t>年度）</w:t>
            </w:r>
          </w:p>
        </w:tc>
      </w:tr>
      <w:tr w:rsidR="00363F1B" w:rsidTr="009811C8">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363F1B" w:rsidRDefault="00363F1B" w:rsidP="0069126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202</w:t>
            </w:r>
            <w:r w:rsidR="00691262">
              <w:rPr>
                <w:rFonts w:ascii="Times New Roman" w:hAnsi="Times New Roman" w:hint="eastAsia"/>
                <w:kern w:val="0"/>
                <w:sz w:val="18"/>
                <w:szCs w:val="18"/>
              </w:rPr>
              <w:t>0</w:t>
            </w:r>
            <w:r>
              <w:rPr>
                <w:rFonts w:ascii="Times New Roman" w:hAnsi="Times New Roman" w:hint="eastAsia"/>
                <w:kern w:val="0"/>
                <w:sz w:val="18"/>
                <w:szCs w:val="18"/>
              </w:rPr>
              <w:t>年土地评估报告编制技术服务费</w:t>
            </w:r>
          </w:p>
        </w:tc>
      </w:tr>
      <w:tr w:rsidR="00363F1B" w:rsidTr="009811C8">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中方县自然资源局</w:t>
            </w:r>
          </w:p>
        </w:tc>
        <w:tc>
          <w:tcPr>
            <w:tcW w:w="1134"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中方县自然资源局</w:t>
            </w:r>
          </w:p>
        </w:tc>
      </w:tr>
      <w:tr w:rsidR="00363F1B" w:rsidTr="009811C8">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363F1B" w:rsidTr="009811C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363F1B" w:rsidRDefault="00691262"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16.1</w:t>
            </w:r>
          </w:p>
        </w:tc>
        <w:tc>
          <w:tcPr>
            <w:tcW w:w="1134" w:type="dxa"/>
            <w:gridSpan w:val="2"/>
            <w:tcBorders>
              <w:top w:val="nil"/>
              <w:left w:val="nil"/>
              <w:bottom w:val="single" w:sz="4" w:space="0" w:color="auto"/>
              <w:right w:val="single" w:sz="4" w:space="0" w:color="auto"/>
            </w:tcBorders>
            <w:vAlign w:val="center"/>
          </w:tcPr>
          <w:p w:rsidR="00363F1B" w:rsidRDefault="00691262"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16.1</w:t>
            </w:r>
          </w:p>
        </w:tc>
        <w:tc>
          <w:tcPr>
            <w:tcW w:w="1134"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16.1</w:t>
            </w:r>
          </w:p>
        </w:tc>
        <w:tc>
          <w:tcPr>
            <w:tcW w:w="709"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363F1B" w:rsidRDefault="00691262"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r w:rsidR="00363F1B">
              <w:rPr>
                <w:rFonts w:ascii="Times New Roman" w:hAnsi="Times New Roman" w:hint="eastAsia"/>
                <w:kern w:val="0"/>
                <w:sz w:val="18"/>
                <w:szCs w:val="18"/>
              </w:rPr>
              <w:t>%</w:t>
            </w:r>
          </w:p>
        </w:tc>
        <w:tc>
          <w:tcPr>
            <w:tcW w:w="708" w:type="dxa"/>
            <w:tcBorders>
              <w:top w:val="nil"/>
              <w:left w:val="nil"/>
              <w:bottom w:val="single" w:sz="4" w:space="0" w:color="auto"/>
              <w:right w:val="single" w:sz="4" w:space="0" w:color="auto"/>
            </w:tcBorders>
            <w:vAlign w:val="center"/>
          </w:tcPr>
          <w:p w:rsidR="00363F1B" w:rsidRDefault="00691262"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363F1B" w:rsidTr="009811C8">
        <w:trPr>
          <w:trHeight w:hRule="exact" w:val="315"/>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16.1</w:t>
            </w:r>
          </w:p>
        </w:tc>
        <w:tc>
          <w:tcPr>
            <w:tcW w:w="1134"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63F1B" w:rsidTr="009811C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63F1B" w:rsidTr="009811C8">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63F1B" w:rsidTr="009811C8">
        <w:trPr>
          <w:trHeight w:hRule="exact" w:val="338"/>
          <w:jc w:val="center"/>
        </w:trPr>
        <w:tc>
          <w:tcPr>
            <w:tcW w:w="588" w:type="dxa"/>
            <w:vMerge w:val="restart"/>
            <w:tcBorders>
              <w:top w:val="nil"/>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363F1B" w:rsidTr="009811C8">
        <w:trPr>
          <w:trHeight w:hRule="exact" w:val="784"/>
          <w:jc w:val="center"/>
        </w:trPr>
        <w:tc>
          <w:tcPr>
            <w:tcW w:w="588" w:type="dxa"/>
            <w:vMerge/>
            <w:tcBorders>
              <w:top w:val="nil"/>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rPr>
                <w:rFonts w:ascii="Times New Roman" w:hAnsi="Times New Roman"/>
                <w:kern w:val="0"/>
                <w:sz w:val="18"/>
                <w:szCs w:val="18"/>
              </w:rPr>
            </w:pPr>
            <w:r>
              <w:rPr>
                <w:rFonts w:ascii="Times New Roman" w:hAnsi="Times New Roman" w:hint="eastAsia"/>
                <w:kern w:val="0"/>
                <w:sz w:val="18"/>
                <w:szCs w:val="18"/>
              </w:rPr>
              <w:t>确保有序供地，规范土地市场。</w:t>
            </w:r>
          </w:p>
        </w:tc>
        <w:tc>
          <w:tcPr>
            <w:tcW w:w="3402" w:type="dxa"/>
            <w:gridSpan w:val="7"/>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及时提交成果，为科学有序供地提供指导</w:t>
            </w:r>
          </w:p>
        </w:tc>
      </w:tr>
      <w:tr w:rsidR="00363F1B" w:rsidTr="009811C8">
        <w:trPr>
          <w:trHeight w:hRule="exact" w:val="533"/>
          <w:jc w:val="center"/>
        </w:trPr>
        <w:tc>
          <w:tcPr>
            <w:tcW w:w="588" w:type="dxa"/>
            <w:vMerge w:val="restart"/>
            <w:tcBorders>
              <w:top w:val="nil"/>
              <w:left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363F1B" w:rsidTr="009811C8">
        <w:trPr>
          <w:trHeight w:hRule="exact" w:val="1073"/>
          <w:jc w:val="center"/>
        </w:trPr>
        <w:tc>
          <w:tcPr>
            <w:tcW w:w="588" w:type="dxa"/>
            <w:vMerge/>
            <w:tcBorders>
              <w:left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363F1B" w:rsidRDefault="00363F1B" w:rsidP="009811C8">
            <w:pPr>
              <w:widowControl/>
              <w:spacing w:line="300" w:lineRule="exact"/>
              <w:jc w:val="center"/>
              <w:textAlignment w:val="center"/>
              <w:rPr>
                <w:rFonts w:ascii="宋体" w:eastAsia="宋体" w:hAnsi="宋体" w:cs="宋体"/>
                <w:color w:val="000000"/>
                <w:sz w:val="24"/>
                <w:szCs w:val="24"/>
              </w:rPr>
            </w:pPr>
            <w:r>
              <w:rPr>
                <w:rFonts w:ascii="Times New Roman" w:hAnsi="Times New Roman" w:hint="eastAsia"/>
                <w:kern w:val="0"/>
                <w:sz w:val="18"/>
                <w:szCs w:val="18"/>
              </w:rPr>
              <w:t>编制土地评估报告</w:t>
            </w:r>
          </w:p>
        </w:tc>
        <w:tc>
          <w:tcPr>
            <w:tcW w:w="850" w:type="dxa"/>
            <w:tcBorders>
              <w:top w:val="nil"/>
              <w:left w:val="nil"/>
              <w:bottom w:val="single" w:sz="4" w:space="0" w:color="auto"/>
              <w:right w:val="single" w:sz="4" w:space="0" w:color="auto"/>
            </w:tcBorders>
            <w:vAlign w:val="center"/>
          </w:tcPr>
          <w:p w:rsidR="00363F1B" w:rsidRDefault="00691262"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r w:rsidR="00363F1B">
              <w:rPr>
                <w:rFonts w:ascii="Times New Roman" w:hAnsi="Times New Roman" w:hint="eastAsia"/>
                <w:kern w:val="0"/>
                <w:sz w:val="18"/>
                <w:szCs w:val="18"/>
              </w:rPr>
              <w:t>套文本</w:t>
            </w:r>
          </w:p>
        </w:tc>
        <w:tc>
          <w:tcPr>
            <w:tcW w:w="851" w:type="dxa"/>
            <w:tcBorders>
              <w:top w:val="nil"/>
              <w:left w:val="nil"/>
              <w:bottom w:val="single" w:sz="4" w:space="0" w:color="auto"/>
              <w:right w:val="single" w:sz="4" w:space="0" w:color="auto"/>
            </w:tcBorders>
            <w:vAlign w:val="center"/>
          </w:tcPr>
          <w:p w:rsidR="00363F1B" w:rsidRDefault="00363F1B" w:rsidP="0069126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提交</w:t>
            </w:r>
            <w:r w:rsidR="00691262">
              <w:rPr>
                <w:rFonts w:ascii="Times New Roman" w:hAnsi="Times New Roman" w:hint="eastAsia"/>
                <w:kern w:val="0"/>
                <w:sz w:val="18"/>
                <w:szCs w:val="18"/>
              </w:rPr>
              <w:t>10</w:t>
            </w:r>
            <w:r>
              <w:rPr>
                <w:rFonts w:ascii="Times New Roman" w:hAnsi="Times New Roman" w:hint="eastAsia"/>
                <w:kern w:val="0"/>
                <w:sz w:val="18"/>
                <w:szCs w:val="18"/>
              </w:rPr>
              <w:t>宗土地</w:t>
            </w:r>
            <w:r w:rsidR="00691262">
              <w:rPr>
                <w:rFonts w:ascii="Times New Roman" w:hAnsi="Times New Roman" w:hint="eastAsia"/>
                <w:kern w:val="0"/>
                <w:sz w:val="18"/>
                <w:szCs w:val="18"/>
              </w:rPr>
              <w:t>20</w:t>
            </w:r>
            <w:bookmarkStart w:id="0" w:name="_GoBack"/>
            <w:bookmarkEnd w:id="0"/>
            <w:r>
              <w:rPr>
                <w:rFonts w:ascii="Times New Roman" w:hAnsi="Times New Roman" w:hint="eastAsia"/>
                <w:kern w:val="0"/>
                <w:sz w:val="18"/>
                <w:szCs w:val="18"/>
              </w:rPr>
              <w:t>套成果资料</w:t>
            </w:r>
          </w:p>
        </w:tc>
        <w:tc>
          <w:tcPr>
            <w:tcW w:w="567"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r>
      <w:tr w:rsidR="00363F1B" w:rsidTr="009811C8">
        <w:trPr>
          <w:trHeight w:hRule="exact" w:val="735"/>
          <w:jc w:val="center"/>
        </w:trPr>
        <w:tc>
          <w:tcPr>
            <w:tcW w:w="588" w:type="dxa"/>
            <w:vMerge/>
            <w:tcBorders>
              <w:left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363F1B" w:rsidRDefault="00363F1B" w:rsidP="009811C8">
            <w:pPr>
              <w:widowControl/>
              <w:spacing w:line="280" w:lineRule="exact"/>
              <w:jc w:val="center"/>
              <w:textAlignment w:val="center"/>
              <w:rPr>
                <w:rFonts w:ascii="宋体" w:eastAsia="宋体" w:hAnsi="宋体" w:cs="宋体"/>
                <w:color w:val="000000"/>
                <w:sz w:val="24"/>
                <w:szCs w:val="24"/>
              </w:rPr>
            </w:pPr>
            <w:r>
              <w:rPr>
                <w:rFonts w:ascii="Times New Roman" w:hAnsi="Times New Roman" w:hint="eastAsia"/>
                <w:kern w:val="0"/>
                <w:sz w:val="18"/>
                <w:szCs w:val="18"/>
              </w:rPr>
              <w:t>达到评估规范及备案要求</w:t>
            </w:r>
          </w:p>
        </w:tc>
        <w:tc>
          <w:tcPr>
            <w:tcW w:w="850"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通过备案</w:t>
            </w:r>
          </w:p>
        </w:tc>
        <w:tc>
          <w:tcPr>
            <w:tcW w:w="851"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通过备案</w:t>
            </w:r>
          </w:p>
        </w:tc>
        <w:tc>
          <w:tcPr>
            <w:tcW w:w="567"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w:t>
            </w:r>
          </w:p>
        </w:tc>
        <w:tc>
          <w:tcPr>
            <w:tcW w:w="1417" w:type="dxa"/>
            <w:gridSpan w:val="2"/>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r>
      <w:tr w:rsidR="00363F1B" w:rsidTr="009811C8">
        <w:trPr>
          <w:trHeight w:hRule="exact" w:val="547"/>
          <w:jc w:val="center"/>
        </w:trPr>
        <w:tc>
          <w:tcPr>
            <w:tcW w:w="588" w:type="dxa"/>
            <w:vMerge/>
            <w:tcBorders>
              <w:left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按土地出让要求时限</w:t>
            </w:r>
          </w:p>
        </w:tc>
        <w:tc>
          <w:tcPr>
            <w:tcW w:w="850"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按要求</w:t>
            </w:r>
          </w:p>
        </w:tc>
        <w:tc>
          <w:tcPr>
            <w:tcW w:w="851"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按要求</w:t>
            </w:r>
            <w:r>
              <w:rPr>
                <w:rFonts w:ascii="Times New Roman" w:hAnsi="Times New Roman" w:hint="eastAsia"/>
                <w:kern w:val="0"/>
                <w:sz w:val="18"/>
                <w:szCs w:val="18"/>
              </w:rPr>
              <w:t xml:space="preserve"> </w:t>
            </w:r>
            <w:r>
              <w:rPr>
                <w:rFonts w:ascii="Times New Roman" w:hAnsi="Times New Roman" w:hint="eastAsia"/>
                <w:kern w:val="0"/>
                <w:sz w:val="18"/>
                <w:szCs w:val="18"/>
              </w:rPr>
              <w:t>完成</w:t>
            </w:r>
          </w:p>
        </w:tc>
        <w:tc>
          <w:tcPr>
            <w:tcW w:w="567"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363F1B" w:rsidRDefault="00691262"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r>
      <w:tr w:rsidR="00363F1B" w:rsidTr="009811C8">
        <w:trPr>
          <w:trHeight w:hRule="exact" w:val="500"/>
          <w:jc w:val="center"/>
        </w:trPr>
        <w:tc>
          <w:tcPr>
            <w:tcW w:w="588" w:type="dxa"/>
            <w:vMerge/>
            <w:tcBorders>
              <w:left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土地评估技术服务费</w:t>
            </w:r>
          </w:p>
        </w:tc>
        <w:tc>
          <w:tcPr>
            <w:tcW w:w="850" w:type="dxa"/>
            <w:tcBorders>
              <w:top w:val="nil"/>
              <w:left w:val="nil"/>
              <w:bottom w:val="single" w:sz="4" w:space="0" w:color="auto"/>
              <w:right w:val="single" w:sz="4" w:space="0" w:color="auto"/>
            </w:tcBorders>
            <w:vAlign w:val="center"/>
          </w:tcPr>
          <w:p w:rsidR="00363F1B" w:rsidRDefault="00691262"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16.1</w:t>
            </w:r>
            <w:r w:rsidR="00363F1B">
              <w:rPr>
                <w:rFonts w:ascii="Times New Roman" w:hAnsi="Times New Roman" w:hint="eastAsia"/>
                <w:kern w:val="0"/>
                <w:sz w:val="18"/>
                <w:szCs w:val="18"/>
              </w:rPr>
              <w:t>万元</w:t>
            </w:r>
          </w:p>
        </w:tc>
        <w:tc>
          <w:tcPr>
            <w:tcW w:w="851"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16.1</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363F1B" w:rsidRDefault="00691262"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r>
      <w:tr w:rsidR="00363F1B" w:rsidTr="009811C8">
        <w:trPr>
          <w:trHeight w:hRule="exact" w:val="889"/>
          <w:jc w:val="center"/>
        </w:trPr>
        <w:tc>
          <w:tcPr>
            <w:tcW w:w="588" w:type="dxa"/>
            <w:vMerge/>
            <w:tcBorders>
              <w:left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规范土地出让价格，提高土地出让收益。</w:t>
            </w:r>
          </w:p>
        </w:tc>
        <w:tc>
          <w:tcPr>
            <w:tcW w:w="850"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实现土地收益最大化</w:t>
            </w:r>
          </w:p>
        </w:tc>
        <w:tc>
          <w:tcPr>
            <w:tcW w:w="851"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政府决策高于评估价，提高了土地收益。</w:t>
            </w:r>
          </w:p>
        </w:tc>
        <w:tc>
          <w:tcPr>
            <w:tcW w:w="567"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r>
      <w:tr w:rsidR="00363F1B" w:rsidTr="009811C8">
        <w:trPr>
          <w:trHeight w:hRule="exact" w:val="959"/>
          <w:jc w:val="center"/>
        </w:trPr>
        <w:tc>
          <w:tcPr>
            <w:tcW w:w="588" w:type="dxa"/>
            <w:vMerge/>
            <w:tcBorders>
              <w:left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363F1B" w:rsidRDefault="00363F1B" w:rsidP="009811C8">
            <w:pPr>
              <w:widowControl/>
              <w:jc w:val="center"/>
              <w:textAlignment w:val="center"/>
              <w:rPr>
                <w:rFonts w:ascii="宋体" w:eastAsia="宋体" w:hAnsi="宋体" w:cs="宋体"/>
                <w:color w:val="000000"/>
                <w:sz w:val="24"/>
                <w:szCs w:val="24"/>
              </w:rPr>
            </w:pPr>
            <w:r>
              <w:rPr>
                <w:rFonts w:ascii="Times New Roman" w:hAnsi="Times New Roman" w:hint="eastAsia"/>
                <w:color w:val="000000"/>
                <w:kern w:val="0"/>
                <w:sz w:val="18"/>
                <w:szCs w:val="18"/>
              </w:rPr>
              <w:t>促进土地市场健康平稳发展</w:t>
            </w:r>
          </w:p>
        </w:tc>
        <w:tc>
          <w:tcPr>
            <w:tcW w:w="850"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确保供地价格公正合理</w:t>
            </w:r>
          </w:p>
        </w:tc>
        <w:tc>
          <w:tcPr>
            <w:tcW w:w="851"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为政府定价提供指导，防止低价出让。</w:t>
            </w:r>
          </w:p>
        </w:tc>
        <w:tc>
          <w:tcPr>
            <w:tcW w:w="567"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363F1B" w:rsidRDefault="00691262"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r>
      <w:tr w:rsidR="00363F1B" w:rsidTr="009811C8">
        <w:trPr>
          <w:trHeight w:hRule="exact" w:val="476"/>
          <w:jc w:val="center"/>
        </w:trPr>
        <w:tc>
          <w:tcPr>
            <w:tcW w:w="588" w:type="dxa"/>
            <w:vMerge/>
            <w:tcBorders>
              <w:left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指</w:t>
            </w:r>
            <w:r>
              <w:rPr>
                <w:rFonts w:ascii="Times New Roman" w:hAnsi="Times New Roman" w:hint="eastAsia"/>
                <w:kern w:val="0"/>
                <w:sz w:val="18"/>
                <w:szCs w:val="18"/>
              </w:rPr>
              <w:t xml:space="preserve">   </w:t>
            </w:r>
            <w:r>
              <w:rPr>
                <w:rFonts w:ascii="Times New Roman" w:hAnsi="Times New Roman"/>
                <w:kern w:val="0"/>
                <w:sz w:val="18"/>
                <w:szCs w:val="18"/>
              </w:rPr>
              <w:t>标</w:t>
            </w:r>
          </w:p>
        </w:tc>
        <w:tc>
          <w:tcPr>
            <w:tcW w:w="2148" w:type="dxa"/>
            <w:gridSpan w:val="3"/>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无</w:t>
            </w:r>
          </w:p>
        </w:tc>
        <w:tc>
          <w:tcPr>
            <w:tcW w:w="850"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r>
      <w:tr w:rsidR="00363F1B" w:rsidTr="009811C8">
        <w:trPr>
          <w:trHeight w:hRule="exact" w:val="700"/>
          <w:jc w:val="center"/>
        </w:trPr>
        <w:tc>
          <w:tcPr>
            <w:tcW w:w="588" w:type="dxa"/>
            <w:vMerge/>
            <w:tcBorders>
              <w:left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保持地价的持续稳定</w:t>
            </w:r>
          </w:p>
        </w:tc>
        <w:tc>
          <w:tcPr>
            <w:tcW w:w="850"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确保土地出让收益</w:t>
            </w:r>
          </w:p>
        </w:tc>
        <w:tc>
          <w:tcPr>
            <w:tcW w:w="851" w:type="dxa"/>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防止低价出让</w:t>
            </w:r>
          </w:p>
        </w:tc>
        <w:tc>
          <w:tcPr>
            <w:tcW w:w="567"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r>
      <w:tr w:rsidR="00363F1B" w:rsidTr="009811C8">
        <w:trPr>
          <w:trHeight w:hRule="exact" w:val="840"/>
          <w:jc w:val="center"/>
        </w:trPr>
        <w:tc>
          <w:tcPr>
            <w:tcW w:w="588" w:type="dxa"/>
            <w:vMerge/>
            <w:tcBorders>
              <w:left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c>
          <w:tcPr>
            <w:tcW w:w="980" w:type="dxa"/>
            <w:tcBorders>
              <w:top w:val="single" w:sz="4" w:space="0" w:color="auto"/>
              <w:left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363F1B" w:rsidRDefault="00363F1B" w:rsidP="009811C8">
            <w:pPr>
              <w:widowControl/>
              <w:spacing w:line="280" w:lineRule="exact"/>
              <w:jc w:val="center"/>
              <w:textAlignment w:val="center"/>
              <w:rPr>
                <w:rFonts w:ascii="宋体" w:eastAsia="宋体" w:hAnsi="宋体" w:cs="宋体"/>
                <w:color w:val="000000"/>
                <w:sz w:val="24"/>
                <w:szCs w:val="24"/>
              </w:rPr>
            </w:pPr>
            <w:r>
              <w:rPr>
                <w:rFonts w:ascii="Times New Roman" w:hAnsi="Times New Roman" w:hint="eastAsia"/>
                <w:color w:val="000000"/>
                <w:kern w:val="0"/>
                <w:sz w:val="18"/>
                <w:szCs w:val="18"/>
              </w:rPr>
              <w:t>社会公众或服务对象满意度</w:t>
            </w:r>
          </w:p>
        </w:tc>
        <w:tc>
          <w:tcPr>
            <w:tcW w:w="850" w:type="dxa"/>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color w:val="000000"/>
                <w:kern w:val="0"/>
                <w:sz w:val="18"/>
                <w:szCs w:val="18"/>
              </w:rPr>
              <w:t>95%</w:t>
            </w:r>
            <w:r>
              <w:rPr>
                <w:rFonts w:ascii="Times New Roman" w:hAnsi="Times New Roman" w:hint="eastAsia"/>
                <w:color w:val="000000"/>
                <w:kern w:val="0"/>
                <w:sz w:val="18"/>
                <w:szCs w:val="18"/>
              </w:rPr>
              <w:t>以上</w:t>
            </w:r>
          </w:p>
        </w:tc>
        <w:tc>
          <w:tcPr>
            <w:tcW w:w="851" w:type="dxa"/>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r>
      <w:tr w:rsidR="00363F1B" w:rsidTr="009811C8">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363F1B" w:rsidRDefault="00363F1B" w:rsidP="00691262">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w:t>
            </w:r>
            <w:r w:rsidR="00691262">
              <w:rPr>
                <w:rFonts w:ascii="Times New Roman" w:hAnsi="Times New Roman" w:hint="eastAsia"/>
                <w:color w:val="000000"/>
                <w:kern w:val="0"/>
                <w:sz w:val="18"/>
                <w:szCs w:val="18"/>
              </w:rPr>
              <w:t>7</w:t>
            </w:r>
          </w:p>
        </w:tc>
        <w:tc>
          <w:tcPr>
            <w:tcW w:w="1417" w:type="dxa"/>
            <w:gridSpan w:val="2"/>
            <w:tcBorders>
              <w:top w:val="single" w:sz="4" w:space="0" w:color="auto"/>
              <w:left w:val="nil"/>
              <w:bottom w:val="single" w:sz="4" w:space="0" w:color="auto"/>
              <w:right w:val="single" w:sz="4" w:space="0" w:color="auto"/>
            </w:tcBorders>
            <w:vAlign w:val="center"/>
          </w:tcPr>
          <w:p w:rsidR="00363F1B" w:rsidRDefault="00363F1B" w:rsidP="009811C8">
            <w:pPr>
              <w:widowControl/>
              <w:spacing w:line="240" w:lineRule="exact"/>
              <w:jc w:val="center"/>
              <w:rPr>
                <w:rFonts w:ascii="Times New Roman" w:hAnsi="Times New Roman"/>
                <w:kern w:val="0"/>
                <w:sz w:val="18"/>
                <w:szCs w:val="18"/>
              </w:rPr>
            </w:pPr>
          </w:p>
        </w:tc>
      </w:tr>
    </w:tbl>
    <w:p w:rsidR="00363F1B" w:rsidRDefault="00363F1B" w:rsidP="00363F1B">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CC6101" w:rsidRPr="00CC6101">
        <w:rPr>
          <w:noProof/>
          <w:sz w:val="18"/>
        </w:rPr>
        <w:pict>
          <v:rect id="矩形 1" o:spid="_x0000_s1026" style="position:absolute;margin-left:-8.5pt;margin-top:14.6pt;width:7in;height:9.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" strokecolor="white">
            <v:textbox>
              <w:txbxContent>
                <w:p w:rsidR="00363F1B" w:rsidRDefault="00363F1B" w:rsidP="00363F1B">
                  <w:pPr>
                    <w:jc w:val="center"/>
                  </w:pPr>
                </w:p>
              </w:txbxContent>
            </v:textbox>
          </v:rect>
        </w:pict>
      </w:r>
    </w:p>
    <w:tbl>
      <w:tblPr>
        <w:tblpPr w:leftFromText="180" w:rightFromText="180" w:vertAnchor="text" w:horzAnchor="page" w:tblpX="1585" w:tblpY="701"/>
        <w:tblOverlap w:val="never"/>
        <w:tblW w:w="9540" w:type="dxa"/>
        <w:tblLayout w:type="fixed"/>
        <w:tblLook w:val="04A0"/>
      </w:tblPr>
      <w:tblGrid>
        <w:gridCol w:w="9540"/>
      </w:tblGrid>
      <w:tr w:rsidR="00363F1B" w:rsidTr="009811C8">
        <w:trPr>
          <w:trHeight w:val="465"/>
        </w:trPr>
        <w:tc>
          <w:tcPr>
            <w:tcW w:w="9540" w:type="dxa"/>
            <w:tcBorders>
              <w:top w:val="single" w:sz="4" w:space="0" w:color="auto"/>
              <w:left w:val="nil"/>
              <w:bottom w:val="nil"/>
              <w:right w:val="nil"/>
            </w:tcBorders>
            <w:vAlign w:val="center"/>
          </w:tcPr>
          <w:p w:rsidR="00363F1B" w:rsidRDefault="00363F1B" w:rsidP="009811C8">
            <w:pPr>
              <w:widowControl/>
              <w:spacing w:line="400" w:lineRule="exact"/>
              <w:jc w:val="left"/>
              <w:rPr>
                <w:color w:val="000000"/>
                <w:kern w:val="0"/>
                <w:sz w:val="18"/>
                <w:szCs w:val="18"/>
              </w:rPr>
            </w:pPr>
            <w:r>
              <w:rPr>
                <w:color w:val="000000"/>
                <w:kern w:val="0"/>
                <w:sz w:val="18"/>
                <w:szCs w:val="18"/>
              </w:rPr>
              <w:lastRenderedPageBreak/>
              <w:t>注：</w:t>
            </w:r>
            <w:r>
              <w:rPr>
                <w:color w:val="000000"/>
                <w:kern w:val="0"/>
                <w:sz w:val="18"/>
                <w:szCs w:val="18"/>
              </w:rPr>
              <w:t>1.</w:t>
            </w:r>
            <w:r>
              <w:rPr>
                <w:color w:val="000000"/>
                <w:kern w:val="0"/>
                <w:sz w:val="18"/>
                <w:szCs w:val="18"/>
              </w:rPr>
              <w:t>一级指标分值统一设置为：产出指标</w:t>
            </w:r>
            <w:r>
              <w:rPr>
                <w:color w:val="000000"/>
                <w:kern w:val="0"/>
                <w:sz w:val="18"/>
                <w:szCs w:val="18"/>
              </w:rPr>
              <w:t>50</w:t>
            </w:r>
            <w:r>
              <w:rPr>
                <w:color w:val="000000"/>
                <w:kern w:val="0"/>
                <w:sz w:val="18"/>
                <w:szCs w:val="18"/>
              </w:rPr>
              <w:t>分、效益指标</w:t>
            </w:r>
            <w:r>
              <w:rPr>
                <w:color w:val="000000"/>
                <w:kern w:val="0"/>
                <w:sz w:val="18"/>
                <w:szCs w:val="18"/>
              </w:rPr>
              <w:t>30</w:t>
            </w:r>
            <w:r>
              <w:rPr>
                <w:color w:val="000000"/>
                <w:kern w:val="0"/>
                <w:sz w:val="18"/>
                <w:szCs w:val="18"/>
              </w:rPr>
              <w:t>分、服务对象满意度指标</w:t>
            </w:r>
            <w:r>
              <w:rPr>
                <w:color w:val="000000"/>
                <w:kern w:val="0"/>
                <w:sz w:val="18"/>
                <w:szCs w:val="18"/>
              </w:rPr>
              <w:t>10</w:t>
            </w:r>
            <w:r>
              <w:rPr>
                <w:color w:val="000000"/>
                <w:kern w:val="0"/>
                <w:sz w:val="18"/>
                <w:szCs w:val="18"/>
              </w:rPr>
              <w:t>分、预算资金执行率</w:t>
            </w:r>
            <w:r>
              <w:rPr>
                <w:color w:val="000000"/>
                <w:kern w:val="0"/>
                <w:sz w:val="18"/>
                <w:szCs w:val="18"/>
              </w:rPr>
              <w:t>10</w:t>
            </w:r>
            <w:r>
              <w:rPr>
                <w:color w:val="000000"/>
                <w:kern w:val="0"/>
                <w:sz w:val="18"/>
                <w:szCs w:val="18"/>
              </w:rPr>
              <w:t>分。如有特殊情况，上述权重可做适当调整，但加总后应等于</w:t>
            </w:r>
            <w:r>
              <w:rPr>
                <w:color w:val="000000"/>
                <w:kern w:val="0"/>
                <w:sz w:val="18"/>
                <w:szCs w:val="18"/>
              </w:rPr>
              <w:t>100</w:t>
            </w:r>
            <w:r>
              <w:rPr>
                <w:color w:val="000000"/>
                <w:kern w:val="0"/>
                <w:sz w:val="18"/>
                <w:szCs w:val="18"/>
              </w:rPr>
              <w:t>分。各部门根据各项指标重要程度确定三级指标的分值。得分一档最高不能超过该指标分值上限。</w:t>
            </w:r>
          </w:p>
        </w:tc>
      </w:tr>
      <w:tr w:rsidR="00363F1B" w:rsidTr="009811C8">
        <w:trPr>
          <w:trHeight w:val="465"/>
        </w:trPr>
        <w:tc>
          <w:tcPr>
            <w:tcW w:w="9540" w:type="dxa"/>
            <w:tcBorders>
              <w:top w:val="nil"/>
              <w:left w:val="nil"/>
              <w:bottom w:val="nil"/>
              <w:right w:val="nil"/>
            </w:tcBorders>
            <w:vAlign w:val="center"/>
          </w:tcPr>
          <w:p w:rsidR="00363F1B" w:rsidRDefault="00363F1B" w:rsidP="009811C8">
            <w:pPr>
              <w:widowControl/>
              <w:spacing w:line="400" w:lineRule="exact"/>
              <w:jc w:val="left"/>
              <w:rPr>
                <w:color w:val="000000"/>
                <w:kern w:val="0"/>
                <w:sz w:val="18"/>
                <w:szCs w:val="18"/>
              </w:rPr>
            </w:pPr>
            <w:r>
              <w:rPr>
                <w:color w:val="000000"/>
                <w:kern w:val="0"/>
                <w:sz w:val="18"/>
                <w:szCs w:val="18"/>
              </w:rPr>
              <w:t xml:space="preserve">    2.</w:t>
            </w:r>
            <w:r>
              <w:rPr>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color w:val="000000"/>
                <w:kern w:val="0"/>
                <w:sz w:val="18"/>
                <w:szCs w:val="18"/>
              </w:rPr>
              <w:t>含</w:t>
            </w:r>
            <w:r>
              <w:rPr>
                <w:color w:val="000000"/>
                <w:kern w:val="0"/>
                <w:sz w:val="18"/>
                <w:szCs w:val="18"/>
              </w:rPr>
              <w:t>80%)</w:t>
            </w:r>
            <w:r>
              <w:rPr>
                <w:color w:val="000000"/>
                <w:kern w:val="0"/>
                <w:sz w:val="18"/>
                <w:szCs w:val="18"/>
              </w:rPr>
              <w:t>、</w:t>
            </w:r>
            <w:r>
              <w:rPr>
                <w:color w:val="000000"/>
                <w:kern w:val="0"/>
                <w:sz w:val="18"/>
                <w:szCs w:val="18"/>
              </w:rPr>
              <w:t>80-50%(</w:t>
            </w:r>
            <w:r>
              <w:rPr>
                <w:color w:val="000000"/>
                <w:kern w:val="0"/>
                <w:sz w:val="18"/>
                <w:szCs w:val="18"/>
              </w:rPr>
              <w:t>含</w:t>
            </w:r>
            <w:r>
              <w:rPr>
                <w:color w:val="000000"/>
                <w:kern w:val="0"/>
                <w:sz w:val="18"/>
                <w:szCs w:val="18"/>
              </w:rPr>
              <w:t>50%)</w:t>
            </w:r>
            <w:r>
              <w:rPr>
                <w:color w:val="000000"/>
                <w:kern w:val="0"/>
                <w:sz w:val="18"/>
                <w:szCs w:val="18"/>
              </w:rPr>
              <w:t>、</w:t>
            </w:r>
            <w:r>
              <w:rPr>
                <w:color w:val="000000"/>
                <w:kern w:val="0"/>
                <w:sz w:val="18"/>
                <w:szCs w:val="18"/>
              </w:rPr>
              <w:t>50-0%</w:t>
            </w:r>
            <w:r>
              <w:rPr>
                <w:color w:val="000000"/>
                <w:kern w:val="0"/>
                <w:sz w:val="18"/>
                <w:szCs w:val="18"/>
              </w:rPr>
              <w:t>合理确定分值。</w:t>
            </w:r>
          </w:p>
        </w:tc>
      </w:tr>
      <w:tr w:rsidR="00363F1B" w:rsidTr="009811C8">
        <w:trPr>
          <w:trHeight w:val="465"/>
        </w:trPr>
        <w:tc>
          <w:tcPr>
            <w:tcW w:w="9540" w:type="dxa"/>
            <w:tcBorders>
              <w:top w:val="nil"/>
              <w:left w:val="nil"/>
              <w:bottom w:val="nil"/>
              <w:right w:val="nil"/>
            </w:tcBorders>
            <w:vAlign w:val="center"/>
          </w:tcPr>
          <w:p w:rsidR="00363F1B" w:rsidRDefault="00363F1B" w:rsidP="009811C8">
            <w:pPr>
              <w:widowControl/>
              <w:spacing w:line="400" w:lineRule="exact"/>
              <w:jc w:val="left"/>
              <w:rPr>
                <w:color w:val="000000"/>
                <w:kern w:val="0"/>
                <w:sz w:val="18"/>
                <w:szCs w:val="18"/>
              </w:rPr>
            </w:pPr>
            <w:r>
              <w:rPr>
                <w:color w:val="000000"/>
                <w:kern w:val="0"/>
                <w:sz w:val="18"/>
                <w:szCs w:val="18"/>
              </w:rPr>
              <w:t xml:space="preserve">    3.</w:t>
            </w:r>
            <w:r>
              <w:rPr>
                <w:color w:val="000000"/>
                <w:kern w:val="0"/>
                <w:sz w:val="18"/>
                <w:szCs w:val="18"/>
              </w:rPr>
              <w:t>定量指标若为正向指标（即指标值为</w:t>
            </w:r>
            <w:r>
              <w:rPr>
                <w:color w:val="000000"/>
                <w:kern w:val="0"/>
                <w:sz w:val="18"/>
                <w:szCs w:val="18"/>
              </w:rPr>
              <w:t>≥*</w:t>
            </w:r>
            <w:r>
              <w:rPr>
                <w:color w:val="000000"/>
                <w:kern w:val="0"/>
                <w:sz w:val="18"/>
                <w:szCs w:val="18"/>
              </w:rPr>
              <w:t>），则得分计算方法应用全年实际值（</w:t>
            </w:r>
            <w:r>
              <w:rPr>
                <w:color w:val="000000"/>
                <w:kern w:val="0"/>
                <w:sz w:val="18"/>
                <w:szCs w:val="18"/>
              </w:rPr>
              <w:t>B</w:t>
            </w:r>
            <w:r>
              <w:rPr>
                <w:color w:val="000000"/>
                <w:kern w:val="0"/>
                <w:sz w:val="18"/>
                <w:szCs w:val="18"/>
              </w:rPr>
              <w:t>）</w:t>
            </w:r>
            <w:r>
              <w:rPr>
                <w:color w:val="000000"/>
                <w:kern w:val="0"/>
                <w:sz w:val="18"/>
                <w:szCs w:val="18"/>
              </w:rPr>
              <w:t>/</w:t>
            </w:r>
            <w:r>
              <w:rPr>
                <w:color w:val="000000"/>
                <w:kern w:val="0"/>
                <w:sz w:val="18"/>
                <w:szCs w:val="18"/>
              </w:rPr>
              <w:t>年度指标值（</w:t>
            </w:r>
            <w:r>
              <w:rPr>
                <w:color w:val="000000"/>
                <w:kern w:val="0"/>
                <w:sz w:val="18"/>
                <w:szCs w:val="18"/>
              </w:rPr>
              <w:t>A</w:t>
            </w:r>
            <w:r>
              <w:rPr>
                <w:color w:val="000000"/>
                <w:kern w:val="0"/>
                <w:sz w:val="18"/>
                <w:szCs w:val="18"/>
              </w:rPr>
              <w:t>）</w:t>
            </w:r>
            <w:r>
              <w:rPr>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color w:val="000000"/>
                <w:kern w:val="0"/>
                <w:sz w:val="18"/>
                <w:szCs w:val="18"/>
              </w:rPr>
              <w:t>），则得分计算方法应用年度指标值（</w:t>
            </w:r>
            <w:r>
              <w:rPr>
                <w:color w:val="000000"/>
                <w:kern w:val="0"/>
                <w:sz w:val="18"/>
                <w:szCs w:val="18"/>
              </w:rPr>
              <w:t>A</w:t>
            </w:r>
            <w:r>
              <w:rPr>
                <w:color w:val="000000"/>
                <w:kern w:val="0"/>
                <w:sz w:val="18"/>
                <w:szCs w:val="18"/>
              </w:rPr>
              <w:t>）</w:t>
            </w:r>
            <w:r>
              <w:rPr>
                <w:color w:val="000000"/>
                <w:kern w:val="0"/>
                <w:sz w:val="18"/>
                <w:szCs w:val="18"/>
              </w:rPr>
              <w:t>/</w:t>
            </w:r>
            <w:r>
              <w:rPr>
                <w:color w:val="000000"/>
                <w:kern w:val="0"/>
                <w:sz w:val="18"/>
                <w:szCs w:val="18"/>
              </w:rPr>
              <w:t>全年实际值（</w:t>
            </w:r>
            <w:r>
              <w:rPr>
                <w:color w:val="000000"/>
                <w:kern w:val="0"/>
                <w:sz w:val="18"/>
                <w:szCs w:val="18"/>
              </w:rPr>
              <w:t>B</w:t>
            </w:r>
            <w:r>
              <w:rPr>
                <w:color w:val="000000"/>
                <w:kern w:val="0"/>
                <w:sz w:val="18"/>
                <w:szCs w:val="18"/>
              </w:rPr>
              <w:t>）</w:t>
            </w:r>
            <w:r>
              <w:rPr>
                <w:color w:val="000000"/>
                <w:kern w:val="0"/>
                <w:sz w:val="12"/>
                <w:szCs w:val="12"/>
              </w:rPr>
              <w:t>╳</w:t>
            </w:r>
            <w:r>
              <w:rPr>
                <w:color w:val="000000"/>
                <w:kern w:val="0"/>
                <w:sz w:val="18"/>
                <w:szCs w:val="18"/>
              </w:rPr>
              <w:t>该指标分值。</w:t>
            </w:r>
          </w:p>
        </w:tc>
      </w:tr>
      <w:tr w:rsidR="00363F1B" w:rsidTr="009811C8">
        <w:trPr>
          <w:trHeight w:val="210"/>
        </w:trPr>
        <w:tc>
          <w:tcPr>
            <w:tcW w:w="9540" w:type="dxa"/>
            <w:tcBorders>
              <w:top w:val="nil"/>
              <w:left w:val="nil"/>
              <w:bottom w:val="nil"/>
              <w:right w:val="nil"/>
            </w:tcBorders>
            <w:noWrap/>
            <w:vAlign w:val="center"/>
          </w:tcPr>
          <w:p w:rsidR="00363F1B" w:rsidRDefault="00363F1B" w:rsidP="009811C8">
            <w:pPr>
              <w:widowControl/>
              <w:spacing w:line="400" w:lineRule="exact"/>
              <w:jc w:val="left"/>
              <w:rPr>
                <w:color w:val="000000"/>
                <w:kern w:val="0"/>
                <w:sz w:val="18"/>
                <w:szCs w:val="18"/>
              </w:rPr>
            </w:pPr>
            <w:r>
              <w:rPr>
                <w:color w:val="000000"/>
                <w:kern w:val="0"/>
                <w:sz w:val="18"/>
                <w:szCs w:val="18"/>
              </w:rPr>
              <w:t xml:space="preserve">    4.</w:t>
            </w:r>
            <w:r>
              <w:rPr>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color w:val="000000"/>
                <w:kern w:val="0"/>
                <w:sz w:val="18"/>
                <w:szCs w:val="18"/>
              </w:rPr>
              <w:t>中说明偏离目标、不能完成目标的原因及拟采取的措施。</w:t>
            </w:r>
          </w:p>
        </w:tc>
      </w:tr>
    </w:tbl>
    <w:p w:rsidR="00363F1B" w:rsidRDefault="00363F1B" w:rsidP="00363F1B">
      <w:pPr>
        <w:rPr>
          <w:rFonts w:ascii="Times New Roman" w:hAnsi="Times New Roman"/>
        </w:rPr>
      </w:pPr>
    </w:p>
    <w:p w:rsidR="00363F1B" w:rsidRDefault="00363F1B" w:rsidP="00363F1B">
      <w:pPr>
        <w:rPr>
          <w:rFonts w:ascii="Times New Roman" w:eastAsia="黑体" w:hAnsi="Times New Roman"/>
        </w:rPr>
        <w:sectPr w:rsidR="00363F1B">
          <w:footerReference w:type="default" r:id="rId7"/>
          <w:pgSz w:w="11906" w:h="16838"/>
          <w:pgMar w:top="1587" w:right="1587" w:bottom="1587" w:left="1587" w:header="737" w:footer="850" w:gutter="0"/>
          <w:cols w:space="720"/>
          <w:docGrid w:type="lines" w:linePitch="408"/>
        </w:sectPr>
      </w:pPr>
    </w:p>
    <w:p w:rsidR="00363F1B" w:rsidRDefault="00363F1B" w:rsidP="00363F1B">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2</w:t>
      </w:r>
    </w:p>
    <w:p w:rsidR="00363F1B" w:rsidRDefault="00363F1B" w:rsidP="00363F1B">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5887"/>
        <w:gridCol w:w="775"/>
      </w:tblGrid>
      <w:tr w:rsidR="00363F1B" w:rsidTr="009811C8">
        <w:trPr>
          <w:trHeight w:val="692"/>
          <w:tblHeader/>
          <w:jc w:val="center"/>
        </w:trPr>
        <w:tc>
          <w:tcPr>
            <w:tcW w:w="682" w:type="dxa"/>
            <w:shd w:val="clear" w:color="auto" w:fill="FFFFFF"/>
            <w:vAlign w:val="center"/>
          </w:tcPr>
          <w:p w:rsidR="00363F1B" w:rsidRDefault="00363F1B" w:rsidP="009811C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一级指标</w:t>
            </w:r>
          </w:p>
        </w:tc>
        <w:tc>
          <w:tcPr>
            <w:tcW w:w="709" w:type="dxa"/>
            <w:shd w:val="clear" w:color="auto" w:fill="FFFFFF"/>
            <w:vAlign w:val="center"/>
          </w:tcPr>
          <w:p w:rsidR="00363F1B" w:rsidRDefault="00363F1B" w:rsidP="009811C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二级指标</w:t>
            </w:r>
          </w:p>
        </w:tc>
        <w:tc>
          <w:tcPr>
            <w:tcW w:w="1134" w:type="dxa"/>
            <w:shd w:val="clear" w:color="auto" w:fill="FFFFFF"/>
            <w:vAlign w:val="center"/>
          </w:tcPr>
          <w:p w:rsidR="00363F1B" w:rsidRDefault="00363F1B" w:rsidP="009811C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三级指标</w:t>
            </w:r>
          </w:p>
        </w:tc>
        <w:tc>
          <w:tcPr>
            <w:tcW w:w="567" w:type="dxa"/>
            <w:shd w:val="clear" w:color="auto" w:fill="FFFFFF"/>
          </w:tcPr>
          <w:p w:rsidR="00363F1B" w:rsidRDefault="00363F1B" w:rsidP="009811C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分</w:t>
            </w:r>
          </w:p>
          <w:p w:rsidR="00363F1B" w:rsidRDefault="00363F1B" w:rsidP="009811C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值</w:t>
            </w:r>
          </w:p>
        </w:tc>
        <w:tc>
          <w:tcPr>
            <w:tcW w:w="2835" w:type="dxa"/>
            <w:shd w:val="clear" w:color="auto" w:fill="FFFFFF"/>
            <w:vAlign w:val="center"/>
          </w:tcPr>
          <w:p w:rsidR="00363F1B" w:rsidRDefault="00363F1B" w:rsidP="009811C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指标解释</w:t>
            </w:r>
          </w:p>
        </w:tc>
        <w:tc>
          <w:tcPr>
            <w:tcW w:w="5887" w:type="dxa"/>
            <w:shd w:val="clear" w:color="auto" w:fill="FFFFFF"/>
            <w:vAlign w:val="center"/>
          </w:tcPr>
          <w:p w:rsidR="00363F1B" w:rsidRDefault="00363F1B" w:rsidP="009811C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指标说明</w:t>
            </w:r>
          </w:p>
        </w:tc>
        <w:tc>
          <w:tcPr>
            <w:tcW w:w="775" w:type="dxa"/>
            <w:shd w:val="clear" w:color="auto" w:fill="FFFFFF"/>
            <w:vAlign w:val="center"/>
          </w:tcPr>
          <w:p w:rsidR="00363F1B" w:rsidRDefault="00363F1B" w:rsidP="009811C8">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得分</w:t>
            </w:r>
          </w:p>
        </w:tc>
      </w:tr>
      <w:tr w:rsidR="00363F1B" w:rsidTr="009811C8">
        <w:trPr>
          <w:trHeight w:val="2318"/>
          <w:jc w:val="center"/>
        </w:trPr>
        <w:tc>
          <w:tcPr>
            <w:tcW w:w="682" w:type="dxa"/>
            <w:vMerge w:val="restart"/>
            <w:shd w:val="clear" w:color="auto" w:fill="FFFFFF"/>
            <w:vAlign w:val="center"/>
          </w:tcPr>
          <w:p w:rsidR="00363F1B" w:rsidRDefault="00363F1B" w:rsidP="00B05790">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决策</w:t>
            </w:r>
          </w:p>
        </w:tc>
        <w:tc>
          <w:tcPr>
            <w:tcW w:w="709" w:type="dxa"/>
            <w:vMerge w:val="restart"/>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项目立项</w:t>
            </w:r>
          </w:p>
        </w:tc>
        <w:tc>
          <w:tcPr>
            <w:tcW w:w="1134"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立项依据</w:t>
            </w:r>
          </w:p>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充分性</w:t>
            </w:r>
          </w:p>
        </w:tc>
        <w:tc>
          <w:tcPr>
            <w:tcW w:w="567"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项目立项是否符合法律法规、相关政策、发展规划以及部门职责，用以反映和考核项目立项依据情况。</w:t>
            </w:r>
          </w:p>
        </w:tc>
        <w:tc>
          <w:tcPr>
            <w:tcW w:w="5887" w:type="dxa"/>
            <w:shd w:val="clear" w:color="auto" w:fill="FFFFFF"/>
            <w:vAlign w:val="center"/>
          </w:tcPr>
          <w:p w:rsidR="00363F1B" w:rsidRDefault="00363F1B" w:rsidP="009811C8">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项目立项是否符合国家法律法规、国民经济发展规划和相关政策；</w:t>
            </w:r>
            <w:r>
              <w:rPr>
                <w:rFonts w:ascii="Times New Roman" w:hAnsi="Times New Roman"/>
                <w:color w:val="000000"/>
                <w:kern w:val="0"/>
                <w:sz w:val="22"/>
              </w:rPr>
              <w:br/>
              <w:t>②</w:t>
            </w:r>
            <w:r>
              <w:rPr>
                <w:rFonts w:ascii="Times New Roman" w:hAnsi="Times New Roman"/>
                <w:color w:val="000000"/>
                <w:kern w:val="0"/>
                <w:sz w:val="22"/>
              </w:rPr>
              <w:t>项目立项是否符合行业发展规划和政策要求；</w:t>
            </w:r>
            <w:r>
              <w:rPr>
                <w:rFonts w:ascii="Times New Roman" w:hAnsi="Times New Roman"/>
                <w:color w:val="000000"/>
                <w:kern w:val="0"/>
                <w:sz w:val="22"/>
              </w:rPr>
              <w:br/>
              <w:t>③</w:t>
            </w:r>
            <w:r>
              <w:rPr>
                <w:rFonts w:ascii="Times New Roman" w:hAnsi="Times New Roman"/>
                <w:color w:val="000000"/>
                <w:kern w:val="0"/>
                <w:sz w:val="22"/>
              </w:rPr>
              <w:t>项目立项是否与部门职责范围相符，属于部门履职所需；</w:t>
            </w:r>
            <w:r>
              <w:rPr>
                <w:rFonts w:ascii="Times New Roman" w:hAnsi="Times New Roman"/>
                <w:color w:val="000000"/>
                <w:kern w:val="0"/>
                <w:sz w:val="22"/>
              </w:rPr>
              <w:br/>
              <w:t>④</w:t>
            </w:r>
            <w:r>
              <w:rPr>
                <w:rFonts w:ascii="Times New Roman" w:hAnsi="Times New Roman"/>
                <w:color w:val="000000"/>
                <w:kern w:val="0"/>
                <w:sz w:val="22"/>
              </w:rPr>
              <w:t>项目是否属于公共财政支持范围，是否符合中央、地方事权支出责任划分原则；</w:t>
            </w:r>
            <w:r>
              <w:rPr>
                <w:rFonts w:ascii="Times New Roman" w:hAnsi="Times New Roman"/>
                <w:color w:val="000000"/>
                <w:kern w:val="0"/>
                <w:sz w:val="22"/>
              </w:rPr>
              <w:br/>
              <w:t>⑤</w:t>
            </w:r>
            <w:r>
              <w:rPr>
                <w:rFonts w:ascii="Times New Roman" w:hAnsi="Times New Roman"/>
                <w:color w:val="000000"/>
                <w:kern w:val="0"/>
                <w:sz w:val="22"/>
              </w:rPr>
              <w:t>项目是否与相关部门同类项目或部门内部相关项目重复。</w:t>
            </w:r>
          </w:p>
        </w:tc>
        <w:tc>
          <w:tcPr>
            <w:tcW w:w="775"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363F1B" w:rsidTr="009811C8">
        <w:trPr>
          <w:trHeight w:val="1510"/>
          <w:jc w:val="center"/>
        </w:trPr>
        <w:tc>
          <w:tcPr>
            <w:tcW w:w="682" w:type="dxa"/>
            <w:vMerge/>
            <w:shd w:val="clear" w:color="auto" w:fill="FFFFFF"/>
            <w:vAlign w:val="center"/>
          </w:tcPr>
          <w:p w:rsidR="00363F1B" w:rsidRDefault="00363F1B" w:rsidP="009811C8">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立项程序</w:t>
            </w:r>
          </w:p>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规范性</w:t>
            </w:r>
          </w:p>
        </w:tc>
        <w:tc>
          <w:tcPr>
            <w:tcW w:w="567"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项目申请、设立过程是否符合相关要求，用以反映和考核项目立项的规范情况。</w:t>
            </w:r>
          </w:p>
        </w:tc>
        <w:tc>
          <w:tcPr>
            <w:tcW w:w="5887" w:type="dxa"/>
            <w:shd w:val="clear" w:color="auto" w:fill="FFFFFF"/>
            <w:vAlign w:val="center"/>
          </w:tcPr>
          <w:p w:rsidR="00363F1B" w:rsidRDefault="00363F1B" w:rsidP="009811C8">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项目是否按照规定的程序申请设立；</w:t>
            </w:r>
            <w:r>
              <w:rPr>
                <w:rFonts w:ascii="Times New Roman" w:hAnsi="Times New Roman"/>
                <w:color w:val="000000"/>
                <w:kern w:val="0"/>
                <w:sz w:val="22"/>
              </w:rPr>
              <w:br/>
              <w:t>②</w:t>
            </w:r>
            <w:r>
              <w:rPr>
                <w:rFonts w:ascii="Times New Roman" w:hAnsi="Times New Roman"/>
                <w:color w:val="000000"/>
                <w:kern w:val="0"/>
                <w:sz w:val="22"/>
              </w:rPr>
              <w:t>审批文件、材料是否符合相关要求；</w:t>
            </w:r>
            <w:r>
              <w:rPr>
                <w:rFonts w:ascii="Times New Roman" w:hAnsi="Times New Roman"/>
                <w:color w:val="000000"/>
                <w:kern w:val="0"/>
                <w:sz w:val="22"/>
              </w:rPr>
              <w:br/>
              <w:t>③</w:t>
            </w:r>
            <w:r>
              <w:rPr>
                <w:rFonts w:ascii="Times New Roman" w:hAnsi="Times New Roman"/>
                <w:color w:val="000000"/>
                <w:kern w:val="0"/>
                <w:sz w:val="22"/>
              </w:rPr>
              <w:t>事前是否已经过必要的可行性研究、专家论证、风险评估、绩效评估、集体决策。</w:t>
            </w:r>
          </w:p>
        </w:tc>
        <w:tc>
          <w:tcPr>
            <w:tcW w:w="775"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363F1B" w:rsidTr="009811C8">
        <w:trPr>
          <w:trHeight w:val="1829"/>
          <w:jc w:val="center"/>
        </w:trPr>
        <w:tc>
          <w:tcPr>
            <w:tcW w:w="682" w:type="dxa"/>
            <w:vMerge/>
            <w:shd w:val="clear" w:color="auto" w:fill="FFFFFF"/>
            <w:vAlign w:val="center"/>
          </w:tcPr>
          <w:p w:rsidR="00363F1B" w:rsidRDefault="00363F1B" w:rsidP="009811C8">
            <w:pPr>
              <w:spacing w:line="0" w:lineRule="atLeast"/>
              <w:jc w:val="center"/>
              <w:rPr>
                <w:rFonts w:ascii="Times New Roman" w:hAnsi="Times New Roman"/>
                <w:color w:val="000000"/>
                <w:kern w:val="0"/>
                <w:sz w:val="22"/>
              </w:rPr>
            </w:pPr>
          </w:p>
        </w:tc>
        <w:tc>
          <w:tcPr>
            <w:tcW w:w="709"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绩效目标　</w:t>
            </w:r>
          </w:p>
        </w:tc>
        <w:tc>
          <w:tcPr>
            <w:tcW w:w="1134"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项目所设定的绩效目标是否依据充分，是否符合客观实际，用以反映和考核项目绩效目标与项目实施的相符情况。</w:t>
            </w:r>
          </w:p>
        </w:tc>
        <w:tc>
          <w:tcPr>
            <w:tcW w:w="5887" w:type="dxa"/>
            <w:shd w:val="clear" w:color="auto" w:fill="FFFFFF"/>
            <w:vAlign w:val="center"/>
          </w:tcPr>
          <w:p w:rsidR="00363F1B" w:rsidRDefault="00363F1B" w:rsidP="009811C8">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（如未设定预算绩效目标，也可考核其他工作任务目标）</w:t>
            </w:r>
            <w:r>
              <w:rPr>
                <w:rFonts w:ascii="Times New Roman" w:hAnsi="Times New Roman"/>
                <w:color w:val="000000"/>
                <w:kern w:val="0"/>
                <w:sz w:val="22"/>
              </w:rPr>
              <w:br/>
              <w:t>①</w:t>
            </w:r>
            <w:r>
              <w:rPr>
                <w:rFonts w:ascii="Times New Roman" w:hAnsi="Times New Roman"/>
                <w:color w:val="000000"/>
                <w:kern w:val="0"/>
                <w:sz w:val="22"/>
              </w:rPr>
              <w:t>项目是否有绩效目标；</w:t>
            </w:r>
            <w:r>
              <w:rPr>
                <w:rFonts w:ascii="Times New Roman" w:hAnsi="Times New Roman"/>
                <w:color w:val="000000"/>
                <w:kern w:val="0"/>
                <w:sz w:val="22"/>
              </w:rPr>
              <w:br/>
              <w:t>②</w:t>
            </w:r>
            <w:r>
              <w:rPr>
                <w:rFonts w:ascii="Times New Roman" w:hAnsi="Times New Roman"/>
                <w:color w:val="000000"/>
                <w:kern w:val="0"/>
                <w:sz w:val="22"/>
              </w:rPr>
              <w:t>项目绩效目标与实际工作内容是否具有相关性；</w:t>
            </w:r>
            <w:r>
              <w:rPr>
                <w:rFonts w:ascii="Times New Roman" w:hAnsi="Times New Roman"/>
                <w:color w:val="000000"/>
                <w:kern w:val="0"/>
                <w:sz w:val="22"/>
              </w:rPr>
              <w:br/>
              <w:t>③</w:t>
            </w:r>
            <w:r>
              <w:rPr>
                <w:rFonts w:ascii="Times New Roman" w:hAnsi="Times New Roman"/>
                <w:color w:val="000000"/>
                <w:kern w:val="0"/>
                <w:sz w:val="22"/>
              </w:rPr>
              <w:t>项目预期产出效益和效果是否符合正常的业绩水平；</w:t>
            </w:r>
          </w:p>
          <w:p w:rsidR="00363F1B" w:rsidRDefault="00363F1B" w:rsidP="009811C8">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④</w:t>
            </w:r>
            <w:r>
              <w:rPr>
                <w:rFonts w:ascii="Times New Roman" w:hAnsi="Times New Roman"/>
                <w:color w:val="000000"/>
                <w:kern w:val="0"/>
                <w:sz w:val="22"/>
              </w:rPr>
              <w:t>是否与预算确定的项目投资额或资金量相匹配。</w:t>
            </w:r>
          </w:p>
        </w:tc>
        <w:tc>
          <w:tcPr>
            <w:tcW w:w="775"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363F1B" w:rsidTr="009811C8">
        <w:trPr>
          <w:trHeight w:val="1464"/>
          <w:jc w:val="center"/>
        </w:trPr>
        <w:tc>
          <w:tcPr>
            <w:tcW w:w="682" w:type="dxa"/>
            <w:vMerge w:val="restart"/>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决策</w:t>
            </w:r>
          </w:p>
        </w:tc>
        <w:tc>
          <w:tcPr>
            <w:tcW w:w="709"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tc>
        <w:tc>
          <w:tcPr>
            <w:tcW w:w="1134"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绩效指标</w:t>
            </w:r>
          </w:p>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明确性</w:t>
            </w:r>
          </w:p>
        </w:tc>
        <w:tc>
          <w:tcPr>
            <w:tcW w:w="567"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依据绩效目标设定的绩效指标是否清晰、细化、可衡量等，用以反映和考核项目绩效目标的明细化情况。</w:t>
            </w:r>
          </w:p>
        </w:tc>
        <w:tc>
          <w:tcPr>
            <w:tcW w:w="5887"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是否将项目绩效目标细化分解为具体的绩效指标；</w:t>
            </w:r>
            <w:r>
              <w:rPr>
                <w:rFonts w:ascii="Times New Roman" w:hAnsi="Times New Roman"/>
                <w:color w:val="000000"/>
                <w:kern w:val="0"/>
                <w:sz w:val="22"/>
              </w:rPr>
              <w:br/>
              <w:t>②</w:t>
            </w:r>
            <w:r>
              <w:rPr>
                <w:rFonts w:ascii="Times New Roman" w:hAnsi="Times New Roman"/>
                <w:color w:val="000000"/>
                <w:kern w:val="0"/>
                <w:sz w:val="22"/>
              </w:rPr>
              <w:t>是否通过清晰、可衡量的指标值予以体现；</w:t>
            </w:r>
            <w:r>
              <w:rPr>
                <w:rFonts w:ascii="Times New Roman" w:hAnsi="Times New Roman"/>
                <w:color w:val="000000"/>
                <w:kern w:val="0"/>
                <w:sz w:val="22"/>
              </w:rPr>
              <w:br/>
              <w:t>③</w:t>
            </w:r>
            <w:r>
              <w:rPr>
                <w:rFonts w:ascii="Times New Roman" w:hAnsi="Times New Roman"/>
                <w:color w:val="000000"/>
                <w:kern w:val="0"/>
                <w:sz w:val="22"/>
              </w:rPr>
              <w:t>是否与项目目标任务数或计划数相对应。</w:t>
            </w:r>
            <w:r>
              <w:rPr>
                <w:rFonts w:ascii="Times New Roman" w:hAnsi="Times New Roman"/>
                <w:color w:val="000000"/>
                <w:kern w:val="0"/>
                <w:sz w:val="22"/>
              </w:rPr>
              <w:br/>
            </w:r>
          </w:p>
        </w:tc>
        <w:tc>
          <w:tcPr>
            <w:tcW w:w="775"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363F1B" w:rsidTr="009811C8">
        <w:trPr>
          <w:trHeight w:val="1942"/>
          <w:jc w:val="center"/>
        </w:trPr>
        <w:tc>
          <w:tcPr>
            <w:tcW w:w="682" w:type="dxa"/>
            <w:vMerge/>
            <w:shd w:val="clear" w:color="auto" w:fill="FFFFFF"/>
            <w:vAlign w:val="center"/>
          </w:tcPr>
          <w:p w:rsidR="00363F1B" w:rsidRDefault="00363F1B" w:rsidP="009811C8">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资金投入</w:t>
            </w:r>
          </w:p>
          <w:p w:rsidR="00363F1B" w:rsidRDefault="00363F1B" w:rsidP="009811C8">
            <w:pPr>
              <w:spacing w:line="0" w:lineRule="atLeast"/>
              <w:jc w:val="center"/>
              <w:rPr>
                <w:rFonts w:ascii="Times New Roman" w:hAnsi="Times New Roman"/>
                <w:color w:val="000000"/>
                <w:kern w:val="0"/>
                <w:sz w:val="22"/>
              </w:rPr>
            </w:pPr>
          </w:p>
        </w:tc>
        <w:tc>
          <w:tcPr>
            <w:tcW w:w="1134"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预算编制</w:t>
            </w:r>
          </w:p>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科学性</w:t>
            </w:r>
          </w:p>
        </w:tc>
        <w:tc>
          <w:tcPr>
            <w:tcW w:w="567"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项目预算编制是否经过科学论证、有明确标准，资金额度与年度目标是否相适应，用以反映和考核项目预算编制的科学性、合理性情况。</w:t>
            </w:r>
          </w:p>
        </w:tc>
        <w:tc>
          <w:tcPr>
            <w:tcW w:w="5887"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预算编制是否经过科学论证；</w:t>
            </w:r>
            <w:r>
              <w:rPr>
                <w:rFonts w:ascii="Times New Roman" w:hAnsi="Times New Roman"/>
                <w:color w:val="000000"/>
                <w:kern w:val="0"/>
                <w:sz w:val="22"/>
              </w:rPr>
              <w:br/>
              <w:t>②</w:t>
            </w:r>
            <w:r>
              <w:rPr>
                <w:rFonts w:ascii="Times New Roman" w:hAnsi="Times New Roman"/>
                <w:color w:val="000000"/>
                <w:kern w:val="0"/>
                <w:sz w:val="22"/>
              </w:rPr>
              <w:t>预算内容与项目内容是否匹配；</w:t>
            </w:r>
            <w:r>
              <w:rPr>
                <w:rFonts w:ascii="Times New Roman" w:hAnsi="Times New Roman"/>
                <w:color w:val="000000"/>
                <w:kern w:val="0"/>
                <w:sz w:val="22"/>
              </w:rPr>
              <w:br/>
              <w:t>③</w:t>
            </w:r>
            <w:r>
              <w:rPr>
                <w:rFonts w:ascii="Times New Roman" w:hAnsi="Times New Roman"/>
                <w:color w:val="000000"/>
                <w:kern w:val="0"/>
                <w:sz w:val="22"/>
              </w:rPr>
              <w:t>预算额度测算依据是否充分，是否按照标准编制；</w:t>
            </w:r>
            <w:r>
              <w:rPr>
                <w:rFonts w:ascii="Times New Roman" w:hAnsi="Times New Roman"/>
                <w:color w:val="000000"/>
                <w:kern w:val="0"/>
                <w:sz w:val="22"/>
              </w:rPr>
              <w:br/>
              <w:t>④</w:t>
            </w:r>
            <w:r>
              <w:rPr>
                <w:rFonts w:ascii="Times New Roman" w:hAnsi="Times New Roman"/>
                <w:color w:val="000000"/>
                <w:kern w:val="0"/>
                <w:sz w:val="22"/>
              </w:rPr>
              <w:t>预算确定的项目投资额或资金量是否与工作任务相匹配。</w:t>
            </w:r>
          </w:p>
        </w:tc>
        <w:tc>
          <w:tcPr>
            <w:tcW w:w="775"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363F1B" w:rsidTr="009811C8">
        <w:trPr>
          <w:trHeight w:val="1706"/>
          <w:jc w:val="center"/>
        </w:trPr>
        <w:tc>
          <w:tcPr>
            <w:tcW w:w="682" w:type="dxa"/>
            <w:vMerge/>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资金分配</w:t>
            </w:r>
          </w:p>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项目预算资金分配是否有测算依据，与补助单位或地方实际是否相适应，用以反映和考核项目预算资金分配的科学性、合理性情况。</w:t>
            </w:r>
          </w:p>
        </w:tc>
        <w:tc>
          <w:tcPr>
            <w:tcW w:w="5887"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预算资金分配依据是否充分；</w:t>
            </w:r>
            <w:r>
              <w:rPr>
                <w:rFonts w:ascii="Times New Roman" w:hAnsi="Times New Roman"/>
                <w:color w:val="000000"/>
                <w:kern w:val="0"/>
                <w:sz w:val="22"/>
              </w:rPr>
              <w:br/>
              <w:t>②</w:t>
            </w:r>
            <w:r>
              <w:rPr>
                <w:rFonts w:ascii="Times New Roman" w:hAnsi="Times New Roman"/>
                <w:color w:val="000000"/>
                <w:kern w:val="0"/>
                <w:sz w:val="22"/>
              </w:rPr>
              <w:t>资金分配额度是否合理，与项目单位或地方实际是否相适应。</w:t>
            </w:r>
          </w:p>
        </w:tc>
        <w:tc>
          <w:tcPr>
            <w:tcW w:w="775"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363F1B" w:rsidTr="009811C8">
        <w:trPr>
          <w:trHeight w:val="1415"/>
          <w:jc w:val="center"/>
        </w:trPr>
        <w:tc>
          <w:tcPr>
            <w:tcW w:w="682" w:type="dxa"/>
            <w:vMerge w:val="restart"/>
            <w:shd w:val="clear" w:color="auto" w:fill="FFFFFF"/>
            <w:vAlign w:val="center"/>
          </w:tcPr>
          <w:p w:rsidR="00363F1B" w:rsidRDefault="00363F1B" w:rsidP="009811C8">
            <w:pPr>
              <w:spacing w:line="0" w:lineRule="atLeast"/>
              <w:jc w:val="center"/>
              <w:rPr>
                <w:rFonts w:ascii="Times New Roman" w:hAnsi="Times New Roman"/>
                <w:color w:val="000000"/>
                <w:kern w:val="0"/>
                <w:sz w:val="22"/>
              </w:rPr>
            </w:pPr>
            <w:r>
              <w:rPr>
                <w:rFonts w:ascii="Times New Roman" w:hAnsi="Times New Roman"/>
                <w:color w:val="000000"/>
                <w:kern w:val="0"/>
                <w:sz w:val="22"/>
              </w:rPr>
              <w:t>过程</w:t>
            </w:r>
          </w:p>
        </w:tc>
        <w:tc>
          <w:tcPr>
            <w:tcW w:w="709" w:type="dxa"/>
            <w:vMerge w:val="restart"/>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资金到位率</w:t>
            </w:r>
          </w:p>
        </w:tc>
        <w:tc>
          <w:tcPr>
            <w:tcW w:w="567"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实际到位资金与预算资金的比率，用以反映和考核资金落实情况对项目实施的总体保障程度。</w:t>
            </w:r>
          </w:p>
        </w:tc>
        <w:tc>
          <w:tcPr>
            <w:tcW w:w="5887"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资金到位率</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w:t>
            </w:r>
            <w:r>
              <w:rPr>
                <w:rFonts w:ascii="Times New Roman" w:hAnsi="Times New Roman"/>
                <w:color w:val="000000"/>
                <w:kern w:val="0"/>
                <w:sz w:val="22"/>
              </w:rPr>
              <w:t>预算资金）</w:t>
            </w:r>
            <w:r>
              <w:rPr>
                <w:rFonts w:ascii="Times New Roman" w:hAnsi="Times New Roman"/>
                <w:color w:val="000000"/>
                <w:kern w:val="0"/>
                <w:sz w:val="22"/>
              </w:rPr>
              <w:t>×100%</w:t>
            </w:r>
            <w:r>
              <w:rPr>
                <w:rFonts w:ascii="Times New Roman" w:hAnsi="Times New Roman"/>
                <w:color w:val="000000"/>
                <w:kern w:val="0"/>
                <w:sz w:val="22"/>
              </w:rPr>
              <w:t>。</w:t>
            </w:r>
          </w:p>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实际到位资金：一定时期（本年度或项目期）内落实到具体项目的资金。</w:t>
            </w:r>
          </w:p>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预算资金：一定时期（本年度或项目期）内预算安排到具体项目的资金。</w:t>
            </w:r>
          </w:p>
        </w:tc>
        <w:tc>
          <w:tcPr>
            <w:tcW w:w="775"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w:t>
            </w:r>
          </w:p>
        </w:tc>
      </w:tr>
      <w:tr w:rsidR="00363F1B" w:rsidTr="009811C8">
        <w:trPr>
          <w:trHeight w:val="1320"/>
          <w:jc w:val="center"/>
        </w:trPr>
        <w:tc>
          <w:tcPr>
            <w:tcW w:w="682" w:type="dxa"/>
            <w:vMerge/>
            <w:shd w:val="clear" w:color="auto" w:fill="FFFFFF"/>
            <w:vAlign w:val="center"/>
          </w:tcPr>
          <w:p w:rsidR="00363F1B" w:rsidRDefault="00363F1B" w:rsidP="009811C8">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363F1B" w:rsidRDefault="00363F1B" w:rsidP="009811C8">
            <w:pPr>
              <w:spacing w:line="0" w:lineRule="atLeast"/>
              <w:jc w:val="center"/>
              <w:rPr>
                <w:rFonts w:ascii="Times New Roman" w:hAnsi="Times New Roman"/>
                <w:color w:val="000000"/>
                <w:kern w:val="0"/>
                <w:sz w:val="22"/>
              </w:rPr>
            </w:pPr>
          </w:p>
        </w:tc>
        <w:tc>
          <w:tcPr>
            <w:tcW w:w="1134"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预算执行率</w:t>
            </w:r>
          </w:p>
        </w:tc>
        <w:tc>
          <w:tcPr>
            <w:tcW w:w="567"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项目预算资金是否按照计划执行，用以反映或考核项目预算执行情况。</w:t>
            </w:r>
          </w:p>
        </w:tc>
        <w:tc>
          <w:tcPr>
            <w:tcW w:w="5887"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预算执行率</w:t>
            </w:r>
            <w:r>
              <w:rPr>
                <w:rFonts w:ascii="Times New Roman" w:hAnsi="Times New Roman"/>
                <w:color w:val="000000"/>
                <w:kern w:val="0"/>
                <w:sz w:val="22"/>
              </w:rPr>
              <w:t>=</w:t>
            </w:r>
            <w:r>
              <w:rPr>
                <w:rFonts w:ascii="Times New Roman" w:hAnsi="Times New Roman"/>
                <w:color w:val="000000"/>
                <w:kern w:val="0"/>
                <w:sz w:val="22"/>
              </w:rPr>
              <w:t>（实际支出资金</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实际支出资金：一定时期（本年度或项目期）内项目实际拨付的资金。</w:t>
            </w:r>
          </w:p>
        </w:tc>
        <w:tc>
          <w:tcPr>
            <w:tcW w:w="775"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363F1B" w:rsidTr="009811C8">
        <w:trPr>
          <w:trHeight w:val="2076"/>
          <w:jc w:val="center"/>
        </w:trPr>
        <w:tc>
          <w:tcPr>
            <w:tcW w:w="682" w:type="dxa"/>
            <w:vMerge w:val="restart"/>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p>
          <w:p w:rsidR="00363F1B" w:rsidRDefault="00363F1B" w:rsidP="009811C8">
            <w:pPr>
              <w:spacing w:line="0" w:lineRule="atLeast"/>
              <w:jc w:val="center"/>
              <w:rPr>
                <w:rFonts w:ascii="Times New Roman" w:hAnsi="Times New Roman"/>
                <w:color w:val="000000"/>
                <w:kern w:val="0"/>
                <w:sz w:val="22"/>
              </w:rPr>
            </w:pPr>
            <w:r>
              <w:rPr>
                <w:rFonts w:ascii="Times New Roman" w:hAnsi="Times New Roman"/>
                <w:color w:val="000000"/>
                <w:kern w:val="0"/>
                <w:sz w:val="22"/>
              </w:rPr>
              <w:t>过程</w:t>
            </w:r>
          </w:p>
        </w:tc>
        <w:tc>
          <w:tcPr>
            <w:tcW w:w="709"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资金使用</w:t>
            </w:r>
          </w:p>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合规性</w:t>
            </w:r>
          </w:p>
        </w:tc>
        <w:tc>
          <w:tcPr>
            <w:tcW w:w="567"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项目资金使用是否符合相关的财务管理制度规定，用以反映和考核项目资金的规范运行情况。</w:t>
            </w:r>
          </w:p>
        </w:tc>
        <w:tc>
          <w:tcPr>
            <w:tcW w:w="5887"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是否符合国家财经法规和财务管理制度以及有关专项资金管理办法的规定；</w:t>
            </w:r>
            <w:r>
              <w:rPr>
                <w:rFonts w:ascii="Times New Roman" w:hAnsi="Times New Roman"/>
                <w:color w:val="000000"/>
                <w:kern w:val="0"/>
                <w:sz w:val="22"/>
              </w:rPr>
              <w:br/>
              <w:t>②</w:t>
            </w:r>
            <w:r>
              <w:rPr>
                <w:rFonts w:ascii="Times New Roman" w:hAnsi="Times New Roman"/>
                <w:color w:val="000000"/>
                <w:kern w:val="0"/>
                <w:sz w:val="22"/>
              </w:rPr>
              <w:t>资金的拨付是否有完整的审批程序和手续；</w:t>
            </w:r>
            <w:r>
              <w:rPr>
                <w:rFonts w:ascii="Times New Roman" w:hAnsi="Times New Roman"/>
                <w:color w:val="000000"/>
                <w:kern w:val="0"/>
                <w:sz w:val="22"/>
              </w:rPr>
              <w:br/>
              <w:t>③</w:t>
            </w:r>
            <w:r>
              <w:rPr>
                <w:rFonts w:ascii="Times New Roman" w:hAnsi="Times New Roman"/>
                <w:color w:val="000000"/>
                <w:kern w:val="0"/>
                <w:sz w:val="22"/>
              </w:rPr>
              <w:t>是否符合项目预算批复或合同规定的用途；</w:t>
            </w:r>
            <w:r>
              <w:rPr>
                <w:rFonts w:ascii="Times New Roman" w:hAnsi="Times New Roman"/>
                <w:color w:val="000000"/>
                <w:kern w:val="0"/>
                <w:sz w:val="22"/>
              </w:rPr>
              <w:br/>
              <w:t>④</w:t>
            </w:r>
            <w:r>
              <w:rPr>
                <w:rFonts w:ascii="Times New Roman" w:hAnsi="Times New Roman"/>
                <w:color w:val="000000"/>
                <w:kern w:val="0"/>
                <w:sz w:val="22"/>
              </w:rPr>
              <w:t>是否存在截留、挤占、挪用、虚列支出等情况。</w:t>
            </w:r>
          </w:p>
        </w:tc>
        <w:tc>
          <w:tcPr>
            <w:tcW w:w="775"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363F1B" w:rsidTr="009811C8">
        <w:trPr>
          <w:trHeight w:val="1797"/>
          <w:jc w:val="center"/>
        </w:trPr>
        <w:tc>
          <w:tcPr>
            <w:tcW w:w="682" w:type="dxa"/>
            <w:vMerge/>
            <w:shd w:val="clear" w:color="auto" w:fill="FFFFFF"/>
            <w:vAlign w:val="center"/>
          </w:tcPr>
          <w:p w:rsidR="00363F1B" w:rsidRDefault="00363F1B" w:rsidP="009811C8">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组织实施</w:t>
            </w:r>
          </w:p>
          <w:p w:rsidR="00363F1B" w:rsidRDefault="00363F1B" w:rsidP="009811C8">
            <w:pPr>
              <w:spacing w:line="0" w:lineRule="atLeast"/>
              <w:jc w:val="center"/>
              <w:rPr>
                <w:rFonts w:ascii="Times New Roman" w:hAnsi="Times New Roman"/>
                <w:color w:val="000000"/>
                <w:kern w:val="0"/>
                <w:sz w:val="22"/>
              </w:rPr>
            </w:pPr>
          </w:p>
        </w:tc>
        <w:tc>
          <w:tcPr>
            <w:tcW w:w="1134"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管理制度</w:t>
            </w:r>
          </w:p>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健全性</w:t>
            </w:r>
          </w:p>
        </w:tc>
        <w:tc>
          <w:tcPr>
            <w:tcW w:w="567"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项目实施单位的财务和业务管理制度是否健全，用以反映和考核财务和业务管理制度对项目顺利实施的保障情况。</w:t>
            </w:r>
          </w:p>
        </w:tc>
        <w:tc>
          <w:tcPr>
            <w:tcW w:w="5887"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是否已制定或具有相应的财务和业务管理制度；</w:t>
            </w:r>
            <w:r>
              <w:rPr>
                <w:rFonts w:ascii="Times New Roman" w:hAnsi="Times New Roman"/>
                <w:color w:val="000000"/>
                <w:kern w:val="0"/>
                <w:sz w:val="22"/>
              </w:rPr>
              <w:br/>
              <w:t>②</w:t>
            </w:r>
            <w:r>
              <w:rPr>
                <w:rFonts w:ascii="Times New Roman" w:hAnsi="Times New Roman"/>
                <w:color w:val="000000"/>
                <w:kern w:val="0"/>
                <w:sz w:val="22"/>
              </w:rPr>
              <w:t>财务和业务管理制度是否合法、合规、完整。</w:t>
            </w:r>
          </w:p>
        </w:tc>
        <w:tc>
          <w:tcPr>
            <w:tcW w:w="775"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363F1B" w:rsidTr="009811C8">
        <w:trPr>
          <w:trHeight w:val="1769"/>
          <w:jc w:val="center"/>
        </w:trPr>
        <w:tc>
          <w:tcPr>
            <w:tcW w:w="682" w:type="dxa"/>
            <w:vMerge/>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制度执行</w:t>
            </w:r>
          </w:p>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有效性</w:t>
            </w:r>
          </w:p>
        </w:tc>
        <w:tc>
          <w:tcPr>
            <w:tcW w:w="567"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项目实施是否符合相关管理规定，用以反映和考核相关管理制度的有效执行情况。</w:t>
            </w:r>
          </w:p>
        </w:tc>
        <w:tc>
          <w:tcPr>
            <w:tcW w:w="5887"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是否遵守相关法律法规和相关管理规定；</w:t>
            </w:r>
            <w:r>
              <w:rPr>
                <w:rFonts w:ascii="Times New Roman" w:hAnsi="Times New Roman"/>
                <w:color w:val="000000"/>
                <w:kern w:val="0"/>
                <w:sz w:val="22"/>
              </w:rPr>
              <w:br/>
              <w:t>②</w:t>
            </w:r>
            <w:r>
              <w:rPr>
                <w:rFonts w:ascii="Times New Roman" w:hAnsi="Times New Roman"/>
                <w:color w:val="000000"/>
                <w:kern w:val="0"/>
                <w:sz w:val="22"/>
              </w:rPr>
              <w:t>项目调整及支出调整手续是否完备；</w:t>
            </w:r>
            <w:r>
              <w:rPr>
                <w:rFonts w:ascii="Times New Roman" w:hAnsi="Times New Roman"/>
                <w:color w:val="000000"/>
                <w:kern w:val="0"/>
                <w:sz w:val="22"/>
              </w:rPr>
              <w:br/>
              <w:t>③</w:t>
            </w:r>
            <w:r>
              <w:rPr>
                <w:rFonts w:ascii="Times New Roman" w:hAnsi="Times New Roman"/>
                <w:color w:val="000000"/>
                <w:kern w:val="0"/>
                <w:sz w:val="22"/>
              </w:rPr>
              <w:t>项目合同书、验收报告、技术鉴定等资料是否齐全并及时归档；</w:t>
            </w:r>
            <w:r>
              <w:rPr>
                <w:rFonts w:ascii="Times New Roman" w:hAnsi="Times New Roman"/>
                <w:color w:val="000000"/>
                <w:kern w:val="0"/>
                <w:sz w:val="22"/>
              </w:rPr>
              <w:br/>
              <w:t>④</w:t>
            </w:r>
            <w:r>
              <w:rPr>
                <w:rFonts w:ascii="Times New Roman" w:hAnsi="Times New Roman"/>
                <w:color w:val="000000"/>
                <w:kern w:val="0"/>
                <w:sz w:val="22"/>
              </w:rPr>
              <w:t>项目实施的人员条件、场地设备、信息支撑等是否落实到位。</w:t>
            </w:r>
          </w:p>
        </w:tc>
        <w:tc>
          <w:tcPr>
            <w:tcW w:w="775"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363F1B" w:rsidTr="009811C8">
        <w:trPr>
          <w:trHeight w:val="1917"/>
          <w:jc w:val="center"/>
        </w:trPr>
        <w:tc>
          <w:tcPr>
            <w:tcW w:w="682"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产出</w:t>
            </w:r>
          </w:p>
        </w:tc>
        <w:tc>
          <w:tcPr>
            <w:tcW w:w="709"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产出数量</w:t>
            </w:r>
          </w:p>
        </w:tc>
        <w:tc>
          <w:tcPr>
            <w:tcW w:w="1134"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实际完成率</w:t>
            </w:r>
          </w:p>
        </w:tc>
        <w:tc>
          <w:tcPr>
            <w:tcW w:w="567"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项目实施的实际产出数与计划产出数的比率，用以反映和考核项目产出数量目标的实现程度。</w:t>
            </w:r>
          </w:p>
        </w:tc>
        <w:tc>
          <w:tcPr>
            <w:tcW w:w="5887"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实际完成率</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w:t>
            </w:r>
            <w:r>
              <w:rPr>
                <w:rFonts w:ascii="Times New Roman" w:hAnsi="Times New Roman"/>
                <w:color w:val="000000"/>
                <w:kern w:val="0"/>
                <w:sz w:val="22"/>
              </w:rPr>
              <w:t>计划产出数）</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实际产出数：一定时期（本年度或项目期）内项目实际产出的产品或提供的服务数量。</w:t>
            </w:r>
            <w:r>
              <w:rPr>
                <w:rFonts w:ascii="Times New Roman" w:hAnsi="Times New Roman"/>
                <w:color w:val="000000"/>
                <w:kern w:val="0"/>
                <w:sz w:val="22"/>
              </w:rPr>
              <w:br/>
            </w:r>
            <w:r>
              <w:rPr>
                <w:rFonts w:ascii="Times New Roman" w:hAnsi="Times New Roman"/>
                <w:color w:val="000000"/>
                <w:kern w:val="0"/>
                <w:sz w:val="22"/>
              </w:rPr>
              <w:t>计划产出数：项目绩效目标确定的在一定时期（本年度或项目期）内计划产出的产品或提供的服务数量。</w:t>
            </w:r>
          </w:p>
        </w:tc>
        <w:tc>
          <w:tcPr>
            <w:tcW w:w="775"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363F1B" w:rsidTr="009811C8">
        <w:trPr>
          <w:trHeight w:val="1533"/>
          <w:jc w:val="center"/>
        </w:trPr>
        <w:tc>
          <w:tcPr>
            <w:tcW w:w="682" w:type="dxa"/>
            <w:vMerge w:val="restart"/>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产出质量</w:t>
            </w:r>
          </w:p>
        </w:tc>
        <w:tc>
          <w:tcPr>
            <w:tcW w:w="1134"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质量达标率</w:t>
            </w:r>
          </w:p>
        </w:tc>
        <w:tc>
          <w:tcPr>
            <w:tcW w:w="567"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项目完成的质量达标产出数与实际产出数的比率，用以反映和考核项目产出质量目标的实现程度。</w:t>
            </w:r>
          </w:p>
        </w:tc>
        <w:tc>
          <w:tcPr>
            <w:tcW w:w="5887"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质量达标率</w:t>
            </w:r>
            <w:r>
              <w:rPr>
                <w:rFonts w:ascii="Times New Roman" w:hAnsi="Times New Roman"/>
                <w:color w:val="000000"/>
                <w:kern w:val="0"/>
                <w:sz w:val="22"/>
              </w:rPr>
              <w:t>=</w:t>
            </w:r>
            <w:r>
              <w:rPr>
                <w:rFonts w:ascii="Times New Roman" w:hAnsi="Times New Roman"/>
                <w:color w:val="000000"/>
                <w:kern w:val="0"/>
                <w:sz w:val="22"/>
              </w:rPr>
              <w:t>（质量达标产出数</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×100%</w:t>
            </w:r>
            <w:r>
              <w:rPr>
                <w:rFonts w:ascii="Times New Roman" w:hAnsi="Times New Roman"/>
                <w:color w:val="000000"/>
                <w:kern w:val="0"/>
                <w:sz w:val="22"/>
              </w:rPr>
              <w:t>。</w:t>
            </w:r>
          </w:p>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75"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363F1B" w:rsidTr="009811C8">
        <w:trPr>
          <w:trHeight w:val="1306"/>
          <w:jc w:val="center"/>
        </w:trPr>
        <w:tc>
          <w:tcPr>
            <w:tcW w:w="682" w:type="dxa"/>
            <w:vMerge/>
            <w:shd w:val="clear" w:color="auto" w:fill="FFFFFF"/>
            <w:vAlign w:val="center"/>
          </w:tcPr>
          <w:p w:rsidR="00363F1B" w:rsidRDefault="00363F1B" w:rsidP="009811C8">
            <w:pPr>
              <w:spacing w:line="0" w:lineRule="atLeast"/>
              <w:jc w:val="center"/>
              <w:rPr>
                <w:rFonts w:ascii="Times New Roman" w:hAnsi="Times New Roman"/>
                <w:color w:val="000000"/>
                <w:kern w:val="0"/>
                <w:sz w:val="22"/>
              </w:rPr>
            </w:pPr>
          </w:p>
        </w:tc>
        <w:tc>
          <w:tcPr>
            <w:tcW w:w="709" w:type="dxa"/>
            <w:shd w:val="clear" w:color="auto" w:fill="FFFFFF"/>
            <w:vAlign w:val="center"/>
          </w:tcPr>
          <w:p w:rsidR="00363F1B" w:rsidRDefault="00363F1B" w:rsidP="009811C8">
            <w:pPr>
              <w:spacing w:line="0" w:lineRule="atLeast"/>
              <w:jc w:val="center"/>
              <w:rPr>
                <w:rFonts w:ascii="Times New Roman" w:hAnsi="Times New Roman"/>
                <w:color w:val="000000"/>
                <w:kern w:val="0"/>
                <w:sz w:val="22"/>
              </w:rPr>
            </w:pPr>
            <w:r>
              <w:rPr>
                <w:rFonts w:ascii="Times New Roman" w:hAnsi="Times New Roman"/>
                <w:color w:val="000000"/>
                <w:kern w:val="0"/>
                <w:sz w:val="22"/>
              </w:rPr>
              <w:t>产出时效</w:t>
            </w:r>
          </w:p>
        </w:tc>
        <w:tc>
          <w:tcPr>
            <w:tcW w:w="1134"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完成及时性</w:t>
            </w:r>
          </w:p>
        </w:tc>
        <w:tc>
          <w:tcPr>
            <w:tcW w:w="567"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项目实际完成时间与计划完成时间的比较，用以反映和考核项目产出时效目标的实现程度。</w:t>
            </w:r>
          </w:p>
        </w:tc>
        <w:tc>
          <w:tcPr>
            <w:tcW w:w="5887"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实际完成时间：项目实施单位完成该项目实际所耗用的时间。</w:t>
            </w:r>
            <w:r>
              <w:rPr>
                <w:rFonts w:ascii="Times New Roman" w:hAnsi="Times New Roman"/>
                <w:color w:val="000000"/>
                <w:kern w:val="0"/>
                <w:sz w:val="22"/>
              </w:rPr>
              <w:br/>
            </w:r>
            <w:r>
              <w:rPr>
                <w:rFonts w:ascii="Times New Roman" w:hAnsi="Times New Roman"/>
                <w:color w:val="000000"/>
                <w:kern w:val="0"/>
                <w:sz w:val="22"/>
              </w:rPr>
              <w:t>计划完成时间：按照项目实施计划或相关规定完成该项目所需的时间。</w:t>
            </w:r>
          </w:p>
        </w:tc>
        <w:tc>
          <w:tcPr>
            <w:tcW w:w="775"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363F1B" w:rsidTr="009811C8">
        <w:trPr>
          <w:trHeight w:val="1674"/>
          <w:jc w:val="center"/>
        </w:trPr>
        <w:tc>
          <w:tcPr>
            <w:tcW w:w="682" w:type="dxa"/>
            <w:vMerge/>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产出成本</w:t>
            </w:r>
          </w:p>
        </w:tc>
        <w:tc>
          <w:tcPr>
            <w:tcW w:w="1134"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成本节约率</w:t>
            </w:r>
          </w:p>
        </w:tc>
        <w:tc>
          <w:tcPr>
            <w:tcW w:w="567"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完成项目计划工作目标的实际节约成本与计划成本的比率，用以反映和考核项目的成本节约程度。</w:t>
            </w:r>
          </w:p>
        </w:tc>
        <w:tc>
          <w:tcPr>
            <w:tcW w:w="5887"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br/>
            </w:r>
            <w:r>
              <w:rPr>
                <w:rFonts w:ascii="Times New Roman" w:hAnsi="Times New Roman"/>
                <w:color w:val="000000"/>
                <w:kern w:val="0"/>
                <w:sz w:val="22"/>
              </w:rPr>
              <w:t>成本节约率</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w:t>
            </w:r>
            <w:r>
              <w:rPr>
                <w:rFonts w:ascii="Times New Roman" w:hAnsi="Times New Roman"/>
                <w:color w:val="000000"/>
                <w:kern w:val="0"/>
                <w:sz w:val="22"/>
              </w:rPr>
              <w:t>实际成本）</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实际成本：项目实施单位如期、保质、保量完成既定工作目标实际所耗费的支出。</w:t>
            </w:r>
            <w:r>
              <w:rPr>
                <w:rFonts w:ascii="Times New Roman" w:hAnsi="Times New Roman"/>
                <w:color w:val="000000"/>
                <w:kern w:val="0"/>
                <w:sz w:val="22"/>
              </w:rPr>
              <w:br/>
            </w:r>
            <w:r>
              <w:rPr>
                <w:rFonts w:ascii="Times New Roman" w:hAnsi="Times New Roman"/>
                <w:color w:val="000000"/>
                <w:kern w:val="0"/>
                <w:sz w:val="22"/>
              </w:rPr>
              <w:t>计划成本：项目实施单位为完成工作目标计划安排的支出，一般以项目预算为参考。</w:t>
            </w:r>
          </w:p>
        </w:tc>
        <w:tc>
          <w:tcPr>
            <w:tcW w:w="775"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7</w:t>
            </w:r>
          </w:p>
        </w:tc>
      </w:tr>
      <w:tr w:rsidR="00363F1B" w:rsidTr="009811C8">
        <w:trPr>
          <w:trHeight w:val="693"/>
          <w:jc w:val="center"/>
        </w:trPr>
        <w:tc>
          <w:tcPr>
            <w:tcW w:w="682" w:type="dxa"/>
            <w:vMerge w:val="restart"/>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效益</w:t>
            </w:r>
          </w:p>
        </w:tc>
        <w:tc>
          <w:tcPr>
            <w:tcW w:w="709" w:type="dxa"/>
            <w:vMerge w:val="restart"/>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项目效益</w:t>
            </w:r>
          </w:p>
        </w:tc>
        <w:tc>
          <w:tcPr>
            <w:tcW w:w="1134"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实施效益</w:t>
            </w:r>
          </w:p>
        </w:tc>
        <w:tc>
          <w:tcPr>
            <w:tcW w:w="567"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rsidR="00363F1B" w:rsidRDefault="00363F1B" w:rsidP="009811C8">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项目实施所产生的效益。</w:t>
            </w:r>
          </w:p>
        </w:tc>
        <w:tc>
          <w:tcPr>
            <w:tcW w:w="5887"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项目实施所产生的社会效益、经济效益、生态效益、可持续影响等。可根据项目实际情况有选择地设置和细化。</w:t>
            </w:r>
          </w:p>
        </w:tc>
        <w:tc>
          <w:tcPr>
            <w:tcW w:w="775"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18</w:t>
            </w:r>
          </w:p>
        </w:tc>
      </w:tr>
      <w:tr w:rsidR="00363F1B" w:rsidTr="009811C8">
        <w:trPr>
          <w:trHeight w:val="929"/>
          <w:jc w:val="center"/>
        </w:trPr>
        <w:tc>
          <w:tcPr>
            <w:tcW w:w="682" w:type="dxa"/>
            <w:vMerge/>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满意度</w:t>
            </w:r>
          </w:p>
        </w:tc>
        <w:tc>
          <w:tcPr>
            <w:tcW w:w="567"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社会公众或服务对象对项目实施效果的满意程度。</w:t>
            </w:r>
          </w:p>
        </w:tc>
        <w:tc>
          <w:tcPr>
            <w:tcW w:w="5887"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社会公众或服务对象是指因该项目实施而受到影响的部门（单位）、群体或个人。一般采取社会调查的方式。</w:t>
            </w:r>
          </w:p>
        </w:tc>
        <w:tc>
          <w:tcPr>
            <w:tcW w:w="775"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363F1B" w:rsidTr="009811C8">
        <w:trPr>
          <w:trHeight w:val="558"/>
          <w:jc w:val="center"/>
        </w:trPr>
        <w:tc>
          <w:tcPr>
            <w:tcW w:w="2525" w:type="dxa"/>
            <w:gridSpan w:val="3"/>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总分</w:t>
            </w:r>
          </w:p>
        </w:tc>
        <w:tc>
          <w:tcPr>
            <w:tcW w:w="567" w:type="dxa"/>
            <w:shd w:val="clear" w:color="auto" w:fill="FFFFFF"/>
            <w:vAlign w:val="center"/>
          </w:tcPr>
          <w:p w:rsidR="00363F1B" w:rsidRDefault="00363F1B" w:rsidP="009811C8">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p>
        </w:tc>
        <w:tc>
          <w:tcPr>
            <w:tcW w:w="5887" w:type="dxa"/>
            <w:shd w:val="clear" w:color="auto" w:fill="FFFFFF"/>
            <w:vAlign w:val="center"/>
          </w:tcPr>
          <w:p w:rsidR="00363F1B" w:rsidRDefault="00363F1B" w:rsidP="009811C8">
            <w:pPr>
              <w:widowControl/>
              <w:spacing w:line="0" w:lineRule="atLeast"/>
              <w:rPr>
                <w:rFonts w:ascii="Times New Roman" w:hAnsi="Times New Roman"/>
                <w:color w:val="000000"/>
                <w:kern w:val="0"/>
                <w:sz w:val="22"/>
              </w:rPr>
            </w:pPr>
          </w:p>
        </w:tc>
        <w:tc>
          <w:tcPr>
            <w:tcW w:w="775" w:type="dxa"/>
            <w:shd w:val="clear" w:color="auto" w:fill="FFFFFF"/>
            <w:vAlign w:val="center"/>
          </w:tcPr>
          <w:p w:rsidR="00363F1B" w:rsidRDefault="00363F1B" w:rsidP="00691262">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9</w:t>
            </w:r>
            <w:r w:rsidR="00691262">
              <w:rPr>
                <w:rFonts w:ascii="Times New Roman" w:hAnsi="Times New Roman" w:hint="eastAsia"/>
                <w:color w:val="000000"/>
                <w:kern w:val="0"/>
                <w:sz w:val="22"/>
              </w:rPr>
              <w:t>5</w:t>
            </w:r>
          </w:p>
        </w:tc>
      </w:tr>
    </w:tbl>
    <w:p w:rsidR="00363F1B" w:rsidRDefault="00363F1B" w:rsidP="00363F1B">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363F1B" w:rsidRDefault="00363F1B" w:rsidP="00363F1B"/>
    <w:p w:rsidR="00363F1B" w:rsidRDefault="00363F1B" w:rsidP="00363F1B"/>
    <w:p w:rsidR="00363F1B" w:rsidRDefault="00363F1B" w:rsidP="00363F1B"/>
    <w:p w:rsidR="00363F1B" w:rsidRDefault="00363F1B" w:rsidP="00363F1B"/>
    <w:p w:rsidR="00363F1B" w:rsidRDefault="00363F1B" w:rsidP="00363F1B"/>
    <w:p w:rsidR="00363F1B" w:rsidRDefault="00363F1B" w:rsidP="00363F1B"/>
    <w:p w:rsidR="00363F1B" w:rsidRDefault="00363F1B" w:rsidP="00363F1B"/>
    <w:p w:rsidR="00363F1B" w:rsidRDefault="00363F1B" w:rsidP="00363F1B"/>
    <w:p w:rsidR="000A6FBD" w:rsidRPr="00363F1B" w:rsidRDefault="000A6FBD"/>
    <w:sectPr w:rsidR="000A6FBD" w:rsidRPr="00363F1B" w:rsidSect="00CD0FD9">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52D0" w:rsidRDefault="007252D0">
      <w:r>
        <w:separator/>
      </w:r>
    </w:p>
  </w:endnote>
  <w:endnote w:type="continuationSeparator" w:id="0">
    <w:p w:rsidR="007252D0" w:rsidRDefault="007252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华文仿宋">
    <w:altName w:val="hakuyoxingshu7000"/>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652" w:rsidRDefault="00CC6101">
    <w:pPr>
      <w:pStyle w:val="a3"/>
    </w:pPr>
    <w:r>
      <w:rPr>
        <w:noProof/>
      </w:rPr>
      <w:pict>
        <v:shapetype id="_x0000_t202" coordsize="21600,21600" o:spt="202" path="m,l,21600r21600,l21600,xe">
          <v:stroke joinstyle="miter"/>
          <v:path gradientshapeok="t" o:connecttype="rect"/>
        </v:shapetype>
        <v:shape id="文本框 2" o:spid="_x0000_s4097" type="#_x0000_t202" style="position:absolute;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" filled="f" stroked="f">
          <v:textbox style="mso-fit-shape-to-text:t" inset="0,0,0,0">
            <w:txbxContent>
              <w:p w:rsidR="00826652" w:rsidRDefault="00CC6101">
                <w:pPr>
                  <w:pStyle w:val="a3"/>
                </w:pPr>
                <w:r>
                  <w:rPr>
                    <w:rFonts w:hint="eastAsia"/>
                  </w:rPr>
                  <w:fldChar w:fldCharType="begin"/>
                </w:r>
                <w:r w:rsidR="00363F1B">
                  <w:rPr>
                    <w:rFonts w:hint="eastAsia"/>
                  </w:rPr>
                  <w:instrText xml:space="preserve"> PAGE  \* MERGEFORMAT </w:instrText>
                </w:r>
                <w:r>
                  <w:rPr>
                    <w:rFonts w:hint="eastAsia"/>
                  </w:rPr>
                  <w:fldChar w:fldCharType="separate"/>
                </w:r>
                <w:r w:rsidR="002D6BC7">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52D0" w:rsidRDefault="007252D0">
      <w:r>
        <w:separator/>
      </w:r>
    </w:p>
  </w:footnote>
  <w:footnote w:type="continuationSeparator" w:id="0">
    <w:p w:rsidR="007252D0" w:rsidRDefault="007252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6286D"/>
    <w:multiLevelType w:val="hybridMultilevel"/>
    <w:tmpl w:val="7DCEAEA6"/>
    <w:lvl w:ilvl="0" w:tplc="F1A8738E">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0FF3190D"/>
    <w:multiLevelType w:val="hybridMultilevel"/>
    <w:tmpl w:val="94C6158C"/>
    <w:lvl w:ilvl="0" w:tplc="2A488876">
      <w:start w:val="1"/>
      <w:numFmt w:val="decimal"/>
      <w:lvlText w:val="%1、"/>
      <w:lvlJc w:val="left"/>
      <w:pPr>
        <w:ind w:left="2080" w:hanging="720"/>
      </w:pPr>
      <w:rPr>
        <w:rFonts w:hint="default"/>
      </w:rPr>
    </w:lvl>
    <w:lvl w:ilvl="1" w:tplc="04090019" w:tentative="1">
      <w:start w:val="1"/>
      <w:numFmt w:val="lowerLetter"/>
      <w:lvlText w:val="%2)"/>
      <w:lvlJc w:val="left"/>
      <w:pPr>
        <w:ind w:left="2200" w:hanging="420"/>
      </w:pPr>
    </w:lvl>
    <w:lvl w:ilvl="2" w:tplc="0409001B" w:tentative="1">
      <w:start w:val="1"/>
      <w:numFmt w:val="lowerRoman"/>
      <w:lvlText w:val="%3."/>
      <w:lvlJc w:val="right"/>
      <w:pPr>
        <w:ind w:left="2620" w:hanging="420"/>
      </w:pPr>
    </w:lvl>
    <w:lvl w:ilvl="3" w:tplc="0409000F" w:tentative="1">
      <w:start w:val="1"/>
      <w:numFmt w:val="decimal"/>
      <w:lvlText w:val="%4."/>
      <w:lvlJc w:val="left"/>
      <w:pPr>
        <w:ind w:left="3040" w:hanging="420"/>
      </w:pPr>
    </w:lvl>
    <w:lvl w:ilvl="4" w:tplc="04090019" w:tentative="1">
      <w:start w:val="1"/>
      <w:numFmt w:val="lowerLetter"/>
      <w:lvlText w:val="%5)"/>
      <w:lvlJc w:val="left"/>
      <w:pPr>
        <w:ind w:left="3460" w:hanging="420"/>
      </w:pPr>
    </w:lvl>
    <w:lvl w:ilvl="5" w:tplc="0409001B" w:tentative="1">
      <w:start w:val="1"/>
      <w:numFmt w:val="lowerRoman"/>
      <w:lvlText w:val="%6."/>
      <w:lvlJc w:val="right"/>
      <w:pPr>
        <w:ind w:left="3880" w:hanging="420"/>
      </w:pPr>
    </w:lvl>
    <w:lvl w:ilvl="6" w:tplc="0409000F" w:tentative="1">
      <w:start w:val="1"/>
      <w:numFmt w:val="decimal"/>
      <w:lvlText w:val="%7."/>
      <w:lvlJc w:val="left"/>
      <w:pPr>
        <w:ind w:left="4300" w:hanging="420"/>
      </w:pPr>
    </w:lvl>
    <w:lvl w:ilvl="7" w:tplc="04090019" w:tentative="1">
      <w:start w:val="1"/>
      <w:numFmt w:val="lowerLetter"/>
      <w:lvlText w:val="%8)"/>
      <w:lvlJc w:val="left"/>
      <w:pPr>
        <w:ind w:left="4720" w:hanging="420"/>
      </w:pPr>
    </w:lvl>
    <w:lvl w:ilvl="8" w:tplc="0409001B" w:tentative="1">
      <w:start w:val="1"/>
      <w:numFmt w:val="lowerRoman"/>
      <w:lvlText w:val="%9."/>
      <w:lvlJc w:val="right"/>
      <w:pPr>
        <w:ind w:left="5140" w:hanging="420"/>
      </w:pPr>
    </w:lvl>
  </w:abstractNum>
  <w:abstractNum w:abstractNumId="2">
    <w:nsid w:val="1DA9A29D"/>
    <w:multiLevelType w:val="singleLevel"/>
    <w:tmpl w:val="1DA9A29D"/>
    <w:lvl w:ilvl="0">
      <w:start w:val="1"/>
      <w:numFmt w:val="decimal"/>
      <w:suff w:val="nothing"/>
      <w:lvlText w:val="%1、"/>
      <w:lvlJc w:val="left"/>
    </w:lvl>
  </w:abstractNum>
  <w:abstractNum w:abstractNumId="3">
    <w:nsid w:val="2B9067F5"/>
    <w:multiLevelType w:val="hybridMultilevel"/>
    <w:tmpl w:val="470C1FA8"/>
    <w:lvl w:ilvl="0" w:tplc="58C87192">
      <w:start w:val="2"/>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4AA08D7E"/>
    <w:multiLevelType w:val="singleLevel"/>
    <w:tmpl w:val="4AA08D7E"/>
    <w:lvl w:ilvl="0">
      <w:start w:val="1"/>
      <w:numFmt w:val="chineseCounting"/>
      <w:suff w:val="nothing"/>
      <w:lvlText w:val="%1、"/>
      <w:lvlJc w:val="left"/>
      <w:rPr>
        <w:rFonts w:hint="eastAsia"/>
      </w:rPr>
    </w:lvl>
  </w:abstractNum>
  <w:abstractNum w:abstractNumId="5">
    <w:nsid w:val="761E93BD"/>
    <w:multiLevelType w:val="singleLevel"/>
    <w:tmpl w:val="761E93BD"/>
    <w:lvl w:ilvl="0">
      <w:start w:val="6"/>
      <w:numFmt w:val="chineseCounting"/>
      <w:suff w:val="nothing"/>
      <w:lvlText w:val="%1、"/>
      <w:lvlJc w:val="left"/>
      <w:rPr>
        <w:rFonts w:hint="eastAsia"/>
      </w:rPr>
    </w:lvl>
  </w:abstractNum>
  <w:num w:numId="1">
    <w:abstractNumId w:val="4"/>
  </w:num>
  <w:num w:numId="2">
    <w:abstractNumId w:val="2"/>
  </w:num>
  <w:num w:numId="3">
    <w:abstractNumId w:val="5"/>
  </w:num>
  <w:num w:numId="4">
    <w:abstractNumId w:val="3"/>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63F1B"/>
    <w:rsid w:val="000A6FBD"/>
    <w:rsid w:val="00164B66"/>
    <w:rsid w:val="002833BF"/>
    <w:rsid w:val="002D6BC7"/>
    <w:rsid w:val="00363F1B"/>
    <w:rsid w:val="00691262"/>
    <w:rsid w:val="007252D0"/>
    <w:rsid w:val="008E5A9F"/>
    <w:rsid w:val="00B05790"/>
    <w:rsid w:val="00B73337"/>
    <w:rsid w:val="00BC2AB1"/>
    <w:rsid w:val="00CC6101"/>
    <w:rsid w:val="00CD0FD9"/>
    <w:rsid w:val="00CE1377"/>
    <w:rsid w:val="00E75F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F1B"/>
    <w:pPr>
      <w:widowControl w:val="0"/>
      <w:jc w:val="both"/>
    </w:pPr>
  </w:style>
  <w:style w:type="paragraph" w:styleId="2">
    <w:name w:val="heading 2"/>
    <w:basedOn w:val="a"/>
    <w:next w:val="a"/>
    <w:link w:val="2Char"/>
    <w:qFormat/>
    <w:rsid w:val="00363F1B"/>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63F1B"/>
    <w:rPr>
      <w:rFonts w:ascii="Arial" w:eastAsia="黑体" w:hAnsi="Arial"/>
      <w:b/>
      <w:sz w:val="32"/>
    </w:rPr>
  </w:style>
  <w:style w:type="paragraph" w:styleId="a3">
    <w:name w:val="footer"/>
    <w:basedOn w:val="a"/>
    <w:link w:val="Char"/>
    <w:unhideWhenUsed/>
    <w:qFormat/>
    <w:rsid w:val="00363F1B"/>
    <w:pPr>
      <w:tabs>
        <w:tab w:val="center" w:pos="4153"/>
        <w:tab w:val="right" w:pos="8306"/>
      </w:tabs>
      <w:snapToGrid w:val="0"/>
      <w:jc w:val="left"/>
    </w:pPr>
    <w:rPr>
      <w:kern w:val="0"/>
      <w:sz w:val="18"/>
      <w:szCs w:val="18"/>
    </w:rPr>
  </w:style>
  <w:style w:type="character" w:customStyle="1" w:styleId="Char">
    <w:name w:val="页脚 Char"/>
    <w:basedOn w:val="a0"/>
    <w:link w:val="a3"/>
    <w:rsid w:val="00363F1B"/>
    <w:rPr>
      <w:kern w:val="0"/>
      <w:sz w:val="18"/>
      <w:szCs w:val="18"/>
    </w:rPr>
  </w:style>
  <w:style w:type="paragraph" w:customStyle="1" w:styleId="p15">
    <w:name w:val="p15"/>
    <w:basedOn w:val="a"/>
    <w:qFormat/>
    <w:rsid w:val="00363F1B"/>
    <w:pPr>
      <w:widowControl/>
      <w:jc w:val="left"/>
    </w:pPr>
    <w:rPr>
      <w:rFonts w:ascii="宋体" w:hAnsi="宋体" w:cs="宋体"/>
      <w:kern w:val="0"/>
      <w:sz w:val="24"/>
    </w:rPr>
  </w:style>
  <w:style w:type="paragraph" w:styleId="a4">
    <w:name w:val="No Spacing"/>
    <w:qFormat/>
    <w:rsid w:val="00363F1B"/>
    <w:pPr>
      <w:widowControl w:val="0"/>
      <w:jc w:val="both"/>
    </w:pPr>
    <w:rPr>
      <w:rFonts w:ascii="Times New Roman" w:eastAsia="宋体" w:hAnsi="Times New Roman" w:cs="Times New Roman"/>
    </w:rPr>
  </w:style>
  <w:style w:type="paragraph" w:styleId="a5">
    <w:name w:val="header"/>
    <w:basedOn w:val="a"/>
    <w:link w:val="Char0"/>
    <w:uiPriority w:val="99"/>
    <w:unhideWhenUsed/>
    <w:rsid w:val="0069126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691262"/>
    <w:rPr>
      <w:sz w:val="18"/>
      <w:szCs w:val="18"/>
    </w:rPr>
  </w:style>
  <w:style w:type="paragraph" w:styleId="a6">
    <w:name w:val="List Paragraph"/>
    <w:basedOn w:val="a"/>
    <w:uiPriority w:val="34"/>
    <w:qFormat/>
    <w:rsid w:val="0069126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F1B"/>
    <w:pPr>
      <w:widowControl w:val="0"/>
      <w:jc w:val="both"/>
    </w:pPr>
  </w:style>
  <w:style w:type="paragraph" w:styleId="2">
    <w:name w:val="heading 2"/>
    <w:basedOn w:val="a"/>
    <w:next w:val="a"/>
    <w:link w:val="2Char"/>
    <w:qFormat/>
    <w:rsid w:val="00363F1B"/>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63F1B"/>
    <w:rPr>
      <w:rFonts w:ascii="Arial" w:eastAsia="黑体" w:hAnsi="Arial"/>
      <w:b/>
      <w:sz w:val="32"/>
    </w:rPr>
  </w:style>
  <w:style w:type="paragraph" w:styleId="a3">
    <w:name w:val="footer"/>
    <w:basedOn w:val="a"/>
    <w:link w:val="Char"/>
    <w:unhideWhenUsed/>
    <w:qFormat/>
    <w:rsid w:val="00363F1B"/>
    <w:pPr>
      <w:tabs>
        <w:tab w:val="center" w:pos="4153"/>
        <w:tab w:val="right" w:pos="8306"/>
      </w:tabs>
      <w:snapToGrid w:val="0"/>
      <w:jc w:val="left"/>
    </w:pPr>
    <w:rPr>
      <w:kern w:val="0"/>
      <w:sz w:val="18"/>
      <w:szCs w:val="18"/>
    </w:rPr>
  </w:style>
  <w:style w:type="character" w:customStyle="1" w:styleId="Char">
    <w:name w:val="页脚 Char"/>
    <w:basedOn w:val="a0"/>
    <w:link w:val="a3"/>
    <w:rsid w:val="00363F1B"/>
    <w:rPr>
      <w:kern w:val="0"/>
      <w:sz w:val="18"/>
      <w:szCs w:val="18"/>
    </w:rPr>
  </w:style>
  <w:style w:type="paragraph" w:customStyle="1" w:styleId="p15">
    <w:name w:val="p15"/>
    <w:basedOn w:val="a"/>
    <w:qFormat/>
    <w:rsid w:val="00363F1B"/>
    <w:pPr>
      <w:widowControl/>
      <w:jc w:val="left"/>
    </w:pPr>
    <w:rPr>
      <w:rFonts w:ascii="宋体" w:hAnsi="宋体" w:cs="宋体"/>
      <w:kern w:val="0"/>
      <w:sz w:val="24"/>
    </w:rPr>
  </w:style>
  <w:style w:type="paragraph" w:styleId="a4">
    <w:name w:val="No Spacing"/>
    <w:qFormat/>
    <w:rsid w:val="00363F1B"/>
    <w:pPr>
      <w:widowControl w:val="0"/>
      <w:jc w:val="both"/>
    </w:pPr>
    <w:rPr>
      <w:rFonts w:ascii="Times New Roman" w:eastAsia="宋体" w:hAnsi="Times New Roman" w:cs="Times New Roman"/>
    </w:rPr>
  </w:style>
  <w:style w:type="paragraph" w:styleId="a5">
    <w:name w:val="header"/>
    <w:basedOn w:val="a"/>
    <w:link w:val="Char0"/>
    <w:uiPriority w:val="99"/>
    <w:unhideWhenUsed/>
    <w:rsid w:val="0069126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691262"/>
    <w:rPr>
      <w:sz w:val="18"/>
      <w:szCs w:val="18"/>
    </w:rPr>
  </w:style>
  <w:style w:type="paragraph" w:styleId="a6">
    <w:name w:val="List Paragraph"/>
    <w:basedOn w:val="a"/>
    <w:uiPriority w:val="34"/>
    <w:qFormat/>
    <w:rsid w:val="00691262"/>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10</Pages>
  <Words>730</Words>
  <Characters>4165</Characters>
  <Application>Microsoft Office Word</Application>
  <DocSecurity>0</DocSecurity>
  <Lines>34</Lines>
  <Paragraphs>9</Paragraphs>
  <ScaleCrop>false</ScaleCrop>
  <Company>Microsoft</Company>
  <LinksUpToDate>false</LinksUpToDate>
  <CharactersWithSpaces>4886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Administrator</cp:lastModifiedBy>
  <cp:revision>9</cp:revision>
  <dcterms:created xsi:type="dcterms:W3CDTF">2023-07-10T08:35:00Z</dcterms:created>
  <dcterms:modified xsi:type="dcterms:W3CDTF">2023-07-11T02:25:00Z</dcterms:modified>
</cp:coreProperties>
</file>