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ascii="微软雅黑" w:hAnsi="微软雅黑" w:eastAsia="微软雅黑" w:cs="微软雅黑"/>
          <w:b w:val="0"/>
          <w:bCs w:val="0"/>
          <w:i w:val="0"/>
          <w:iCs w:val="0"/>
          <w:caps w:val="0"/>
          <w:color w:val="auto"/>
          <w:spacing w:val="0"/>
        </w:rPr>
      </w:pPr>
      <w:r>
        <w:rPr>
          <w:rFonts w:hint="eastAsia" w:ascii="微软雅黑" w:hAnsi="微软雅黑" w:eastAsia="微软雅黑" w:cs="微软雅黑"/>
          <w:b w:val="0"/>
          <w:bCs w:val="0"/>
          <w:i w:val="0"/>
          <w:iCs w:val="0"/>
          <w:caps w:val="0"/>
          <w:color w:val="auto"/>
          <w:spacing w:val="0"/>
        </w:rPr>
        <w:t>中方县教育局20</w:t>
      </w:r>
      <w:r>
        <w:rPr>
          <w:rFonts w:hint="eastAsia" w:ascii="微软雅黑" w:hAnsi="微软雅黑" w:eastAsia="微软雅黑" w:cs="微软雅黑"/>
          <w:b w:val="0"/>
          <w:bCs w:val="0"/>
          <w:i w:val="0"/>
          <w:iCs w:val="0"/>
          <w:caps w:val="0"/>
          <w:color w:val="auto"/>
          <w:spacing w:val="0"/>
          <w:lang w:val="en-US" w:eastAsia="zh-CN"/>
        </w:rPr>
        <w:t>20</w:t>
      </w:r>
      <w:r>
        <w:rPr>
          <w:rFonts w:hint="eastAsia" w:ascii="微软雅黑" w:hAnsi="微软雅黑" w:eastAsia="微软雅黑" w:cs="微软雅黑"/>
          <w:b w:val="0"/>
          <w:bCs w:val="0"/>
          <w:i w:val="0"/>
          <w:iCs w:val="0"/>
          <w:caps w:val="0"/>
          <w:color w:val="auto"/>
          <w:spacing w:val="0"/>
        </w:rPr>
        <w:t>年度部门整体支出绩效自评报告</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666666"/>
          <w:spacing w:val="0"/>
        </w:rPr>
      </w:pPr>
    </w:p>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rPr>
      </w:pPr>
      <w:r>
        <w:rPr>
          <w:rFonts w:ascii="华文仿宋" w:hAnsi="华文仿宋" w:eastAsia="华文仿宋" w:cs="华文仿宋"/>
          <w:i w:val="0"/>
          <w:iCs w:val="0"/>
          <w:caps w:val="0"/>
          <w:color w:val="000000"/>
          <w:spacing w:val="0"/>
          <w:kern w:val="0"/>
          <w:sz w:val="30"/>
          <w:szCs w:val="30"/>
          <w:lang w:val="en-US" w:eastAsia="zh-CN" w:bidi="ar"/>
        </w:rPr>
        <w:t>    为加强财政支出绩效管理，提高财政资金使用效益，</w:t>
      </w:r>
      <w:r>
        <w:rPr>
          <w:rFonts w:hint="eastAsia" w:ascii="华文仿宋" w:hAnsi="华文仿宋" w:eastAsia="华文仿宋" w:cs="华文仿宋"/>
          <w:color w:val="000000"/>
          <w:kern w:val="0"/>
          <w:sz w:val="32"/>
          <w:szCs w:val="32"/>
        </w:rPr>
        <w:t>为深入贯彻落实《中共中央国务院关于全面实施预算绩效管理的意见》（中发〔2018〕34号），建立全方位、全过程、全覆盖的预算绩效管理体系，提升预算管理水平，根据《中共湖南省委办公厅 湖南省人民政府办公厅关于全面实施预算绩效管理的实施意见》（湘办发〔2019〕10号）等有关规定，</w:t>
      </w:r>
      <w:r>
        <w:rPr>
          <w:rFonts w:hint="eastAsia" w:ascii="华文仿宋" w:hAnsi="华文仿宋" w:eastAsia="华文仿宋" w:cs="华文仿宋"/>
          <w:i w:val="0"/>
          <w:iCs w:val="0"/>
          <w:caps w:val="0"/>
          <w:color w:val="000000"/>
          <w:spacing w:val="0"/>
          <w:kern w:val="0"/>
          <w:sz w:val="30"/>
          <w:szCs w:val="30"/>
          <w:lang w:val="en-US" w:eastAsia="zh-CN" w:bidi="ar"/>
        </w:rPr>
        <w:t>我局对2020年财政资金整体支出绩效进行了认真自查，对照《部门整体支出绩效评价基础数据表》，认真负责、客观公正地开展2020年度部门整体支出绩效自评工作，自评综合得分94.5分</w:t>
      </w:r>
      <w:bookmarkStart w:id="2" w:name="_GoBack"/>
      <w:bookmarkEnd w:id="2"/>
      <w:r>
        <w:rPr>
          <w:rFonts w:hint="eastAsia" w:ascii="华文仿宋" w:hAnsi="华文仿宋" w:eastAsia="华文仿宋" w:cs="华文仿宋"/>
          <w:i w:val="0"/>
          <w:iCs w:val="0"/>
          <w:caps w:val="0"/>
          <w:color w:val="000000"/>
          <w:spacing w:val="0"/>
          <w:kern w:val="0"/>
          <w:sz w:val="30"/>
          <w:szCs w:val="30"/>
          <w:lang w:val="en-US" w:eastAsia="zh-CN" w:bidi="ar"/>
        </w:rPr>
        <w:t>，现将相关情况报告如下：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ascii="Calibri" w:hAnsi="Calibri" w:cs="Calibri"/>
          <w:sz w:val="21"/>
          <w:szCs w:val="21"/>
        </w:rPr>
      </w:pPr>
      <w:r>
        <w:rPr>
          <w:rFonts w:hint="eastAsia" w:ascii="华文仿宋" w:hAnsi="华文仿宋" w:eastAsia="华文仿宋" w:cs="华文仿宋"/>
          <w:i w:val="0"/>
          <w:iCs w:val="0"/>
          <w:caps w:val="0"/>
          <w:color w:val="000000"/>
          <w:spacing w:val="0"/>
          <w:sz w:val="30"/>
          <w:szCs w:val="30"/>
        </w:rPr>
        <w:t>一、单位基本情况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中方县教育局是财政全额拨款的一级预算单位，负责全县教育行政管理工作和本部门各学校的财政收支预算编制及资金拨付。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(一)主要职责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1、贯彻落实党和国家的教育方针、政策；拟定地方性教育管理办法并监督执行；拟定全县教育改革与发展战略、规划、政策并组织实施。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2、负责各级各类教育的统筹规划和协调管理，会同有关部门组织实施各级各类学校的设置标准，指导各级各类学校的教育教学改革，负责教育基本信息的统计、分析和发布。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3、负责推进义务教育的均衡发展和促进教育公平，负责义务教育的宏观指导和协调；指导中小学、幼儿教育工作，落实基础教育教学基本要求和教学基本文件，全面实施素质教育。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4、指导以就业为导向的职业教育发展与改革工作，落实教学指导文件和教学评估标准，指导农村、农民文化技术教育工作。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5、统筹管理全县的基础教育、职业技术教育、成人高等教育、高等教育自学考试以及民办教育等工作；指导、协调各乡镇和各部门有关教育工作；组织对乡镇、县直相关单位的教育工作和辖区内各类学校的工作督导与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6、统筹管理本部门教育经费；参与拟订教育经费筹措、教育拨款、教育基建投资的政策性措施；负责统计和监管全县教育经费的投入和使用情况；按有关规定管理港澳台以及国外政府和组织对我县的教育援助和教育贷款；指导、管理全县资助经济困难学生工作和助学贷款工作；指导和组织实施教育系统内部审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7、统筹和指导少数民族教育工作，协调对少数民族和少数民族地区及贫困地区的教育援助。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8、指导各级各类学校的思想政治教育工作、德育工作、体育卫生与艺术教育及国防教育工作。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9、主管全县的教师工作。组织指导中小学教师的资格认定、招聘录用、职务评聘、培养培训、调配交流、档案管理和考核奖惩等工作；研究制定县内各类学校编制标准和监督执行标准；指导教育系统人才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5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 10、组织指导教育系统的国际交流与合作，统筹管理出国留学、中外合作办学，开展与香港、澳门特别行政区和台湾地区的教育合作与交流，会同有关部门依法监督管理自费留学中介服务机构。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11、组织、指导全县教育督导工作。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12、管理局属学校和县直属学校，归口管理教育基金会；指导有关学会、协会等社团组织工作。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13、按照党组织隶属关系，规划并指导局直属单位和中小学校的党建、宣传、统战和群团工作；指导和协调教育系统的稳定工作。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14、协助县委组织部考察县直属学校领导班子和领导干部，负责局直属单位和所属学校干部的考察任免。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15、指导全县教育系统的纪检、监察工作。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16、指导管理全县农村义务教育学生营养餐工作。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17、负责做好教育阳光服务工作。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18、指导关心下一代工作。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19、统筹管理政务服务工作。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20、统筹管理综治、法规、校车标牌、校车驾驶人的审核工作。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21、承办县委、县人民政府交办的其他事项。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5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（二）机构情况。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2、人事股（加挂县毕业生就业指导办公室牌子）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3、基础教育股（加挂学前教育股牌子）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4、发展规划与财务建设股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5、职业教育与成人教育股（加挂民办教育发展股牌子）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6、安全维稳管理股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7、行政审批服务股（加挂政策法规股牌子）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8、教育督导股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9、管理县教育教学研究室、教育工会中方县委员会、县勤工俭学管理站、县电教仪器装备站、县教师培训中心、县招生考试中心、县青少年活动中心、县体育卫生和艺术教育所、县学生资助管理中心、全县各中小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Calibri" w:hAnsi="Calibri" w:cs="Calibri"/>
          <w:sz w:val="21"/>
          <w:szCs w:val="21"/>
          <w:highlight w:val="cyan"/>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年全县教育系统编制数共计22</w:t>
      </w:r>
      <w:r>
        <w:rPr>
          <w:rFonts w:hint="eastAsia" w:ascii="华文仿宋" w:hAnsi="华文仿宋" w:eastAsia="华文仿宋" w:cs="华文仿宋"/>
          <w:i w:val="0"/>
          <w:iCs w:val="0"/>
          <w:caps w:val="0"/>
          <w:color w:val="000000"/>
          <w:spacing w:val="0"/>
          <w:sz w:val="30"/>
          <w:szCs w:val="30"/>
          <w:highlight w:val="none"/>
          <w:lang w:val="en-US" w:eastAsia="zh-CN"/>
        </w:rPr>
        <w:t>36</w:t>
      </w:r>
      <w:r>
        <w:rPr>
          <w:rFonts w:hint="eastAsia" w:ascii="华文仿宋" w:hAnsi="华文仿宋" w:eastAsia="华文仿宋" w:cs="华文仿宋"/>
          <w:i w:val="0"/>
          <w:iCs w:val="0"/>
          <w:caps w:val="0"/>
          <w:color w:val="000000"/>
          <w:spacing w:val="0"/>
          <w:sz w:val="30"/>
          <w:szCs w:val="30"/>
          <w:highlight w:val="none"/>
        </w:rPr>
        <w:t>人（其中局机关12人、局机关二级事业单位7</w:t>
      </w:r>
      <w:r>
        <w:rPr>
          <w:rFonts w:hint="eastAsia" w:ascii="华文仿宋" w:hAnsi="华文仿宋" w:eastAsia="华文仿宋" w:cs="华文仿宋"/>
          <w:i w:val="0"/>
          <w:iCs w:val="0"/>
          <w:caps w:val="0"/>
          <w:color w:val="000000"/>
          <w:spacing w:val="0"/>
          <w:sz w:val="30"/>
          <w:szCs w:val="30"/>
          <w:highlight w:val="none"/>
          <w:lang w:val="en-US" w:eastAsia="zh-CN"/>
        </w:rPr>
        <w:t>9</w:t>
      </w:r>
      <w:r>
        <w:rPr>
          <w:rFonts w:hint="eastAsia" w:ascii="华文仿宋" w:hAnsi="华文仿宋" w:eastAsia="华文仿宋" w:cs="华文仿宋"/>
          <w:i w:val="0"/>
          <w:iCs w:val="0"/>
          <w:caps w:val="0"/>
          <w:color w:val="000000"/>
          <w:spacing w:val="0"/>
          <w:sz w:val="30"/>
          <w:szCs w:val="30"/>
          <w:highlight w:val="none"/>
        </w:rPr>
        <w:t>人、中小学校1922人、县职中1</w:t>
      </w:r>
      <w:r>
        <w:rPr>
          <w:rFonts w:hint="eastAsia" w:ascii="华文仿宋" w:hAnsi="华文仿宋" w:eastAsia="华文仿宋" w:cs="华文仿宋"/>
          <w:i w:val="0"/>
          <w:iCs w:val="0"/>
          <w:caps w:val="0"/>
          <w:color w:val="000000"/>
          <w:spacing w:val="0"/>
          <w:sz w:val="30"/>
          <w:szCs w:val="30"/>
          <w:highlight w:val="none"/>
          <w:lang w:val="en-US" w:eastAsia="zh-CN"/>
        </w:rPr>
        <w:t>49</w:t>
      </w:r>
      <w:r>
        <w:rPr>
          <w:rFonts w:hint="eastAsia" w:ascii="华文仿宋" w:hAnsi="华文仿宋" w:eastAsia="华文仿宋" w:cs="华文仿宋"/>
          <w:i w:val="0"/>
          <w:iCs w:val="0"/>
          <w:caps w:val="0"/>
          <w:color w:val="000000"/>
          <w:spacing w:val="0"/>
          <w:sz w:val="30"/>
          <w:szCs w:val="30"/>
          <w:highlight w:val="none"/>
        </w:rPr>
        <w:t>人、农村公办幼儿园42人、县第一幼儿园32人），全额在编人员人数为23</w:t>
      </w:r>
      <w:r>
        <w:rPr>
          <w:rFonts w:hint="eastAsia" w:ascii="华文仿宋" w:hAnsi="华文仿宋" w:eastAsia="华文仿宋" w:cs="华文仿宋"/>
          <w:i w:val="0"/>
          <w:iCs w:val="0"/>
          <w:caps w:val="0"/>
          <w:color w:val="000000"/>
          <w:spacing w:val="0"/>
          <w:sz w:val="30"/>
          <w:szCs w:val="30"/>
          <w:highlight w:val="none"/>
          <w:lang w:val="en-US" w:eastAsia="zh-CN"/>
        </w:rPr>
        <w:t>30</w:t>
      </w:r>
      <w:r>
        <w:rPr>
          <w:rFonts w:hint="eastAsia" w:ascii="华文仿宋" w:hAnsi="华文仿宋" w:eastAsia="华文仿宋" w:cs="华文仿宋"/>
          <w:i w:val="0"/>
          <w:iCs w:val="0"/>
          <w:caps w:val="0"/>
          <w:color w:val="000000"/>
          <w:spacing w:val="0"/>
          <w:sz w:val="30"/>
          <w:szCs w:val="30"/>
          <w:highlight w:val="none"/>
        </w:rPr>
        <w:t>人，</w:t>
      </w:r>
      <w:r>
        <w:rPr>
          <w:rFonts w:hint="eastAsia" w:ascii="华文仿宋" w:hAnsi="华文仿宋" w:eastAsia="华文仿宋" w:cs="华文仿宋"/>
          <w:i w:val="0"/>
          <w:iCs w:val="0"/>
          <w:caps w:val="0"/>
          <w:color w:val="000000"/>
          <w:spacing w:val="0"/>
          <w:sz w:val="30"/>
          <w:szCs w:val="30"/>
          <w:highlight w:val="none"/>
          <w:lang w:eastAsia="zh-CN"/>
        </w:rPr>
        <w:t>另有员额制教师</w:t>
      </w:r>
      <w:r>
        <w:rPr>
          <w:rFonts w:hint="eastAsia" w:ascii="华文仿宋" w:hAnsi="华文仿宋" w:eastAsia="华文仿宋" w:cs="华文仿宋"/>
          <w:i w:val="0"/>
          <w:iCs w:val="0"/>
          <w:caps w:val="0"/>
          <w:color w:val="000000"/>
          <w:spacing w:val="0"/>
          <w:sz w:val="30"/>
          <w:szCs w:val="30"/>
          <w:highlight w:val="none"/>
          <w:lang w:val="en-US" w:eastAsia="zh-CN"/>
        </w:rPr>
        <w:t>14人，</w:t>
      </w:r>
      <w:r>
        <w:rPr>
          <w:rFonts w:hint="eastAsia" w:ascii="华文仿宋" w:hAnsi="华文仿宋" w:eastAsia="华文仿宋" w:cs="华文仿宋"/>
          <w:i w:val="0"/>
          <w:iCs w:val="0"/>
          <w:caps w:val="0"/>
          <w:color w:val="000000"/>
          <w:spacing w:val="0"/>
          <w:sz w:val="30"/>
          <w:szCs w:val="30"/>
          <w:highlight w:val="none"/>
        </w:rPr>
        <w:t>控制率</w:t>
      </w:r>
      <w:r>
        <w:rPr>
          <w:rFonts w:hint="eastAsia" w:ascii="华文仿宋" w:hAnsi="华文仿宋" w:eastAsia="华文仿宋" w:cs="华文仿宋"/>
          <w:i w:val="0"/>
          <w:iCs w:val="0"/>
          <w:caps w:val="0"/>
          <w:color w:val="000000"/>
          <w:spacing w:val="0"/>
          <w:sz w:val="30"/>
          <w:szCs w:val="30"/>
          <w:highlight w:val="none"/>
          <w:lang w:val="en-US" w:eastAsia="zh-CN"/>
        </w:rPr>
        <w:t>104.8%</w:t>
      </w:r>
      <w:r>
        <w:rPr>
          <w:rFonts w:hint="eastAsia" w:ascii="华文仿宋" w:hAnsi="华文仿宋" w:eastAsia="华文仿宋" w:cs="华文仿宋"/>
          <w:i w:val="0"/>
          <w:iCs w:val="0"/>
          <w:caps w:val="0"/>
          <w:color w:val="000000"/>
          <w:spacing w:val="0"/>
          <w:sz w:val="30"/>
          <w:szCs w:val="30"/>
          <w:highlight w:val="no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6666"/>
        </w:tabs>
        <w:spacing w:before="0" w:beforeAutospacing="0" w:after="0" w:afterAutospacing="0" w:line="560" w:lineRule="atLeast"/>
        <w:ind w:left="0" w:right="0" w:firstLine="600"/>
        <w:jc w:val="both"/>
        <w:rPr>
          <w:rFonts w:hint="eastAsia" w:ascii="Calibri" w:hAnsi="Calibri" w:eastAsia="华文仿宋" w:cs="Calibri"/>
          <w:sz w:val="21"/>
          <w:szCs w:val="21"/>
          <w:lang w:eastAsia="zh-CN"/>
        </w:rPr>
      </w:pPr>
      <w:r>
        <w:rPr>
          <w:rFonts w:hint="eastAsia" w:ascii="华文仿宋" w:hAnsi="华文仿宋" w:eastAsia="华文仿宋" w:cs="华文仿宋"/>
          <w:i w:val="0"/>
          <w:iCs w:val="0"/>
          <w:caps w:val="0"/>
          <w:color w:val="000000"/>
          <w:spacing w:val="0"/>
          <w:sz w:val="30"/>
          <w:szCs w:val="30"/>
        </w:rPr>
        <w:t>二、部门整体支出管理及使用情况</w:t>
      </w:r>
      <w:r>
        <w:rPr>
          <w:rFonts w:hint="eastAsia" w:ascii="华文仿宋" w:hAnsi="华文仿宋" w:eastAsia="华文仿宋" w:cs="华文仿宋"/>
          <w:i w:val="0"/>
          <w:iCs w:val="0"/>
          <w:caps w:val="0"/>
          <w:color w:val="000000"/>
          <w:spacing w:val="0"/>
          <w:sz w:val="30"/>
          <w:szCs w:val="30"/>
          <w:lang w:eastAsia="zh-CN"/>
        </w:rPr>
        <w:tab/>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1、部门整体预算收入情况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none"/>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年度县教育局整体预算收入</w:t>
      </w:r>
      <w:r>
        <w:rPr>
          <w:rFonts w:hint="eastAsia" w:ascii="华文仿宋" w:hAnsi="华文仿宋" w:eastAsia="华文仿宋" w:cs="华文仿宋"/>
          <w:i w:val="0"/>
          <w:iCs w:val="0"/>
          <w:caps w:val="0"/>
          <w:color w:val="000000"/>
          <w:spacing w:val="0"/>
          <w:sz w:val="30"/>
          <w:szCs w:val="30"/>
          <w:highlight w:val="none"/>
          <w:lang w:val="en-US" w:eastAsia="zh-CN"/>
        </w:rPr>
        <w:t>47000.81</w:t>
      </w:r>
      <w:r>
        <w:rPr>
          <w:rFonts w:hint="eastAsia" w:ascii="华文仿宋" w:hAnsi="华文仿宋" w:eastAsia="华文仿宋" w:cs="华文仿宋"/>
          <w:i w:val="0"/>
          <w:iCs w:val="0"/>
          <w:caps w:val="0"/>
          <w:color w:val="000000"/>
          <w:spacing w:val="0"/>
          <w:sz w:val="30"/>
          <w:szCs w:val="30"/>
          <w:highlight w:val="none"/>
        </w:rPr>
        <w:t>万元，其中：一般公共预算拨款3</w:t>
      </w:r>
      <w:r>
        <w:rPr>
          <w:rFonts w:hint="eastAsia" w:ascii="华文仿宋" w:hAnsi="华文仿宋" w:eastAsia="华文仿宋" w:cs="华文仿宋"/>
          <w:i w:val="0"/>
          <w:iCs w:val="0"/>
          <w:caps w:val="0"/>
          <w:color w:val="000000"/>
          <w:spacing w:val="0"/>
          <w:sz w:val="30"/>
          <w:szCs w:val="30"/>
          <w:highlight w:val="none"/>
          <w:lang w:val="en-US" w:eastAsia="zh-CN"/>
        </w:rPr>
        <w:t>1974.88</w:t>
      </w:r>
      <w:r>
        <w:rPr>
          <w:rFonts w:hint="eastAsia" w:ascii="华文仿宋" w:hAnsi="华文仿宋" w:eastAsia="华文仿宋" w:cs="华文仿宋"/>
          <w:i w:val="0"/>
          <w:iCs w:val="0"/>
          <w:caps w:val="0"/>
          <w:color w:val="000000"/>
          <w:spacing w:val="0"/>
          <w:sz w:val="30"/>
          <w:szCs w:val="30"/>
          <w:highlight w:val="none"/>
        </w:rPr>
        <w:t>万元、纳入专户管理的非税收入拨款3</w:t>
      </w:r>
      <w:r>
        <w:rPr>
          <w:rFonts w:hint="eastAsia" w:ascii="华文仿宋" w:hAnsi="华文仿宋" w:eastAsia="华文仿宋" w:cs="华文仿宋"/>
          <w:i w:val="0"/>
          <w:iCs w:val="0"/>
          <w:caps w:val="0"/>
          <w:color w:val="000000"/>
          <w:spacing w:val="0"/>
          <w:sz w:val="30"/>
          <w:szCs w:val="30"/>
          <w:highlight w:val="none"/>
          <w:lang w:val="en-US" w:eastAsia="zh-CN"/>
        </w:rPr>
        <w:t>099.36</w:t>
      </w:r>
      <w:r>
        <w:rPr>
          <w:rFonts w:hint="eastAsia" w:ascii="华文仿宋" w:hAnsi="华文仿宋" w:eastAsia="华文仿宋" w:cs="华文仿宋"/>
          <w:i w:val="0"/>
          <w:iCs w:val="0"/>
          <w:caps w:val="0"/>
          <w:color w:val="000000"/>
          <w:spacing w:val="0"/>
          <w:sz w:val="30"/>
          <w:szCs w:val="30"/>
          <w:highlight w:val="none"/>
        </w:rPr>
        <w:t>万元、上级财政补助</w:t>
      </w:r>
      <w:r>
        <w:rPr>
          <w:rFonts w:hint="eastAsia" w:ascii="华文仿宋" w:hAnsi="华文仿宋" w:eastAsia="华文仿宋" w:cs="华文仿宋"/>
          <w:i w:val="0"/>
          <w:iCs w:val="0"/>
          <w:caps w:val="0"/>
          <w:color w:val="000000"/>
          <w:spacing w:val="0"/>
          <w:sz w:val="30"/>
          <w:szCs w:val="30"/>
          <w:highlight w:val="none"/>
          <w:lang w:val="en-US" w:eastAsia="zh-CN"/>
        </w:rPr>
        <w:t>11926.57</w:t>
      </w:r>
      <w:r>
        <w:rPr>
          <w:rFonts w:hint="eastAsia" w:ascii="华文仿宋" w:hAnsi="华文仿宋" w:eastAsia="华文仿宋" w:cs="华文仿宋"/>
          <w:i w:val="0"/>
          <w:iCs w:val="0"/>
          <w:caps w:val="0"/>
          <w:color w:val="000000"/>
          <w:spacing w:val="0"/>
          <w:sz w:val="30"/>
          <w:szCs w:val="30"/>
          <w:highlight w:val="none"/>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5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2、部门整体预算支出情况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none"/>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年度县教育局整体预算支出</w:t>
      </w:r>
      <w:r>
        <w:rPr>
          <w:rFonts w:hint="eastAsia" w:ascii="华文仿宋" w:hAnsi="华文仿宋" w:eastAsia="华文仿宋" w:cs="华文仿宋"/>
          <w:i w:val="0"/>
          <w:iCs w:val="0"/>
          <w:caps w:val="0"/>
          <w:color w:val="000000"/>
          <w:spacing w:val="0"/>
          <w:sz w:val="30"/>
          <w:szCs w:val="30"/>
          <w:highlight w:val="none"/>
          <w:lang w:val="en-US" w:eastAsia="zh-CN"/>
        </w:rPr>
        <w:t>4700.81</w:t>
      </w:r>
      <w:r>
        <w:rPr>
          <w:rFonts w:hint="eastAsia" w:ascii="华文仿宋" w:hAnsi="华文仿宋" w:eastAsia="华文仿宋" w:cs="华文仿宋"/>
          <w:i w:val="0"/>
          <w:iCs w:val="0"/>
          <w:caps w:val="0"/>
          <w:color w:val="000000"/>
          <w:spacing w:val="0"/>
          <w:sz w:val="30"/>
          <w:szCs w:val="30"/>
          <w:highlight w:val="none"/>
        </w:rPr>
        <w:t>万元，其中：基本支出31961.67万元，包括：工资福利支出</w:t>
      </w:r>
      <w:r>
        <w:rPr>
          <w:rFonts w:hint="eastAsia" w:ascii="华文仿宋" w:hAnsi="华文仿宋" w:eastAsia="华文仿宋" w:cs="华文仿宋"/>
          <w:i w:val="0"/>
          <w:iCs w:val="0"/>
          <w:caps w:val="0"/>
          <w:color w:val="000000"/>
          <w:spacing w:val="0"/>
          <w:sz w:val="30"/>
          <w:szCs w:val="30"/>
          <w:highlight w:val="none"/>
          <w:lang w:val="en-US" w:eastAsia="zh-CN"/>
        </w:rPr>
        <w:t>28206.94</w:t>
      </w:r>
      <w:r>
        <w:rPr>
          <w:rFonts w:hint="eastAsia" w:ascii="华文仿宋" w:hAnsi="华文仿宋" w:eastAsia="华文仿宋" w:cs="华文仿宋"/>
          <w:i w:val="0"/>
          <w:iCs w:val="0"/>
          <w:caps w:val="0"/>
          <w:color w:val="000000"/>
          <w:spacing w:val="0"/>
          <w:sz w:val="30"/>
          <w:szCs w:val="30"/>
          <w:highlight w:val="none"/>
        </w:rPr>
        <w:t>万元、一般商品和服务支出</w:t>
      </w:r>
      <w:r>
        <w:rPr>
          <w:rFonts w:hint="eastAsia" w:ascii="华文仿宋" w:hAnsi="华文仿宋" w:eastAsia="华文仿宋" w:cs="华文仿宋"/>
          <w:i w:val="0"/>
          <w:iCs w:val="0"/>
          <w:caps w:val="0"/>
          <w:color w:val="000000"/>
          <w:spacing w:val="0"/>
          <w:sz w:val="30"/>
          <w:szCs w:val="30"/>
          <w:highlight w:val="none"/>
          <w:lang w:val="en-US" w:eastAsia="zh-CN"/>
        </w:rPr>
        <w:t>3517.45</w:t>
      </w:r>
      <w:r>
        <w:rPr>
          <w:rFonts w:hint="eastAsia" w:ascii="华文仿宋" w:hAnsi="华文仿宋" w:eastAsia="华文仿宋" w:cs="华文仿宋"/>
          <w:i w:val="0"/>
          <w:iCs w:val="0"/>
          <w:caps w:val="0"/>
          <w:color w:val="000000"/>
          <w:spacing w:val="0"/>
          <w:sz w:val="30"/>
          <w:szCs w:val="30"/>
          <w:highlight w:val="none"/>
        </w:rPr>
        <w:t>万元、对个人和家庭的补助22</w:t>
      </w:r>
      <w:r>
        <w:rPr>
          <w:rFonts w:hint="eastAsia" w:ascii="华文仿宋" w:hAnsi="华文仿宋" w:eastAsia="华文仿宋" w:cs="华文仿宋"/>
          <w:i w:val="0"/>
          <w:iCs w:val="0"/>
          <w:caps w:val="0"/>
          <w:color w:val="000000"/>
          <w:spacing w:val="0"/>
          <w:sz w:val="30"/>
          <w:szCs w:val="30"/>
          <w:highlight w:val="none"/>
          <w:lang w:val="en-US" w:eastAsia="zh-CN"/>
        </w:rPr>
        <w:t>3.51</w:t>
      </w:r>
      <w:r>
        <w:rPr>
          <w:rFonts w:hint="eastAsia" w:ascii="华文仿宋" w:hAnsi="华文仿宋" w:eastAsia="华文仿宋" w:cs="华文仿宋"/>
          <w:i w:val="0"/>
          <w:iCs w:val="0"/>
          <w:caps w:val="0"/>
          <w:color w:val="000000"/>
          <w:spacing w:val="0"/>
          <w:sz w:val="30"/>
          <w:szCs w:val="30"/>
          <w:highlight w:val="none"/>
        </w:rPr>
        <w:t>万元；项目支出15039.14万元，包括：商品和服务支出4514.7万元，对个人和家庭的补助2846.34万元，资本性支出7678.1万元。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3、三公经费预算明细情况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cyan"/>
        </w:rPr>
      </w:pPr>
      <w:r>
        <w:rPr>
          <w:rFonts w:hint="eastAsia" w:ascii="华文仿宋" w:hAnsi="华文仿宋" w:eastAsia="华文仿宋" w:cs="华文仿宋"/>
          <w:i w:val="0"/>
          <w:iCs w:val="0"/>
          <w:caps w:val="0"/>
          <w:color w:val="000000"/>
          <w:spacing w:val="0"/>
          <w:sz w:val="30"/>
          <w:szCs w:val="30"/>
          <w:highlight w:val="none"/>
          <w:lang w:val="en-US" w:eastAsia="zh-CN"/>
        </w:rPr>
        <w:t>2020</w:t>
      </w:r>
      <w:r>
        <w:rPr>
          <w:rFonts w:hint="eastAsia" w:ascii="华文仿宋" w:hAnsi="华文仿宋" w:eastAsia="华文仿宋" w:cs="华文仿宋"/>
          <w:i w:val="0"/>
          <w:iCs w:val="0"/>
          <w:caps w:val="0"/>
          <w:color w:val="000000"/>
          <w:spacing w:val="0"/>
          <w:sz w:val="30"/>
          <w:szCs w:val="30"/>
          <w:highlight w:val="none"/>
        </w:rPr>
        <w:t>年度县教育局三公经费预算</w:t>
      </w:r>
      <w:r>
        <w:rPr>
          <w:rFonts w:hint="eastAsia" w:ascii="华文仿宋" w:hAnsi="华文仿宋" w:eastAsia="华文仿宋" w:cs="华文仿宋"/>
          <w:i w:val="0"/>
          <w:iCs w:val="0"/>
          <w:caps w:val="0"/>
          <w:color w:val="000000"/>
          <w:spacing w:val="0"/>
          <w:sz w:val="30"/>
          <w:szCs w:val="30"/>
          <w:highlight w:val="none"/>
          <w:lang w:val="en-US" w:eastAsia="zh-CN"/>
        </w:rPr>
        <w:t>11.9</w:t>
      </w:r>
      <w:r>
        <w:rPr>
          <w:rFonts w:hint="eastAsia" w:ascii="华文仿宋" w:hAnsi="华文仿宋" w:eastAsia="华文仿宋" w:cs="华文仿宋"/>
          <w:i w:val="0"/>
          <w:iCs w:val="0"/>
          <w:caps w:val="0"/>
          <w:color w:val="000000"/>
          <w:spacing w:val="0"/>
          <w:sz w:val="30"/>
          <w:szCs w:val="30"/>
          <w:highlight w:val="none"/>
        </w:rPr>
        <w:t>万元，明细为：公务接待费支出</w:t>
      </w:r>
      <w:r>
        <w:rPr>
          <w:rFonts w:hint="eastAsia" w:ascii="华文仿宋" w:hAnsi="华文仿宋" w:eastAsia="华文仿宋" w:cs="华文仿宋"/>
          <w:i w:val="0"/>
          <w:iCs w:val="0"/>
          <w:caps w:val="0"/>
          <w:color w:val="000000"/>
          <w:spacing w:val="0"/>
          <w:sz w:val="30"/>
          <w:szCs w:val="30"/>
          <w:highlight w:val="none"/>
          <w:lang w:val="en-US" w:eastAsia="zh-CN"/>
        </w:rPr>
        <w:t>8.2</w:t>
      </w:r>
      <w:r>
        <w:rPr>
          <w:rFonts w:hint="eastAsia" w:ascii="华文仿宋" w:hAnsi="华文仿宋" w:eastAsia="华文仿宋" w:cs="华文仿宋"/>
          <w:i w:val="0"/>
          <w:iCs w:val="0"/>
          <w:caps w:val="0"/>
          <w:color w:val="000000"/>
          <w:spacing w:val="0"/>
          <w:sz w:val="30"/>
          <w:szCs w:val="30"/>
          <w:highlight w:val="none"/>
          <w:lang w:eastAsia="zh-CN"/>
        </w:rPr>
        <w:t>万元</w:t>
      </w:r>
      <w:r>
        <w:rPr>
          <w:rFonts w:hint="eastAsia" w:ascii="华文仿宋" w:hAnsi="华文仿宋" w:eastAsia="华文仿宋" w:cs="华文仿宋"/>
          <w:i w:val="0"/>
          <w:iCs w:val="0"/>
          <w:caps w:val="0"/>
          <w:color w:val="000000"/>
          <w:spacing w:val="0"/>
          <w:sz w:val="30"/>
          <w:szCs w:val="30"/>
          <w:highlight w:val="none"/>
        </w:rPr>
        <w:t>、因公出国（境）支出万元、公务用车购置及运行维护费支出</w:t>
      </w:r>
      <w:r>
        <w:rPr>
          <w:rFonts w:hint="eastAsia" w:ascii="华文仿宋" w:hAnsi="华文仿宋" w:eastAsia="华文仿宋" w:cs="华文仿宋"/>
          <w:i w:val="0"/>
          <w:iCs w:val="0"/>
          <w:caps w:val="0"/>
          <w:color w:val="000000"/>
          <w:spacing w:val="0"/>
          <w:sz w:val="30"/>
          <w:szCs w:val="30"/>
          <w:highlight w:val="none"/>
          <w:lang w:val="en-US" w:eastAsia="zh-CN"/>
        </w:rPr>
        <w:t>3.7</w:t>
      </w:r>
      <w:r>
        <w:rPr>
          <w:rFonts w:hint="eastAsia" w:ascii="华文仿宋" w:hAnsi="华文仿宋" w:eastAsia="华文仿宋" w:cs="华文仿宋"/>
          <w:i w:val="0"/>
          <w:iCs w:val="0"/>
          <w:caps w:val="0"/>
          <w:color w:val="000000"/>
          <w:spacing w:val="0"/>
          <w:sz w:val="30"/>
          <w:szCs w:val="30"/>
          <w:highlight w:val="none"/>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（二）部门预算执行情况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1、部门整体实际收入情况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color w:val="auto"/>
          <w:sz w:val="21"/>
          <w:szCs w:val="21"/>
          <w:highlight w:val="none"/>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年度县教育局整体实际收入</w:t>
      </w:r>
      <w:r>
        <w:rPr>
          <w:rFonts w:hint="eastAsia" w:ascii="华文仿宋" w:hAnsi="华文仿宋" w:eastAsia="华文仿宋" w:cs="华文仿宋"/>
          <w:i w:val="0"/>
          <w:iCs w:val="0"/>
          <w:caps w:val="0"/>
          <w:color w:val="auto"/>
          <w:spacing w:val="0"/>
          <w:sz w:val="30"/>
          <w:szCs w:val="30"/>
          <w:highlight w:val="none"/>
          <w:lang w:val="en-US" w:eastAsia="zh-CN"/>
        </w:rPr>
        <w:t>41769.08</w:t>
      </w:r>
      <w:r>
        <w:rPr>
          <w:rFonts w:hint="eastAsia" w:ascii="华文仿宋" w:hAnsi="华文仿宋" w:eastAsia="华文仿宋" w:cs="华文仿宋"/>
          <w:i w:val="0"/>
          <w:iCs w:val="0"/>
          <w:caps w:val="0"/>
          <w:color w:val="auto"/>
          <w:spacing w:val="0"/>
          <w:sz w:val="30"/>
          <w:szCs w:val="30"/>
          <w:highlight w:val="none"/>
        </w:rPr>
        <w:t>万元，其中：一般公共预算拨款</w:t>
      </w:r>
      <w:r>
        <w:rPr>
          <w:rFonts w:hint="eastAsia" w:ascii="华文仿宋" w:hAnsi="华文仿宋" w:eastAsia="华文仿宋" w:cs="华文仿宋"/>
          <w:i w:val="0"/>
          <w:iCs w:val="0"/>
          <w:caps w:val="0"/>
          <w:color w:val="auto"/>
          <w:spacing w:val="0"/>
          <w:sz w:val="30"/>
          <w:szCs w:val="30"/>
          <w:highlight w:val="none"/>
          <w:lang w:val="en-US" w:eastAsia="zh-CN"/>
        </w:rPr>
        <w:t>40986.01</w:t>
      </w:r>
      <w:r>
        <w:rPr>
          <w:rFonts w:hint="eastAsia" w:ascii="华文仿宋" w:hAnsi="华文仿宋" w:eastAsia="华文仿宋" w:cs="华文仿宋"/>
          <w:i w:val="0"/>
          <w:iCs w:val="0"/>
          <w:caps w:val="0"/>
          <w:color w:val="auto"/>
          <w:spacing w:val="0"/>
          <w:sz w:val="30"/>
          <w:szCs w:val="30"/>
          <w:highlight w:val="none"/>
        </w:rPr>
        <w:t>万元、政府基金预算拨款</w:t>
      </w:r>
      <w:r>
        <w:rPr>
          <w:rFonts w:hint="eastAsia" w:ascii="华文仿宋" w:hAnsi="华文仿宋" w:eastAsia="华文仿宋" w:cs="华文仿宋"/>
          <w:i w:val="0"/>
          <w:iCs w:val="0"/>
          <w:caps w:val="0"/>
          <w:color w:val="auto"/>
          <w:spacing w:val="0"/>
          <w:sz w:val="30"/>
          <w:szCs w:val="30"/>
          <w:highlight w:val="none"/>
          <w:lang w:val="en-US" w:eastAsia="zh-CN"/>
        </w:rPr>
        <w:t>145.78</w:t>
      </w:r>
      <w:r>
        <w:rPr>
          <w:rFonts w:hint="eastAsia" w:ascii="华文仿宋" w:hAnsi="华文仿宋" w:eastAsia="华文仿宋" w:cs="华文仿宋"/>
          <w:i w:val="0"/>
          <w:iCs w:val="0"/>
          <w:caps w:val="0"/>
          <w:color w:val="auto"/>
          <w:spacing w:val="0"/>
          <w:sz w:val="30"/>
          <w:szCs w:val="30"/>
          <w:highlight w:val="none"/>
        </w:rPr>
        <w:t>万元，事业收入</w:t>
      </w:r>
      <w:r>
        <w:rPr>
          <w:rFonts w:hint="eastAsia" w:ascii="华文仿宋" w:hAnsi="华文仿宋" w:eastAsia="华文仿宋" w:cs="华文仿宋"/>
          <w:i w:val="0"/>
          <w:iCs w:val="0"/>
          <w:caps w:val="0"/>
          <w:color w:val="auto"/>
          <w:spacing w:val="0"/>
          <w:sz w:val="30"/>
          <w:szCs w:val="30"/>
          <w:highlight w:val="none"/>
          <w:lang w:val="en-US" w:eastAsia="zh-CN"/>
        </w:rPr>
        <w:t>637.29</w:t>
      </w:r>
      <w:r>
        <w:rPr>
          <w:rFonts w:hint="eastAsia" w:ascii="华文仿宋" w:hAnsi="华文仿宋" w:eastAsia="华文仿宋" w:cs="华文仿宋"/>
          <w:i w:val="0"/>
          <w:iCs w:val="0"/>
          <w:caps w:val="0"/>
          <w:color w:val="auto"/>
          <w:spacing w:val="0"/>
          <w:sz w:val="30"/>
          <w:szCs w:val="30"/>
          <w:highlight w:val="none"/>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color w:val="auto"/>
          <w:sz w:val="21"/>
          <w:szCs w:val="21"/>
          <w:highlight w:val="none"/>
        </w:rPr>
      </w:pPr>
      <w:r>
        <w:rPr>
          <w:rFonts w:hint="eastAsia" w:ascii="华文仿宋" w:hAnsi="华文仿宋" w:eastAsia="华文仿宋" w:cs="华文仿宋"/>
          <w:i w:val="0"/>
          <w:iCs w:val="0"/>
          <w:caps w:val="0"/>
          <w:color w:val="auto"/>
          <w:spacing w:val="0"/>
          <w:sz w:val="30"/>
          <w:szCs w:val="30"/>
          <w:highlight w:val="none"/>
        </w:rPr>
        <w:t>2、部门整体实际支出情况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none"/>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年度县教育局整体实际支出</w:t>
      </w:r>
      <w:r>
        <w:rPr>
          <w:rFonts w:hint="eastAsia" w:ascii="华文仿宋" w:hAnsi="华文仿宋" w:eastAsia="华文仿宋" w:cs="华文仿宋"/>
          <w:i w:val="0"/>
          <w:iCs w:val="0"/>
          <w:caps w:val="0"/>
          <w:color w:val="000000" w:themeColor="text1"/>
          <w:spacing w:val="0"/>
          <w:sz w:val="30"/>
          <w:szCs w:val="30"/>
          <w:highlight w:val="none"/>
          <w:lang w:val="en-US" w:eastAsia="zh-CN"/>
          <w14:textFill>
            <w14:solidFill>
              <w14:schemeClr w14:val="tx1"/>
            </w14:solidFill>
          </w14:textFill>
        </w:rPr>
        <w:t>41769.08</w:t>
      </w:r>
      <w:r>
        <w:rPr>
          <w:rFonts w:hint="eastAsia" w:ascii="华文仿宋" w:hAnsi="华文仿宋" w:eastAsia="华文仿宋" w:cs="华文仿宋"/>
          <w:i w:val="0"/>
          <w:iCs w:val="0"/>
          <w:caps w:val="0"/>
          <w:color w:val="000000"/>
          <w:spacing w:val="0"/>
          <w:sz w:val="30"/>
          <w:szCs w:val="30"/>
          <w:highlight w:val="none"/>
        </w:rPr>
        <w:t>万元，其中：基本支出</w:t>
      </w:r>
      <w:r>
        <w:rPr>
          <w:rFonts w:hint="eastAsia" w:ascii="华文仿宋" w:hAnsi="华文仿宋" w:eastAsia="华文仿宋" w:cs="华文仿宋"/>
          <w:i w:val="0"/>
          <w:iCs w:val="0"/>
          <w:caps w:val="0"/>
          <w:color w:val="000000"/>
          <w:spacing w:val="0"/>
          <w:sz w:val="30"/>
          <w:szCs w:val="30"/>
          <w:highlight w:val="none"/>
          <w:lang w:val="en-US" w:eastAsia="zh-CN"/>
        </w:rPr>
        <w:t>34346.05</w:t>
      </w:r>
      <w:r>
        <w:rPr>
          <w:rFonts w:hint="eastAsia" w:ascii="华文仿宋" w:hAnsi="华文仿宋" w:eastAsia="华文仿宋" w:cs="华文仿宋"/>
          <w:i w:val="0"/>
          <w:iCs w:val="0"/>
          <w:caps w:val="0"/>
          <w:color w:val="000000"/>
          <w:spacing w:val="0"/>
          <w:sz w:val="30"/>
          <w:szCs w:val="30"/>
          <w:highlight w:val="none"/>
        </w:rPr>
        <w:t>万元，包括：人员经费</w:t>
      </w:r>
      <w:r>
        <w:rPr>
          <w:rFonts w:hint="eastAsia" w:ascii="华文仿宋" w:hAnsi="华文仿宋" w:eastAsia="华文仿宋" w:cs="华文仿宋"/>
          <w:i w:val="0"/>
          <w:iCs w:val="0"/>
          <w:caps w:val="0"/>
          <w:color w:val="000000"/>
          <w:spacing w:val="0"/>
          <w:sz w:val="30"/>
          <w:szCs w:val="30"/>
          <w:highlight w:val="none"/>
          <w:lang w:val="en-US" w:eastAsia="zh-CN"/>
        </w:rPr>
        <w:t>30293.96</w:t>
      </w:r>
      <w:r>
        <w:rPr>
          <w:rFonts w:hint="eastAsia" w:ascii="华文仿宋" w:hAnsi="华文仿宋" w:eastAsia="华文仿宋" w:cs="华文仿宋"/>
          <w:i w:val="0"/>
          <w:iCs w:val="0"/>
          <w:caps w:val="0"/>
          <w:color w:val="000000"/>
          <w:spacing w:val="0"/>
          <w:sz w:val="30"/>
          <w:szCs w:val="30"/>
          <w:highlight w:val="none"/>
        </w:rPr>
        <w:t>万元、</w:t>
      </w:r>
      <w:r>
        <w:rPr>
          <w:rFonts w:hint="eastAsia" w:ascii="华文仿宋" w:hAnsi="华文仿宋" w:eastAsia="华文仿宋" w:cs="华文仿宋"/>
          <w:i w:val="0"/>
          <w:iCs w:val="0"/>
          <w:caps w:val="0"/>
          <w:color w:val="000000"/>
          <w:spacing w:val="0"/>
          <w:sz w:val="30"/>
          <w:szCs w:val="30"/>
          <w:highlight w:val="none"/>
          <w:lang w:eastAsia="zh-CN"/>
        </w:rPr>
        <w:t>公用经费</w:t>
      </w:r>
      <w:r>
        <w:rPr>
          <w:rFonts w:hint="eastAsia" w:ascii="华文仿宋" w:hAnsi="华文仿宋" w:eastAsia="华文仿宋" w:cs="华文仿宋"/>
          <w:i w:val="0"/>
          <w:iCs w:val="0"/>
          <w:caps w:val="0"/>
          <w:color w:val="000000"/>
          <w:spacing w:val="0"/>
          <w:sz w:val="30"/>
          <w:szCs w:val="30"/>
          <w:highlight w:val="none"/>
          <w:lang w:val="en-US" w:eastAsia="zh-CN"/>
        </w:rPr>
        <w:t>4052.09</w:t>
      </w:r>
      <w:r>
        <w:rPr>
          <w:rFonts w:hint="eastAsia" w:ascii="华文仿宋" w:hAnsi="华文仿宋" w:eastAsia="华文仿宋" w:cs="华文仿宋"/>
          <w:i w:val="0"/>
          <w:iCs w:val="0"/>
          <w:caps w:val="0"/>
          <w:color w:val="000000"/>
          <w:spacing w:val="0"/>
          <w:sz w:val="30"/>
          <w:szCs w:val="30"/>
          <w:highlight w:val="none"/>
        </w:rPr>
        <w:t>万元；项目支出</w:t>
      </w:r>
      <w:r>
        <w:rPr>
          <w:rFonts w:hint="eastAsia" w:ascii="华文仿宋" w:hAnsi="华文仿宋" w:eastAsia="华文仿宋" w:cs="华文仿宋"/>
          <w:i w:val="0"/>
          <w:iCs w:val="0"/>
          <w:caps w:val="0"/>
          <w:color w:val="000000"/>
          <w:spacing w:val="0"/>
          <w:sz w:val="30"/>
          <w:szCs w:val="30"/>
          <w:highlight w:val="none"/>
          <w:lang w:val="en-US" w:eastAsia="zh-CN"/>
        </w:rPr>
        <w:t>7423.03</w:t>
      </w:r>
      <w:r>
        <w:rPr>
          <w:rFonts w:hint="eastAsia" w:ascii="华文仿宋" w:hAnsi="华文仿宋" w:eastAsia="华文仿宋" w:cs="华文仿宋"/>
          <w:i w:val="0"/>
          <w:iCs w:val="0"/>
          <w:caps w:val="0"/>
          <w:color w:val="000000"/>
          <w:spacing w:val="0"/>
          <w:sz w:val="30"/>
          <w:szCs w:val="30"/>
          <w:highlight w:val="none"/>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3、三公经费实际支出情况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年度县教育局三公经费实际支出</w:t>
      </w:r>
      <w:r>
        <w:rPr>
          <w:rFonts w:hint="eastAsia" w:ascii="华文仿宋" w:hAnsi="华文仿宋" w:eastAsia="华文仿宋" w:cs="华文仿宋"/>
          <w:i w:val="0"/>
          <w:iCs w:val="0"/>
          <w:caps w:val="0"/>
          <w:color w:val="000000"/>
          <w:spacing w:val="0"/>
          <w:sz w:val="30"/>
          <w:szCs w:val="30"/>
          <w:highlight w:val="none"/>
          <w:lang w:val="en-US" w:eastAsia="zh-CN"/>
        </w:rPr>
        <w:t>7.61</w:t>
      </w:r>
      <w:r>
        <w:rPr>
          <w:rFonts w:hint="eastAsia" w:ascii="华文仿宋" w:hAnsi="华文仿宋" w:eastAsia="华文仿宋" w:cs="华文仿宋"/>
          <w:i w:val="0"/>
          <w:iCs w:val="0"/>
          <w:caps w:val="0"/>
          <w:color w:val="000000"/>
          <w:spacing w:val="0"/>
          <w:sz w:val="30"/>
          <w:szCs w:val="30"/>
          <w:highlight w:val="none"/>
        </w:rPr>
        <w:t>万元，明细为：公务接待费支出</w:t>
      </w:r>
      <w:r>
        <w:rPr>
          <w:rFonts w:hint="eastAsia" w:ascii="华文仿宋" w:hAnsi="华文仿宋" w:eastAsia="华文仿宋" w:cs="华文仿宋"/>
          <w:i w:val="0"/>
          <w:iCs w:val="0"/>
          <w:caps w:val="0"/>
          <w:color w:val="000000"/>
          <w:spacing w:val="0"/>
          <w:sz w:val="30"/>
          <w:szCs w:val="30"/>
          <w:highlight w:val="none"/>
          <w:lang w:val="en-US" w:eastAsia="zh-CN"/>
        </w:rPr>
        <w:t>1.61</w:t>
      </w:r>
      <w:r>
        <w:rPr>
          <w:rFonts w:hint="eastAsia" w:ascii="华文仿宋" w:hAnsi="华文仿宋" w:eastAsia="华文仿宋" w:cs="华文仿宋"/>
          <w:i w:val="0"/>
          <w:iCs w:val="0"/>
          <w:caps w:val="0"/>
          <w:color w:val="000000"/>
          <w:spacing w:val="0"/>
          <w:sz w:val="30"/>
          <w:szCs w:val="30"/>
          <w:highlight w:val="none"/>
        </w:rPr>
        <w:t>万元、因公出国（境）支出0万元、公务用车购置及运行维护费支出</w:t>
      </w:r>
      <w:r>
        <w:rPr>
          <w:rFonts w:hint="eastAsia" w:ascii="华文仿宋" w:hAnsi="华文仿宋" w:eastAsia="华文仿宋" w:cs="华文仿宋"/>
          <w:i w:val="0"/>
          <w:iCs w:val="0"/>
          <w:caps w:val="0"/>
          <w:color w:val="000000"/>
          <w:spacing w:val="0"/>
          <w:sz w:val="30"/>
          <w:szCs w:val="30"/>
          <w:highlight w:val="none"/>
          <w:lang w:val="en-US" w:eastAsia="zh-CN"/>
        </w:rPr>
        <w:t>6</w:t>
      </w:r>
      <w:r>
        <w:rPr>
          <w:rFonts w:hint="eastAsia" w:ascii="华文仿宋" w:hAnsi="华文仿宋" w:eastAsia="华文仿宋" w:cs="华文仿宋"/>
          <w:i w:val="0"/>
          <w:iCs w:val="0"/>
          <w:caps w:val="0"/>
          <w:color w:val="000000"/>
          <w:spacing w:val="0"/>
          <w:sz w:val="30"/>
          <w:szCs w:val="30"/>
          <w:highlight w:val="none"/>
        </w:rPr>
        <w:t>万元</w:t>
      </w:r>
      <w:r>
        <w:rPr>
          <w:rFonts w:hint="eastAsia" w:ascii="华文仿宋" w:hAnsi="华文仿宋" w:eastAsia="华文仿宋" w:cs="华文仿宋"/>
          <w:i w:val="0"/>
          <w:iCs w:val="0"/>
          <w:caps w:val="0"/>
          <w:color w:val="000000"/>
          <w:spacing w:val="0"/>
          <w:sz w:val="30"/>
          <w:szCs w:val="3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5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（四）部门预算管理情况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1、预算编制方面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本单位严格按程序召开由各部门参加的预算工作会，全面细致的要求各个股室、部门提供年度所需公用经费和项目支出明细。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2、基本支出控制方面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为加强财务管理，提高财政资金使用效益，本单位分别制定了《机关内部控制基本制度》、《机关财务管理制度》等，对资产管理、财务报销程序及权限、政府采购管理、建设项目管理等方面做出了明确规定，形成了比较完善系统的内部管理控制体系，并基本得到有效执行。各项资金由县财政支付局集中支付，严格执行公务卡消费报账制度。基本做到了支出分项归类，核算清晰完整，账务处理及时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3、项目支出控制方面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本单位项目资金实现专款专用，在专用设备购置过程中，严格执行招投标及政府采购程序。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4、三公经费控制方面：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本单位在各项制度中明确规定公务接待实施程序、陪餐人数控制、用餐标准、公务车辆用车程序、车辆保养维修程序、因公出国（境）审批程序、各项费用报销程序等，并得到了有效执行。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三、部门整体支出绩效情况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（一）部门绩效总目标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第一、全面完成教育攻坚任务，努力改善办学条件；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第二、进一步促进义务教育均衡发展；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第三、不断提高教育质量，确保教育质量继续稳中有进；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第四、促进各类教育协调发展，落实教育改革方案。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（二）年度部门绩效目标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1、</w:t>
      </w:r>
      <w:r>
        <w:rPr>
          <w:rFonts w:hint="eastAsia" w:ascii="华文仿宋" w:hAnsi="华文仿宋" w:eastAsia="华文仿宋" w:cs="华文仿宋"/>
          <w:i w:val="0"/>
          <w:iCs w:val="0"/>
          <w:caps w:val="0"/>
          <w:color w:val="000000"/>
          <w:spacing w:val="0"/>
          <w:sz w:val="30"/>
          <w:szCs w:val="30"/>
          <w:lang w:val="en-US" w:eastAsia="zh-CN"/>
        </w:rPr>
        <w:t>加强教师队伍建设，提升教育教学质量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2、</w:t>
      </w:r>
      <w:r>
        <w:rPr>
          <w:rFonts w:hint="eastAsia" w:ascii="华文仿宋" w:hAnsi="华文仿宋" w:eastAsia="华文仿宋" w:cs="华文仿宋"/>
          <w:i w:val="0"/>
          <w:iCs w:val="0"/>
          <w:caps w:val="0"/>
          <w:color w:val="000000"/>
          <w:spacing w:val="0"/>
          <w:sz w:val="30"/>
          <w:szCs w:val="30"/>
          <w:lang w:val="en-US" w:eastAsia="zh-CN"/>
        </w:rPr>
        <w:t>推进教育精准扶贫，确保义务教育全覆盖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3、</w:t>
      </w:r>
      <w:r>
        <w:rPr>
          <w:rFonts w:hint="eastAsia" w:ascii="华文仿宋" w:hAnsi="华文仿宋" w:eastAsia="华文仿宋" w:cs="华文仿宋"/>
          <w:i w:val="0"/>
          <w:iCs w:val="0"/>
          <w:caps w:val="0"/>
          <w:color w:val="000000"/>
          <w:spacing w:val="0"/>
          <w:sz w:val="30"/>
          <w:szCs w:val="30"/>
          <w:lang w:val="en-US" w:eastAsia="zh-CN"/>
        </w:rPr>
        <w:t>大力开展创建工作，提升县城人居环境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Calibri" w:hAnsi="Calibri" w:eastAsia="华文仿宋" w:cs="Calibri"/>
          <w:sz w:val="21"/>
          <w:szCs w:val="21"/>
          <w:lang w:eastAsia="zh-CN"/>
        </w:rPr>
      </w:pPr>
      <w:r>
        <w:rPr>
          <w:rFonts w:hint="eastAsia" w:ascii="华文仿宋" w:hAnsi="华文仿宋" w:eastAsia="华文仿宋" w:cs="华文仿宋"/>
          <w:i w:val="0"/>
          <w:iCs w:val="0"/>
          <w:caps w:val="0"/>
          <w:color w:val="000000"/>
          <w:spacing w:val="0"/>
          <w:sz w:val="30"/>
          <w:szCs w:val="30"/>
        </w:rPr>
        <w:t>4、科学规划城乡学校布局</w:t>
      </w:r>
      <w:r>
        <w:rPr>
          <w:rFonts w:hint="eastAsia" w:ascii="华文仿宋" w:hAnsi="华文仿宋" w:eastAsia="华文仿宋" w:cs="华文仿宋"/>
          <w:i w:val="0"/>
          <w:iCs w:val="0"/>
          <w:caps w:val="0"/>
          <w:color w:val="000000"/>
          <w:spacing w:val="0"/>
          <w:sz w:val="30"/>
          <w:szCs w:val="30"/>
          <w:lang w:eastAsia="zh-CN"/>
        </w:rPr>
        <w:t>，</w:t>
      </w:r>
      <w:r>
        <w:rPr>
          <w:rFonts w:hint="eastAsia" w:ascii="华文仿宋" w:hAnsi="华文仿宋" w:eastAsia="华文仿宋" w:cs="华文仿宋"/>
          <w:i w:val="0"/>
          <w:iCs w:val="0"/>
          <w:caps w:val="0"/>
          <w:color w:val="000000"/>
          <w:spacing w:val="0"/>
          <w:sz w:val="30"/>
          <w:szCs w:val="30"/>
        </w:rPr>
        <w:t>积极开展配套幼儿园治理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5、</w:t>
      </w:r>
      <w:r>
        <w:rPr>
          <w:rFonts w:hint="eastAsia" w:ascii="华文仿宋" w:hAnsi="华文仿宋" w:eastAsia="华文仿宋" w:cs="华文仿宋"/>
          <w:i w:val="0"/>
          <w:iCs w:val="0"/>
          <w:caps w:val="0"/>
          <w:color w:val="000000"/>
          <w:spacing w:val="0"/>
          <w:sz w:val="30"/>
          <w:szCs w:val="30"/>
          <w:lang w:val="en-US" w:eastAsia="zh-CN"/>
        </w:rPr>
        <w:t>加强审计整改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lang w:val="en-US" w:eastAsia="zh-CN"/>
        </w:rPr>
      </w:pPr>
      <w:r>
        <w:rPr>
          <w:rFonts w:hint="eastAsia" w:ascii="华文仿宋" w:hAnsi="华文仿宋" w:eastAsia="华文仿宋" w:cs="华文仿宋"/>
          <w:i w:val="0"/>
          <w:iCs w:val="0"/>
          <w:caps w:val="0"/>
          <w:color w:val="000000"/>
          <w:spacing w:val="0"/>
          <w:sz w:val="30"/>
          <w:szCs w:val="30"/>
        </w:rPr>
        <w:t>6、</w:t>
      </w:r>
      <w:r>
        <w:rPr>
          <w:rFonts w:hint="eastAsia" w:ascii="华文仿宋" w:hAnsi="华文仿宋" w:eastAsia="华文仿宋" w:cs="华文仿宋"/>
          <w:i w:val="0"/>
          <w:iCs w:val="0"/>
          <w:caps w:val="0"/>
          <w:color w:val="000000"/>
          <w:spacing w:val="0"/>
          <w:sz w:val="30"/>
          <w:szCs w:val="30"/>
          <w:lang w:val="en-US" w:eastAsia="zh-CN"/>
        </w:rPr>
        <w:t>加强应急管理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7、</w:t>
      </w:r>
      <w:r>
        <w:rPr>
          <w:rFonts w:hint="eastAsia" w:ascii="华文仿宋" w:hAnsi="华文仿宋" w:eastAsia="华文仿宋" w:cs="华文仿宋"/>
          <w:i w:val="0"/>
          <w:iCs w:val="0"/>
          <w:caps w:val="0"/>
          <w:color w:val="000000"/>
          <w:spacing w:val="0"/>
          <w:sz w:val="30"/>
          <w:szCs w:val="30"/>
          <w:lang w:val="en-US" w:eastAsia="zh-CN"/>
        </w:rPr>
        <w:t>狠抓校园疫情防控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8、加快教育信息化建设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9、</w:t>
      </w:r>
      <w:r>
        <w:rPr>
          <w:rFonts w:hint="eastAsia" w:ascii="华文仿宋" w:hAnsi="华文仿宋" w:eastAsia="华文仿宋" w:cs="华文仿宋"/>
          <w:i w:val="0"/>
          <w:iCs w:val="0"/>
          <w:caps w:val="0"/>
          <w:color w:val="000000"/>
          <w:spacing w:val="0"/>
          <w:sz w:val="30"/>
          <w:szCs w:val="30"/>
          <w:lang w:val="en-US" w:eastAsia="zh-CN"/>
        </w:rPr>
        <w:t>创建平安校园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10、</w:t>
      </w:r>
      <w:r>
        <w:rPr>
          <w:rFonts w:hint="eastAsia" w:ascii="华文仿宋" w:hAnsi="华文仿宋" w:eastAsia="华文仿宋" w:cs="华文仿宋"/>
          <w:i w:val="0"/>
          <w:iCs w:val="0"/>
          <w:caps w:val="0"/>
          <w:color w:val="000000"/>
          <w:spacing w:val="0"/>
          <w:sz w:val="30"/>
          <w:szCs w:val="30"/>
          <w:lang w:val="en-US" w:eastAsia="zh-CN"/>
        </w:rPr>
        <w:t>强化政务服务和公开。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11、促进学生营养健康发展。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none"/>
        </w:rPr>
      </w:pPr>
      <w:r>
        <w:rPr>
          <w:rFonts w:hint="eastAsia" w:ascii="华文仿宋" w:hAnsi="华文仿宋" w:eastAsia="华文仿宋" w:cs="华文仿宋"/>
          <w:i w:val="0"/>
          <w:iCs w:val="0"/>
          <w:caps w:val="0"/>
          <w:color w:val="000000"/>
          <w:spacing w:val="0"/>
          <w:sz w:val="30"/>
          <w:szCs w:val="30"/>
        </w:rPr>
        <w:t>（三）</w:t>
      </w:r>
      <w:r>
        <w:rPr>
          <w:rFonts w:hint="eastAsia" w:ascii="华文仿宋" w:hAnsi="华文仿宋" w:eastAsia="华文仿宋" w:cs="华文仿宋"/>
          <w:i w:val="0"/>
          <w:iCs w:val="0"/>
          <w:caps w:val="0"/>
          <w:color w:val="000000"/>
          <w:spacing w:val="0"/>
          <w:sz w:val="30"/>
          <w:szCs w:val="30"/>
          <w:highlight w:val="none"/>
        </w:rPr>
        <w:t>年度部门绩效目标完成情况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i w:val="0"/>
          <w:iCs w:val="0"/>
          <w:caps w:val="0"/>
          <w:color w:val="000000"/>
          <w:spacing w:val="0"/>
          <w:sz w:val="30"/>
          <w:szCs w:val="30"/>
          <w:highlight w:val="none"/>
        </w:rPr>
        <w:t>1、</w:t>
      </w:r>
      <w:r>
        <w:rPr>
          <w:rFonts w:hint="eastAsia" w:ascii="华文仿宋" w:hAnsi="华文仿宋" w:eastAsia="华文仿宋" w:cs="华文仿宋"/>
          <w:i w:val="0"/>
          <w:iCs w:val="0"/>
          <w:caps w:val="0"/>
          <w:color w:val="000000"/>
          <w:spacing w:val="0"/>
          <w:sz w:val="30"/>
          <w:szCs w:val="30"/>
          <w:highlight w:val="none"/>
          <w:lang w:eastAsia="zh-CN"/>
        </w:rPr>
        <w:t>加强教师队伍建设，提升教育教学质量：</w:t>
      </w:r>
      <w:r>
        <w:rPr>
          <w:rFonts w:hint="eastAsia" w:ascii="华文仿宋" w:hAnsi="华文仿宋" w:eastAsia="华文仿宋" w:cs="华文仿宋"/>
          <w:i w:val="0"/>
          <w:iCs w:val="0"/>
          <w:caps w:val="0"/>
          <w:color w:val="000000"/>
          <w:spacing w:val="0"/>
          <w:sz w:val="30"/>
          <w:szCs w:val="30"/>
          <w:highlight w:val="none"/>
          <w:lang w:val="en-US" w:eastAsia="zh-CN"/>
        </w:rPr>
        <w:t>县管校聘改革。</w:t>
      </w:r>
      <w:r>
        <w:rPr>
          <w:rFonts w:hint="eastAsia" w:ascii="华文仿宋" w:hAnsi="华文仿宋" w:eastAsia="华文仿宋" w:cs="华文仿宋"/>
          <w:color w:val="000000"/>
          <w:sz w:val="30"/>
          <w:szCs w:val="30"/>
          <w:lang w:val="en-US" w:eastAsia="zh-CN"/>
        </w:rPr>
        <w:t>建立了教师退出机制，发挥了应有的效果，暑期开展了</w:t>
      </w:r>
      <w:r>
        <w:rPr>
          <w:rFonts w:hint="eastAsia" w:ascii="华文仿宋" w:hAnsi="华文仿宋" w:eastAsia="华文仿宋" w:cs="华文仿宋"/>
          <w:b w:val="0"/>
          <w:bCs/>
          <w:sz w:val="30"/>
          <w:szCs w:val="30"/>
          <w:lang w:val="en-US" w:eastAsia="zh-CN"/>
        </w:rPr>
        <w:t>教师跨校竞聘，共</w:t>
      </w:r>
      <w:r>
        <w:rPr>
          <w:rFonts w:hint="eastAsia" w:ascii="华文仿宋" w:hAnsi="华文仿宋" w:eastAsia="华文仿宋" w:cs="华文仿宋"/>
          <w:color w:val="000000"/>
          <w:sz w:val="30"/>
          <w:szCs w:val="30"/>
          <w:lang w:val="en-US" w:eastAsia="zh-CN"/>
        </w:rPr>
        <w:t>78</w:t>
      </w:r>
      <w:r>
        <w:rPr>
          <w:rFonts w:hint="eastAsia" w:ascii="华文仿宋" w:hAnsi="华文仿宋" w:eastAsia="华文仿宋" w:cs="华文仿宋"/>
          <w:color w:val="000000"/>
          <w:sz w:val="30"/>
          <w:szCs w:val="30"/>
        </w:rPr>
        <w:t>名教师</w:t>
      </w:r>
      <w:r>
        <w:rPr>
          <w:rFonts w:hint="eastAsia" w:ascii="华文仿宋" w:hAnsi="华文仿宋" w:eastAsia="华文仿宋" w:cs="华文仿宋"/>
          <w:color w:val="000000"/>
          <w:sz w:val="30"/>
          <w:szCs w:val="30"/>
          <w:lang w:eastAsia="zh-CN"/>
        </w:rPr>
        <w:t>跨校交流，</w:t>
      </w:r>
      <w:r>
        <w:rPr>
          <w:rFonts w:hint="eastAsia" w:ascii="华文仿宋" w:hAnsi="华文仿宋" w:eastAsia="华文仿宋" w:cs="华文仿宋"/>
          <w:b w:val="0"/>
          <w:bCs/>
          <w:sz w:val="30"/>
          <w:szCs w:val="30"/>
          <w:lang w:val="en-US" w:eastAsia="zh-CN"/>
        </w:rPr>
        <w:t>开展了</w:t>
      </w:r>
      <w:r>
        <w:rPr>
          <w:rFonts w:hint="eastAsia" w:ascii="华文仿宋" w:hAnsi="华文仿宋" w:eastAsia="华文仿宋" w:cs="华文仿宋"/>
          <w:sz w:val="30"/>
          <w:szCs w:val="30"/>
        </w:rPr>
        <w:t>学校规范化管理检查</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我县“县管校聘”改革产生了全国性影响，分别被《教育家》《湖南教育》长篇幅报道</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吸引了省内外县市前来我县取经；强化队伍建设。公开招聘3名高中教师和14名员额制教师，公费定向培养教师上岗29人，52名特岗教师转正，优化了教师队伍结构。组建了1个名校长工作室和11个学科名师工作室；提升教育教学质量。</w:t>
      </w:r>
      <w:r>
        <w:rPr>
          <w:rFonts w:hint="eastAsia" w:ascii="华文仿宋" w:hAnsi="华文仿宋" w:eastAsia="华文仿宋" w:cs="华文仿宋"/>
          <w:sz w:val="30"/>
          <w:szCs w:val="30"/>
        </w:rPr>
        <w:t>高考、中考、学考、成考等各类考试工作顺利举行。高考成绩比上年取得突破性进步，教育质量稳中有进。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推进教育精准扶贫，确保义务教育全覆盖：落实资助政策。严格落实义务教育阶段免费教科书政策、高中建档立档学生免学费政策和大学生资助政策，全县无一人因贫失学。加强控辍保学。制定了中方县义务教育控辍保学方案，成立了控辍保学工作领导小组，与各中小学签订了控辍保学责任状，实现了全县义务教育全覆盖。开展送教上门。积极开展残疾学生送教上门活动，确保残疾学生享受教育的权利。开展联村扶贫。加强了基础设施建设，改善了居住环境，为村民增收创造了条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3、</w:t>
      </w:r>
      <w:r>
        <w:rPr>
          <w:rFonts w:hint="eastAsia" w:ascii="华文仿宋" w:hAnsi="华文仿宋" w:eastAsia="华文仿宋" w:cs="华文仿宋"/>
          <w:sz w:val="30"/>
          <w:szCs w:val="30"/>
          <w:lang w:val="en-US" w:eastAsia="zh-CN"/>
        </w:rPr>
        <w:t>大力开展创建工作，提升县城人居环境：开展四城同创工作。加强了社会主义核心价值观学习宣传活动，成立了志愿者队伍，开展了勤俭节约、传统节日、文化体育、诚信等活动，获评中方县文明单位；加强生态文明建设。制定了《中方县教育局创建绿色学校实施方案（2019-2022年）》，指导中小学校创建绿色学校。积极倡导生态文明，推进绿色消费、节约资源能源，成效明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科学规划城乡学校布局，进一步促进义务教育均衡发展；在全省率先全面消除义务教育大班额，提前一年完成任务。积极开展配套幼儿园治理；公办园学生占比较往年有极大提升。</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5. </w:t>
      </w:r>
      <w:r>
        <w:rPr>
          <w:rFonts w:hint="eastAsia" w:ascii="华文仿宋" w:hAnsi="华文仿宋" w:eastAsia="华文仿宋" w:cs="华文仿宋"/>
          <w:sz w:val="30"/>
          <w:szCs w:val="30"/>
          <w:lang w:val="en-US" w:eastAsia="zh-CN"/>
        </w:rPr>
        <w:t>加强审计整改。建立健全内审工作机构，强化制度建设，规范了学校内部管理。开展了学校财务专项审计，注重内部审计结果运用，逐步规范学校财务管理，做到以审促改。对教师反映较大的3所学校校长进行了集体约谈，并在校长会议对审计情况进行了通报，规范了学校办学行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6.</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加强应急管理。开展了交通、消防等安全教育宣传活动和应急疏散演练，增强了师生安全意识和自护自救能力。出台了《关于进一步加强教育系统应急值班值守的若干规定》，结合教育实际制定了疫情防控、食品安全、防汛等各类安全应急预案，提升了应急能力和处置水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7</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狠抓校园疫情防控。</w:t>
      </w:r>
      <w:r>
        <w:rPr>
          <w:rFonts w:hint="eastAsia" w:ascii="华文仿宋" w:hAnsi="华文仿宋" w:eastAsia="华文仿宋" w:cs="华文仿宋"/>
          <w:sz w:val="30"/>
          <w:szCs w:val="30"/>
        </w:rPr>
        <w:t>制定</w:t>
      </w:r>
      <w:r>
        <w:rPr>
          <w:rFonts w:hint="eastAsia" w:ascii="华文仿宋" w:hAnsi="华文仿宋" w:eastAsia="华文仿宋" w:cs="华文仿宋"/>
          <w:sz w:val="30"/>
          <w:szCs w:val="30"/>
          <w:lang w:val="en-US" w:eastAsia="zh-CN"/>
        </w:rPr>
        <w:t>了</w:t>
      </w:r>
      <w:r>
        <w:rPr>
          <w:rFonts w:hint="eastAsia" w:ascii="华文仿宋" w:hAnsi="华文仿宋" w:eastAsia="华文仿宋" w:cs="华文仿宋"/>
          <w:sz w:val="30"/>
          <w:szCs w:val="30"/>
        </w:rPr>
        <w:t>疫情防控工作方案</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构建了疫情防控工作责任体系，层层部署落实各项</w:t>
      </w:r>
      <w:r>
        <w:rPr>
          <w:rFonts w:hint="eastAsia" w:ascii="华文仿宋" w:hAnsi="华文仿宋" w:eastAsia="华文仿宋" w:cs="华文仿宋"/>
          <w:sz w:val="30"/>
          <w:szCs w:val="30"/>
        </w:rPr>
        <w:t>防控措施。通过微信群、QQ群、手机短信</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横幅</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宣传栏等渠道</w:t>
      </w:r>
      <w:r>
        <w:rPr>
          <w:rFonts w:hint="eastAsia" w:ascii="华文仿宋" w:hAnsi="华文仿宋" w:eastAsia="华文仿宋" w:cs="华文仿宋"/>
          <w:sz w:val="30"/>
          <w:szCs w:val="30"/>
          <w:lang w:val="en-US" w:eastAsia="zh-CN"/>
        </w:rPr>
        <w:t>全方位宣传，做到家喻户晓。想方设法</w:t>
      </w:r>
      <w:r>
        <w:rPr>
          <w:rFonts w:hint="eastAsia" w:ascii="华文仿宋" w:hAnsi="华文仿宋" w:eastAsia="华文仿宋" w:cs="华文仿宋"/>
          <w:sz w:val="30"/>
          <w:szCs w:val="30"/>
        </w:rPr>
        <w:t>筹备防疫物质</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组织开学疫情防控演练</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建立疫情防控常态化机制，</w:t>
      </w:r>
      <w:r>
        <w:rPr>
          <w:rFonts w:hint="eastAsia" w:ascii="华文仿宋" w:hAnsi="华文仿宋" w:eastAsia="华文仿宋" w:cs="华文仿宋"/>
          <w:sz w:val="30"/>
          <w:szCs w:val="30"/>
        </w:rPr>
        <w:t>全面恢复</w:t>
      </w:r>
      <w:r>
        <w:rPr>
          <w:rFonts w:hint="default" w:ascii="华文仿宋" w:hAnsi="华文仿宋" w:eastAsia="华文仿宋" w:cs="华文仿宋"/>
          <w:sz w:val="30"/>
          <w:szCs w:val="30"/>
        </w:rPr>
        <w:t>正常教育教学秩序</w:t>
      </w:r>
      <w:r>
        <w:rPr>
          <w:rFonts w:hint="eastAsia" w:ascii="华文仿宋" w:hAnsi="华文仿宋" w:eastAsia="华文仿宋" w:cs="华文仿宋"/>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8、加快推进教育信息化建设，深入实施“互联网+教育”工程，中方县实验教学与信息化深度融合已成为“湖南经验”，先后在全国性学科实验室3.0大会、全省教育装备管理培训会议上被推介。大力推进网络联校建设，建成网络联校36所，出台《网络联校应用管理办法》，获评全省农村网络联校群建设实验县、全省现代教育技术实验县。</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9、</w:t>
      </w:r>
      <w:r>
        <w:rPr>
          <w:rFonts w:hint="eastAsia" w:ascii="华文仿宋" w:hAnsi="华文仿宋" w:eastAsia="华文仿宋" w:cs="华文仿宋"/>
          <w:sz w:val="30"/>
          <w:szCs w:val="30"/>
          <w:lang w:val="en-US" w:eastAsia="zh-CN"/>
        </w:rPr>
        <w:t>创建平安校园。</w:t>
      </w:r>
      <w:r>
        <w:rPr>
          <w:rFonts w:hint="eastAsia" w:ascii="华文仿宋" w:hAnsi="华文仿宋" w:eastAsia="华文仿宋" w:cs="华文仿宋"/>
          <w:sz w:val="30"/>
          <w:szCs w:val="30"/>
        </w:rPr>
        <w:t>加强校园安全“三防”建设，县财政预</w:t>
      </w:r>
      <w:r>
        <w:rPr>
          <w:rFonts w:hint="eastAsia" w:ascii="华文仿宋" w:hAnsi="华文仿宋" w:eastAsia="华文仿宋" w:cs="华文仿宋"/>
          <w:sz w:val="30"/>
          <w:szCs w:val="30"/>
          <w:lang w:val="en-US" w:eastAsia="zh-CN"/>
        </w:rPr>
        <w:t>算新增校园专职保安20人，全县学校专职保安人员合计83人，基本上达到乡镇以上学校保安配备率。实施“互联网＋明厨亮灶”工程，</w:t>
      </w:r>
      <w:r>
        <w:rPr>
          <w:rFonts w:hint="default" w:ascii="华文仿宋" w:hAnsi="华文仿宋" w:eastAsia="华文仿宋" w:cs="华文仿宋"/>
          <w:sz w:val="30"/>
          <w:szCs w:val="30"/>
          <w:lang w:val="en-US" w:eastAsia="zh-CN"/>
        </w:rPr>
        <w:t>印发</w:t>
      </w:r>
      <w:r>
        <w:rPr>
          <w:rFonts w:hint="eastAsia" w:ascii="华文仿宋" w:hAnsi="华文仿宋" w:eastAsia="华文仿宋" w:cs="华文仿宋"/>
          <w:sz w:val="30"/>
          <w:szCs w:val="30"/>
          <w:lang w:val="en-US" w:eastAsia="zh-CN"/>
        </w:rPr>
        <w:t>了《</w:t>
      </w:r>
      <w:r>
        <w:rPr>
          <w:rFonts w:hint="default" w:ascii="华文仿宋" w:hAnsi="华文仿宋" w:eastAsia="华文仿宋" w:cs="华文仿宋"/>
          <w:sz w:val="30"/>
          <w:szCs w:val="30"/>
          <w:lang w:val="en-US" w:eastAsia="zh-CN"/>
        </w:rPr>
        <w:t>学校食堂商店食品安全管理责任追究办法</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rPr>
        <w:t>积极</w:t>
      </w:r>
      <w:r>
        <w:rPr>
          <w:rFonts w:hint="eastAsia" w:ascii="华文仿宋" w:hAnsi="华文仿宋" w:eastAsia="华文仿宋" w:cs="华文仿宋"/>
          <w:sz w:val="30"/>
          <w:szCs w:val="30"/>
          <w:lang w:val="en-US" w:eastAsia="zh-CN"/>
        </w:rPr>
        <w:t>开展</w:t>
      </w:r>
      <w:r>
        <w:rPr>
          <w:rFonts w:hint="eastAsia" w:ascii="华文仿宋" w:hAnsi="华文仿宋" w:eastAsia="华文仿宋" w:cs="华文仿宋"/>
          <w:sz w:val="30"/>
          <w:szCs w:val="30"/>
        </w:rPr>
        <w:t>防溺水、防欺凌和消防、交通安全、疫情防控等</w:t>
      </w:r>
      <w:r>
        <w:rPr>
          <w:rFonts w:hint="eastAsia" w:ascii="华文仿宋" w:hAnsi="华文仿宋" w:eastAsia="华文仿宋" w:cs="华文仿宋"/>
          <w:sz w:val="30"/>
          <w:szCs w:val="30"/>
          <w:lang w:val="en-US" w:eastAsia="zh-CN"/>
        </w:rPr>
        <w:t>安全</w:t>
      </w:r>
      <w:r>
        <w:rPr>
          <w:rFonts w:hint="eastAsia" w:ascii="华文仿宋" w:hAnsi="华文仿宋" w:eastAsia="华文仿宋" w:cs="华文仿宋"/>
          <w:sz w:val="30"/>
          <w:szCs w:val="30"/>
        </w:rPr>
        <w:t>教育活动</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提升了学校</w:t>
      </w:r>
      <w:r>
        <w:rPr>
          <w:rFonts w:hint="eastAsia" w:ascii="华文仿宋" w:hAnsi="华文仿宋" w:eastAsia="华文仿宋" w:cs="华文仿宋"/>
          <w:sz w:val="30"/>
          <w:szCs w:val="30"/>
        </w:rPr>
        <w:t>食品安全工作管理水平</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创建4所市级安全文明校园。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10、强化政务服务和公开。2020</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政务服务</w:t>
      </w:r>
      <w:r>
        <w:rPr>
          <w:rFonts w:hint="eastAsia" w:ascii="华文仿宋" w:hAnsi="华文仿宋" w:eastAsia="华文仿宋" w:cs="华文仿宋"/>
          <w:sz w:val="30"/>
          <w:szCs w:val="30"/>
        </w:rPr>
        <w:t>办件量</w:t>
      </w:r>
      <w:r>
        <w:rPr>
          <w:rFonts w:hint="eastAsia" w:ascii="华文仿宋" w:hAnsi="华文仿宋" w:eastAsia="华文仿宋" w:cs="华文仿宋"/>
          <w:sz w:val="30"/>
          <w:szCs w:val="30"/>
          <w:lang w:val="en-US" w:eastAsia="zh-CN"/>
        </w:rPr>
        <w:t>达</w:t>
      </w:r>
      <w:r>
        <w:rPr>
          <w:rFonts w:hint="eastAsia" w:ascii="华文仿宋" w:hAnsi="华文仿宋" w:eastAsia="华文仿宋" w:cs="华文仿宋"/>
          <w:sz w:val="30"/>
          <w:szCs w:val="30"/>
        </w:rPr>
        <w:t>9</w:t>
      </w:r>
      <w:r>
        <w:rPr>
          <w:rFonts w:hint="eastAsia" w:ascii="华文仿宋" w:hAnsi="华文仿宋" w:eastAsia="华文仿宋" w:cs="华文仿宋"/>
          <w:sz w:val="30"/>
          <w:szCs w:val="30"/>
          <w:lang w:val="en-US"/>
        </w:rPr>
        <w:t>1</w:t>
      </w:r>
      <w:r>
        <w:rPr>
          <w:rFonts w:hint="eastAsia" w:ascii="华文仿宋" w:hAnsi="华文仿宋" w:eastAsia="华文仿宋" w:cs="华文仿宋"/>
          <w:sz w:val="30"/>
          <w:szCs w:val="30"/>
        </w:rPr>
        <w:t>8件，办结率100%，满意率100%。优化办事</w:t>
      </w:r>
      <w:r>
        <w:rPr>
          <w:rFonts w:hint="eastAsia" w:ascii="华文仿宋" w:hAnsi="华文仿宋" w:eastAsia="华文仿宋" w:cs="华文仿宋"/>
          <w:sz w:val="30"/>
          <w:szCs w:val="30"/>
          <w:lang w:val="en-US" w:eastAsia="zh-CN"/>
        </w:rPr>
        <w:t>程序</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现</w:t>
      </w:r>
      <w:r>
        <w:rPr>
          <w:rFonts w:hint="eastAsia" w:ascii="华文仿宋" w:hAnsi="华文仿宋" w:eastAsia="华文仿宋" w:cs="华文仿宋"/>
          <w:sz w:val="30"/>
          <w:szCs w:val="30"/>
          <w:lang w:val="en-US" w:eastAsia="zh-CN"/>
        </w:rPr>
        <w:t>办事</w:t>
      </w:r>
      <w:r>
        <w:rPr>
          <w:rFonts w:hint="eastAsia" w:ascii="华文仿宋" w:hAnsi="华文仿宋" w:eastAsia="华文仿宋" w:cs="华文仿宋"/>
          <w:sz w:val="30"/>
          <w:szCs w:val="30"/>
        </w:rPr>
        <w:t>流程</w:t>
      </w:r>
      <w:r>
        <w:rPr>
          <w:rFonts w:hint="eastAsia" w:ascii="华文仿宋" w:hAnsi="华文仿宋" w:eastAsia="华文仿宋" w:cs="华文仿宋"/>
          <w:sz w:val="30"/>
          <w:szCs w:val="30"/>
          <w:lang w:val="en-US" w:eastAsia="zh-CN"/>
        </w:rPr>
        <w:t>精简到</w:t>
      </w:r>
      <w:r>
        <w:rPr>
          <w:rFonts w:hint="eastAsia" w:ascii="华文仿宋" w:hAnsi="华文仿宋" w:eastAsia="华文仿宋" w:cs="华文仿宋"/>
          <w:sz w:val="30"/>
          <w:szCs w:val="30"/>
        </w:rPr>
        <w:t>原</w:t>
      </w:r>
      <w:r>
        <w:rPr>
          <w:rFonts w:hint="eastAsia" w:ascii="华文仿宋" w:hAnsi="华文仿宋" w:eastAsia="华文仿宋" w:cs="华文仿宋"/>
          <w:sz w:val="30"/>
          <w:szCs w:val="30"/>
          <w:lang w:val="en-US" w:eastAsia="zh-CN"/>
        </w:rPr>
        <w:t>来</w:t>
      </w:r>
      <w:r>
        <w:rPr>
          <w:rFonts w:hint="eastAsia" w:ascii="华文仿宋" w:hAnsi="华文仿宋" w:eastAsia="华文仿宋" w:cs="华文仿宋"/>
          <w:sz w:val="30"/>
          <w:szCs w:val="30"/>
        </w:rPr>
        <w:t>的50%</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办事材料精简到原来的60%，办事时限在法定时限上</w:t>
      </w:r>
      <w:r>
        <w:rPr>
          <w:rFonts w:hint="eastAsia" w:ascii="华文仿宋" w:hAnsi="华文仿宋" w:eastAsia="华文仿宋" w:cs="华文仿宋"/>
          <w:sz w:val="30"/>
          <w:szCs w:val="30"/>
        </w:rPr>
        <w:t>提</w:t>
      </w:r>
      <w:r>
        <w:rPr>
          <w:rFonts w:hint="eastAsia" w:ascii="华文仿宋" w:hAnsi="华文仿宋" w:eastAsia="华文仿宋" w:cs="华文仿宋"/>
          <w:sz w:val="30"/>
          <w:szCs w:val="30"/>
          <w:lang w:val="en-US" w:eastAsia="zh-CN"/>
        </w:rPr>
        <w:t>速40%。加大了政务信息公开的力度 ，全年在政府网站共发布政务信息176条。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lang w:val="en-US" w:eastAsia="zh-CN"/>
        </w:rPr>
        <w:t>11、</w:t>
      </w:r>
      <w:r>
        <w:rPr>
          <w:rFonts w:hint="eastAsia" w:ascii="华文仿宋" w:hAnsi="华文仿宋" w:eastAsia="华文仿宋" w:cs="华文仿宋"/>
          <w:sz w:val="30"/>
          <w:szCs w:val="30"/>
        </w:rPr>
        <w:t>营养改善计划有序运行，全县农村义务教育阶段学生均享受了营养改善计划，学生健康发展得到保障。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四、存在的主要问题及下一步改进措施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（一）存在的问题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一是人员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二是预算绩效管理工作相对滞后。近年来实施财务精细化管理后，局机关预算编制由财务工作者统筹，财务工作者除应对单位日常财务管理等外，无更多精力承担预算项目绩效管理培训、预算编制审核和预算管理绩效跟踪管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三是部分项目执行与预算支出指标差距较大。部分项目在预算时未能充分预料和考虑到来年的政策变化，导致实际支出与预算相差较大。</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（二）整改情况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1.加强培训，扩大培训范围。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2.督促预算项目负责人加强项目管理。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五、绩效自评结果拟应用和公开情况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(一）评价结果作为改进预算管理和安排以后年度预算的重要依据。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（二）建立部门整改机制，认真落实整改意见，总结完善制度办法，合理调整资源配置的积极作用，不断提高预算绩效管理水平。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（三）部门整体支出绩效自评报告通过门户网站向社会公开，接受社会监督。</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（四）建立绩效管理问责制度：按照“花钱必问效，无效必问责”机制，加强项目绩效的监督检查，对出现违规违纪责任人进行问责。</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六、其他需要说明的情况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rFonts w:hint="eastAsia" w:ascii="华文仿宋" w:hAnsi="华文仿宋" w:eastAsia="华文仿宋" w:cs="华文仿宋"/>
          <w:i w:val="0"/>
          <w:iCs w:val="0"/>
          <w:caps w:val="0"/>
          <w:color w:val="000000"/>
          <w:spacing w:val="0"/>
          <w:sz w:val="30"/>
          <w:szCs w:val="30"/>
        </w:rPr>
        <w:sectPr>
          <w:pgSz w:w="11906" w:h="16838"/>
          <w:pgMar w:top="1440" w:right="1803" w:bottom="1440" w:left="1803" w:header="851" w:footer="992" w:gutter="0"/>
          <w:cols w:space="0" w:num="1"/>
          <w:rtlGutter w:val="0"/>
          <w:docGrid w:type="lines" w:linePitch="319" w:charSpace="0"/>
        </w:sectPr>
      </w:pPr>
      <w:r>
        <w:rPr>
          <w:rFonts w:hint="eastAsia" w:ascii="华文仿宋" w:hAnsi="华文仿宋" w:eastAsia="华文仿宋" w:cs="华文仿宋"/>
          <w:i w:val="0"/>
          <w:iCs w:val="0"/>
          <w:caps w:val="0"/>
          <w:color w:val="000000"/>
          <w:spacing w:val="0"/>
          <w:sz w:val="30"/>
          <w:szCs w:val="30"/>
        </w:rPr>
        <w:t>无</w:t>
      </w:r>
    </w:p>
    <w:p>
      <w:pPr>
        <w:spacing w:line="560" w:lineRule="exact"/>
        <w:rPr>
          <w:rFonts w:ascii="Times New Roman" w:hAnsi="Times New Roman" w:eastAsia="仿宋_GB2312"/>
          <w:bCs/>
          <w:color w:val="000000"/>
          <w:sz w:val="32"/>
          <w:szCs w:val="32"/>
        </w:rPr>
      </w:pPr>
      <w:r>
        <w:rPr>
          <w:rFonts w:ascii="Times New Roman" w:hAnsi="Times New Roman" w:eastAsia="仿宋_GB2312"/>
          <w:bCs/>
          <w:color w:val="000000"/>
          <w:sz w:val="32"/>
          <w:szCs w:val="32"/>
        </w:rPr>
        <w:t>附件1</w:t>
      </w:r>
    </w:p>
    <w:p>
      <w:pPr>
        <w:spacing w:before="156" w:beforeLines="50" w:after="156" w:afterLines="50" w:line="3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部门整体支出绩效评价基础数据表</w:t>
      </w:r>
    </w:p>
    <w:p>
      <w:pPr>
        <w:widowControl/>
        <w:tabs>
          <w:tab w:val="left" w:pos="3611"/>
          <w:tab w:val="left" w:pos="4791"/>
          <w:tab w:val="left" w:pos="5951"/>
          <w:tab w:val="left" w:pos="7071"/>
          <w:tab w:val="left" w:pos="8191"/>
          <w:tab w:val="left" w:pos="9311"/>
        </w:tabs>
        <w:spacing w:line="500" w:lineRule="exact"/>
        <w:ind w:left="91"/>
        <w:jc w:val="left"/>
        <w:rPr>
          <w:rFonts w:ascii="Times New Roman" w:hAnsi="Times New Roman" w:eastAsia="仿宋_GB2312"/>
          <w:kern w:val="0"/>
          <w:sz w:val="30"/>
          <w:szCs w:val="30"/>
        </w:rPr>
      </w:pPr>
      <w:r>
        <w:rPr>
          <w:rFonts w:ascii="Times New Roman" w:hAnsi="Times New Roman" w:eastAsia="仿宋_GB2312"/>
          <w:kern w:val="0"/>
          <w:sz w:val="30"/>
          <w:szCs w:val="30"/>
        </w:rPr>
        <w:t>填报单位：</w:t>
      </w:r>
      <w:r>
        <w:rPr>
          <w:rFonts w:hint="eastAsia" w:ascii="Times New Roman" w:hAnsi="Times New Roman" w:eastAsia="仿宋_GB2312"/>
          <w:kern w:val="0"/>
          <w:sz w:val="30"/>
          <w:szCs w:val="30"/>
        </w:rPr>
        <w:t>中方县教育局</w:t>
      </w:r>
    </w:p>
    <w:tbl>
      <w:tblPr>
        <w:tblStyle w:val="6"/>
        <w:tblW w:w="0" w:type="auto"/>
        <w:jc w:val="center"/>
        <w:tblLayout w:type="fixed"/>
        <w:tblCellMar>
          <w:top w:w="0" w:type="dxa"/>
          <w:left w:w="108" w:type="dxa"/>
          <w:bottom w:w="0" w:type="dxa"/>
          <w:right w:w="108" w:type="dxa"/>
        </w:tblCellMar>
      </w:tblPr>
      <w:tblGrid>
        <w:gridCol w:w="4883"/>
        <w:gridCol w:w="1545"/>
        <w:gridCol w:w="1522"/>
        <w:gridCol w:w="1468"/>
        <w:gridCol w:w="1901"/>
        <w:gridCol w:w="1260"/>
        <w:gridCol w:w="1121"/>
      </w:tblGrid>
      <w:tr>
        <w:tblPrEx>
          <w:tblCellMar>
            <w:top w:w="0" w:type="dxa"/>
            <w:left w:w="108" w:type="dxa"/>
            <w:bottom w:w="0" w:type="dxa"/>
            <w:right w:w="108" w:type="dxa"/>
          </w:tblCellMar>
        </w:tblPrEx>
        <w:trPr>
          <w:trHeight w:val="263" w:hRule="atLeast"/>
          <w:jc w:val="center"/>
        </w:trPr>
        <w:tc>
          <w:tcPr>
            <w:tcW w:w="48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财政供养人员情况</w:t>
            </w:r>
          </w:p>
        </w:tc>
        <w:tc>
          <w:tcPr>
            <w:tcW w:w="30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编制数</w:t>
            </w:r>
          </w:p>
        </w:tc>
        <w:tc>
          <w:tcPr>
            <w:tcW w:w="33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r>
              <w:rPr>
                <w:rFonts w:hint="eastAsia" w:ascii="Times New Roman" w:hAnsi="Times New Roman" w:eastAsia="仿宋_GB2312"/>
                <w:kern w:val="0"/>
                <w:sz w:val="18"/>
                <w:szCs w:val="18"/>
                <w:lang w:val="en-US" w:eastAsia="zh-CN"/>
              </w:rPr>
              <w:t>20</w:t>
            </w:r>
            <w:r>
              <w:rPr>
                <w:rFonts w:ascii="Times New Roman" w:hAnsi="Times New Roman" w:eastAsia="仿宋_GB2312"/>
                <w:kern w:val="0"/>
                <w:sz w:val="18"/>
                <w:szCs w:val="18"/>
              </w:rPr>
              <w:t>年实际在职人数</w:t>
            </w:r>
          </w:p>
        </w:tc>
        <w:tc>
          <w:tcPr>
            <w:tcW w:w="238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控制率</w:t>
            </w:r>
          </w:p>
        </w:tc>
      </w:tr>
      <w:tr>
        <w:tblPrEx>
          <w:tblCellMar>
            <w:top w:w="0" w:type="dxa"/>
            <w:left w:w="108" w:type="dxa"/>
            <w:bottom w:w="0" w:type="dxa"/>
            <w:right w:w="108" w:type="dxa"/>
          </w:tblCellMar>
        </w:tblPrEx>
        <w:trPr>
          <w:trHeight w:val="380" w:hRule="atLeast"/>
          <w:jc w:val="center"/>
        </w:trPr>
        <w:tc>
          <w:tcPr>
            <w:tcW w:w="48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p>
        </w:tc>
        <w:tc>
          <w:tcPr>
            <w:tcW w:w="30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2236</w:t>
            </w:r>
          </w:p>
        </w:tc>
        <w:tc>
          <w:tcPr>
            <w:tcW w:w="33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234</w:t>
            </w:r>
            <w:r>
              <w:rPr>
                <w:rFonts w:hint="eastAsia" w:ascii="Times New Roman" w:hAnsi="Times New Roman" w:eastAsia="仿宋_GB2312"/>
                <w:color w:val="auto"/>
                <w:kern w:val="0"/>
                <w:sz w:val="18"/>
                <w:szCs w:val="18"/>
                <w:lang w:val="en-US" w:eastAsia="zh-CN"/>
              </w:rPr>
              <w:t>4</w:t>
            </w:r>
            <w:r>
              <w:rPr>
                <w:rFonts w:ascii="Times New Roman" w:hAnsi="Times New Roman" w:eastAsia="仿宋_GB2312"/>
                <w:color w:val="auto"/>
                <w:kern w:val="0"/>
                <w:sz w:val="18"/>
                <w:szCs w:val="18"/>
              </w:rPr>
              <w:t>　</w:t>
            </w:r>
          </w:p>
        </w:tc>
        <w:tc>
          <w:tcPr>
            <w:tcW w:w="2381"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lang w:val="en-US" w:eastAsia="zh-CN"/>
              </w:rPr>
              <w:t>4.8%</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经费控制情况</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201</w:t>
            </w:r>
            <w:r>
              <w:rPr>
                <w:rFonts w:hint="eastAsia" w:ascii="Times New Roman" w:hAnsi="Times New Roman" w:eastAsia="仿宋_GB2312"/>
                <w:kern w:val="0"/>
                <w:sz w:val="18"/>
                <w:szCs w:val="18"/>
                <w:lang w:val="en-US" w:eastAsia="zh-CN"/>
              </w:rPr>
              <w:t>9</w:t>
            </w:r>
            <w:r>
              <w:rPr>
                <w:rFonts w:ascii="Times New Roman" w:hAnsi="Times New Roman" w:eastAsia="仿宋_GB2312"/>
                <w:kern w:val="0"/>
                <w:sz w:val="18"/>
                <w:szCs w:val="18"/>
              </w:rPr>
              <w:t>年决算数</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r>
              <w:rPr>
                <w:rFonts w:hint="eastAsia" w:ascii="Times New Roman" w:hAnsi="Times New Roman" w:eastAsia="仿宋_GB2312"/>
                <w:kern w:val="0"/>
                <w:sz w:val="18"/>
                <w:szCs w:val="18"/>
                <w:lang w:val="en-US" w:eastAsia="zh-CN"/>
              </w:rPr>
              <w:t>20</w:t>
            </w:r>
            <w:r>
              <w:rPr>
                <w:rFonts w:ascii="Times New Roman" w:hAnsi="Times New Roman" w:eastAsia="仿宋_GB2312"/>
                <w:kern w:val="0"/>
                <w:sz w:val="18"/>
                <w:szCs w:val="18"/>
              </w:rPr>
              <w:t>年预算数</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r>
              <w:rPr>
                <w:rFonts w:hint="eastAsia" w:ascii="Times New Roman" w:hAnsi="Times New Roman" w:eastAsia="仿宋_GB2312"/>
                <w:kern w:val="0"/>
                <w:sz w:val="18"/>
                <w:szCs w:val="18"/>
                <w:lang w:val="en-US" w:eastAsia="zh-CN"/>
              </w:rPr>
              <w:t>20</w:t>
            </w:r>
            <w:r>
              <w:rPr>
                <w:rFonts w:ascii="Times New Roman" w:hAnsi="Times New Roman" w:eastAsia="仿宋_GB2312"/>
                <w:kern w:val="0"/>
                <w:sz w:val="18"/>
                <w:szCs w:val="18"/>
              </w:rPr>
              <w:t>年决算数</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三公经费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5.75</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kern w:val="0"/>
                <w:sz w:val="18"/>
                <w:szCs w:val="18"/>
                <w:lang w:val="en-US" w:eastAsia="zh-CN"/>
              </w:rPr>
              <w:t>11.9</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7.61</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1、公务用车购置和维护经费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3.7</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6</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其中：公车购置</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0</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kern w:val="0"/>
                <w:sz w:val="18"/>
                <w:szCs w:val="18"/>
                <w:lang w:val="en-US" w:eastAsia="zh-CN"/>
              </w:rPr>
              <w:t>0</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0</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公车运行维护</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default" w:ascii="仿宋_GB2312" w:hAnsi="仿宋_GB2312" w:eastAsia="仿宋_GB2312" w:cs="仿宋_GB2312"/>
                <w:kern w:val="0"/>
                <w:sz w:val="18"/>
                <w:szCs w:val="18"/>
                <w:lang w:val="en-US" w:eastAsia="zh-CN"/>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0</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2、出国经费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仿宋_GB2312" w:hAnsi="仿宋_GB2312" w:eastAsia="仿宋_GB2312" w:cs="仿宋_GB2312"/>
                <w:kern w:val="0"/>
                <w:sz w:val="18"/>
                <w:szCs w:val="18"/>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0</w:t>
            </w:r>
            <w:r>
              <w:rPr>
                <w:rFonts w:ascii="Times New Roman" w:hAnsi="Times New Roman" w:eastAsia="仿宋_GB2312"/>
                <w:kern w:val="0"/>
                <w:sz w:val="18"/>
                <w:szCs w:val="18"/>
              </w:rPr>
              <w:t>　</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3、公务接待</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2.75</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kern w:val="0"/>
                <w:sz w:val="18"/>
                <w:szCs w:val="18"/>
                <w:lang w:val="en-US" w:eastAsia="zh-CN"/>
              </w:rPr>
              <w:t>8.2</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1.61</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项目支出：        （一个项目一行）</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7423.03</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bookmarkStart w:id="0" w:name="OLE_LINK2" w:colFirst="3" w:colLast="3"/>
            <w:bookmarkStart w:id="1" w:name="OLE_LINK1" w:colFirst="0" w:colLast="0"/>
            <w:r>
              <w:rPr>
                <w:rFonts w:hint="eastAsia" w:ascii="仿宋_GB2312" w:hAnsi="仿宋_GB2312" w:eastAsia="仿宋_GB2312" w:cs="仿宋_GB2312"/>
                <w:i w:val="0"/>
                <w:iCs w:val="0"/>
                <w:color w:val="000000"/>
                <w:kern w:val="0"/>
                <w:sz w:val="18"/>
                <w:szCs w:val="18"/>
                <w:u w:val="none"/>
                <w:lang w:val="en-US" w:eastAsia="zh-CN" w:bidi="ar"/>
              </w:rPr>
              <w:t>1、扶贫配套锦绣华庭安置项目奖补</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83.90</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2、校车运营补贴</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195.76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3、教育强县奖励基金</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11.71</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4、教育现代化推进工程及教育发展专项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271.09</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5、校车运营补贴</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93.24</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6、支持学前教育发展</w:t>
            </w:r>
            <w:r>
              <w:rPr>
                <w:rFonts w:hint="eastAsia" w:ascii="仿宋_GB2312" w:hAnsi="仿宋_GB2312" w:eastAsia="仿宋_GB2312" w:cs="仿宋_GB2312"/>
                <w:kern w:val="0"/>
                <w:sz w:val="18"/>
                <w:szCs w:val="18"/>
                <w:lang w:eastAsia="zh-CN"/>
              </w:rPr>
              <w:t>基金</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529.30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7、基础教育发展专项校车奖补</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75.00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8、周转宿舍、公租房</w:t>
            </w:r>
            <w:r>
              <w:rPr>
                <w:rFonts w:hint="eastAsia" w:ascii="仿宋_GB2312" w:hAnsi="仿宋_GB2312" w:eastAsia="仿宋_GB2312" w:cs="仿宋_GB2312"/>
                <w:kern w:val="0"/>
                <w:sz w:val="18"/>
                <w:szCs w:val="18"/>
                <w:lang w:eastAsia="zh-CN"/>
              </w:rPr>
              <w:t>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210.10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9、转移支付15%校舍维修改造</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180.00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i w:val="0"/>
                <w:iCs w:val="0"/>
                <w:color w:val="000000"/>
                <w:kern w:val="0"/>
                <w:sz w:val="18"/>
                <w:szCs w:val="18"/>
                <w:u w:val="none"/>
                <w:lang w:val="en-US" w:eastAsia="zh-CN" w:bidi="ar"/>
              </w:rPr>
              <w:t>10、乡村小规模学校和乡镇寄宿制学校建设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84.09</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11、民办教师和代课教师困难生活补助</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140.03</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12、乡镇芙蓉学校建设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534.96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13、城乡义务教育保障机制</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750.65</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14、芙蓉学校建设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1081.16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15、改善普高办学条件</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270.38</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16、民办教师和代课教师困难生活补助</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152.00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17、义务教育薄弱环节改善与能力提升</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891.15</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18、改善中职办学条件</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65.96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19、教师培训</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179.28</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20、教育现代化推进工程</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659.67</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21、安保服务费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112.61</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22、热水系统改造</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15.00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23、教育项目人防异地建设费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23.09</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24、新冠肺炎防控专项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78.22</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25、教育强县奖励基金</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194.71</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26、义务教育薄弱环节改善与能力提升</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403.06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27、教育综合发展专项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136.91</w:t>
            </w:r>
          </w:p>
        </w:tc>
      </w:tr>
      <w:bookmarkEnd w:id="0"/>
      <w:bookmarkEnd w:id="1"/>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公用经费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1909.80</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 xml:space="preserve">1001.75 </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4033.73</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其中：办公经费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327.32</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 xml:space="preserve">245.13 </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810.46</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水费、电费、差旅费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188.34</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lang w:val="en-US" w:eastAsia="zh-CN"/>
              </w:rPr>
              <w:t>122.98</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606.29</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会议费、培训费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83.97</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93.79</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415.48</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政府采购金额</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仿宋_GB2312" w:hAnsi="仿宋_GB2312" w:eastAsia="仿宋_GB2312" w:cs="仿宋_GB2312"/>
                <w:kern w:val="0"/>
                <w:sz w:val="18"/>
                <w:szCs w:val="18"/>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color w:val="0000FF"/>
                <w:kern w:val="0"/>
                <w:sz w:val="18"/>
                <w:szCs w:val="18"/>
                <w:lang w:val="en-US" w:eastAsia="zh-CN"/>
              </w:rPr>
              <w:t>18837</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color w:val="0000FF"/>
                <w:kern w:val="0"/>
                <w:sz w:val="18"/>
                <w:szCs w:val="18"/>
                <w:lang w:val="en-US" w:eastAsia="zh-CN"/>
              </w:rPr>
              <w:t>4206.65</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部门基本支出预算调整 </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仿宋_GB2312" w:hAnsi="仿宋_GB2312" w:eastAsia="仿宋_GB2312" w:cs="仿宋_GB2312"/>
                <w:kern w:val="0"/>
                <w:sz w:val="18"/>
                <w:szCs w:val="18"/>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r>
      <w:tr>
        <w:tblPrEx>
          <w:tblCellMar>
            <w:top w:w="0" w:type="dxa"/>
            <w:left w:w="108" w:type="dxa"/>
            <w:bottom w:w="0" w:type="dxa"/>
            <w:right w:w="108" w:type="dxa"/>
          </w:tblCellMar>
        </w:tblPrEx>
        <w:trPr>
          <w:trHeight w:val="505" w:hRule="atLeast"/>
          <w:jc w:val="center"/>
        </w:trPr>
        <w:tc>
          <w:tcPr>
            <w:tcW w:w="488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楼堂馆所控制情况</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（2019年完工项目）</w:t>
            </w:r>
          </w:p>
        </w:tc>
        <w:tc>
          <w:tcPr>
            <w:tcW w:w="154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批复规模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w:t>
            </w:r>
          </w:p>
        </w:tc>
        <w:tc>
          <w:tcPr>
            <w:tcW w:w="152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实际规模（㎡）</w:t>
            </w:r>
          </w:p>
        </w:tc>
        <w:tc>
          <w:tcPr>
            <w:tcW w:w="146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规模控制率</w:t>
            </w:r>
          </w:p>
        </w:tc>
        <w:tc>
          <w:tcPr>
            <w:tcW w:w="190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预算投资（万元）</w:t>
            </w:r>
          </w:p>
        </w:tc>
        <w:tc>
          <w:tcPr>
            <w:tcW w:w="126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实际投资（万元）</w:t>
            </w:r>
          </w:p>
        </w:tc>
        <w:tc>
          <w:tcPr>
            <w:tcW w:w="11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投资概算控制率</w:t>
            </w:r>
          </w:p>
        </w:tc>
      </w:tr>
      <w:tr>
        <w:tblPrEx>
          <w:tblCellMar>
            <w:top w:w="0" w:type="dxa"/>
            <w:left w:w="108" w:type="dxa"/>
            <w:bottom w:w="0" w:type="dxa"/>
            <w:right w:w="108" w:type="dxa"/>
          </w:tblCellMar>
        </w:tblPrEx>
        <w:trPr>
          <w:trHeight w:val="263" w:hRule="atLeast"/>
          <w:jc w:val="center"/>
        </w:trPr>
        <w:tc>
          <w:tcPr>
            <w:tcW w:w="48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p>
        </w:tc>
        <w:tc>
          <w:tcPr>
            <w:tcW w:w="154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522"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0</w:t>
            </w:r>
            <w:r>
              <w:rPr>
                <w:rFonts w:ascii="Times New Roman" w:hAnsi="Times New Roman" w:eastAsia="仿宋_GB2312"/>
                <w:kern w:val="0"/>
                <w:sz w:val="18"/>
                <w:szCs w:val="18"/>
              </w:rPr>
              <w:t>　</w:t>
            </w:r>
          </w:p>
        </w:tc>
        <w:tc>
          <w:tcPr>
            <w:tcW w:w="1468"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901"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260"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121"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0</w:t>
            </w:r>
            <w:r>
              <w:rPr>
                <w:rFonts w:ascii="Times New Roman" w:hAnsi="Times New Roman" w:eastAsia="仿宋_GB2312"/>
                <w:kern w:val="0"/>
                <w:sz w:val="18"/>
                <w:szCs w:val="18"/>
              </w:rPr>
              <w:t>　</w:t>
            </w:r>
          </w:p>
        </w:tc>
      </w:tr>
      <w:tr>
        <w:tblPrEx>
          <w:tblCellMar>
            <w:top w:w="0" w:type="dxa"/>
            <w:left w:w="108" w:type="dxa"/>
            <w:bottom w:w="0" w:type="dxa"/>
            <w:right w:w="108" w:type="dxa"/>
          </w:tblCellMar>
        </w:tblPrEx>
        <w:trPr>
          <w:trHeight w:val="282"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厉行节约保障措施</w:t>
            </w:r>
          </w:p>
        </w:tc>
        <w:tc>
          <w:tcPr>
            <w:tcW w:w="8817"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r>
    </w:tbl>
    <w:p>
      <w:pPr>
        <w:widowControl/>
        <w:spacing w:line="300" w:lineRule="exact"/>
        <w:ind w:firstLine="560" w:firstLineChars="200"/>
        <w:jc w:val="left"/>
        <w:rPr>
          <w:rFonts w:ascii="Times New Roman" w:hAnsi="Times New Roman" w:eastAsia="楷体_GB2312"/>
          <w:kern w:val="0"/>
          <w:sz w:val="28"/>
          <w:szCs w:val="28"/>
        </w:rPr>
      </w:pPr>
      <w:r>
        <w:rPr>
          <w:rFonts w:ascii="Times New Roman" w:hAnsi="Times New Roman" w:eastAsia="楷体_GB2312"/>
          <w:kern w:val="0"/>
          <w:sz w:val="28"/>
          <w:szCs w:val="28"/>
        </w:rPr>
        <w:t>说明：“项目支出”需要填报基本支出以外的所有项目情况，包括业务工作项目、运行维护项目等；“公用经费”填报基本支出中的一般商品和服务支出。</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rFonts w:hint="eastAsia" w:ascii="华文仿宋" w:hAnsi="华文仿宋" w:eastAsia="华文仿宋" w:cs="华文仿宋"/>
          <w:i w:val="0"/>
          <w:iCs w:val="0"/>
          <w:caps w:val="0"/>
          <w:color w:val="000000"/>
          <w:spacing w:val="0"/>
          <w:sz w:val="30"/>
          <w:szCs w:val="30"/>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r>
        <w:rPr>
          <w:rFonts w:ascii="Times New Roman" w:hAnsi="Times New Roman" w:eastAsia="仿宋_GB2312"/>
          <w:bCs/>
          <w:color w:val="000000"/>
          <w:sz w:val="32"/>
          <w:szCs w:val="32"/>
        </w:rPr>
        <w:t>附件2</w:t>
      </w:r>
    </w:p>
    <w:p>
      <w:pPr>
        <w:spacing w:after="156" w:afterLines="50"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部门整体支出绩效评价指标表</w:t>
      </w:r>
    </w:p>
    <w:tbl>
      <w:tblPr>
        <w:tblStyle w:val="6"/>
        <w:tblW w:w="14196" w:type="dxa"/>
        <w:jc w:val="center"/>
        <w:tblLayout w:type="fixed"/>
        <w:tblCellMar>
          <w:top w:w="0" w:type="dxa"/>
          <w:left w:w="108" w:type="dxa"/>
          <w:bottom w:w="0" w:type="dxa"/>
          <w:right w:w="108" w:type="dxa"/>
        </w:tblCellMar>
      </w:tblPr>
      <w:tblGrid>
        <w:gridCol w:w="823"/>
        <w:gridCol w:w="519"/>
        <w:gridCol w:w="1258"/>
        <w:gridCol w:w="542"/>
        <w:gridCol w:w="1419"/>
        <w:gridCol w:w="565"/>
        <w:gridCol w:w="4593"/>
        <w:gridCol w:w="3773"/>
        <w:gridCol w:w="704"/>
      </w:tblGrid>
      <w:tr>
        <w:tblPrEx>
          <w:tblCellMar>
            <w:top w:w="0" w:type="dxa"/>
            <w:left w:w="108" w:type="dxa"/>
            <w:bottom w:w="0" w:type="dxa"/>
            <w:right w:w="108" w:type="dxa"/>
          </w:tblCellMar>
        </w:tblPrEx>
        <w:trPr>
          <w:trHeight w:val="679" w:hRule="atLeast"/>
          <w:tblHeader/>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一级指标</w:t>
            </w:r>
          </w:p>
        </w:tc>
        <w:tc>
          <w:tcPr>
            <w:tcW w:w="51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分值</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二级指标</w:t>
            </w:r>
          </w:p>
        </w:tc>
        <w:tc>
          <w:tcPr>
            <w:tcW w:w="542"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分值</w:t>
            </w:r>
          </w:p>
        </w:tc>
        <w:tc>
          <w:tcPr>
            <w:tcW w:w="141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三级</w:t>
            </w:r>
          </w:p>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指标</w:t>
            </w:r>
          </w:p>
        </w:tc>
        <w:tc>
          <w:tcPr>
            <w:tcW w:w="56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分值</w:t>
            </w:r>
          </w:p>
        </w:tc>
        <w:tc>
          <w:tcPr>
            <w:tcW w:w="459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评价标准</w:t>
            </w:r>
          </w:p>
        </w:tc>
        <w:tc>
          <w:tcPr>
            <w:tcW w:w="37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指标说明</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得分</w:t>
            </w:r>
          </w:p>
        </w:tc>
      </w:tr>
      <w:tr>
        <w:tblPrEx>
          <w:tblCellMar>
            <w:top w:w="0" w:type="dxa"/>
            <w:left w:w="108" w:type="dxa"/>
            <w:bottom w:w="0" w:type="dxa"/>
            <w:right w:w="108" w:type="dxa"/>
          </w:tblCellMar>
        </w:tblPrEx>
        <w:trPr>
          <w:trHeight w:val="750" w:hRule="atLeast"/>
          <w:jc w:val="center"/>
        </w:trPr>
        <w:tc>
          <w:tcPr>
            <w:tcW w:w="823" w:type="dxa"/>
            <w:vMerge w:val="restart"/>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投入</w:t>
            </w:r>
          </w:p>
        </w:tc>
        <w:tc>
          <w:tcPr>
            <w:tcW w:w="519"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258" w:type="dxa"/>
            <w:vMerge w:val="restart"/>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预算配置</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spacing w:val="-20"/>
                <w:kern w:val="0"/>
                <w:sz w:val="18"/>
                <w:szCs w:val="18"/>
              </w:rPr>
              <w:t>在职人员控制率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nil"/>
              <w:right w:val="nil"/>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以100%为标准。在职人员控制率≦100%，计5分；每超过一个百分点扣0.5分，扣完为止。</w:t>
            </w:r>
          </w:p>
        </w:tc>
        <w:tc>
          <w:tcPr>
            <w:tcW w:w="3773"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在职人员控制率=（在职人员数/编制数）×100%，在职人员数：部门（单位）实际在职人数，以财政厅确定的部门决算编制口径为准。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编制数：机构编制部门核定批复的部门（单位）的人员编制数。</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color w:val="0000FF"/>
                <w:kern w:val="0"/>
                <w:sz w:val="18"/>
                <w:szCs w:val="18"/>
                <w:lang w:val="en-US" w:eastAsia="zh-CN"/>
              </w:rPr>
              <w:t>2.5</w:t>
            </w:r>
          </w:p>
        </w:tc>
      </w:tr>
      <w:tr>
        <w:tblPrEx>
          <w:tblCellMar>
            <w:top w:w="0" w:type="dxa"/>
            <w:left w:w="108" w:type="dxa"/>
            <w:bottom w:w="0" w:type="dxa"/>
            <w:right w:w="108" w:type="dxa"/>
          </w:tblCellMar>
        </w:tblPrEx>
        <w:trPr>
          <w:trHeight w:val="607" w:hRule="atLeast"/>
          <w:jc w:val="center"/>
        </w:trPr>
        <w:tc>
          <w:tcPr>
            <w:tcW w:w="82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“三公经费”变动率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5</w:t>
            </w:r>
          </w:p>
        </w:tc>
        <w:tc>
          <w:tcPr>
            <w:tcW w:w="459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“三公经费”变动率≦0,计5分；“三公经费”＞0，每超过一个百分点扣0.5分，扣完为止。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“三公经费”变动率=[（本年度“三公经费”预算数-上年度“三公经费”预算数）/上年度“三公经费”预算数]×100%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495" w:hRule="atLeast"/>
          <w:jc w:val="center"/>
        </w:trPr>
        <w:tc>
          <w:tcPr>
            <w:tcW w:w="82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过                                                                                                                                       程</w:t>
            </w:r>
          </w:p>
        </w:tc>
        <w:tc>
          <w:tcPr>
            <w:tcW w:w="519"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60</w:t>
            </w:r>
          </w:p>
        </w:tc>
        <w:tc>
          <w:tcPr>
            <w:tcW w:w="12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预算执行</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预算完成率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100%计满分，每低于5%扣2分，扣完为止。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预算完成率=（上年结转+年初预算+本年追加预算-年末结余）/（上年结转+年初预算+本年追加预算）×100%。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582"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预算控制率=0，计5分；0-10%（含），计4分；10-20%（含），计3分；20-30%（含），计2分；大于30%不得分。</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预算控制率=（本年追加预算/年初预算）×100%。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582"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新建楼堂馆所面积控制率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100%以下（含）计满分，每超出5%扣2分，扣完为止。没有楼堂馆所项目的部门按满分计算。</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楼堂馆所面积控制率=实际建设面积/批准建设面积×100% 。</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该指标以2019年完工的新建楼堂馆所为评价内容。</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686"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spacing w:val="-14"/>
                <w:kern w:val="0"/>
                <w:sz w:val="18"/>
                <w:szCs w:val="18"/>
              </w:rPr>
            </w:pPr>
            <w:r>
              <w:rPr>
                <w:rFonts w:ascii="Times New Roman" w:hAnsi="Times New Roman" w:eastAsia="仿宋_GB2312"/>
                <w:spacing w:val="-14"/>
                <w:kern w:val="0"/>
                <w:sz w:val="18"/>
                <w:szCs w:val="18"/>
              </w:rPr>
              <w:t>新建楼堂馆所投资概算控制率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100%以下（含）计满分，每超出5%扣2分，扣完为止。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楼堂馆所投资预算控制率=实际投资金额/批准投资金额×100% 。</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该指标以2019年完工的新建楼堂馆所为评价内容。</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730"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预算管理</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40</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spacing w:val="-20"/>
                <w:kern w:val="0"/>
                <w:sz w:val="18"/>
                <w:szCs w:val="18"/>
              </w:rPr>
              <w:t>公用经费控制率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8</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100%以下（含）计满分，每超出1%扣1分，扣完为止。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公用经费控制率=（实际支出公用经费总额/预算安排公用经费总额）×100%。</w:t>
            </w:r>
            <w:r>
              <w:rPr>
                <w:rFonts w:ascii="Times New Roman" w:hAnsi="Times New Roman" w:eastAsia="仿宋_GB2312"/>
                <w:color w:val="0000FF"/>
                <w:kern w:val="0"/>
                <w:sz w:val="18"/>
                <w:szCs w:val="18"/>
              </w:rPr>
              <w:br w:type="textWrapping"/>
            </w:r>
            <w:r>
              <w:rPr>
                <w:rFonts w:ascii="Times New Roman" w:hAnsi="Times New Roman" w:eastAsia="仿宋_GB2312"/>
                <w:color w:val="0000FF"/>
                <w:kern w:val="0"/>
                <w:sz w:val="18"/>
                <w:szCs w:val="18"/>
              </w:rPr>
              <w:t>公用经费支出是指部门基本支出中的一般商品和服务支出。</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8</w:t>
            </w:r>
          </w:p>
        </w:tc>
      </w:tr>
      <w:tr>
        <w:tblPrEx>
          <w:tblCellMar>
            <w:top w:w="0" w:type="dxa"/>
            <w:left w:w="108" w:type="dxa"/>
            <w:bottom w:w="0" w:type="dxa"/>
            <w:right w:w="108" w:type="dxa"/>
          </w:tblCellMar>
        </w:tblPrEx>
        <w:trPr>
          <w:trHeight w:val="584"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7</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100%以下（含）计满分，每超出1%扣1分，扣完为止。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“三公经费”控制率-（“三公经费”实际支出数/“三公经费”预算安排数）×100%。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7</w:t>
            </w:r>
          </w:p>
        </w:tc>
      </w:tr>
      <w:tr>
        <w:tblPrEx>
          <w:tblCellMar>
            <w:top w:w="0" w:type="dxa"/>
            <w:left w:w="108" w:type="dxa"/>
            <w:bottom w:w="0" w:type="dxa"/>
            <w:right w:w="108" w:type="dxa"/>
          </w:tblCellMar>
        </w:tblPrEx>
        <w:trPr>
          <w:trHeight w:val="504" w:hRule="atLeast"/>
          <w:jc w:val="center"/>
        </w:trPr>
        <w:tc>
          <w:tcPr>
            <w:tcW w:w="82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spacing w:val="-20"/>
                <w:kern w:val="0"/>
                <w:sz w:val="18"/>
                <w:szCs w:val="18"/>
              </w:rPr>
              <w:t>政府采购执</w:t>
            </w:r>
            <w:r>
              <w:rPr>
                <w:rFonts w:ascii="Times New Roman" w:hAnsi="Times New Roman" w:eastAsia="仿宋_GB2312"/>
                <w:color w:val="0000FF"/>
                <w:kern w:val="0"/>
                <w:sz w:val="18"/>
                <w:szCs w:val="18"/>
              </w:rPr>
              <w:t>行率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6</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100%计满分，每超过（降低）5%扣2分。扣完为止。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政府采购执行率=（实际政府采购金额/政府采购预算数）×100%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kern w:val="0"/>
                <w:sz w:val="18"/>
                <w:szCs w:val="18"/>
                <w:lang w:val="en-US" w:eastAsia="zh-CN"/>
              </w:rPr>
              <w:t>4</w:t>
            </w:r>
          </w:p>
        </w:tc>
      </w:tr>
      <w:tr>
        <w:tblPrEx>
          <w:tblCellMar>
            <w:top w:w="0" w:type="dxa"/>
            <w:left w:w="108" w:type="dxa"/>
            <w:bottom w:w="0" w:type="dxa"/>
            <w:right w:w="108" w:type="dxa"/>
          </w:tblCellMar>
        </w:tblPrEx>
        <w:trPr>
          <w:trHeight w:val="1150" w:hRule="atLeast"/>
          <w:jc w:val="center"/>
        </w:trPr>
        <w:tc>
          <w:tcPr>
            <w:tcW w:w="823" w:type="dxa"/>
            <w:vMerge w:val="restart"/>
            <w:tcBorders>
              <w:top w:val="single" w:color="auto" w:sz="4" w:space="0"/>
              <w:left w:val="single" w:color="auto" w:sz="4" w:space="0"/>
              <w:bottom w:val="single" w:color="000000" w:sz="4" w:space="0"/>
              <w:right w:val="single" w:color="auto" w:sz="4" w:space="0"/>
            </w:tcBorders>
            <w:noWrap w:val="0"/>
            <w:vAlign w:val="center"/>
          </w:tcPr>
          <w:p>
            <w:pPr>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过程</w:t>
            </w:r>
          </w:p>
        </w:tc>
        <w:tc>
          <w:tcPr>
            <w:tcW w:w="519" w:type="dxa"/>
            <w:vMerge w:val="restart"/>
            <w:tcBorders>
              <w:top w:val="single" w:color="auto" w:sz="4" w:space="0"/>
              <w:left w:val="single" w:color="auto" w:sz="4" w:space="0"/>
              <w:bottom w:val="single" w:color="000000" w:sz="4" w:space="0"/>
              <w:right w:val="single" w:color="auto" w:sz="4" w:space="0"/>
            </w:tcBorders>
            <w:noWrap w:val="0"/>
            <w:vAlign w:val="center"/>
          </w:tcPr>
          <w:p>
            <w:pPr>
              <w:spacing w:line="200" w:lineRule="exact"/>
              <w:jc w:val="left"/>
              <w:rPr>
                <w:rFonts w:ascii="Times New Roman" w:hAnsi="Times New Roman" w:eastAsia="仿宋_GB2312"/>
                <w:kern w:val="0"/>
                <w:sz w:val="18"/>
                <w:szCs w:val="18"/>
              </w:rPr>
            </w:pPr>
          </w:p>
        </w:tc>
        <w:tc>
          <w:tcPr>
            <w:tcW w:w="1258" w:type="dxa"/>
            <w:vMerge w:val="restart"/>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预算管理</w:t>
            </w: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spacing w:val="-20"/>
                <w:kern w:val="0"/>
                <w:sz w:val="18"/>
                <w:szCs w:val="18"/>
              </w:rPr>
              <w:t>管理制度</w:t>
            </w:r>
            <w:r>
              <w:rPr>
                <w:rFonts w:ascii="Times New Roman" w:hAnsi="Times New Roman" w:eastAsia="仿宋_GB2312"/>
                <w:kern w:val="0"/>
                <w:sz w:val="18"/>
                <w:szCs w:val="18"/>
              </w:rPr>
              <w:t>健全性</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①有内部财务管理制度、会计核算制度等管理制度，2分；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②有本部门厉行节约制度,2分；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③相关管理制度合法、合规、完整，2分；④相关管理制度得到有效执行，2分。</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8</w:t>
            </w:r>
          </w:p>
        </w:tc>
      </w:tr>
      <w:tr>
        <w:tblPrEx>
          <w:tblCellMar>
            <w:top w:w="0" w:type="dxa"/>
            <w:left w:w="108" w:type="dxa"/>
            <w:bottom w:w="0" w:type="dxa"/>
            <w:right w:w="108" w:type="dxa"/>
          </w:tblCellMar>
        </w:tblPrEx>
        <w:trPr>
          <w:trHeight w:val="1434"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spacing w:val="-20"/>
                <w:kern w:val="0"/>
                <w:sz w:val="18"/>
                <w:szCs w:val="18"/>
              </w:rPr>
              <w:t>资金使用</w:t>
            </w:r>
            <w:r>
              <w:rPr>
                <w:rFonts w:ascii="Times New Roman" w:hAnsi="Times New Roman" w:eastAsia="仿宋_GB2312"/>
                <w:kern w:val="0"/>
                <w:sz w:val="18"/>
                <w:szCs w:val="18"/>
              </w:rPr>
              <w:t>合规性</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以上情况每出现一例不符合要求的扣1分，扣完为止。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892"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预决算信息公开性</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预决算信息是指与部门预算、执行、决算、监督、绩效等管理相关的信息。</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622" w:hRule="atLeast"/>
          <w:jc w:val="center"/>
        </w:trPr>
        <w:tc>
          <w:tcPr>
            <w:tcW w:w="82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产出及效率</w:t>
            </w:r>
          </w:p>
        </w:tc>
        <w:tc>
          <w:tcPr>
            <w:tcW w:w="519"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30</w:t>
            </w:r>
          </w:p>
        </w:tc>
        <w:tc>
          <w:tcPr>
            <w:tcW w:w="1258"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职责履行</w:t>
            </w:r>
          </w:p>
        </w:tc>
        <w:tc>
          <w:tcPr>
            <w:tcW w:w="542"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1419" w:type="dxa"/>
            <w:tcBorders>
              <w:top w:val="nil"/>
              <w:left w:val="nil"/>
              <w:bottom w:val="nil"/>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重点工作实际完成率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根据绩效办2019年对各部门为民办实事和部门重点工程与重点工作考核分数折算。</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该项得分=（绩效办对应部分考核得分/该部分总分）*8</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7</w:t>
            </w:r>
          </w:p>
        </w:tc>
      </w:tr>
      <w:tr>
        <w:tblPrEx>
          <w:tblCellMar>
            <w:top w:w="0" w:type="dxa"/>
            <w:left w:w="108" w:type="dxa"/>
            <w:bottom w:w="0" w:type="dxa"/>
            <w:right w:w="108" w:type="dxa"/>
          </w:tblCellMar>
        </w:tblPrEx>
        <w:trPr>
          <w:trHeight w:val="439"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履职效益</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41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经济效益</w:t>
            </w:r>
          </w:p>
        </w:tc>
        <w:tc>
          <w:tcPr>
            <w:tcW w:w="565"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对经济发展带来的直接影响和间接影响。</w:t>
            </w:r>
          </w:p>
        </w:tc>
        <w:tc>
          <w:tcPr>
            <w:tcW w:w="3773" w:type="dxa"/>
            <w:vMerge w:val="restart"/>
            <w:tcBorders>
              <w:top w:val="single" w:color="auto" w:sz="4" w:space="0"/>
              <w:left w:val="single" w:color="auto" w:sz="4" w:space="0"/>
              <w:right w:val="single" w:color="000000"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此两项指标为设置部门整体支出绩效评价指标时必须考虑的共性要素，可根据部门实际情况有选择的进行设置，并将其细化为相应的个性化指标。</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428"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社会效益</w:t>
            </w:r>
          </w:p>
        </w:tc>
        <w:tc>
          <w:tcPr>
            <w:tcW w:w="565" w:type="dxa"/>
            <w:tcBorders>
              <w:top w:val="single" w:color="auto" w:sz="4" w:space="0"/>
              <w:left w:val="single" w:color="auto" w:sz="4" w:space="0"/>
              <w:bottom w:val="nil"/>
              <w:right w:val="single" w:color="auto" w:sz="4" w:space="0"/>
            </w:tcBorders>
            <w:noWrap w:val="0"/>
            <w:vAlign w:val="center"/>
          </w:tcPr>
          <w:p>
            <w:pPr>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single" w:color="auto" w:sz="4" w:space="0"/>
              <w:left w:val="single" w:color="auto" w:sz="4" w:space="0"/>
              <w:bottom w:val="nil"/>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对社会发展带来的直接影响和间接影响。</w:t>
            </w:r>
          </w:p>
        </w:tc>
        <w:tc>
          <w:tcPr>
            <w:tcW w:w="3773" w:type="dxa"/>
            <w:vMerge w:val="continue"/>
            <w:tcBorders>
              <w:left w:val="single" w:color="auto" w:sz="4" w:space="0"/>
              <w:bottom w:val="nil"/>
              <w:right w:val="single" w:color="000000" w:sz="4" w:space="0"/>
            </w:tcBorders>
            <w:noWrap w:val="0"/>
            <w:vAlign w:val="center"/>
          </w:tcPr>
          <w:p>
            <w:pPr>
              <w:spacing w:line="200" w:lineRule="exact"/>
              <w:jc w:val="left"/>
              <w:rPr>
                <w:rFonts w:ascii="Times New Roman" w:hAnsi="Times New Roman" w:eastAsia="仿宋_GB2312"/>
                <w:kern w:val="0"/>
                <w:sz w:val="18"/>
                <w:szCs w:val="18"/>
              </w:rPr>
            </w:pPr>
          </w:p>
        </w:tc>
        <w:tc>
          <w:tcPr>
            <w:tcW w:w="704" w:type="dxa"/>
            <w:tcBorders>
              <w:top w:val="single" w:color="auto" w:sz="4" w:space="0"/>
              <w:left w:val="nil"/>
              <w:bottom w:val="nil"/>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835"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行政效能</w:t>
            </w:r>
          </w:p>
        </w:tc>
        <w:tc>
          <w:tcPr>
            <w:tcW w:w="56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459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促进部门改进文风会风，加强经费及资产管理，推动网上办事，提高行政效率，降低行政成本效果较好的计6分；一般3分；无效果或者效果不明显0分。</w:t>
            </w:r>
          </w:p>
        </w:tc>
        <w:tc>
          <w:tcPr>
            <w:tcW w:w="37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根据部门自评材料评定。</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6</w:t>
            </w:r>
          </w:p>
        </w:tc>
      </w:tr>
      <w:tr>
        <w:tblPrEx>
          <w:tblCellMar>
            <w:top w:w="0" w:type="dxa"/>
            <w:left w:w="108" w:type="dxa"/>
            <w:bottom w:w="0" w:type="dxa"/>
            <w:right w:w="108" w:type="dxa"/>
          </w:tblCellMar>
        </w:tblPrEx>
        <w:trPr>
          <w:trHeight w:val="832" w:hRule="atLeast"/>
          <w:jc w:val="center"/>
        </w:trPr>
        <w:tc>
          <w:tcPr>
            <w:tcW w:w="82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社会公众或服务对象满意度</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90%（含）以上计6分；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80%（含）-90%，计4分；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70%（含）-80%，计2分；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低于70%计0分。</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社会公众或服务对象是指部门（单位）履行职责而影响到的部门、群体或个人，一般采取社会调查的方式。</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6</w:t>
            </w:r>
          </w:p>
          <w:p>
            <w:pPr>
              <w:widowControl/>
              <w:spacing w:line="20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32" w:hRule="atLeast"/>
          <w:jc w:val="center"/>
        </w:trPr>
        <w:tc>
          <w:tcPr>
            <w:tcW w:w="4561" w:type="dxa"/>
            <w:gridSpan w:val="5"/>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总分</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100</w:t>
            </w:r>
          </w:p>
        </w:tc>
        <w:tc>
          <w:tcPr>
            <w:tcW w:w="836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94.5</w:t>
            </w:r>
          </w:p>
        </w:tc>
      </w:tr>
    </w:tbl>
    <w:p>
      <w:pPr>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1004D"/>
    <w:rsid w:val="022A1FA3"/>
    <w:rsid w:val="048009C6"/>
    <w:rsid w:val="0A7468C3"/>
    <w:rsid w:val="0BF2075D"/>
    <w:rsid w:val="0D372903"/>
    <w:rsid w:val="0F401F21"/>
    <w:rsid w:val="1205638A"/>
    <w:rsid w:val="1A2C59A0"/>
    <w:rsid w:val="1A2E3F70"/>
    <w:rsid w:val="1C394861"/>
    <w:rsid w:val="1CD32B10"/>
    <w:rsid w:val="221533B1"/>
    <w:rsid w:val="25F01BC7"/>
    <w:rsid w:val="2814119D"/>
    <w:rsid w:val="296636AE"/>
    <w:rsid w:val="29C930EE"/>
    <w:rsid w:val="2CA62B87"/>
    <w:rsid w:val="2D5E3D9F"/>
    <w:rsid w:val="2D775FFF"/>
    <w:rsid w:val="3041004D"/>
    <w:rsid w:val="30757CE6"/>
    <w:rsid w:val="33BD63CF"/>
    <w:rsid w:val="36BC5F1B"/>
    <w:rsid w:val="38A31CA3"/>
    <w:rsid w:val="39FE552F"/>
    <w:rsid w:val="3B6F5E9F"/>
    <w:rsid w:val="3C245511"/>
    <w:rsid w:val="41424262"/>
    <w:rsid w:val="43365EAE"/>
    <w:rsid w:val="465439A4"/>
    <w:rsid w:val="47B21893"/>
    <w:rsid w:val="499421DB"/>
    <w:rsid w:val="49A30E43"/>
    <w:rsid w:val="4A1449F4"/>
    <w:rsid w:val="4AC2033D"/>
    <w:rsid w:val="4AC610BD"/>
    <w:rsid w:val="4C471594"/>
    <w:rsid w:val="4CB57A82"/>
    <w:rsid w:val="4DAE1443"/>
    <w:rsid w:val="4FAC1569"/>
    <w:rsid w:val="51B5676B"/>
    <w:rsid w:val="52447F7D"/>
    <w:rsid w:val="5396537D"/>
    <w:rsid w:val="54A31C40"/>
    <w:rsid w:val="57620D11"/>
    <w:rsid w:val="59B15B2F"/>
    <w:rsid w:val="5B043842"/>
    <w:rsid w:val="5BCE61C7"/>
    <w:rsid w:val="5E7E7906"/>
    <w:rsid w:val="603029CB"/>
    <w:rsid w:val="60F03797"/>
    <w:rsid w:val="629651B4"/>
    <w:rsid w:val="631E7556"/>
    <w:rsid w:val="633F312B"/>
    <w:rsid w:val="658369BE"/>
    <w:rsid w:val="667D5F62"/>
    <w:rsid w:val="681915D0"/>
    <w:rsid w:val="691D33AD"/>
    <w:rsid w:val="6D9E5B6B"/>
    <w:rsid w:val="70962528"/>
    <w:rsid w:val="735F7C69"/>
    <w:rsid w:val="764E324E"/>
    <w:rsid w:val="7AB47612"/>
    <w:rsid w:val="7D235108"/>
    <w:rsid w:val="7F38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spacing w:after="0"/>
      <w:ind w:left="0" w:leftChars="0" w:firstLine="420" w:firstLineChars="200"/>
    </w:pPr>
    <w:rPr>
      <w:rFonts w:eastAsia="仿宋_GB2312"/>
      <w:sz w:val="36"/>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2021-07-16T03:21:00Z</dcterms:created>
  <dc:creator>liao</dc:creator>
  <cp:lastModifiedBy>蓝月</cp:lastModifiedBy>
  <cp:lastPrinted>2021-07-27T09:43:00Z</cp:lastPrinted>
  <dcterms:modified xsi:type="dcterms:W3CDTF">2021-08-31T02:12:44Z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ADB8475409934AEE8D4CA975A3CDB97D</vt:lpwstr>
  </property>
</Properties>
</file>