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5" w:hRule="atLeast"/>
        </w:trPr>
        <w:tc>
          <w:tcPr>
            <w:tcW w:w="8522" w:type="dxa"/>
          </w:tcPr>
          <w:p>
            <w:pPr>
              <w:pStyle w:val="3"/>
              <w:spacing w:after="34" w:line="34" w:lineRule="atLeast"/>
              <w:rPr>
                <w:rFonts w:ascii="仿宋" w:hAnsi="仿宋" w:eastAsia="仿宋" w:cs="仿宋"/>
                <w:b/>
                <w:bCs/>
                <w:color w:val="FF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2" w:hRule="atLeast"/>
        </w:trPr>
        <w:tc>
          <w:tcPr>
            <w:tcW w:w="8522" w:type="dxa"/>
          </w:tcPr>
          <w:p>
            <w:pPr>
              <w:pStyle w:val="10"/>
              <w:jc w:val="center"/>
              <w:rPr>
                <w:rFonts w:ascii="宋体" w:hAnsi="宋体" w:eastAsia="宋体" w:cs="宋体"/>
                <w:b/>
                <w:bCs/>
                <w:sz w:val="52"/>
                <w:szCs w:val="52"/>
              </w:rPr>
            </w:pPr>
            <w:r>
              <w:rPr>
                <w:rFonts w:hint="eastAsia" w:ascii="宋体" w:hAnsi="宋体" w:eastAsia="宋体" w:cs="宋体"/>
                <w:b/>
                <w:bCs/>
                <w:sz w:val="52"/>
                <w:szCs w:val="52"/>
              </w:rPr>
              <w:t>2020年度</w:t>
            </w:r>
          </w:p>
          <w:p>
            <w:pPr>
              <w:pStyle w:val="10"/>
              <w:jc w:val="center"/>
              <w:rPr>
                <w:rFonts w:ascii="宋体" w:hAnsi="宋体" w:eastAsia="宋体" w:cs="宋体"/>
                <w:b/>
                <w:bCs/>
                <w:sz w:val="52"/>
                <w:szCs w:val="52"/>
              </w:rPr>
            </w:pPr>
            <w:r>
              <w:rPr>
                <w:rFonts w:ascii="宋体" w:hAnsi="宋体" w:eastAsia="宋体" w:cs="宋体"/>
                <w:b/>
                <w:bCs/>
                <w:sz w:val="52"/>
                <w:szCs w:val="52"/>
              </w:rPr>
              <w:t>中方县花桥镇中心小学</w:t>
            </w:r>
            <w:r>
              <w:rPr>
                <w:rFonts w:ascii="宋体" w:hAnsi="宋体" w:eastAsia="宋体" w:cs="宋体"/>
                <w:b/>
                <w:sz w:val="52"/>
              </w:rPr>
              <w:t>单位</w:t>
            </w:r>
            <w:r>
              <w:rPr>
                <w:rFonts w:hint="eastAsia" w:ascii="宋体" w:hAnsi="宋体" w:eastAsia="宋体" w:cs="宋体"/>
                <w:b/>
                <w:bCs/>
                <w:sz w:val="52"/>
                <w:szCs w:val="52"/>
              </w:rPr>
              <w:t>决算</w:t>
            </w:r>
          </w:p>
          <w:p>
            <w:pPr>
              <w:pStyle w:val="10"/>
              <w:jc w:val="center"/>
              <w:rPr>
                <w:rFonts w:ascii="宋体" w:hAnsi="宋体" w:eastAsia="宋体" w:cs="宋体"/>
                <w:b/>
                <w:bCs/>
                <w:sz w:val="52"/>
                <w:szCs w:val="5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2" w:hRule="atLeast"/>
        </w:trPr>
        <w:tc>
          <w:tcPr>
            <w:tcW w:w="8522" w:type="dxa"/>
          </w:tcPr>
          <w:p>
            <w:pPr>
              <w:pStyle w:val="10"/>
              <w:jc w:val="both"/>
              <w:rPr>
                <w:sz w:val="44"/>
                <w:szCs w:val="44"/>
              </w:rPr>
            </w:pPr>
          </w:p>
        </w:tc>
      </w:tr>
    </w:tbl>
    <w:p>
      <w:pPr>
        <w:pStyle w:val="10"/>
        <w:rPr>
          <w:sz w:val="32"/>
          <w:szCs w:val="32"/>
        </w:rPr>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pPr>
    </w:p>
    <w:p>
      <w:pPr>
        <w:pStyle w:val="10"/>
        <w:spacing w:line="500" w:lineRule="exact"/>
        <w:jc w:val="center"/>
        <w:rPr>
          <w:rFonts w:ascii="仿宋" w:hAnsi="仿宋" w:eastAsia="仿宋" w:cs="仿宋"/>
          <w:b/>
          <w:sz w:val="32"/>
          <w:szCs w:val="32"/>
        </w:rPr>
      </w:pPr>
      <w:r>
        <w:rPr>
          <w:rFonts w:hint="eastAsia" w:ascii="仿宋" w:hAnsi="仿宋" w:eastAsia="仿宋" w:cs="仿宋"/>
          <w:b/>
          <w:sz w:val="32"/>
          <w:szCs w:val="32"/>
        </w:rPr>
        <w:t>目录</w:t>
      </w:r>
    </w:p>
    <w:p>
      <w:pPr>
        <w:pStyle w:val="10"/>
        <w:adjustRightInd/>
        <w:spacing w:line="440" w:lineRule="exact"/>
        <w:rPr>
          <w:rFonts w:ascii="仿宋" w:hAnsi="仿宋" w:eastAsia="仿宋" w:cs="仿宋"/>
          <w:b/>
          <w:sz w:val="28"/>
          <w:szCs w:val="28"/>
        </w:rPr>
      </w:pPr>
      <w:r>
        <w:rPr>
          <w:rFonts w:hint="eastAsia" w:ascii="仿宋" w:hAnsi="仿宋" w:eastAsia="仿宋" w:cs="仿宋"/>
          <w:b/>
          <w:sz w:val="28"/>
          <w:szCs w:val="28"/>
        </w:rPr>
        <w:t>第一部分</w:t>
      </w:r>
      <w:r>
        <w:rPr>
          <w:rFonts w:ascii="仿宋" w:hAnsi="仿宋" w:eastAsia="仿宋" w:cs="仿宋"/>
          <w:b/>
          <w:sz w:val="28"/>
        </w:rPr>
        <w:t>中方县花桥镇中心小学单位概况</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一、</w:t>
      </w:r>
      <w:r>
        <w:rPr>
          <w:rFonts w:ascii="仿宋" w:hAnsi="仿宋" w:eastAsia="仿宋" w:cs="仿宋"/>
          <w:sz w:val="28"/>
        </w:rPr>
        <w:t>单位职责</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二、机构设置</w:t>
      </w:r>
    </w:p>
    <w:p>
      <w:pPr>
        <w:pStyle w:val="10"/>
        <w:adjustRightInd/>
        <w:spacing w:line="440" w:lineRule="exact"/>
        <w:rPr>
          <w:rFonts w:ascii="仿宋" w:hAnsi="仿宋" w:eastAsia="仿宋" w:cs="仿宋"/>
          <w:b/>
          <w:sz w:val="28"/>
          <w:szCs w:val="28"/>
        </w:rPr>
      </w:pPr>
      <w:r>
        <w:rPr>
          <w:rFonts w:hint="eastAsia" w:ascii="仿宋" w:hAnsi="仿宋" w:eastAsia="仿宋" w:cs="仿宋"/>
          <w:b/>
          <w:sz w:val="28"/>
          <w:szCs w:val="28"/>
        </w:rPr>
        <w:t>第二部分2020年度部门决算表</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一、收入支出决算总表</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二、收入决算表</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三、支出决算表</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四、财政拨款收入支出决算总表</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五、一般公共预算财政拨款支出决算表</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六、一般公共预算财政拨款基本支出决算表</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七、一般公共预算财政拨款“三公”经费支出决算表</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八、政府性基金预算财政拨款收入支出决算表</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九、国有资本经营预算财政拨款支出决算表</w:t>
      </w:r>
    </w:p>
    <w:p>
      <w:pPr>
        <w:pStyle w:val="10"/>
        <w:adjustRightInd/>
        <w:spacing w:line="440" w:lineRule="exact"/>
        <w:rPr>
          <w:rFonts w:ascii="仿宋" w:hAnsi="仿宋" w:eastAsia="仿宋" w:cs="仿宋"/>
          <w:b/>
          <w:sz w:val="28"/>
          <w:szCs w:val="28"/>
        </w:rPr>
      </w:pPr>
      <w:r>
        <w:rPr>
          <w:rFonts w:hint="eastAsia" w:ascii="仿宋" w:hAnsi="仿宋" w:eastAsia="仿宋" w:cs="仿宋"/>
          <w:b/>
          <w:sz w:val="28"/>
          <w:szCs w:val="28"/>
        </w:rPr>
        <w:t>第三部分2020年度部门决算情况说明</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一、收入支出决算总体情况说明</w:t>
      </w:r>
    </w:p>
    <w:p>
      <w:pPr>
        <w:spacing w:line="4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二、收入决算情况说明</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三、支出决算情况说明</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四、财政拨款收入支出决算总体情况说明</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五、一般公共预算财政拨款支出决算情况说明</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六、一般公共预算财政拨款基本支出决算情况说明</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七、一般公共预算财政拨款三公经费支出决算情况说明</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八、政府性基金预算收入支出决算情况</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九、关于机关运行经费支出说明</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十、一般性支出情况</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十一、关于政府采购支出说明</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十二、关于国有资产占用情况说明</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十三、关于2020年度预算绩效情况的说明</w:t>
      </w:r>
    </w:p>
    <w:p>
      <w:pPr>
        <w:autoSpaceDE w:val="0"/>
        <w:autoSpaceDN w:val="0"/>
        <w:spacing w:line="440" w:lineRule="exact"/>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第四部分名词解释</w:t>
      </w:r>
    </w:p>
    <w:p>
      <w:pPr>
        <w:autoSpaceDE w:val="0"/>
        <w:autoSpaceDN w:val="0"/>
        <w:spacing w:line="440" w:lineRule="exact"/>
        <w:jc w:val="left"/>
        <w:rPr>
          <w:rFonts w:ascii="仿宋" w:hAnsi="仿宋" w:eastAsia="仿宋" w:cs="仿宋"/>
          <w:b/>
          <w:color w:val="000000"/>
          <w:kern w:val="0"/>
          <w:sz w:val="28"/>
          <w:szCs w:val="28"/>
        </w:rPr>
      </w:pPr>
      <w:r>
        <w:rPr>
          <w:rFonts w:ascii="仿宋" w:hAnsi="仿宋" w:eastAsia="仿宋" w:cs="仿宋"/>
          <w:b/>
          <w:color w:val="000000"/>
          <w:sz w:val="28"/>
        </w:rPr>
        <w:t>第</w:t>
      </w:r>
      <w:r>
        <w:rPr>
          <w:rFonts w:hint="eastAsia" w:ascii="仿宋" w:hAnsi="仿宋" w:eastAsia="仿宋" w:cs="仿宋"/>
          <w:b/>
          <w:color w:val="000000"/>
          <w:kern w:val="0"/>
          <w:sz w:val="28"/>
          <w:szCs w:val="28"/>
        </w:rPr>
        <w:t>五部分附件</w:t>
      </w:r>
    </w:p>
    <w:p>
      <w:pPr>
        <w:autoSpaceDE w:val="0"/>
        <w:autoSpaceDN w:val="0"/>
        <w:spacing w:line="440" w:lineRule="exact"/>
        <w:jc w:val="left"/>
        <w:rPr>
          <w:rFonts w:ascii="仿宋" w:hAnsi="仿宋" w:eastAsia="仿宋" w:cs="仿宋"/>
          <w:b/>
          <w:color w:val="000000"/>
          <w:kern w:val="0"/>
          <w:sz w:val="28"/>
          <w:szCs w:val="28"/>
        </w:rPr>
        <w:sectPr>
          <w:footerReference r:id="rId5" w:type="default"/>
          <w:pgSz w:w="11906" w:h="16838"/>
          <w:pgMar w:top="1440" w:right="1800" w:bottom="1440" w:left="1800" w:header="851" w:footer="992" w:gutter="0"/>
          <w:pgNumType w:fmt="numberInDash" w:start="1"/>
          <w:cols w:space="425" w:num="1"/>
          <w:docGrid w:type="lines" w:linePitch="312" w:charSpace="0"/>
        </w:sect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jc w:val="center"/>
        <w:rPr>
          <w:rFonts w:ascii="仿宋" w:hAnsi="仿宋" w:eastAsia="仿宋" w:cs="仿宋"/>
          <w:b/>
          <w:bCs/>
          <w:sz w:val="52"/>
          <w:szCs w:val="52"/>
        </w:rPr>
      </w:pPr>
      <w:r>
        <w:rPr>
          <w:rFonts w:hint="eastAsia" w:ascii="仿宋" w:hAnsi="仿宋" w:eastAsia="仿宋" w:cs="仿宋"/>
          <w:b/>
          <w:bCs/>
          <w:sz w:val="52"/>
          <w:szCs w:val="52"/>
        </w:rPr>
        <w:t>第一部分</w:t>
      </w:r>
    </w:p>
    <w:p>
      <w:pPr>
        <w:pStyle w:val="10"/>
        <w:jc w:val="center"/>
        <w:rPr>
          <w:rFonts w:ascii="仿宋" w:hAnsi="仿宋" w:eastAsia="仿宋" w:cs="仿宋"/>
          <w:b/>
          <w:bCs/>
          <w:sz w:val="52"/>
          <w:szCs w:val="52"/>
        </w:rPr>
      </w:pPr>
    </w:p>
    <w:p>
      <w:pPr>
        <w:pStyle w:val="10"/>
        <w:jc w:val="center"/>
        <w:rPr>
          <w:rFonts w:ascii="仿宋" w:hAnsi="仿宋" w:eastAsia="仿宋" w:cs="仿宋"/>
          <w:b/>
          <w:bCs/>
          <w:sz w:val="52"/>
          <w:szCs w:val="52"/>
        </w:rPr>
      </w:pPr>
      <w:r>
        <w:rPr>
          <w:rFonts w:hint="eastAsia" w:ascii="仿宋" w:hAnsi="仿宋" w:eastAsia="仿宋" w:cs="仿宋"/>
          <w:b/>
          <w:bCs/>
          <w:sz w:val="52"/>
          <w:szCs w:val="52"/>
        </w:rPr>
        <w:t>中方县花桥镇中心小学</w:t>
      </w:r>
    </w:p>
    <w:p>
      <w:pPr>
        <w:pStyle w:val="10"/>
        <w:jc w:val="center"/>
        <w:rPr>
          <w:rFonts w:ascii="仿宋" w:hAnsi="仿宋" w:eastAsia="仿宋" w:cs="仿宋"/>
          <w:b/>
          <w:bCs/>
          <w:sz w:val="48"/>
          <w:szCs w:val="48"/>
        </w:rPr>
      </w:pPr>
      <w:r>
        <w:rPr>
          <w:rFonts w:hint="eastAsia" w:ascii="仿宋" w:hAnsi="仿宋" w:eastAsia="仿宋" w:cs="仿宋"/>
          <w:b/>
          <w:bCs/>
          <w:sz w:val="52"/>
          <w:szCs w:val="52"/>
        </w:rPr>
        <w:t>单位</w:t>
      </w:r>
      <w:r>
        <w:rPr>
          <w:rFonts w:ascii="仿宋" w:hAnsi="仿宋" w:eastAsia="仿宋" w:cs="仿宋"/>
          <w:b/>
          <w:sz w:val="52"/>
        </w:rPr>
        <w:t>概况</w:t>
      </w:r>
    </w:p>
    <w:p>
      <w:pPr>
        <w:rPr>
          <w:rFonts w:ascii="黑体" w:hAnsi="黑体" w:eastAsia="黑体"/>
          <w:sz w:val="32"/>
          <w:szCs w:val="32"/>
        </w:rPr>
      </w:pPr>
      <w:r>
        <w:rPr>
          <w:rFonts w:ascii="黑体" w:hAnsi="黑体" w:eastAsia="黑体"/>
          <w:sz w:val="32"/>
          <w:szCs w:val="32"/>
        </w:rPr>
        <w:br w:type="page"/>
      </w:r>
    </w:p>
    <w:p>
      <w:pPr>
        <w:pStyle w:val="3"/>
        <w:suppressAutoHyphens/>
        <w:spacing w:line="360" w:lineRule="auto"/>
        <w:ind w:left="420" w:leftChars="200" w:right="481" w:rightChars="229" w:firstLine="658"/>
        <w:rPr>
          <w:rFonts w:ascii="仿宋" w:hAnsi="仿宋" w:eastAsia="仿宋" w:cs="仿宋"/>
          <w:b/>
          <w:bCs/>
          <w:kern w:val="0"/>
          <w:lang w:bidi="zh-CN"/>
        </w:rPr>
      </w:pPr>
      <w:r>
        <w:rPr>
          <w:rFonts w:hint="eastAsia" w:ascii="仿宋" w:hAnsi="仿宋" w:eastAsia="仿宋" w:cs="仿宋"/>
          <w:b/>
          <w:bCs/>
          <w:kern w:val="0"/>
          <w:lang w:bidi="zh-CN"/>
        </w:rPr>
        <w:t>一</w:t>
      </w:r>
      <w:r>
        <w:rPr>
          <w:rFonts w:hint="eastAsia" w:ascii="仿宋" w:hAnsi="仿宋" w:eastAsia="仿宋" w:cs="仿宋"/>
          <w:b/>
          <w:bCs/>
          <w:kern w:val="0"/>
          <w:lang w:val="zh-CN" w:bidi="zh-CN"/>
        </w:rPr>
        <w:t>、</w:t>
      </w:r>
      <w:r>
        <w:rPr>
          <w:rFonts w:hint="eastAsia" w:ascii="仿宋" w:hAnsi="仿宋" w:eastAsia="仿宋" w:cs="仿宋"/>
          <w:b/>
          <w:bCs/>
          <w:kern w:val="0"/>
          <w:lang w:bidi="zh-CN"/>
        </w:rPr>
        <w:t>部门职责</w:t>
      </w:r>
    </w:p>
    <w:p>
      <w:pPr>
        <w:pStyle w:val="3"/>
        <w:suppressAutoHyphens/>
        <w:spacing w:line="360" w:lineRule="auto"/>
        <w:ind w:left="420" w:leftChars="200" w:right="481" w:rightChars="229" w:firstLine="658"/>
        <w:rPr>
          <w:rFonts w:ascii="仿宋" w:hAnsi="仿宋" w:eastAsia="仿宋" w:cs="仿宋"/>
          <w:kern w:val="0"/>
          <w:lang w:bidi="zh-CN"/>
        </w:rPr>
      </w:pPr>
      <w:r>
        <w:rPr>
          <w:rFonts w:ascii="仿宋" w:hAnsi="仿宋" w:eastAsia="仿宋" w:cs="仿宋"/>
        </w:rPr>
        <w:t>1、贯彻落实国家教育工作的方针、政策、法规、规章，结合我校拟定具体实施办法和管理制度，并组织实施。</w:t>
      </w:r>
    </w:p>
    <w:p>
      <w:pPr>
        <w:pStyle w:val="3"/>
        <w:suppressAutoHyphens/>
        <w:spacing w:line="360" w:lineRule="auto"/>
        <w:ind w:left="420" w:leftChars="200" w:right="481" w:rightChars="229" w:firstLine="658"/>
        <w:rPr>
          <w:rFonts w:ascii="仿宋" w:hAnsi="仿宋" w:eastAsia="仿宋" w:cs="仿宋"/>
          <w:kern w:val="0"/>
          <w:lang w:bidi="zh-CN"/>
        </w:rPr>
      </w:pPr>
      <w:r>
        <w:rPr>
          <w:rFonts w:ascii="仿宋" w:hAnsi="仿宋" w:eastAsia="仿宋" w:cs="仿宋"/>
        </w:rPr>
        <w:t>2、研究拟定学校教育改革与发展战略和教育事业发展规划、年度计划及教育发展的重点、速度和步骤，并协调实施。</w:t>
      </w:r>
    </w:p>
    <w:p>
      <w:pPr>
        <w:pStyle w:val="3"/>
        <w:suppressAutoHyphens/>
        <w:spacing w:line="360" w:lineRule="auto"/>
        <w:ind w:left="420" w:leftChars="200" w:right="481" w:rightChars="229" w:firstLine="658"/>
        <w:rPr>
          <w:rFonts w:ascii="仿宋" w:hAnsi="仿宋" w:eastAsia="仿宋" w:cs="仿宋"/>
          <w:kern w:val="0"/>
          <w:lang w:bidi="zh-CN"/>
        </w:rPr>
      </w:pPr>
      <w:r>
        <w:rPr>
          <w:rFonts w:ascii="仿宋" w:hAnsi="仿宋" w:eastAsia="仿宋" w:cs="仿宋"/>
        </w:rPr>
        <w:t>3、负责学校教育经费的统筹管理；负责教育经费的安排和预决算工作；对学校的各类国有资产进行宏观管理。</w:t>
      </w:r>
    </w:p>
    <w:p>
      <w:pPr>
        <w:pStyle w:val="3"/>
        <w:suppressAutoHyphens/>
        <w:spacing w:line="360" w:lineRule="auto"/>
        <w:ind w:left="420" w:leftChars="200" w:right="481" w:rightChars="229" w:firstLine="658"/>
        <w:rPr>
          <w:rFonts w:ascii="仿宋" w:hAnsi="仿宋" w:eastAsia="仿宋" w:cs="仿宋"/>
          <w:kern w:val="0"/>
          <w:lang w:bidi="zh-CN"/>
        </w:rPr>
      </w:pPr>
      <w:r>
        <w:rPr>
          <w:rFonts w:ascii="仿宋" w:hAnsi="仿宋" w:eastAsia="仿宋" w:cs="仿宋"/>
        </w:rPr>
        <w:t>4、负责全面实施素质教育，规划并指导学校的思想政治工作、教育工作、后勤保健与家园共育等工作。</w:t>
      </w:r>
    </w:p>
    <w:p>
      <w:pPr>
        <w:jc w:val="left"/>
        <w:rPr>
          <w:rFonts w:ascii="仿宋" w:hAnsi="仿宋" w:eastAsia="仿宋" w:cs="仿宋"/>
          <w:sz w:val="28"/>
          <w:szCs w:val="32"/>
        </w:rPr>
      </w:pPr>
    </w:p>
    <w:p>
      <w:pPr>
        <w:pStyle w:val="3"/>
        <w:suppressAutoHyphens/>
        <w:spacing w:line="360" w:lineRule="auto"/>
        <w:ind w:left="420" w:leftChars="200" w:right="481" w:rightChars="229" w:firstLine="658"/>
        <w:rPr>
          <w:rFonts w:ascii="仿宋" w:hAnsi="仿宋" w:eastAsia="仿宋" w:cs="仿宋"/>
          <w:b/>
          <w:bCs/>
          <w:kern w:val="0"/>
          <w:lang w:val="zh-CN" w:bidi="zh-CN"/>
        </w:rPr>
      </w:pPr>
      <w:r>
        <w:rPr>
          <w:rFonts w:hint="eastAsia" w:ascii="仿宋" w:hAnsi="仿宋" w:eastAsia="仿宋" w:cs="仿宋"/>
          <w:b/>
          <w:bCs/>
          <w:kern w:val="0"/>
          <w:lang w:val="zh-CN" w:bidi="zh-CN"/>
        </w:rPr>
        <w:t>二、机构设置及决算单位构成</w:t>
      </w:r>
    </w:p>
    <w:p>
      <w:pPr>
        <w:pStyle w:val="3"/>
        <w:suppressAutoHyphens/>
        <w:spacing w:line="360" w:lineRule="auto"/>
        <w:ind w:left="420" w:leftChars="200" w:right="481" w:rightChars="229" w:firstLine="658"/>
        <w:rPr>
          <w:rFonts w:ascii="仿宋" w:hAnsi="仿宋" w:eastAsia="仿宋" w:cs="仿宋"/>
          <w:kern w:val="0"/>
          <w:lang w:bidi="zh-CN"/>
        </w:rPr>
      </w:pPr>
      <w:r>
        <w:rPr>
          <w:rFonts w:hint="eastAsia" w:ascii="仿宋" w:hAnsi="仿宋" w:eastAsia="仿宋" w:cs="仿宋"/>
          <w:kern w:val="0"/>
          <w:lang w:bidi="zh-CN"/>
        </w:rPr>
        <w:t>（一）内设机构设置。</w:t>
      </w:r>
      <w:r>
        <w:rPr>
          <w:rFonts w:ascii="仿宋" w:hAnsi="仿宋" w:eastAsia="仿宋" w:cs="仿宋"/>
        </w:rPr>
        <w:t>中方县花桥镇中心小学内设机构包括：校长室、办公室、财务室、教育室、德育室、集体办公室、后勤处、体育室、音乐室、实验室、多媒体室、少年宫室、图书室、计算机室、保教处等。</w:t>
      </w:r>
    </w:p>
    <w:p>
      <w:pPr>
        <w:pStyle w:val="3"/>
        <w:suppressAutoHyphens/>
        <w:spacing w:line="360" w:lineRule="auto"/>
        <w:ind w:left="420" w:leftChars="200" w:right="481" w:rightChars="229" w:firstLine="658"/>
        <w:rPr>
          <w:rFonts w:ascii="仿宋" w:hAnsi="仿宋" w:eastAsia="仿宋" w:cs="仿宋"/>
          <w:kern w:val="0"/>
          <w:lang w:bidi="zh-CN"/>
        </w:rPr>
      </w:pPr>
      <w:r>
        <w:rPr>
          <w:rFonts w:hint="eastAsia" w:ascii="仿宋" w:hAnsi="仿宋" w:eastAsia="仿宋" w:cs="仿宋"/>
          <w:kern w:val="0"/>
          <w:lang w:bidi="zh-CN"/>
        </w:rPr>
        <w:t>（二）决算单位构成。</w:t>
      </w:r>
      <w:r>
        <w:rPr>
          <w:rFonts w:ascii="仿宋" w:hAnsi="仿宋" w:eastAsia="仿宋" w:cs="仿宋"/>
        </w:rPr>
        <w:t>中方县花桥镇中心小学2020年部门决算汇总公开单位构成包括：中方县花桥镇中心小学，无二级预算单位。</w:t>
      </w:r>
    </w:p>
    <w:p>
      <w:pPr>
        <w:pStyle w:val="3"/>
        <w:spacing w:line="360" w:lineRule="auto"/>
        <w:ind w:right="481" w:rightChars="229" w:firstLine="640" w:firstLineChars="200"/>
        <w:rPr>
          <w:rFonts w:ascii="仿宋" w:hAnsi="仿宋" w:eastAsia="仿宋" w:cs="仿宋"/>
        </w:rPr>
      </w:pPr>
    </w:p>
    <w:p>
      <w:pPr>
        <w:widowControl/>
        <w:spacing w:line="600" w:lineRule="exact"/>
        <w:ind w:firstLine="838" w:firstLineChars="262"/>
        <w:rPr>
          <w:rFonts w:ascii="仿宋" w:hAnsi="仿宋" w:eastAsia="仿宋" w:cs="仿宋"/>
          <w:bCs/>
          <w:kern w:val="0"/>
          <w:sz w:val="32"/>
          <w:szCs w:val="32"/>
        </w:rPr>
        <w:sectPr>
          <w:pgSz w:w="11906" w:h="16838"/>
          <w:pgMar w:top="720" w:right="720" w:bottom="720" w:left="720" w:header="851" w:footer="992" w:gutter="0"/>
          <w:pgNumType w:fmt="numberInDash"/>
          <w:cols w:space="425" w:num="1"/>
          <w:docGrid w:type="lines" w:linePitch="312" w:charSpace="0"/>
        </w:sect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rFonts w:ascii="仿宋" w:hAnsi="仿宋" w:eastAsia="仿宋" w:cs="仿宋"/>
          <w:b/>
          <w:bCs/>
          <w:sz w:val="52"/>
          <w:szCs w:val="52"/>
        </w:rPr>
      </w:pPr>
      <w:r>
        <w:rPr>
          <w:rFonts w:hint="eastAsia" w:ascii="仿宋" w:hAnsi="仿宋" w:eastAsia="仿宋" w:cs="仿宋"/>
          <w:b/>
          <w:bCs/>
          <w:sz w:val="52"/>
          <w:szCs w:val="52"/>
        </w:rPr>
        <w:t>第二部分</w:t>
      </w:r>
    </w:p>
    <w:p>
      <w:pPr>
        <w:jc w:val="center"/>
        <w:rPr>
          <w:rFonts w:ascii="仿宋" w:hAnsi="仿宋" w:eastAsia="仿宋" w:cs="仿宋"/>
          <w:b/>
          <w:bCs/>
          <w:sz w:val="52"/>
          <w:szCs w:val="52"/>
        </w:rPr>
      </w:pPr>
    </w:p>
    <w:p>
      <w:pPr>
        <w:jc w:val="center"/>
        <w:rPr>
          <w:sz w:val="72"/>
          <w:szCs w:val="72"/>
        </w:rPr>
      </w:pPr>
      <w:r>
        <w:rPr>
          <w:rFonts w:hint="eastAsia" w:ascii="仿宋" w:hAnsi="仿宋" w:eastAsia="仿宋" w:cs="仿宋"/>
          <w:b/>
          <w:bCs/>
          <w:sz w:val="52"/>
          <w:szCs w:val="52"/>
        </w:rPr>
        <w:t>单位</w:t>
      </w:r>
      <w:r>
        <w:rPr>
          <w:rFonts w:ascii="仿宋" w:hAnsi="仿宋" w:eastAsia="仿宋" w:cs="仿宋"/>
          <w:b/>
          <w:sz w:val="52"/>
        </w:rPr>
        <w:t>决算表</w:t>
      </w:r>
    </w:p>
    <w:p>
      <w:pPr>
        <w:jc w:val="center"/>
        <w:rPr>
          <w:sz w:val="72"/>
          <w:szCs w:val="72"/>
        </w:rPr>
        <w:sectPr>
          <w:pgSz w:w="11906" w:h="16838"/>
          <w:pgMar w:top="1440" w:right="1800" w:bottom="1440" w:left="1800" w:header="851" w:footer="992" w:gutter="0"/>
          <w:pgNumType w:fmt="numberInDash"/>
          <w:cols w:space="425" w:num="1"/>
          <w:docGrid w:type="lines" w:linePitch="312" w:charSpace="0"/>
        </w:sectPr>
      </w:pPr>
    </w:p>
    <w:tbl>
      <w:tblPr>
        <w:tblStyle w:val="7"/>
        <w:tblW w:w="13995" w:type="dxa"/>
        <w:tblInd w:w="91" w:type="dxa"/>
        <w:tblLayout w:type="fixed"/>
        <w:tblCellMar>
          <w:top w:w="0" w:type="dxa"/>
          <w:left w:w="108" w:type="dxa"/>
          <w:bottom w:w="0" w:type="dxa"/>
          <w:right w:w="108" w:type="dxa"/>
        </w:tblCellMar>
      </w:tblPr>
      <w:tblGrid>
        <w:gridCol w:w="4535"/>
        <w:gridCol w:w="800"/>
        <w:gridCol w:w="1980"/>
        <w:gridCol w:w="3960"/>
        <w:gridCol w:w="800"/>
        <w:gridCol w:w="1920"/>
      </w:tblGrid>
      <w:tr>
        <w:tblPrEx>
          <w:tblCellMar>
            <w:top w:w="0" w:type="dxa"/>
            <w:left w:w="108" w:type="dxa"/>
            <w:bottom w:w="0" w:type="dxa"/>
            <w:right w:w="108" w:type="dxa"/>
          </w:tblCellMar>
        </w:tblPrEx>
        <w:trPr>
          <w:cantSplit/>
          <w:trHeight w:val="360" w:hRule="atLeast"/>
        </w:trPr>
        <w:tc>
          <w:tcPr>
            <w:tcW w:w="13995" w:type="dxa"/>
            <w:gridSpan w:val="6"/>
            <w:tcBorders>
              <w:top w:val="nil"/>
              <w:left w:val="nil"/>
              <w:bottom w:val="nil"/>
              <w:right w:val="nil"/>
            </w:tcBorders>
            <w:shd w:val="clear" w:color="auto" w:fill="auto"/>
            <w:noWrap/>
            <w:vAlign w:val="center"/>
          </w:tcPr>
          <w:p>
            <w:pPr>
              <w:widowControl/>
              <w:spacing w:line="2" w:lineRule="atLeast"/>
              <w:jc w:val="center"/>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收入支出决算总表</w:t>
            </w:r>
          </w:p>
        </w:tc>
      </w:tr>
      <w:tr>
        <w:tblPrEx>
          <w:tblCellMar>
            <w:top w:w="0" w:type="dxa"/>
            <w:left w:w="108" w:type="dxa"/>
            <w:bottom w:w="0" w:type="dxa"/>
            <w:right w:w="108" w:type="dxa"/>
          </w:tblCellMar>
        </w:tblPrEx>
        <w:trPr>
          <w:cantSplit/>
          <w:trHeight w:val="90" w:hRule="atLeast"/>
        </w:trPr>
        <w:tc>
          <w:tcPr>
            <w:tcW w:w="13995" w:type="dxa"/>
            <w:gridSpan w:val="6"/>
            <w:tcBorders>
              <w:top w:val="nil"/>
              <w:left w:val="nil"/>
              <w:bottom w:val="nil"/>
              <w:right w:val="nil"/>
            </w:tcBorders>
            <w:shd w:val="clear" w:color="000000" w:fill="FFFFFF"/>
            <w:noWrap/>
            <w:vAlign w:val="center"/>
          </w:tcPr>
          <w:p>
            <w:pPr>
              <w:widowControl/>
              <w:spacing w:after="34" w:line="34" w:lineRule="atLeast"/>
              <w:jc w:val="right"/>
              <w:rPr>
                <w:rFonts w:ascii="仿宋" w:hAnsi="仿宋" w:eastAsia="仿宋" w:cs="仿宋"/>
                <w:color w:val="000000"/>
                <w:kern w:val="0"/>
                <w:sz w:val="20"/>
                <w:szCs w:val="20"/>
              </w:rPr>
            </w:pPr>
            <w:r>
              <w:rPr>
                <w:rFonts w:hint="eastAsia" w:ascii="仿宋" w:hAnsi="仿宋" w:eastAsia="仿宋" w:cs="仿宋"/>
                <w:color w:val="000000"/>
                <w:kern w:val="0"/>
                <w:sz w:val="20"/>
                <w:szCs w:val="20"/>
              </w:rPr>
              <w:t>公开01表</w:t>
            </w:r>
          </w:p>
        </w:tc>
      </w:tr>
      <w:tr>
        <w:tblPrEx>
          <w:tblCellMar>
            <w:top w:w="0" w:type="dxa"/>
            <w:left w:w="108" w:type="dxa"/>
            <w:bottom w:w="0" w:type="dxa"/>
            <w:right w:w="108" w:type="dxa"/>
          </w:tblCellMar>
        </w:tblPrEx>
        <w:trPr>
          <w:cantSplit/>
          <w:trHeight w:val="90" w:hRule="atLeast"/>
        </w:trPr>
        <w:tc>
          <w:tcPr>
            <w:tcW w:w="5335" w:type="dxa"/>
            <w:gridSpan w:val="2"/>
            <w:tcBorders>
              <w:top w:val="nil"/>
              <w:left w:val="nil"/>
              <w:bottom w:val="single" w:color="auto" w:sz="4" w:space="0"/>
              <w:right w:val="nil"/>
            </w:tcBorders>
            <w:shd w:val="clear" w:color="000000" w:fill="FFFFFF"/>
            <w:noWrap/>
            <w:vAlign w:val="center"/>
          </w:tcPr>
          <w:p>
            <w:pPr>
              <w:widowControl/>
              <w:spacing w:after="34" w:line="34" w:lineRule="atLeas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单位：</w:t>
            </w:r>
            <w:r>
              <w:rPr>
                <w:rFonts w:ascii="仿宋" w:hAnsi="仿宋" w:eastAsia="仿宋" w:cs="仿宋"/>
                <w:color w:val="000000"/>
                <w:sz w:val="20"/>
              </w:rPr>
              <w:t>中方县花桥镇中心小学</w:t>
            </w:r>
          </w:p>
        </w:tc>
        <w:tc>
          <w:tcPr>
            <w:tcW w:w="8660" w:type="dxa"/>
            <w:gridSpan w:val="4"/>
            <w:tcBorders>
              <w:top w:val="nil"/>
              <w:left w:val="nil"/>
              <w:bottom w:val="single" w:color="auto" w:sz="4" w:space="0"/>
              <w:right w:val="nil"/>
            </w:tcBorders>
            <w:shd w:val="clear" w:color="000000" w:fill="FFFFFF"/>
            <w:noWrap/>
            <w:vAlign w:val="center"/>
          </w:tcPr>
          <w:p>
            <w:pPr>
              <w:widowControl/>
              <w:spacing w:after="34" w:line="34" w:lineRule="atLeast"/>
              <w:jc w:val="right"/>
              <w:rPr>
                <w:rFonts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cantSplit/>
          <w:trHeight w:val="90" w:hRule="atLeast"/>
        </w:trPr>
        <w:tc>
          <w:tcPr>
            <w:tcW w:w="7315"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收入</w:t>
            </w:r>
          </w:p>
        </w:tc>
        <w:tc>
          <w:tcPr>
            <w:tcW w:w="66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支出</w:t>
            </w:r>
          </w:p>
        </w:tc>
      </w:tr>
      <w:tr>
        <w:tblPrEx>
          <w:tblCellMar>
            <w:top w:w="0" w:type="dxa"/>
            <w:left w:w="108" w:type="dxa"/>
            <w:bottom w:w="0" w:type="dxa"/>
            <w:right w:w="108" w:type="dxa"/>
          </w:tblCellMar>
        </w:tblPrEx>
        <w:trPr>
          <w:cantSplit/>
          <w:trHeight w:val="337"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项    目</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0"/>
                <w:szCs w:val="20"/>
              </w:rPr>
            </w:pPr>
            <w:r>
              <w:rPr>
                <w:rFonts w:hint="eastAsia" w:ascii="仿宋" w:hAnsi="仿宋" w:eastAsia="仿宋" w:cs="仿宋"/>
                <w:kern w:val="0"/>
                <w:sz w:val="20"/>
                <w:szCs w:val="20"/>
              </w:rPr>
              <w:t>行次</w:t>
            </w:r>
          </w:p>
        </w:tc>
        <w:tc>
          <w:tcPr>
            <w:tcW w:w="19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决算数</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项    目</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0"/>
                <w:szCs w:val="20"/>
              </w:rPr>
            </w:pPr>
            <w:r>
              <w:rPr>
                <w:rFonts w:hint="eastAsia" w:ascii="仿宋" w:hAnsi="仿宋" w:eastAsia="仿宋" w:cs="仿宋"/>
                <w:kern w:val="0"/>
                <w:sz w:val="20"/>
                <w:szCs w:val="20"/>
              </w:rPr>
              <w:t>行次</w:t>
            </w:r>
          </w:p>
        </w:tc>
        <w:tc>
          <w:tcPr>
            <w:tcW w:w="1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决算数</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r>
              <w:rPr>
                <w:rFonts w:ascii="仿宋" w:hAnsi="仿宋" w:eastAsia="仿宋" w:cs="仿宋"/>
                <w:sz w:val="24"/>
              </w:rPr>
              <w:t>栏    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p>
        </w:tc>
        <w:tc>
          <w:tcPr>
            <w:tcW w:w="19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color w:val="000000"/>
                <w:sz w:val="22"/>
              </w:rPr>
            </w:pPr>
            <w:r>
              <w:rPr>
                <w:rFonts w:hint="eastAsia" w:ascii="仿宋" w:hAnsi="仿宋" w:eastAsia="仿宋" w:cs="仿宋"/>
                <w:color w:val="000000"/>
                <w:kern w:val="0"/>
                <w:sz w:val="22"/>
                <w:lang w:bidi="ar"/>
              </w:rPr>
              <w:t>1</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栏    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p>
        </w:tc>
        <w:tc>
          <w:tcPr>
            <w:tcW w:w="1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color w:val="000000"/>
                <w:sz w:val="22"/>
              </w:rPr>
            </w:pPr>
            <w:r>
              <w:rPr>
                <w:rFonts w:hint="eastAsia" w:ascii="仿宋" w:hAnsi="仿宋" w:eastAsia="仿宋" w:cs="仿宋"/>
                <w:color w:val="000000"/>
                <w:kern w:val="0"/>
                <w:sz w:val="22"/>
                <w:lang w:bidi="ar"/>
              </w:rPr>
              <w:t>2</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一、一般公共预算财政拨款收入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1214.31</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一、一般公共服务支出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二、政府性基金预算财政拨款收入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二、外交支出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三、国有资本经营预算财政拨款收入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三、国防支出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四、上级补助收入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四、公共安全支出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五、事业收入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五、教育支出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1,214.31</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六、经营收入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六、科学技术支出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七、附属单位上缴收入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七、文化旅游体育与传媒支出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八、其他收入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八、社会保障和就业支出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九、卫生健康支出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十、节能环保支出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十一、城乡社区支出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十二、农林水支出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十三、交通运输支出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十四、资源勘探工业信息等支出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十五、商业服务业等支出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十六、金融支出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十七、援助其他地区支出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十八、自然资源海洋气象等支出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十九、住房保障支出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二十、粮油物资储备支出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二十一、国有资本经营预算支出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二十二、灾害防治及应急管理支出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二十三、其他支出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二十四、债务还本支出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二十五、债务付息支出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二十六、抗疫特别国债安排的支出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center"/>
              <w:rPr>
                <w:rFonts w:ascii="仿宋" w:hAnsi="仿宋" w:eastAsia="仿宋" w:cs="仿宋"/>
                <w:b/>
                <w:bCs/>
                <w:kern w:val="0"/>
                <w:sz w:val="22"/>
              </w:rPr>
            </w:pPr>
            <w:r>
              <w:rPr>
                <w:rFonts w:ascii="仿宋" w:hAnsi="仿宋" w:eastAsia="仿宋" w:cs="仿宋"/>
                <w:b/>
                <w:sz w:val="22"/>
              </w:rPr>
              <w:t>本年收入合计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color w:val="000000"/>
                <w:kern w:val="0"/>
                <w:sz w:val="22"/>
                <w:lang w:bidi="ar"/>
              </w:rPr>
              <w:t>27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1,214.31</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center"/>
              <w:rPr>
                <w:rFonts w:ascii="仿宋" w:hAnsi="仿宋" w:eastAsia="仿宋" w:cs="仿宋"/>
                <w:b/>
                <w:bCs/>
                <w:kern w:val="0"/>
                <w:sz w:val="22"/>
              </w:rPr>
            </w:pPr>
            <w:r>
              <w:rPr>
                <w:rFonts w:hint="eastAsia" w:ascii="仿宋" w:hAnsi="仿宋" w:eastAsia="仿宋" w:cs="仿宋"/>
                <w:b/>
                <w:bCs/>
                <w:kern w:val="0"/>
                <w:sz w:val="22"/>
              </w:rPr>
              <w:t>本年支出合计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color w:val="000000"/>
                <w:kern w:val="0"/>
                <w:sz w:val="22"/>
                <w:lang w:bidi="ar"/>
              </w:rPr>
              <w:t>58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1,214.31</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使用非财政拨款结余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结余分配</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年初结转和结余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年末结转和结余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60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b/>
                <w:bCs/>
                <w:kern w:val="0"/>
                <w:sz w:val="22"/>
              </w:rPr>
            </w:pPr>
            <w:r>
              <w:rPr>
                <w:rFonts w:hint="eastAsia" w:ascii="仿宋" w:hAnsi="仿宋" w:eastAsia="仿宋" w:cs="仿宋"/>
                <w:b/>
                <w:bCs/>
                <w:kern w:val="0"/>
                <w:sz w:val="22"/>
              </w:rPr>
              <w:t>总计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color w:val="000000"/>
                <w:kern w:val="0"/>
                <w:sz w:val="22"/>
                <w:lang w:bidi="ar"/>
              </w:rPr>
              <w:t>30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1,214.31</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b/>
                <w:bCs/>
                <w:kern w:val="0"/>
                <w:sz w:val="22"/>
              </w:rPr>
            </w:pPr>
            <w:r>
              <w:rPr>
                <w:rFonts w:hint="eastAsia" w:ascii="仿宋" w:hAnsi="仿宋" w:eastAsia="仿宋" w:cs="仿宋"/>
                <w:b/>
                <w:bCs/>
                <w:kern w:val="0"/>
                <w:sz w:val="22"/>
              </w:rPr>
              <w:t>总计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color w:val="000000"/>
                <w:kern w:val="0"/>
                <w:sz w:val="22"/>
                <w:lang w:bidi="ar"/>
              </w:rPr>
              <w:t>61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b/>
                <w:bCs/>
                <w:kern w:val="0"/>
                <w:sz w:val="22"/>
              </w:rPr>
            </w:pPr>
            <w:r>
              <w:rPr>
                <w:rFonts w:hint="eastAsia" w:ascii="仿宋" w:hAnsi="仿宋" w:eastAsia="仿宋" w:cs="仿宋"/>
              </w:rPr>
              <w:t>1,214.31</w:t>
            </w:r>
          </w:p>
        </w:tc>
      </w:tr>
      <w:tr>
        <w:tblPrEx>
          <w:tblCellMar>
            <w:top w:w="0" w:type="dxa"/>
            <w:left w:w="108" w:type="dxa"/>
            <w:bottom w:w="0" w:type="dxa"/>
            <w:right w:w="108" w:type="dxa"/>
          </w:tblCellMar>
        </w:tblPrEx>
        <w:trPr>
          <w:cantSplit/>
          <w:trHeight w:val="90" w:hRule="atLeast"/>
        </w:trPr>
        <w:tc>
          <w:tcPr>
            <w:tcW w:w="13995" w:type="dxa"/>
            <w:gridSpan w:val="6"/>
            <w:tcBorders>
              <w:top w:val="single" w:color="auto" w:sz="4" w:space="0"/>
              <w:left w:val="nil"/>
              <w:bottom w:val="nil"/>
              <w:right w:val="nil"/>
            </w:tcBorders>
            <w:shd w:val="clear" w:color="auto" w:fill="auto"/>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kern w:val="0"/>
                <w:sz w:val="24"/>
                <w:szCs w:val="24"/>
              </w:rPr>
              <w:t>注：1.本表反映部门本年度的总收支和年末结转结余情况。</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803" w:right="1440" w:bottom="1803" w:left="1440" w:header="851" w:footer="992" w:gutter="0"/>
          <w:pgNumType w:fmt="numberInDash"/>
          <w:cols w:space="0" w:num="1"/>
          <w:docGrid w:type="lines" w:linePitch="319" w:charSpace="0"/>
        </w:sectPr>
      </w:pPr>
    </w:p>
    <w:tbl>
      <w:tblPr>
        <w:tblStyle w:val="7"/>
        <w:tblW w:w="13988" w:type="dxa"/>
        <w:tblInd w:w="0" w:type="dxa"/>
        <w:tblLayout w:type="fixed"/>
        <w:tblCellMar>
          <w:top w:w="0" w:type="dxa"/>
          <w:left w:w="0" w:type="dxa"/>
          <w:bottom w:w="0" w:type="dxa"/>
          <w:right w:w="0" w:type="dxa"/>
        </w:tblCellMar>
      </w:tblPr>
      <w:tblGrid>
        <w:gridCol w:w="1337"/>
        <w:gridCol w:w="2863"/>
        <w:gridCol w:w="1663"/>
        <w:gridCol w:w="1474"/>
        <w:gridCol w:w="1491"/>
        <w:gridCol w:w="1457"/>
        <w:gridCol w:w="1230"/>
        <w:gridCol w:w="1320"/>
        <w:gridCol w:w="1153"/>
      </w:tblGrid>
      <w:tr>
        <w:tblPrEx>
          <w:tblCellMar>
            <w:top w:w="0" w:type="dxa"/>
            <w:left w:w="0" w:type="dxa"/>
            <w:bottom w:w="0" w:type="dxa"/>
            <w:right w:w="0" w:type="dxa"/>
          </w:tblCellMar>
        </w:tblPrEx>
        <w:trPr>
          <w:trHeight w:val="435" w:hRule="atLeast"/>
        </w:trPr>
        <w:tc>
          <w:tcPr>
            <w:tcW w:w="13988" w:type="dxa"/>
            <w:gridSpan w:val="9"/>
            <w:tcBorders>
              <w:top w:val="nil"/>
              <w:left w:val="nil"/>
              <w:bottom w:val="nil"/>
              <w:right w:val="nil"/>
            </w:tcBorders>
            <w:shd w:val="clear" w:color="auto" w:fill="auto"/>
            <w:noWrap/>
            <w:tcMar>
              <w:top w:w="15" w:type="dxa"/>
              <w:left w:w="15" w:type="dxa"/>
              <w:bottom w:w="0" w:type="dxa"/>
              <w:right w:w="15" w:type="dxa"/>
            </w:tcMar>
            <w:vAlign w:val="center"/>
          </w:tcPr>
          <w:p>
            <w:pPr>
              <w:spacing w:line="2" w:lineRule="atLeast"/>
              <w:jc w:val="center"/>
              <w:rPr>
                <w:rFonts w:ascii="仿宋" w:hAnsi="仿宋" w:eastAsia="仿宋" w:cs="仿宋"/>
                <w:color w:val="000000"/>
                <w:sz w:val="32"/>
                <w:szCs w:val="32"/>
              </w:rPr>
            </w:pPr>
            <w:r>
              <w:rPr>
                <w:rFonts w:hint="eastAsia" w:ascii="仿宋" w:hAnsi="仿宋" w:eastAsia="仿宋" w:cs="仿宋"/>
                <w:b/>
                <w:bCs/>
                <w:color w:val="000000"/>
                <w:sz w:val="32"/>
                <w:szCs w:val="32"/>
              </w:rPr>
              <w:t>收入决算表</w:t>
            </w:r>
          </w:p>
        </w:tc>
      </w:tr>
      <w:tr>
        <w:tblPrEx>
          <w:tblCellMar>
            <w:top w:w="0" w:type="dxa"/>
            <w:left w:w="0" w:type="dxa"/>
            <w:bottom w:w="0" w:type="dxa"/>
            <w:right w:w="0" w:type="dxa"/>
          </w:tblCellMar>
        </w:tblPrEx>
        <w:trPr>
          <w:trHeight w:val="111" w:hRule="atLeast"/>
        </w:trPr>
        <w:tc>
          <w:tcPr>
            <w:tcW w:w="12835" w:type="dxa"/>
            <w:gridSpan w:val="8"/>
            <w:tcBorders>
              <w:top w:val="nil"/>
              <w:left w:val="nil"/>
              <w:bottom w:val="nil"/>
              <w:right w:val="nil"/>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p>
        </w:tc>
        <w:tc>
          <w:tcPr>
            <w:tcW w:w="1153" w:type="dxa"/>
            <w:tcBorders>
              <w:top w:val="nil"/>
              <w:left w:val="nil"/>
              <w:bottom w:val="nil"/>
              <w:right w:val="nil"/>
            </w:tcBorders>
            <w:shd w:val="clear" w:color="000000" w:fill="FFFFFF"/>
            <w:noWrap/>
            <w:tcMar>
              <w:top w:w="15" w:type="dxa"/>
              <w:left w:w="15" w:type="dxa"/>
              <w:bottom w:w="0" w:type="dxa"/>
              <w:right w:w="15" w:type="dxa"/>
            </w:tcMar>
            <w:vAlign w:val="center"/>
          </w:tcPr>
          <w:p>
            <w:pPr>
              <w:spacing w:after="34" w:line="34" w:lineRule="atLeast"/>
              <w:jc w:val="right"/>
              <w:rPr>
                <w:rFonts w:ascii="仿宋" w:hAnsi="仿宋" w:eastAsia="仿宋" w:cs="仿宋"/>
                <w:color w:val="000000"/>
                <w:sz w:val="20"/>
                <w:szCs w:val="20"/>
              </w:rPr>
            </w:pPr>
            <w:r>
              <w:rPr>
                <w:rFonts w:hint="eastAsia" w:ascii="仿宋" w:hAnsi="仿宋" w:eastAsia="仿宋" w:cs="仿宋"/>
                <w:color w:val="000000"/>
                <w:sz w:val="20"/>
                <w:szCs w:val="20"/>
              </w:rPr>
              <w:t>公开02表</w:t>
            </w:r>
          </w:p>
        </w:tc>
      </w:tr>
      <w:tr>
        <w:tblPrEx>
          <w:tblCellMar>
            <w:top w:w="0" w:type="dxa"/>
            <w:left w:w="0" w:type="dxa"/>
            <w:bottom w:w="0" w:type="dxa"/>
            <w:right w:w="0" w:type="dxa"/>
          </w:tblCellMar>
        </w:tblPrEx>
        <w:trPr>
          <w:trHeight w:val="90" w:hRule="atLeast"/>
        </w:trPr>
        <w:tc>
          <w:tcPr>
            <w:tcW w:w="12835" w:type="dxa"/>
            <w:gridSpan w:val="8"/>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pPr>
              <w:spacing w:after="34" w:line="34" w:lineRule="atLeast"/>
              <w:jc w:val="left"/>
              <w:rPr>
                <w:rFonts w:ascii="仿宋" w:hAnsi="仿宋" w:eastAsia="仿宋" w:cs="仿宋"/>
                <w:sz w:val="24"/>
                <w:szCs w:val="24"/>
              </w:rPr>
            </w:pPr>
            <w:r>
              <w:rPr>
                <w:rFonts w:hint="eastAsia" w:ascii="仿宋" w:hAnsi="仿宋" w:eastAsia="仿宋" w:cs="仿宋"/>
                <w:color w:val="000000"/>
                <w:sz w:val="20"/>
                <w:szCs w:val="20"/>
              </w:rPr>
              <w:t>单位：</w:t>
            </w:r>
            <w:r>
              <w:rPr>
                <w:rFonts w:ascii="仿宋" w:hAnsi="仿宋" w:eastAsia="仿宋" w:cs="仿宋"/>
                <w:color w:val="000000"/>
                <w:sz w:val="20"/>
              </w:rPr>
              <w:t>中方县花桥镇中心小学</w:t>
            </w:r>
          </w:p>
        </w:tc>
        <w:tc>
          <w:tcPr>
            <w:tcW w:w="1153" w:type="dxa"/>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pPr>
              <w:spacing w:after="34" w:line="34" w:lineRule="atLeast"/>
              <w:jc w:val="right"/>
              <w:rPr>
                <w:rFonts w:ascii="仿宋" w:hAnsi="仿宋" w:eastAsia="仿宋" w:cs="仿宋"/>
                <w:color w:val="000000"/>
                <w:sz w:val="20"/>
                <w:szCs w:val="20"/>
              </w:rPr>
            </w:pPr>
            <w:r>
              <w:rPr>
                <w:rFonts w:hint="eastAsia" w:ascii="仿宋" w:hAnsi="仿宋" w:eastAsia="仿宋" w:cs="仿宋"/>
                <w:color w:val="000000"/>
                <w:sz w:val="20"/>
                <w:szCs w:val="20"/>
              </w:rPr>
              <w:t>单位：万元</w:t>
            </w:r>
          </w:p>
        </w:tc>
      </w:tr>
      <w:tr>
        <w:tblPrEx>
          <w:tblCellMar>
            <w:top w:w="0" w:type="dxa"/>
            <w:left w:w="0" w:type="dxa"/>
            <w:bottom w:w="0" w:type="dxa"/>
            <w:right w:w="0" w:type="dxa"/>
          </w:tblCellMar>
        </w:tblPrEx>
        <w:trPr>
          <w:trHeight w:val="450"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项    目</w:t>
            </w:r>
          </w:p>
        </w:tc>
        <w:tc>
          <w:tcPr>
            <w:tcW w:w="16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本年收入合计</w:t>
            </w:r>
          </w:p>
        </w:tc>
        <w:tc>
          <w:tcPr>
            <w:tcW w:w="147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财政拨款收入</w:t>
            </w:r>
          </w:p>
        </w:tc>
        <w:tc>
          <w:tcPr>
            <w:tcW w:w="149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上级补助收入</w:t>
            </w:r>
          </w:p>
        </w:tc>
        <w:tc>
          <w:tcPr>
            <w:tcW w:w="145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事业收入</w:t>
            </w:r>
          </w:p>
        </w:tc>
        <w:tc>
          <w:tcPr>
            <w:tcW w:w="123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经营收入</w:t>
            </w:r>
          </w:p>
        </w:tc>
        <w:tc>
          <w:tcPr>
            <w:tcW w:w="132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rPr>
            </w:pPr>
            <w:r>
              <w:rPr>
                <w:rFonts w:hint="eastAsia" w:ascii="仿宋" w:hAnsi="仿宋" w:eastAsia="仿宋" w:cs="仿宋"/>
              </w:rPr>
              <w:t>附属单位</w:t>
            </w:r>
          </w:p>
          <w:p>
            <w:pPr>
              <w:spacing w:after="34" w:line="34" w:lineRule="atLeast"/>
              <w:jc w:val="center"/>
              <w:rPr>
                <w:rFonts w:ascii="仿宋" w:hAnsi="仿宋" w:eastAsia="仿宋" w:cs="仿宋"/>
                <w:sz w:val="24"/>
                <w:szCs w:val="24"/>
              </w:rPr>
            </w:pPr>
            <w:r>
              <w:rPr>
                <w:rFonts w:hint="eastAsia" w:ascii="仿宋" w:hAnsi="仿宋" w:eastAsia="仿宋" w:cs="仿宋"/>
              </w:rPr>
              <w:t>上缴收入</w:t>
            </w:r>
          </w:p>
        </w:tc>
        <w:tc>
          <w:tcPr>
            <w:tcW w:w="115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其他收入</w:t>
            </w:r>
          </w:p>
        </w:tc>
      </w:tr>
      <w:tr>
        <w:tblPrEx>
          <w:tblCellMar>
            <w:top w:w="0" w:type="dxa"/>
            <w:left w:w="0" w:type="dxa"/>
            <w:bottom w:w="0" w:type="dxa"/>
            <w:right w:w="0" w:type="dxa"/>
          </w:tblCellMar>
        </w:tblPrEx>
        <w:trPr>
          <w:trHeight w:val="450" w:hRule="atLeast"/>
        </w:trPr>
        <w:tc>
          <w:tcPr>
            <w:tcW w:w="133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rPr>
            </w:pPr>
            <w:r>
              <w:rPr>
                <w:rFonts w:hint="eastAsia" w:ascii="仿宋" w:hAnsi="仿宋" w:eastAsia="仿宋" w:cs="仿宋"/>
              </w:rPr>
              <w:t>功能分类</w:t>
            </w:r>
          </w:p>
          <w:p>
            <w:pPr>
              <w:spacing w:after="34" w:line="34" w:lineRule="atLeast"/>
              <w:jc w:val="center"/>
              <w:rPr>
                <w:rFonts w:ascii="仿宋" w:hAnsi="仿宋" w:eastAsia="仿宋" w:cs="仿宋"/>
                <w:sz w:val="24"/>
                <w:szCs w:val="24"/>
              </w:rPr>
            </w:pPr>
            <w:r>
              <w:rPr>
                <w:rFonts w:hint="eastAsia" w:ascii="仿宋" w:hAnsi="仿宋" w:eastAsia="仿宋" w:cs="仿宋"/>
              </w:rPr>
              <w:t>科目编码</w:t>
            </w:r>
          </w:p>
        </w:tc>
        <w:tc>
          <w:tcPr>
            <w:tcW w:w="28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科目名称</w:t>
            </w: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474"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153"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r>
      <w:tr>
        <w:tblPrEx>
          <w:tblCellMar>
            <w:top w:w="0" w:type="dxa"/>
            <w:left w:w="0" w:type="dxa"/>
            <w:bottom w:w="0" w:type="dxa"/>
            <w:right w:w="0" w:type="dxa"/>
          </w:tblCellMar>
        </w:tblPrEx>
        <w:trPr>
          <w:trHeight w:val="353" w:hRule="atLeast"/>
        </w:trPr>
        <w:tc>
          <w:tcPr>
            <w:tcW w:w="1337"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2863"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474"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153"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r>
      <w:tr>
        <w:tblPrEx>
          <w:tblCellMar>
            <w:top w:w="0" w:type="dxa"/>
            <w:left w:w="0" w:type="dxa"/>
            <w:bottom w:w="0" w:type="dxa"/>
            <w:right w:w="0" w:type="dxa"/>
          </w:tblCellMar>
        </w:tblPrEx>
        <w:trPr>
          <w:trHeight w:val="90"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栏次</w:t>
            </w:r>
          </w:p>
        </w:tc>
        <w:tc>
          <w:tcPr>
            <w:tcW w:w="16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1</w:t>
            </w:r>
          </w:p>
        </w:tc>
        <w:tc>
          <w:tcPr>
            <w:tcW w:w="147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2</w:t>
            </w:r>
          </w:p>
        </w:tc>
        <w:tc>
          <w:tcPr>
            <w:tcW w:w="14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3</w:t>
            </w:r>
          </w:p>
        </w:tc>
        <w:tc>
          <w:tcPr>
            <w:tcW w:w="145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4</w:t>
            </w:r>
          </w:p>
        </w:tc>
        <w:tc>
          <w:tcPr>
            <w:tcW w:w="12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5</w:t>
            </w:r>
          </w:p>
        </w:tc>
        <w:tc>
          <w:tcPr>
            <w:tcW w:w="132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6</w:t>
            </w:r>
          </w:p>
        </w:tc>
        <w:tc>
          <w:tcPr>
            <w:tcW w:w="115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7</w:t>
            </w:r>
          </w:p>
        </w:tc>
      </w:tr>
      <w:tr>
        <w:tblPrEx>
          <w:tblCellMar>
            <w:top w:w="0" w:type="dxa"/>
            <w:left w:w="0" w:type="dxa"/>
            <w:bottom w:w="0" w:type="dxa"/>
            <w:right w:w="0" w:type="dxa"/>
          </w:tblCellMar>
        </w:tblPrEx>
        <w:trPr>
          <w:trHeight w:val="245"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ascii="仿宋" w:hAnsi="仿宋" w:eastAsia="仿宋" w:cs="仿宋"/>
              </w:rPr>
              <w:t>合计</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1,214.31</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1,214.31</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205</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教育支出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1,214.31</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1,214.31</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 xml:space="preserve">  20502</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普通教育</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1,214.31</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1,214.31</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 xml:space="preserve">    2050201</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学前教育</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20.68</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20.68</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 xml:space="preserve">    2050202</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小学教育</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1,193.28</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1,193.28</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 xml:space="preserve">    2050299</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其他普通教育支出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0.35</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0.35</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r>
      <w:tr>
        <w:tblPrEx>
          <w:tblCellMar>
            <w:top w:w="0" w:type="dxa"/>
            <w:left w:w="0" w:type="dxa"/>
            <w:bottom w:w="0" w:type="dxa"/>
            <w:right w:w="0" w:type="dxa"/>
          </w:tblCellMar>
        </w:tblPrEx>
        <w:trPr>
          <w:trHeight w:val="615" w:hRule="atLeast"/>
        </w:trPr>
        <w:tc>
          <w:tcPr>
            <w:tcW w:w="13988" w:type="dxa"/>
            <w:gridSpan w:val="9"/>
            <w:tcBorders>
              <w:top w:val="single" w:color="auto" w:sz="4" w:space="0"/>
              <w:left w:val="nil"/>
              <w:bottom w:val="nil"/>
              <w:right w:val="nil"/>
            </w:tcBorders>
            <w:shd w:val="clear" w:color="auto" w:fill="auto"/>
            <w:tcMar>
              <w:top w:w="15" w:type="dxa"/>
              <w:left w:w="15" w:type="dxa"/>
              <w:bottom w:w="0" w:type="dxa"/>
              <w:right w:w="15" w:type="dxa"/>
            </w:tcMar>
            <w:vAlign w:val="center"/>
          </w:tcPr>
          <w:p>
            <w:pPr>
              <w:spacing w:after="34" w:line="34" w:lineRule="atLeast"/>
              <w:rPr>
                <w:rFonts w:ascii="仿宋" w:hAnsi="仿宋" w:eastAsia="仿宋" w:cs="仿宋"/>
              </w:rPr>
            </w:pPr>
            <w:r>
              <w:rPr>
                <w:rFonts w:hint="eastAsia" w:ascii="仿宋" w:hAnsi="仿宋" w:eastAsia="仿宋" w:cs="仿宋"/>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tbl>
      <w:tblPr>
        <w:tblStyle w:val="7"/>
        <w:tblW w:w="13935" w:type="dxa"/>
        <w:tblInd w:w="91" w:type="dxa"/>
        <w:tblLayout w:type="fixed"/>
        <w:tblCellMar>
          <w:top w:w="0" w:type="dxa"/>
          <w:left w:w="108" w:type="dxa"/>
          <w:bottom w:w="0" w:type="dxa"/>
          <w:right w:w="108" w:type="dxa"/>
        </w:tblCellMar>
      </w:tblPr>
      <w:tblGrid>
        <w:gridCol w:w="1716"/>
        <w:gridCol w:w="3326"/>
        <w:gridCol w:w="1680"/>
        <w:gridCol w:w="1371"/>
        <w:gridCol w:w="1492"/>
        <w:gridCol w:w="1697"/>
        <w:gridCol w:w="1183"/>
        <w:gridCol w:w="1470"/>
      </w:tblGrid>
      <w:tr>
        <w:tblPrEx>
          <w:tblCellMar>
            <w:top w:w="0" w:type="dxa"/>
            <w:left w:w="108" w:type="dxa"/>
            <w:bottom w:w="0" w:type="dxa"/>
            <w:right w:w="108" w:type="dxa"/>
          </w:tblCellMar>
        </w:tblPrEx>
        <w:trPr>
          <w:trHeight w:val="435" w:hRule="atLeast"/>
        </w:trPr>
        <w:tc>
          <w:tcPr>
            <w:tcW w:w="13935" w:type="dxa"/>
            <w:gridSpan w:val="8"/>
            <w:tcBorders>
              <w:top w:val="nil"/>
              <w:left w:val="nil"/>
              <w:bottom w:val="nil"/>
              <w:right w:val="nil"/>
            </w:tcBorders>
            <w:shd w:val="clear" w:color="auto" w:fill="auto"/>
            <w:noWrap/>
            <w:vAlign w:val="center"/>
          </w:tcPr>
          <w:p>
            <w:pPr>
              <w:widowControl/>
              <w:jc w:val="center"/>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支出决算表</w:t>
            </w:r>
          </w:p>
        </w:tc>
      </w:tr>
      <w:tr>
        <w:tblPrEx>
          <w:tblCellMar>
            <w:top w:w="0" w:type="dxa"/>
            <w:left w:w="108" w:type="dxa"/>
            <w:bottom w:w="0" w:type="dxa"/>
            <w:right w:w="108" w:type="dxa"/>
          </w:tblCellMar>
        </w:tblPrEx>
        <w:trPr>
          <w:trHeight w:val="90" w:hRule="atLeast"/>
        </w:trPr>
        <w:tc>
          <w:tcPr>
            <w:tcW w:w="12465" w:type="dxa"/>
            <w:gridSpan w:val="7"/>
            <w:tcBorders>
              <w:top w:val="nil"/>
              <w:left w:val="nil"/>
              <w:bottom w:val="nil"/>
              <w:right w:val="nil"/>
            </w:tcBorders>
            <w:shd w:val="clear" w:color="000000" w:fill="FFFFFF"/>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nil"/>
              <w:left w:val="nil"/>
              <w:bottom w:val="nil"/>
              <w:right w:val="nil"/>
            </w:tcBorders>
            <w:shd w:val="clear" w:color="000000" w:fill="FFFFFF"/>
            <w:noWrap/>
            <w:vAlign w:val="center"/>
          </w:tcPr>
          <w:p>
            <w:pPr>
              <w:widowControl/>
              <w:spacing w:after="34" w:line="34" w:lineRule="atLeast"/>
              <w:jc w:val="right"/>
              <w:rPr>
                <w:rFonts w:ascii="仿宋" w:hAnsi="仿宋" w:eastAsia="仿宋" w:cs="仿宋"/>
                <w:color w:val="000000"/>
                <w:kern w:val="0"/>
                <w:sz w:val="20"/>
                <w:szCs w:val="20"/>
              </w:rPr>
            </w:pPr>
            <w:r>
              <w:rPr>
                <w:rFonts w:hint="eastAsia" w:ascii="仿宋" w:hAnsi="仿宋" w:eastAsia="仿宋" w:cs="仿宋"/>
                <w:color w:val="000000"/>
                <w:kern w:val="0"/>
                <w:sz w:val="20"/>
                <w:szCs w:val="20"/>
              </w:rPr>
              <w:t>公开03表</w:t>
            </w:r>
          </w:p>
        </w:tc>
      </w:tr>
      <w:tr>
        <w:tblPrEx>
          <w:tblCellMar>
            <w:top w:w="0" w:type="dxa"/>
            <w:left w:w="108" w:type="dxa"/>
            <w:bottom w:w="0" w:type="dxa"/>
            <w:right w:w="108" w:type="dxa"/>
          </w:tblCellMar>
        </w:tblPrEx>
        <w:trPr>
          <w:trHeight w:val="104" w:hRule="atLeast"/>
        </w:trPr>
        <w:tc>
          <w:tcPr>
            <w:tcW w:w="12465" w:type="dxa"/>
            <w:gridSpan w:val="7"/>
            <w:tcBorders>
              <w:top w:val="nil"/>
              <w:left w:val="nil"/>
              <w:bottom w:val="single" w:color="auto" w:sz="4" w:space="0"/>
              <w:right w:val="nil"/>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color w:val="000000"/>
                <w:kern w:val="0"/>
                <w:sz w:val="20"/>
                <w:szCs w:val="20"/>
              </w:rPr>
              <w:t>单位：</w:t>
            </w:r>
            <w:r>
              <w:rPr>
                <w:rFonts w:ascii="仿宋" w:hAnsi="仿宋" w:eastAsia="仿宋" w:cs="仿宋"/>
                <w:color w:val="000000"/>
                <w:sz w:val="20"/>
              </w:rPr>
              <w:t>中方县花桥镇中心小学</w:t>
            </w:r>
          </w:p>
        </w:tc>
        <w:tc>
          <w:tcPr>
            <w:tcW w:w="1470" w:type="dxa"/>
            <w:tcBorders>
              <w:top w:val="nil"/>
              <w:left w:val="nil"/>
              <w:bottom w:val="single" w:color="auto" w:sz="4" w:space="0"/>
              <w:right w:val="nil"/>
            </w:tcBorders>
            <w:shd w:val="clear" w:color="000000" w:fill="FFFFFF"/>
            <w:noWrap/>
            <w:vAlign w:val="center"/>
          </w:tcPr>
          <w:p>
            <w:pPr>
              <w:widowControl/>
              <w:spacing w:after="34" w:line="34" w:lineRule="atLeast"/>
              <w:jc w:val="right"/>
              <w:rPr>
                <w:rFonts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项    目</w:t>
            </w:r>
          </w:p>
        </w:tc>
        <w:tc>
          <w:tcPr>
            <w:tcW w:w="16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本年支出合计</w:t>
            </w:r>
          </w:p>
        </w:tc>
        <w:tc>
          <w:tcPr>
            <w:tcW w:w="137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基本支出</w:t>
            </w:r>
          </w:p>
        </w:tc>
        <w:tc>
          <w:tcPr>
            <w:tcW w:w="149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项目支出</w:t>
            </w:r>
          </w:p>
        </w:tc>
        <w:tc>
          <w:tcPr>
            <w:tcW w:w="169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上缴上级支出</w:t>
            </w:r>
          </w:p>
        </w:tc>
        <w:tc>
          <w:tcPr>
            <w:tcW w:w="118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经营支出</w:t>
            </w:r>
          </w:p>
        </w:tc>
        <w:tc>
          <w:tcPr>
            <w:tcW w:w="147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对附属单位补助支出</w:t>
            </w:r>
          </w:p>
        </w:tc>
      </w:tr>
      <w:tr>
        <w:tblPrEx>
          <w:tblCellMar>
            <w:top w:w="0" w:type="dxa"/>
            <w:left w:w="108" w:type="dxa"/>
            <w:bottom w:w="0" w:type="dxa"/>
            <w:right w:w="108" w:type="dxa"/>
          </w:tblCellMar>
        </w:tblPrEx>
        <w:trPr>
          <w:trHeight w:val="450" w:hRule="atLeast"/>
        </w:trPr>
        <w:tc>
          <w:tcPr>
            <w:tcW w:w="171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功能分类</w:t>
            </w:r>
          </w:p>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科目编码</w:t>
            </w:r>
          </w:p>
        </w:tc>
        <w:tc>
          <w:tcPr>
            <w:tcW w:w="332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科目名称</w:t>
            </w: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371"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492"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697"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18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r>
      <w:tr>
        <w:tblPrEx>
          <w:tblCellMar>
            <w:top w:w="0" w:type="dxa"/>
            <w:left w:w="108" w:type="dxa"/>
            <w:bottom w:w="0" w:type="dxa"/>
            <w:right w:w="108" w:type="dxa"/>
          </w:tblCellMar>
        </w:tblPrEx>
        <w:trPr>
          <w:trHeight w:val="353" w:hRule="atLeast"/>
        </w:trPr>
        <w:tc>
          <w:tcPr>
            <w:tcW w:w="1716"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3326"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371"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492"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697"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18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r>
      <w:tr>
        <w:tblPrEx>
          <w:tblCellMar>
            <w:top w:w="0" w:type="dxa"/>
            <w:left w:w="108" w:type="dxa"/>
            <w:bottom w:w="0" w:type="dxa"/>
            <w:right w:w="108" w:type="dxa"/>
          </w:tblCellMar>
        </w:tblPrEx>
        <w:trPr>
          <w:trHeight w:val="139"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栏次</w:t>
            </w:r>
          </w:p>
        </w:tc>
        <w:tc>
          <w:tcPr>
            <w:tcW w:w="16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137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149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3</w:t>
            </w:r>
          </w:p>
        </w:tc>
        <w:tc>
          <w:tcPr>
            <w:tcW w:w="169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4</w:t>
            </w:r>
          </w:p>
        </w:tc>
        <w:tc>
          <w:tcPr>
            <w:tcW w:w="11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5</w:t>
            </w:r>
          </w:p>
        </w:tc>
        <w:tc>
          <w:tcPr>
            <w:tcW w:w="147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6</w:t>
            </w:r>
          </w:p>
        </w:tc>
      </w:tr>
      <w:tr>
        <w:tblPrEx>
          <w:tblCellMar>
            <w:top w:w="0" w:type="dxa"/>
            <w:left w:w="108" w:type="dxa"/>
            <w:bottom w:w="0" w:type="dxa"/>
            <w:right w:w="108" w:type="dxa"/>
          </w:tblCellMar>
        </w:tblPrEx>
        <w:trPr>
          <w:trHeight w:val="657"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合计</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1,214.31</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1,214.31</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205</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教育支出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1,214.31</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1,214.31</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 xml:space="preserve">  20502</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普通教育</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1,214.31</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1,214.31</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 xml:space="preserve">    2050201</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学前教育</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20.68</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20.68</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 xml:space="preserve">    2050202</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小学教育</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1,193.28</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1,193.28</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 xml:space="preserve">    2050299</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其他普通教育支出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0.35</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0.35</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630" w:hRule="atLeast"/>
        </w:trPr>
        <w:tc>
          <w:tcPr>
            <w:tcW w:w="13935" w:type="dxa"/>
            <w:gridSpan w:val="8"/>
            <w:tcBorders>
              <w:top w:val="single" w:color="auto" w:sz="4" w:space="0"/>
              <w:left w:val="nil"/>
              <w:bottom w:val="nil"/>
              <w:right w:val="nil"/>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kern w:val="0"/>
                <w:szCs w:val="21"/>
              </w:rPr>
              <w:t>注：本表反映部门本年度各项支出情况。</w:t>
            </w:r>
          </w:p>
        </w:tc>
      </w:tr>
    </w:tbl>
    <w:p>
      <w:pPr>
        <w:rPr>
          <w:rFonts w:ascii="Times New Roman" w:hAnsi="Times New Roman" w:eastAsia="方正小标宋_GBK" w:cs="Times New Roman"/>
          <w:color w:val="000000"/>
          <w:kern w:val="0"/>
          <w:sz w:val="36"/>
          <w:szCs w:val="21"/>
        </w:rPr>
        <w:sectPr>
          <w:pgSz w:w="16838" w:h="11906" w:orient="landscape"/>
          <w:pgMar w:top="1803" w:right="1440" w:bottom="1803" w:left="1440" w:header="851" w:footer="992" w:gutter="0"/>
          <w:pgNumType w:fmt="numberInDash"/>
          <w:cols w:space="0" w:num="1"/>
          <w:docGrid w:type="lines" w:linePitch="319" w:charSpace="0"/>
        </w:sectPr>
      </w:pPr>
    </w:p>
    <w:tbl>
      <w:tblPr>
        <w:tblStyle w:val="7"/>
        <w:tblW w:w="15522" w:type="dxa"/>
        <w:tblInd w:w="91" w:type="dxa"/>
        <w:tblLayout w:type="fixed"/>
        <w:tblCellMar>
          <w:top w:w="0" w:type="dxa"/>
          <w:left w:w="108" w:type="dxa"/>
          <w:bottom w:w="0" w:type="dxa"/>
          <w:right w:w="108" w:type="dxa"/>
        </w:tblCellMar>
      </w:tblPr>
      <w:tblGrid>
        <w:gridCol w:w="3208"/>
        <w:gridCol w:w="760"/>
        <w:gridCol w:w="1600"/>
        <w:gridCol w:w="3380"/>
        <w:gridCol w:w="820"/>
        <w:gridCol w:w="1580"/>
        <w:gridCol w:w="1400"/>
        <w:gridCol w:w="1360"/>
        <w:gridCol w:w="1414"/>
      </w:tblGrid>
      <w:tr>
        <w:tblPrEx>
          <w:tblCellMar>
            <w:top w:w="0" w:type="dxa"/>
            <w:left w:w="108" w:type="dxa"/>
            <w:bottom w:w="0" w:type="dxa"/>
            <w:right w:w="108" w:type="dxa"/>
          </w:tblCellMar>
        </w:tblPrEx>
        <w:trPr>
          <w:trHeight w:val="360" w:hRule="atLeast"/>
        </w:trPr>
        <w:tc>
          <w:tcPr>
            <w:tcW w:w="15522" w:type="dxa"/>
            <w:gridSpan w:val="9"/>
            <w:tcBorders>
              <w:top w:val="nil"/>
              <w:left w:val="nil"/>
              <w:bottom w:val="nil"/>
              <w:right w:val="nil"/>
            </w:tcBorders>
            <w:shd w:val="clear" w:color="auto" w:fill="auto"/>
            <w:noWrap/>
            <w:vAlign w:val="center"/>
          </w:tcPr>
          <w:p>
            <w:pPr>
              <w:widowControl/>
              <w:jc w:val="center"/>
              <w:rPr>
                <w:rFonts w:ascii="仿宋" w:hAnsi="仿宋" w:eastAsia="仿宋" w:cs="仿宋"/>
                <w:color w:val="000000"/>
                <w:kern w:val="0"/>
                <w:sz w:val="32"/>
                <w:szCs w:val="32"/>
              </w:rPr>
            </w:pPr>
            <w:bookmarkStart w:id="0" w:name="RANGE!A1:I22"/>
            <w:bookmarkEnd w:id="0"/>
            <w:bookmarkStart w:id="1" w:name="RANGE!A1:F16"/>
            <w:r>
              <w:rPr>
                <w:rFonts w:hint="eastAsia" w:ascii="仿宋" w:hAnsi="仿宋" w:eastAsia="仿宋" w:cs="仿宋"/>
                <w:b/>
                <w:bCs/>
                <w:color w:val="000000"/>
                <w:kern w:val="0"/>
                <w:sz w:val="32"/>
                <w:szCs w:val="32"/>
              </w:rPr>
              <w:t>财政拨款收入支出决算总表</w:t>
            </w:r>
          </w:p>
        </w:tc>
      </w:tr>
      <w:tr>
        <w:tblPrEx>
          <w:tblCellMar>
            <w:top w:w="0" w:type="dxa"/>
            <w:left w:w="108" w:type="dxa"/>
            <w:bottom w:w="0" w:type="dxa"/>
            <w:right w:w="108" w:type="dxa"/>
          </w:tblCellMar>
        </w:tblPrEx>
        <w:trPr>
          <w:trHeight w:val="148" w:hRule="atLeast"/>
        </w:trPr>
        <w:tc>
          <w:tcPr>
            <w:tcW w:w="14108" w:type="dxa"/>
            <w:gridSpan w:val="8"/>
            <w:tcBorders>
              <w:top w:val="nil"/>
              <w:left w:val="nil"/>
              <w:bottom w:val="nil"/>
              <w:right w:val="nil"/>
            </w:tcBorders>
            <w:shd w:val="clear" w:color="000000" w:fill="FFFFFF"/>
            <w:noWrap/>
            <w:vAlign w:val="center"/>
          </w:tcPr>
          <w:p>
            <w:pPr>
              <w:widowControl/>
              <w:spacing w:after="34" w:line="34" w:lineRule="atLeast"/>
              <w:jc w:val="right"/>
              <w:rPr>
                <w:rFonts w:ascii="仿宋" w:hAnsi="仿宋" w:eastAsia="仿宋" w:cs="仿宋"/>
                <w:kern w:val="0"/>
                <w:sz w:val="24"/>
                <w:szCs w:val="24"/>
              </w:rPr>
            </w:pPr>
          </w:p>
        </w:tc>
        <w:tc>
          <w:tcPr>
            <w:tcW w:w="1414" w:type="dxa"/>
            <w:tcBorders>
              <w:top w:val="nil"/>
              <w:left w:val="nil"/>
              <w:bottom w:val="nil"/>
              <w:right w:val="nil"/>
            </w:tcBorders>
            <w:shd w:val="clear" w:color="000000" w:fill="FFFFFF"/>
            <w:noWrap/>
            <w:vAlign w:val="center"/>
          </w:tcPr>
          <w:p>
            <w:pPr>
              <w:widowControl/>
              <w:spacing w:after="34" w:line="34" w:lineRule="atLeast"/>
              <w:jc w:val="right"/>
              <w:rPr>
                <w:rFonts w:ascii="仿宋" w:hAnsi="仿宋" w:eastAsia="仿宋" w:cs="仿宋"/>
                <w:color w:val="000000"/>
                <w:kern w:val="0"/>
                <w:sz w:val="20"/>
                <w:szCs w:val="20"/>
              </w:rPr>
            </w:pPr>
            <w:r>
              <w:rPr>
                <w:rFonts w:hint="eastAsia" w:ascii="仿宋" w:hAnsi="仿宋" w:eastAsia="仿宋" w:cs="仿宋"/>
                <w:color w:val="000000"/>
                <w:kern w:val="0"/>
                <w:sz w:val="20"/>
                <w:szCs w:val="20"/>
              </w:rPr>
              <w:t>公开04表</w:t>
            </w:r>
          </w:p>
        </w:tc>
      </w:tr>
      <w:tr>
        <w:tblPrEx>
          <w:tblCellMar>
            <w:top w:w="0" w:type="dxa"/>
            <w:left w:w="108" w:type="dxa"/>
            <w:bottom w:w="0" w:type="dxa"/>
            <w:right w:w="108" w:type="dxa"/>
          </w:tblCellMar>
        </w:tblPrEx>
        <w:trPr>
          <w:trHeight w:val="90" w:hRule="atLeast"/>
        </w:trPr>
        <w:tc>
          <w:tcPr>
            <w:tcW w:w="14108" w:type="dxa"/>
            <w:gridSpan w:val="8"/>
            <w:tcBorders>
              <w:top w:val="nil"/>
              <w:left w:val="nil"/>
              <w:bottom w:val="single" w:color="auto" w:sz="4" w:space="0"/>
              <w:right w:val="nil"/>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color w:val="000000"/>
                <w:kern w:val="0"/>
                <w:sz w:val="20"/>
                <w:szCs w:val="20"/>
              </w:rPr>
              <w:t>单位：</w:t>
            </w:r>
            <w:r>
              <w:rPr>
                <w:rFonts w:ascii="仿宋" w:hAnsi="仿宋" w:eastAsia="仿宋" w:cs="仿宋"/>
                <w:color w:val="000000"/>
                <w:sz w:val="20"/>
              </w:rPr>
              <w:t>中方县花桥镇中心小学</w:t>
            </w:r>
          </w:p>
        </w:tc>
        <w:tc>
          <w:tcPr>
            <w:tcW w:w="1414" w:type="dxa"/>
            <w:tcBorders>
              <w:top w:val="nil"/>
              <w:left w:val="nil"/>
              <w:bottom w:val="single" w:color="auto" w:sz="4" w:space="0"/>
              <w:right w:val="nil"/>
            </w:tcBorders>
            <w:shd w:val="clear" w:color="000000" w:fill="FFFFFF"/>
            <w:noWrap/>
            <w:vAlign w:val="center"/>
          </w:tcPr>
          <w:p>
            <w:pPr>
              <w:widowControl/>
              <w:spacing w:after="34" w:line="34" w:lineRule="atLeast"/>
              <w:jc w:val="right"/>
              <w:rPr>
                <w:rFonts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56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收入</w:t>
            </w:r>
          </w:p>
        </w:tc>
        <w:tc>
          <w:tcPr>
            <w:tcW w:w="9954"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支出</w:t>
            </w:r>
          </w:p>
        </w:tc>
      </w:tr>
      <w:tr>
        <w:tblPrEx>
          <w:tblCellMar>
            <w:top w:w="0" w:type="dxa"/>
            <w:left w:w="108" w:type="dxa"/>
            <w:bottom w:w="0" w:type="dxa"/>
            <w:right w:w="108" w:type="dxa"/>
          </w:tblCellMar>
        </w:tblPrEx>
        <w:trPr>
          <w:trHeight w:val="737"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项    目</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0"/>
                <w:szCs w:val="20"/>
              </w:rPr>
            </w:pPr>
            <w:r>
              <w:rPr>
                <w:rFonts w:hint="eastAsia" w:ascii="仿宋" w:hAnsi="仿宋" w:eastAsia="仿宋" w:cs="仿宋"/>
                <w:kern w:val="0"/>
                <w:sz w:val="20"/>
                <w:szCs w:val="20"/>
              </w:rPr>
              <w:t>行次</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金额</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项    目</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0"/>
                <w:szCs w:val="20"/>
              </w:rPr>
            </w:pPr>
            <w:r>
              <w:rPr>
                <w:rFonts w:hint="eastAsia" w:ascii="仿宋" w:hAnsi="仿宋" w:eastAsia="仿宋" w:cs="仿宋"/>
                <w:kern w:val="0"/>
                <w:sz w:val="20"/>
                <w:szCs w:val="20"/>
              </w:rPr>
              <w:t>行次</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合计</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一般公共预算财政拨款</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政府性基金预算财政拨款</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ascii="仿宋" w:hAnsi="仿宋" w:eastAsia="仿宋" w:cs="仿宋"/>
                <w:sz w:val="24"/>
              </w:rPr>
              <w:t>栏    次</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栏    次</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rPr>
              <w:t>2</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rPr>
              <w:t>3</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rPr>
              <w:t>4</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rPr>
              <w:t>5</w:t>
            </w: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一、一般公共预算财政拨款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1,214.31</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一、一般公共服务支出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二、政府性基金预算财政拨款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二、外交支出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三、国有资本经营财政拨款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三、国防支出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四、公共安全支出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五、教育支出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1,214.31</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1,214.31</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六、科学技术支出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七、文化旅游体育与传媒支出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八、社会保障和就业支出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九、卫生健康支出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十、节能环保支出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十一、城乡社区支出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十二、农林水支出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十三、交通运输支出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十四、资源勘探工业信息等支出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十五、商业服务业等支出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十六、金融支出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十七、援助其他地区支出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十八、自然资源海洋气象等支出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十九、住房保障支出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二十、粮油物资储备支出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二十一、国有资本经营预算支出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二十二、灾害防治及应急管理支出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二十三、其他支出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二十四、债务还本支出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二十五、债务付息支出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二十六、抗疫特别国债安排的支出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97"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b/>
                <w:bCs/>
                <w:kern w:val="0"/>
                <w:sz w:val="22"/>
              </w:rPr>
            </w:pPr>
            <w:r>
              <w:rPr>
                <w:rFonts w:ascii="仿宋" w:hAnsi="仿宋" w:eastAsia="仿宋" w:cs="仿宋"/>
                <w:b/>
                <w:sz w:val="22"/>
              </w:rPr>
              <w:t>本年收入合计</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kern w:val="0"/>
                <w:sz w:val="22"/>
              </w:rPr>
              <w:t>27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kern w:val="0"/>
                <w:sz w:val="22"/>
              </w:rPr>
              <w:t>1,214.31</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b/>
                <w:bCs/>
                <w:kern w:val="0"/>
                <w:sz w:val="22"/>
              </w:rPr>
            </w:pPr>
            <w:r>
              <w:rPr>
                <w:rFonts w:hint="eastAsia" w:ascii="仿宋" w:hAnsi="仿宋" w:eastAsia="仿宋" w:cs="仿宋"/>
                <w:b/>
                <w:bCs/>
                <w:kern w:val="0"/>
                <w:sz w:val="22"/>
              </w:rPr>
              <w:t>本年支出合计</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kern w:val="0"/>
                <w:sz w:val="22"/>
              </w:rPr>
              <w:t>59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1,214.31</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1,214.31</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b/>
                <w:bCs/>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年初财政拨款结转和结余</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年末财政拨款结转和结余</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60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 xml:space="preserve">  一般公共预算财政拨款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61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 xml:space="preserve">  政府性基金预算财政拨款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62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 xml:space="preserve">  国有资本经营预算财政拨款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63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59" w:hRule="atLeast"/>
        </w:trPr>
        <w:tc>
          <w:tcPr>
            <w:tcW w:w="320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b/>
                <w:bCs/>
                <w:kern w:val="0"/>
                <w:sz w:val="22"/>
              </w:rPr>
            </w:pPr>
            <w:r>
              <w:rPr>
                <w:rFonts w:hint="eastAsia" w:ascii="仿宋" w:hAnsi="仿宋" w:eastAsia="仿宋" w:cs="仿宋"/>
                <w:b/>
                <w:bCs/>
                <w:kern w:val="0"/>
                <w:sz w:val="22"/>
              </w:rPr>
              <w:t>总计</w:t>
            </w:r>
          </w:p>
        </w:tc>
        <w:tc>
          <w:tcPr>
            <w:tcW w:w="7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kern w:val="0"/>
                <w:sz w:val="22"/>
              </w:rPr>
              <w:t>32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kern w:val="0"/>
                <w:sz w:val="22"/>
              </w:rPr>
              <w:t>1,214.31</w:t>
            </w:r>
          </w:p>
        </w:tc>
        <w:tc>
          <w:tcPr>
            <w:tcW w:w="33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b/>
                <w:bCs/>
                <w:kern w:val="0"/>
                <w:sz w:val="22"/>
              </w:rPr>
            </w:pPr>
            <w:r>
              <w:rPr>
                <w:rFonts w:hint="eastAsia" w:ascii="仿宋" w:hAnsi="仿宋" w:eastAsia="仿宋" w:cs="仿宋"/>
                <w:b/>
                <w:bCs/>
                <w:kern w:val="0"/>
                <w:sz w:val="22"/>
              </w:rPr>
              <w:t>总计</w:t>
            </w:r>
          </w:p>
        </w:tc>
        <w:tc>
          <w:tcPr>
            <w:tcW w:w="8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kern w:val="0"/>
                <w:sz w:val="22"/>
              </w:rPr>
              <w:t>64</w:t>
            </w:r>
          </w:p>
        </w:tc>
        <w:tc>
          <w:tcPr>
            <w:tcW w:w="15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1,214.31</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1,214.31</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b/>
                <w:bCs/>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b/>
                <w:bCs/>
                <w:kern w:val="0"/>
                <w:sz w:val="22"/>
              </w:rPr>
            </w:pPr>
          </w:p>
        </w:tc>
      </w:tr>
      <w:tr>
        <w:tblPrEx>
          <w:tblCellMar>
            <w:top w:w="0" w:type="dxa"/>
            <w:left w:w="108" w:type="dxa"/>
            <w:bottom w:w="0" w:type="dxa"/>
            <w:right w:w="108" w:type="dxa"/>
          </w:tblCellMar>
        </w:tblPrEx>
        <w:trPr>
          <w:trHeight w:val="295" w:hRule="atLeast"/>
        </w:trPr>
        <w:tc>
          <w:tcPr>
            <w:tcW w:w="15522" w:type="dxa"/>
            <w:gridSpan w:val="9"/>
            <w:tcBorders>
              <w:top w:val="single" w:color="auto" w:sz="4" w:space="0"/>
              <w:left w:val="nil"/>
              <w:bottom w:val="nil"/>
              <w:right w:val="nil"/>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kern w:val="0"/>
                <w:szCs w:val="21"/>
              </w:rPr>
              <w:t>注：本表反映部门本年度一般公共预算财政拨款、政府性基金预算财政拨款和国有资本经营预算财政拨款的总收支和年末结转结余情况。</w:t>
            </w:r>
          </w:p>
        </w:tc>
      </w:tr>
    </w:tbl>
    <w:p>
      <w:pPr>
        <w:widowControl/>
        <w:rPr>
          <w:rFonts w:ascii="Times New Roman" w:hAnsi="Times New Roman" w:eastAsia="方正小标宋_GBK" w:cs="Times New Roman"/>
          <w:kern w:val="0"/>
          <w:sz w:val="36"/>
          <w:szCs w:val="36"/>
        </w:rPr>
        <w:sectPr>
          <w:pgSz w:w="16838" w:h="11906" w:orient="landscape"/>
          <w:pgMar w:top="1582" w:right="567" w:bottom="771" w:left="567" w:header="851" w:footer="992" w:gutter="0"/>
          <w:pgNumType w:fmt="numberInDash"/>
          <w:cols w:space="0" w:num="1"/>
          <w:docGrid w:type="lines" w:linePitch="319" w:charSpace="0"/>
        </w:sectPr>
      </w:pPr>
    </w:p>
    <w:bookmarkEnd w:id="1"/>
    <w:tbl>
      <w:tblPr>
        <w:tblStyle w:val="7"/>
        <w:tblW w:w="14219" w:type="dxa"/>
        <w:jc w:val="center"/>
        <w:tblLayout w:type="fixed"/>
        <w:tblCellMar>
          <w:top w:w="0" w:type="dxa"/>
          <w:left w:w="108" w:type="dxa"/>
          <w:bottom w:w="0" w:type="dxa"/>
          <w:right w:w="108" w:type="dxa"/>
        </w:tblCellMar>
      </w:tblPr>
      <w:tblGrid>
        <w:gridCol w:w="1693"/>
        <w:gridCol w:w="4886"/>
        <w:gridCol w:w="2674"/>
        <w:gridCol w:w="2486"/>
        <w:gridCol w:w="2480"/>
      </w:tblGrid>
      <w:tr>
        <w:tblPrEx>
          <w:tblCellMar>
            <w:top w:w="0" w:type="dxa"/>
            <w:left w:w="108" w:type="dxa"/>
            <w:bottom w:w="0" w:type="dxa"/>
            <w:right w:w="108" w:type="dxa"/>
          </w:tblCellMar>
        </w:tblPrEx>
        <w:trPr>
          <w:trHeight w:val="405" w:hRule="atLeast"/>
          <w:jc w:val="center"/>
        </w:trPr>
        <w:tc>
          <w:tcPr>
            <w:tcW w:w="14219" w:type="dxa"/>
            <w:gridSpan w:val="5"/>
            <w:tcBorders>
              <w:top w:val="nil"/>
              <w:left w:val="nil"/>
              <w:bottom w:val="nil"/>
              <w:right w:val="nil"/>
            </w:tcBorders>
            <w:shd w:val="clear" w:color="auto" w:fill="auto"/>
            <w:vAlign w:val="center"/>
          </w:tcPr>
          <w:p>
            <w:pPr>
              <w:widowControl/>
              <w:jc w:val="center"/>
              <w:rPr>
                <w:rFonts w:ascii="仿宋" w:hAnsi="仿宋" w:eastAsia="仿宋" w:cs="仿宋"/>
                <w:b/>
                <w:kern w:val="0"/>
                <w:szCs w:val="21"/>
              </w:rPr>
            </w:pPr>
            <w:r>
              <w:rPr>
                <w:rFonts w:hint="eastAsia" w:ascii="仿宋" w:hAnsi="仿宋" w:eastAsia="仿宋" w:cs="仿宋"/>
                <w:b/>
                <w:bCs/>
                <w:kern w:val="0"/>
                <w:sz w:val="36"/>
                <w:szCs w:val="36"/>
              </w:rPr>
              <w:t>一般公共预算财政拨款支出决算表</w:t>
            </w:r>
          </w:p>
        </w:tc>
      </w:tr>
      <w:tr>
        <w:tblPrEx>
          <w:tblCellMar>
            <w:top w:w="0" w:type="dxa"/>
            <w:left w:w="108" w:type="dxa"/>
            <w:bottom w:w="0" w:type="dxa"/>
            <w:right w:w="108" w:type="dxa"/>
          </w:tblCellMar>
        </w:tblPrEx>
        <w:trPr>
          <w:trHeight w:val="405" w:hRule="atLeast"/>
          <w:jc w:val="center"/>
        </w:trPr>
        <w:tc>
          <w:tcPr>
            <w:tcW w:w="14219" w:type="dxa"/>
            <w:gridSpan w:val="5"/>
            <w:tcBorders>
              <w:top w:val="nil"/>
              <w:left w:val="nil"/>
              <w:bottom w:val="nil"/>
              <w:right w:val="nil"/>
            </w:tcBorders>
            <w:shd w:val="clear" w:color="auto" w:fill="auto"/>
            <w:vAlign w:val="center"/>
          </w:tcPr>
          <w:p>
            <w:pPr>
              <w:widowControl/>
              <w:spacing w:after="34" w:line="34" w:lineRule="atLeast"/>
              <w:jc w:val="right"/>
              <w:rPr>
                <w:rFonts w:ascii="仿宋" w:hAnsi="仿宋" w:eastAsia="仿宋" w:cs="仿宋"/>
                <w:b/>
                <w:kern w:val="0"/>
                <w:szCs w:val="21"/>
              </w:rPr>
            </w:pPr>
            <w:r>
              <w:rPr>
                <w:rFonts w:hint="eastAsia" w:ascii="仿宋" w:hAnsi="仿宋" w:eastAsia="仿宋" w:cs="仿宋"/>
                <w:color w:val="000000"/>
                <w:kern w:val="0"/>
                <w:szCs w:val="21"/>
              </w:rPr>
              <w:t>公开05表</w:t>
            </w:r>
          </w:p>
        </w:tc>
      </w:tr>
      <w:tr>
        <w:tblPrEx>
          <w:tblCellMar>
            <w:top w:w="0" w:type="dxa"/>
            <w:left w:w="108" w:type="dxa"/>
            <w:bottom w:w="0" w:type="dxa"/>
            <w:right w:w="108" w:type="dxa"/>
          </w:tblCellMar>
        </w:tblPrEx>
        <w:trPr>
          <w:trHeight w:val="405" w:hRule="atLeast"/>
          <w:jc w:val="center"/>
        </w:trPr>
        <w:tc>
          <w:tcPr>
            <w:tcW w:w="6579" w:type="dxa"/>
            <w:gridSpan w:val="2"/>
            <w:tcBorders>
              <w:top w:val="nil"/>
              <w:left w:val="nil"/>
              <w:bottom w:val="single" w:color="auto" w:sz="4" w:space="0"/>
              <w:right w:val="nil"/>
            </w:tcBorders>
            <w:shd w:val="clear" w:color="auto" w:fill="auto"/>
            <w:vAlign w:val="center"/>
          </w:tcPr>
          <w:p>
            <w:pPr>
              <w:widowControl/>
              <w:spacing w:after="34" w:line="34" w:lineRule="atLeast"/>
              <w:jc w:val="left"/>
              <w:rPr>
                <w:rFonts w:ascii="仿宋" w:hAnsi="仿宋" w:eastAsia="仿宋" w:cs="仿宋"/>
                <w:b/>
                <w:kern w:val="0"/>
                <w:szCs w:val="21"/>
              </w:rPr>
            </w:pPr>
            <w:r>
              <w:rPr>
                <w:rFonts w:hint="eastAsia" w:ascii="仿宋" w:hAnsi="仿宋" w:eastAsia="仿宋" w:cs="仿宋"/>
                <w:color w:val="000000"/>
                <w:kern w:val="0"/>
                <w:szCs w:val="21"/>
              </w:rPr>
              <w:t>单位：</w:t>
            </w:r>
            <w:r>
              <w:rPr>
                <w:rFonts w:ascii="仿宋" w:hAnsi="仿宋" w:eastAsia="仿宋" w:cs="仿宋"/>
                <w:color w:val="000000"/>
              </w:rPr>
              <w:t>中方县花桥镇中心小学</w:t>
            </w:r>
          </w:p>
        </w:tc>
        <w:tc>
          <w:tcPr>
            <w:tcW w:w="7640" w:type="dxa"/>
            <w:gridSpan w:val="3"/>
            <w:tcBorders>
              <w:top w:val="nil"/>
              <w:left w:val="nil"/>
              <w:bottom w:val="single" w:color="auto" w:sz="4" w:space="0"/>
              <w:right w:val="nil"/>
            </w:tcBorders>
            <w:shd w:val="clear" w:color="auto" w:fill="auto"/>
            <w:vAlign w:val="center"/>
          </w:tcPr>
          <w:p>
            <w:pPr>
              <w:widowControl/>
              <w:spacing w:after="34" w:line="34" w:lineRule="atLeast"/>
              <w:jc w:val="right"/>
              <w:rPr>
                <w:rFonts w:ascii="仿宋" w:hAnsi="仿宋" w:eastAsia="仿宋" w:cs="仿宋"/>
                <w:b/>
                <w:kern w:val="0"/>
                <w:szCs w:val="21"/>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9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b/>
                <w:kern w:val="0"/>
                <w:szCs w:val="21"/>
              </w:rPr>
            </w:pPr>
            <w:r>
              <w:rPr>
                <w:rFonts w:hint="eastAsia" w:ascii="仿宋" w:hAnsi="仿宋" w:eastAsia="仿宋" w:cs="仿宋"/>
                <w:b/>
                <w:kern w:val="0"/>
                <w:szCs w:val="21"/>
              </w:rPr>
              <w:t xml:space="preserve">项 </w:t>
            </w:r>
            <w:r>
              <w:rPr>
                <w:rFonts w:hint="eastAsia" w:ascii="仿宋" w:hAnsi="仿宋" w:eastAsia="仿宋" w:cs="仿宋"/>
                <w:b/>
                <w:color w:val="000000"/>
                <w:kern w:val="0"/>
                <w:szCs w:val="21"/>
              </w:rPr>
              <w:t xml:space="preserve">   </w:t>
            </w:r>
            <w:r>
              <w:rPr>
                <w:rFonts w:hint="eastAsia" w:ascii="仿宋" w:hAnsi="仿宋" w:eastAsia="仿宋" w:cs="仿宋"/>
                <w:b/>
                <w:kern w:val="0"/>
                <w:szCs w:val="21"/>
              </w:rPr>
              <w:t>目</w:t>
            </w:r>
          </w:p>
        </w:tc>
        <w:tc>
          <w:tcPr>
            <w:tcW w:w="76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b/>
                <w:kern w:val="0"/>
                <w:szCs w:val="21"/>
              </w:rPr>
            </w:pPr>
            <w:r>
              <w:rPr>
                <w:rFonts w:hint="eastAsia" w:ascii="仿宋" w:hAnsi="仿宋" w:eastAsia="仿宋" w:cs="仿宋"/>
                <w:b/>
                <w:kern w:val="0"/>
                <w:szCs w:val="21"/>
              </w:rPr>
              <w:t>本年支出</w:t>
            </w:r>
          </w:p>
        </w:tc>
      </w:tr>
      <w:tr>
        <w:tblPrEx>
          <w:tblCellMar>
            <w:top w:w="0" w:type="dxa"/>
            <w:left w:w="108" w:type="dxa"/>
            <w:bottom w:w="0" w:type="dxa"/>
            <w:right w:w="108" w:type="dxa"/>
          </w:tblCellMar>
        </w:tblPrEx>
        <w:trPr>
          <w:trHeight w:val="495" w:hRule="atLeast"/>
          <w:jc w:val="center"/>
        </w:trPr>
        <w:tc>
          <w:tcPr>
            <w:tcW w:w="16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b/>
                <w:kern w:val="0"/>
                <w:szCs w:val="21"/>
              </w:rPr>
            </w:pPr>
            <w:r>
              <w:rPr>
                <w:rFonts w:hint="eastAsia" w:ascii="仿宋" w:hAnsi="仿宋" w:eastAsia="仿宋" w:cs="仿宋"/>
                <w:b/>
                <w:kern w:val="0"/>
                <w:szCs w:val="21"/>
              </w:rPr>
              <w:t>功能分类</w:t>
            </w:r>
          </w:p>
          <w:p>
            <w:pPr>
              <w:widowControl/>
              <w:spacing w:after="34" w:line="34" w:lineRule="atLeast"/>
              <w:jc w:val="center"/>
              <w:rPr>
                <w:rFonts w:ascii="仿宋" w:hAnsi="仿宋" w:eastAsia="仿宋" w:cs="仿宋"/>
                <w:b/>
                <w:kern w:val="0"/>
                <w:szCs w:val="21"/>
              </w:rPr>
            </w:pPr>
            <w:r>
              <w:rPr>
                <w:rFonts w:hint="eastAsia" w:ascii="仿宋" w:hAnsi="仿宋" w:eastAsia="仿宋" w:cs="仿宋"/>
                <w:b/>
                <w:kern w:val="0"/>
                <w:szCs w:val="21"/>
              </w:rPr>
              <w:t>科目编码</w:t>
            </w:r>
          </w:p>
        </w:tc>
        <w:tc>
          <w:tcPr>
            <w:tcW w:w="48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b/>
                <w:kern w:val="0"/>
                <w:szCs w:val="21"/>
              </w:rPr>
            </w:pPr>
            <w:r>
              <w:rPr>
                <w:rFonts w:hint="eastAsia" w:ascii="仿宋" w:hAnsi="仿宋" w:eastAsia="仿宋" w:cs="仿宋"/>
                <w:b/>
                <w:kern w:val="0"/>
                <w:szCs w:val="21"/>
              </w:rPr>
              <w:t>科目名称</w:t>
            </w:r>
          </w:p>
        </w:tc>
        <w:tc>
          <w:tcPr>
            <w:tcW w:w="26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b/>
                <w:kern w:val="0"/>
                <w:szCs w:val="21"/>
              </w:rPr>
            </w:pPr>
            <w:r>
              <w:rPr>
                <w:rFonts w:hint="eastAsia" w:ascii="仿宋" w:hAnsi="仿宋" w:eastAsia="仿宋" w:cs="仿宋"/>
                <w:b/>
                <w:kern w:val="0"/>
                <w:szCs w:val="21"/>
              </w:rPr>
              <w:t>小计</w:t>
            </w:r>
          </w:p>
        </w:tc>
        <w:tc>
          <w:tcPr>
            <w:tcW w:w="24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b/>
                <w:kern w:val="0"/>
                <w:szCs w:val="21"/>
              </w:rPr>
            </w:pPr>
            <w:r>
              <w:rPr>
                <w:rFonts w:hint="eastAsia" w:ascii="仿宋" w:hAnsi="仿宋" w:eastAsia="仿宋" w:cs="仿宋"/>
                <w:b/>
                <w:kern w:val="0"/>
                <w:szCs w:val="21"/>
              </w:rPr>
              <w:t>基本支出</w:t>
            </w:r>
          </w:p>
        </w:tc>
        <w:tc>
          <w:tcPr>
            <w:tcW w:w="2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b/>
                <w:kern w:val="0"/>
                <w:szCs w:val="21"/>
              </w:rPr>
            </w:pPr>
            <w:r>
              <w:rPr>
                <w:rFonts w:hint="eastAsia" w:ascii="仿宋" w:hAnsi="仿宋" w:eastAsia="仿宋" w:cs="仿宋"/>
                <w:b/>
                <w:kern w:val="0"/>
                <w:szCs w:val="21"/>
              </w:rPr>
              <w:t>项目支出</w:t>
            </w:r>
          </w:p>
        </w:tc>
      </w:tr>
      <w:tr>
        <w:tblPrEx>
          <w:tblCellMar>
            <w:top w:w="0" w:type="dxa"/>
            <w:left w:w="108" w:type="dxa"/>
            <w:bottom w:w="0" w:type="dxa"/>
            <w:right w:w="108" w:type="dxa"/>
          </w:tblCellMar>
        </w:tblPrEx>
        <w:trPr>
          <w:trHeight w:val="360" w:hRule="atLeast"/>
          <w:jc w:val="center"/>
        </w:trPr>
        <w:tc>
          <w:tcPr>
            <w:tcW w:w="169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4886"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2674"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2486"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24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r>
      <w:tr>
        <w:tblPrEx>
          <w:tblCellMar>
            <w:top w:w="0" w:type="dxa"/>
            <w:left w:w="108" w:type="dxa"/>
            <w:bottom w:w="0" w:type="dxa"/>
            <w:right w:w="108" w:type="dxa"/>
          </w:tblCellMar>
        </w:tblPrEx>
        <w:trPr>
          <w:trHeight w:val="353" w:hRule="atLeast"/>
          <w:jc w:val="center"/>
        </w:trPr>
        <w:tc>
          <w:tcPr>
            <w:tcW w:w="169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4886"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2674"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2486"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24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r>
      <w:tr>
        <w:tblPrEx>
          <w:tblCellMar>
            <w:top w:w="0" w:type="dxa"/>
            <w:left w:w="108" w:type="dxa"/>
            <w:bottom w:w="0" w:type="dxa"/>
            <w:right w:w="108" w:type="dxa"/>
          </w:tblCellMar>
        </w:tblPrEx>
        <w:trPr>
          <w:trHeight w:val="45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栏次</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1</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2</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3</w:t>
            </w:r>
          </w:p>
        </w:tc>
      </w:tr>
      <w:tr>
        <w:tblPrEx>
          <w:tblCellMar>
            <w:top w:w="0" w:type="dxa"/>
            <w:left w:w="108" w:type="dxa"/>
            <w:bottom w:w="0" w:type="dxa"/>
            <w:right w:w="108" w:type="dxa"/>
          </w:tblCellMar>
        </w:tblPrEx>
        <w:trPr>
          <w:trHeight w:val="45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ascii="仿宋" w:hAnsi="仿宋" w:eastAsia="仿宋" w:cs="仿宋"/>
              </w:rPr>
              <w:t>合计</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1,214.31</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1,214.31</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205</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教育支出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1,214.31</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1,214.31</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 xml:space="preserve">  20502</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普通教育</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1,214.31</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1,214.31</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 xml:space="preserve">    2050201</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学前教育</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20.68</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20.68</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 xml:space="preserve">    2050202</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小学教育</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1,193.28</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1,193.28</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 xml:space="preserve">    2050299</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其他普通教育支出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0.35</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0.35</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r>
        <w:tblPrEx>
          <w:tblCellMar>
            <w:top w:w="0" w:type="dxa"/>
            <w:left w:w="108" w:type="dxa"/>
            <w:bottom w:w="0" w:type="dxa"/>
            <w:right w:w="108" w:type="dxa"/>
          </w:tblCellMar>
        </w:tblPrEx>
        <w:trPr>
          <w:trHeight w:val="90" w:hRule="atLeast"/>
          <w:jc w:val="center"/>
        </w:trPr>
        <w:tc>
          <w:tcPr>
            <w:tcW w:w="14219" w:type="dxa"/>
            <w:gridSpan w:val="5"/>
            <w:tcBorders>
              <w:top w:val="single" w:color="auto" w:sz="4" w:space="0"/>
              <w:left w:val="nil"/>
              <w:bottom w:val="nil"/>
              <w:right w:val="nil"/>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sectPr>
          <w:pgSz w:w="16838" w:h="11906" w:orient="landscape"/>
          <w:pgMar w:top="1803" w:right="1440" w:bottom="1803" w:left="1440" w:header="851" w:footer="992" w:gutter="0"/>
          <w:pgNumType w:fmt="numberInDash"/>
          <w:cols w:space="0" w:num="1"/>
          <w:docGrid w:type="lines" w:linePitch="319" w:charSpace="0"/>
        </w:sectPr>
      </w:pPr>
    </w:p>
    <w:tbl>
      <w:tblPr>
        <w:tblStyle w:val="7"/>
        <w:tblW w:w="0" w:type="auto"/>
        <w:tblInd w:w="0" w:type="dxa"/>
        <w:tblLayout w:type="fixed"/>
        <w:tblCellMar>
          <w:top w:w="0" w:type="dxa"/>
          <w:left w:w="108" w:type="dxa"/>
          <w:bottom w:w="0" w:type="dxa"/>
          <w:right w:w="108" w:type="dxa"/>
        </w:tblCellMar>
      </w:tblPr>
      <w:tblGrid>
        <w:gridCol w:w="1068"/>
        <w:gridCol w:w="3153"/>
        <w:gridCol w:w="1260"/>
        <w:gridCol w:w="1220"/>
        <w:gridCol w:w="2920"/>
        <w:gridCol w:w="1180"/>
        <w:gridCol w:w="1180"/>
        <w:gridCol w:w="2520"/>
        <w:gridCol w:w="1300"/>
      </w:tblGrid>
      <w:tr>
        <w:tblPrEx>
          <w:tblCellMar>
            <w:top w:w="0" w:type="dxa"/>
            <w:left w:w="108" w:type="dxa"/>
            <w:bottom w:w="0" w:type="dxa"/>
            <w:right w:w="108" w:type="dxa"/>
          </w:tblCellMar>
        </w:tblPrEx>
        <w:trPr>
          <w:trHeight w:val="113" w:hRule="atLeast"/>
        </w:trPr>
        <w:tc>
          <w:tcPr>
            <w:tcW w:w="15801" w:type="dxa"/>
            <w:gridSpan w:val="9"/>
            <w:tcBorders>
              <w:top w:val="nil"/>
              <w:left w:val="nil"/>
              <w:bottom w:val="nil"/>
              <w:right w:val="nil"/>
            </w:tcBorders>
            <w:shd w:val="clear" w:color="auto" w:fill="auto"/>
            <w:vAlign w:val="center"/>
          </w:tcPr>
          <w:p>
            <w:pPr>
              <w:widowControl/>
              <w:jc w:val="center"/>
              <w:rPr>
                <w:rFonts w:ascii="仿宋" w:hAnsi="仿宋" w:eastAsia="仿宋" w:cs="仿宋"/>
                <w:color w:val="000000"/>
                <w:kern w:val="0"/>
                <w:szCs w:val="20"/>
              </w:rPr>
            </w:pPr>
            <w:bookmarkStart w:id="2" w:name="RANGE!A1:I34"/>
            <w:r>
              <w:rPr>
                <w:rFonts w:hint="eastAsia" w:ascii="仿宋" w:hAnsi="仿宋" w:eastAsia="仿宋" w:cs="仿宋"/>
                <w:b/>
                <w:bCs/>
                <w:kern w:val="0"/>
                <w:sz w:val="36"/>
                <w:szCs w:val="36"/>
              </w:rPr>
              <w:t>一般公共预算财政拨款基本支出决算表</w:t>
            </w:r>
            <w:bookmarkEnd w:id="2"/>
          </w:p>
        </w:tc>
      </w:tr>
      <w:tr>
        <w:tblPrEx>
          <w:tblCellMar>
            <w:top w:w="0" w:type="dxa"/>
            <w:left w:w="108" w:type="dxa"/>
            <w:bottom w:w="0" w:type="dxa"/>
            <w:right w:w="108" w:type="dxa"/>
          </w:tblCellMar>
        </w:tblPrEx>
        <w:trPr>
          <w:trHeight w:val="90" w:hRule="atLeast"/>
        </w:trPr>
        <w:tc>
          <w:tcPr>
            <w:tcW w:w="15801" w:type="dxa"/>
            <w:gridSpan w:val="9"/>
            <w:tcBorders>
              <w:top w:val="nil"/>
              <w:left w:val="nil"/>
              <w:bottom w:val="nil"/>
              <w:right w:val="nil"/>
            </w:tcBorders>
            <w:shd w:val="clear" w:color="auto" w:fill="auto"/>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color w:val="000000"/>
                <w:kern w:val="0"/>
                <w:szCs w:val="21"/>
              </w:rPr>
              <w:t>公开06表</w:t>
            </w:r>
          </w:p>
        </w:tc>
      </w:tr>
      <w:tr>
        <w:tblPrEx>
          <w:tblCellMar>
            <w:top w:w="0" w:type="dxa"/>
            <w:left w:w="108" w:type="dxa"/>
            <w:bottom w:w="0" w:type="dxa"/>
            <w:right w:w="108" w:type="dxa"/>
          </w:tblCellMar>
        </w:tblPrEx>
        <w:trPr>
          <w:trHeight w:val="113" w:hRule="atLeast"/>
        </w:trPr>
        <w:tc>
          <w:tcPr>
            <w:tcW w:w="11981" w:type="dxa"/>
            <w:gridSpan w:val="7"/>
            <w:tcBorders>
              <w:top w:val="nil"/>
              <w:left w:val="nil"/>
              <w:bottom w:val="single" w:color="auto" w:sz="4" w:space="0"/>
              <w:right w:val="nil"/>
            </w:tcBorders>
            <w:shd w:val="clear" w:color="auto" w:fill="auto"/>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color w:val="000000"/>
                <w:kern w:val="0"/>
                <w:szCs w:val="21"/>
              </w:rPr>
              <w:t>单位：</w:t>
            </w:r>
            <w:r>
              <w:rPr>
                <w:rFonts w:ascii="仿宋" w:hAnsi="仿宋" w:eastAsia="仿宋" w:cs="仿宋"/>
                <w:color w:val="000000"/>
              </w:rPr>
              <w:t>中方县花桥镇中心小学</w:t>
            </w:r>
          </w:p>
        </w:tc>
        <w:tc>
          <w:tcPr>
            <w:tcW w:w="3820" w:type="dxa"/>
            <w:gridSpan w:val="2"/>
            <w:tcBorders>
              <w:top w:val="nil"/>
              <w:left w:val="nil"/>
              <w:bottom w:val="single" w:color="auto" w:sz="4" w:space="0"/>
              <w:right w:val="nil"/>
            </w:tcBorders>
            <w:shd w:val="clear" w:color="auto" w:fill="auto"/>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113" w:hRule="atLeast"/>
        </w:trPr>
        <w:tc>
          <w:tcPr>
            <w:tcW w:w="54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人员经费</w:t>
            </w:r>
          </w:p>
        </w:tc>
        <w:tc>
          <w:tcPr>
            <w:tcW w:w="10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公用经费</w:t>
            </w:r>
          </w:p>
        </w:tc>
      </w:tr>
      <w:tr>
        <w:tblPrEx>
          <w:tblCellMar>
            <w:top w:w="0" w:type="dxa"/>
            <w:left w:w="108" w:type="dxa"/>
            <w:bottom w:w="0" w:type="dxa"/>
            <w:right w:w="108" w:type="dxa"/>
          </w:tblCellMar>
        </w:tblPrEx>
        <w:trPr>
          <w:trHeight w:val="113"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ascii="仿宋" w:hAnsi="仿宋" w:eastAsia="仿宋" w:cs="仿宋"/>
                <w:color w:val="000000"/>
                <w:sz w:val="20"/>
              </w:rPr>
              <w:t>经济分类科目编码</w:t>
            </w:r>
          </w:p>
        </w:tc>
        <w:tc>
          <w:tcPr>
            <w:tcW w:w="31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决算数</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经济分类科目编码</w:t>
            </w:r>
          </w:p>
        </w:tc>
        <w:tc>
          <w:tcPr>
            <w:tcW w:w="2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决算数</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经济分类科目编码</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决算数</w:t>
            </w: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工资福利支出</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986.20</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商品和服务支出</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124.34</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债务利息及费用支出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基本工资</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449.23</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办公费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34.23</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30701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国内债务付息</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30102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津贴补贴</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325.60</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印刷费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3.27</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30702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国外债务付息</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奖金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30203</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咨询费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1.01</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资本性支出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30106</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伙食补助费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手续费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31001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房屋建筑物购建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30107</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绩效工资</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水费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4.35</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31002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办公设备购置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30108</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机关事业单位基本养老保险缴费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103.31</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电费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14.95</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31003</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专用设备购置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30109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职业年金缴费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邮电费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0.16</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31005</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基础设施建设</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30110</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职工基本医疗保险缴费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53.95</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取暖费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31006</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大型修缮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30111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公务员医疗补助缴费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物业管理费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信息网络及软件购置更新</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30112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其他社会保障缴费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21.72</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30211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差旅费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7.85</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31008</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物资储备</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30113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住房公积金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30212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因公出国（境）费用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31009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土地补偿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30114</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医疗费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30213</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维修（护）费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7.31</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31010</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安置补助</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30199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其他工资福利支出</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32.40</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30214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租赁费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31011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地上附着物和青苗补偿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对个人和家庭的补助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103.76</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30215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会议费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31012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拆迁补偿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离休费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30216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培训费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6.97</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31013</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公务用车购置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退休费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30217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公务接待费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31019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其他交通工具购置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退职（役）费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30218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专用材料费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3.21</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31021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文物和陈列品购置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30304</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抚恤金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30224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被装购置费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31022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无形资产购置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30305</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生活补助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26.69</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30225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专用燃料费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1.52</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其他资本性支出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30306</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救济费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30226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劳务费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8.04</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其他支出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30307</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医疗费补助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30227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委托业务费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39906</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赠与</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30308</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助学金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74.20</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30228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工会经费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25.69</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39907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国家赔偿费用支出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奖励金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0.88</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30229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福利费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39908</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对民间非营利组织和群众性自治组织补贴</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30310</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个人农业生产补贴</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30231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公务用车运行维护费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39999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其他支出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30311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代缴社会保险费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30239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其他交通费用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30399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其他对个人和家庭的补助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2.00</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30240</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税金及附加费用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30299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其他商品和服务支出</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5.78</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403" w:hRule="exact"/>
        </w:trPr>
        <w:tc>
          <w:tcPr>
            <w:tcW w:w="422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人员经费合计</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color w:val="000000"/>
                <w:kern w:val="0"/>
                <w:szCs w:val="20"/>
              </w:rPr>
              <w:t>1,089.96</w:t>
            </w:r>
          </w:p>
        </w:tc>
        <w:tc>
          <w:tcPr>
            <w:tcW w:w="90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公用经费合计</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18"/>
              </w:rPr>
            </w:pPr>
            <w:r>
              <w:rPr>
                <w:rFonts w:hint="eastAsia" w:ascii="仿宋" w:hAnsi="仿宋" w:eastAsia="仿宋" w:cs="仿宋"/>
                <w:color w:val="000000"/>
                <w:kern w:val="0"/>
                <w:szCs w:val="18"/>
              </w:rPr>
              <w:t>124.34</w:t>
            </w:r>
          </w:p>
        </w:tc>
      </w:tr>
      <w:tr>
        <w:tblPrEx>
          <w:tblCellMar>
            <w:top w:w="0" w:type="dxa"/>
            <w:left w:w="108" w:type="dxa"/>
            <w:bottom w:w="0" w:type="dxa"/>
            <w:right w:w="108" w:type="dxa"/>
          </w:tblCellMar>
        </w:tblPrEx>
        <w:trPr>
          <w:trHeight w:val="641" w:hRule="exact"/>
        </w:trPr>
        <w:tc>
          <w:tcPr>
            <w:tcW w:w="15801" w:type="dxa"/>
            <w:gridSpan w:val="9"/>
            <w:tcBorders>
              <w:top w:val="single" w:color="auto" w:sz="4" w:space="0"/>
              <w:left w:val="nil"/>
              <w:bottom w:val="nil"/>
              <w:right w:val="nil"/>
            </w:tcBorders>
            <w:shd w:val="clear" w:color="auto" w:fill="auto"/>
            <w:noWrap/>
            <w:vAlign w:val="center"/>
          </w:tcPr>
          <w:p>
            <w:pPr>
              <w:widowControl/>
              <w:spacing w:after="34" w:line="34" w:lineRule="atLeast"/>
              <w:jc w:val="left"/>
              <w:rPr>
                <w:rFonts w:ascii="仿宋" w:hAnsi="仿宋" w:eastAsia="仿宋" w:cs="仿宋"/>
                <w:color w:val="000000"/>
                <w:kern w:val="0"/>
                <w:szCs w:val="24"/>
              </w:rPr>
            </w:pPr>
            <w:r>
              <w:rPr>
                <w:rFonts w:hint="eastAsia" w:ascii="仿宋" w:hAnsi="仿宋" w:eastAsia="仿宋" w:cs="仿宋"/>
                <w:color w:val="000000"/>
                <w:kern w:val="0"/>
                <w:szCs w:val="24"/>
              </w:rPr>
              <w:t>注：本表反映部门本年度一般公共预算财政拨款基本支出明细情况。</w:t>
            </w:r>
          </w:p>
          <w:p>
            <w:pPr>
              <w:widowControl/>
              <w:jc w:val="left"/>
              <w:rPr>
                <w:rFonts w:ascii="仿宋" w:hAnsi="仿宋" w:eastAsia="仿宋" w:cs="仿宋"/>
                <w:color w:val="000000"/>
                <w:kern w:val="0"/>
                <w:szCs w:val="24"/>
              </w:rPr>
            </w:pPr>
          </w:p>
          <w:p>
            <w:pPr>
              <w:widowControl/>
              <w:jc w:val="left"/>
              <w:rPr>
                <w:rFonts w:ascii="仿宋" w:hAnsi="仿宋" w:eastAsia="仿宋" w:cs="仿宋"/>
                <w:color w:val="000000"/>
                <w:kern w:val="0"/>
                <w:szCs w:val="24"/>
              </w:rPr>
            </w:pPr>
          </w:p>
        </w:tc>
      </w:tr>
    </w:tbl>
    <w:p>
      <w:pPr>
        <w:widowControl/>
        <w:jc w:val="center"/>
        <w:rPr>
          <w:rFonts w:ascii="Times New Roman" w:hAnsi="Times New Roman" w:eastAsia="方正小标宋_GBK" w:cs="Times New Roman"/>
          <w:color w:val="000000"/>
          <w:kern w:val="0"/>
          <w:sz w:val="36"/>
          <w:szCs w:val="36"/>
        </w:rPr>
        <w:sectPr>
          <w:pgSz w:w="16838" w:h="11906" w:orient="landscape"/>
          <w:pgMar w:top="1582" w:right="567" w:bottom="771" w:left="567" w:header="851" w:footer="992" w:gutter="0"/>
          <w:pgNumType w:fmt="numberInDash"/>
          <w:cols w:space="0" w:num="1"/>
          <w:docGrid w:type="lines" w:linePitch="319" w:charSpace="0"/>
        </w:sectPr>
      </w:pPr>
    </w:p>
    <w:tbl>
      <w:tblPr>
        <w:tblStyle w:val="7"/>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14640" w:type="dxa"/>
            <w:gridSpan w:val="12"/>
            <w:tcBorders>
              <w:top w:val="nil"/>
              <w:left w:val="nil"/>
              <w:bottom w:val="nil"/>
              <w:right w:val="nil"/>
            </w:tcBorders>
            <w:shd w:val="clear" w:color="auto" w:fill="auto"/>
            <w:vAlign w:val="center"/>
          </w:tcPr>
          <w:p>
            <w:pPr>
              <w:widowControl/>
              <w:jc w:val="center"/>
              <w:rPr>
                <w:rFonts w:ascii="仿宋" w:hAnsi="仿宋" w:eastAsia="仿宋" w:cs="仿宋"/>
                <w:kern w:val="0"/>
                <w:szCs w:val="21"/>
              </w:rPr>
            </w:pPr>
            <w:r>
              <w:rPr>
                <w:rFonts w:hint="eastAsia" w:ascii="仿宋" w:hAnsi="仿宋" w:eastAsia="仿宋" w:cs="仿宋"/>
                <w:b/>
                <w:bCs/>
                <w:color w:val="000000"/>
                <w:kern w:val="0"/>
                <w:sz w:val="36"/>
                <w:szCs w:val="36"/>
              </w:rPr>
              <w:t>一般公共预算财政拨款“三公”经费支出决算表</w:t>
            </w:r>
          </w:p>
        </w:tc>
      </w:tr>
      <w:tr>
        <w:tblPrEx>
          <w:tblCellMar>
            <w:top w:w="0" w:type="dxa"/>
            <w:left w:w="108" w:type="dxa"/>
            <w:bottom w:w="0" w:type="dxa"/>
            <w:right w:w="108" w:type="dxa"/>
          </w:tblCellMar>
        </w:tblPrEx>
        <w:trPr>
          <w:trHeight w:val="157" w:hRule="atLeast"/>
          <w:jc w:val="center"/>
        </w:trPr>
        <w:tc>
          <w:tcPr>
            <w:tcW w:w="7320" w:type="dxa"/>
            <w:gridSpan w:val="6"/>
            <w:tcBorders>
              <w:top w:val="nil"/>
              <w:left w:val="nil"/>
              <w:bottom w:val="nil"/>
              <w:right w:val="nil"/>
            </w:tcBorders>
            <w:shd w:val="clear" w:color="auto" w:fill="auto"/>
            <w:vAlign w:val="center"/>
          </w:tcPr>
          <w:p>
            <w:pPr>
              <w:widowControl/>
              <w:spacing w:after="34" w:line="34" w:lineRule="atLeast"/>
              <w:jc w:val="center"/>
              <w:rPr>
                <w:rFonts w:ascii="仿宋" w:hAnsi="仿宋" w:eastAsia="仿宋" w:cs="仿宋"/>
                <w:kern w:val="0"/>
                <w:szCs w:val="21"/>
              </w:rPr>
            </w:pPr>
          </w:p>
        </w:tc>
        <w:tc>
          <w:tcPr>
            <w:tcW w:w="7320" w:type="dxa"/>
            <w:gridSpan w:val="6"/>
            <w:tcBorders>
              <w:top w:val="nil"/>
              <w:left w:val="nil"/>
              <w:bottom w:val="nil"/>
              <w:right w:val="nil"/>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color w:val="000000"/>
                <w:kern w:val="0"/>
                <w:szCs w:val="21"/>
              </w:rPr>
              <w:t>公开07表</w:t>
            </w:r>
          </w:p>
        </w:tc>
      </w:tr>
      <w:tr>
        <w:tblPrEx>
          <w:tblCellMar>
            <w:top w:w="0" w:type="dxa"/>
            <w:left w:w="108" w:type="dxa"/>
            <w:bottom w:w="0" w:type="dxa"/>
            <w:right w:w="108" w:type="dxa"/>
          </w:tblCellMar>
        </w:tblPrEx>
        <w:trPr>
          <w:trHeight w:val="90" w:hRule="atLeast"/>
          <w:jc w:val="center"/>
        </w:trPr>
        <w:tc>
          <w:tcPr>
            <w:tcW w:w="7320" w:type="dxa"/>
            <w:gridSpan w:val="6"/>
            <w:tcBorders>
              <w:top w:val="nil"/>
              <w:left w:val="nil"/>
              <w:bottom w:val="single" w:color="auto" w:sz="4" w:space="0"/>
              <w:right w:val="nil"/>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color w:val="000000"/>
                <w:kern w:val="0"/>
                <w:szCs w:val="21"/>
              </w:rPr>
              <w:t>单位：</w:t>
            </w:r>
            <w:r>
              <w:rPr>
                <w:rFonts w:ascii="仿宋" w:hAnsi="仿宋" w:eastAsia="仿宋" w:cs="仿宋"/>
                <w:color w:val="000000"/>
              </w:rPr>
              <w:t>中方县花桥镇中心小学</w:t>
            </w:r>
          </w:p>
        </w:tc>
        <w:tc>
          <w:tcPr>
            <w:tcW w:w="7320" w:type="dxa"/>
            <w:gridSpan w:val="6"/>
            <w:tcBorders>
              <w:top w:val="nil"/>
              <w:left w:val="nil"/>
              <w:bottom w:val="single" w:color="auto" w:sz="4" w:space="0"/>
              <w:right w:val="nil"/>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397" w:hRule="atLeast"/>
          <w:jc w:val="center"/>
        </w:trPr>
        <w:tc>
          <w:tcPr>
            <w:tcW w:w="7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预算数</w:t>
            </w:r>
          </w:p>
        </w:tc>
        <w:tc>
          <w:tcPr>
            <w:tcW w:w="7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合计</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因公出国（境）费</w:t>
            </w:r>
          </w:p>
        </w:tc>
        <w:tc>
          <w:tcPr>
            <w:tcW w:w="36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公务用车购置及运行费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公务</w:t>
            </w:r>
          </w:p>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接待费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合计</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因公出国（境）费</w:t>
            </w:r>
          </w:p>
        </w:tc>
        <w:tc>
          <w:tcPr>
            <w:tcW w:w="36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公务用车购置及运行费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公务</w:t>
            </w:r>
          </w:p>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小计</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购置费</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运行费</w:t>
            </w: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小计</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购置费</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运行费</w:t>
            </w: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r>
      <w:tr>
        <w:tblPrEx>
          <w:tblCellMar>
            <w:top w:w="0" w:type="dxa"/>
            <w:left w:w="108" w:type="dxa"/>
            <w:bottom w:w="0" w:type="dxa"/>
            <w:right w:w="108" w:type="dxa"/>
          </w:tblCellMar>
        </w:tblPrEx>
        <w:trPr>
          <w:trHeight w:val="112"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1</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2</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3</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4</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5</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6</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7</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8</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9</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10</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11</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12</w:t>
            </w:r>
          </w:p>
        </w:tc>
      </w:tr>
      <w:tr>
        <w:tblPrEx>
          <w:tblCellMar>
            <w:top w:w="0" w:type="dxa"/>
            <w:left w:w="108" w:type="dxa"/>
            <w:bottom w:w="0" w:type="dxa"/>
            <w:right w:w="108" w:type="dxa"/>
          </w:tblCellMar>
        </w:tblPrEx>
        <w:trPr>
          <w:trHeight w:val="397"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bl>
    <w:p>
      <w:pPr>
        <w:widowControl/>
        <w:spacing w:after="34" w:line="34" w:lineRule="atLeast"/>
        <w:jc w:val="left"/>
        <w:rPr>
          <w:rFonts w:ascii="仿宋" w:hAnsi="仿宋" w:eastAsia="仿宋" w:cs="仿宋"/>
          <w:kern w:val="0"/>
          <w:szCs w:val="21"/>
        </w:rPr>
      </w:pPr>
      <w:r>
        <w:rPr>
          <w:rFonts w:hint="eastAsia" w:ascii="仿宋" w:hAnsi="仿宋" w:eastAsia="仿宋" w:cs="仿宋"/>
          <w:kern w:val="0"/>
          <w:szCs w:val="21"/>
        </w:rPr>
        <w:t>注：本表反映部门本年度“三公”经费支出预决算情况。其中，预算数为“三公”经费全年预算数，反映按规定程序调整后的预算数；决算数是包括当年一般公共预算财政拨款和以前年度结转资金安排的实际支出。</w:t>
      </w:r>
    </w:p>
    <w:p>
      <w:pPr>
        <w:widowControl/>
        <w:spacing w:after="34" w:line="34" w:lineRule="atLeast"/>
        <w:jc w:val="left"/>
        <w:rPr>
          <w:rFonts w:ascii="仿宋" w:hAnsi="仿宋" w:eastAsia="仿宋" w:cs="仿宋"/>
          <w:kern w:val="0"/>
          <w:szCs w:val="21"/>
        </w:rPr>
      </w:pPr>
      <w:r>
        <w:rPr>
          <w:rFonts w:ascii="仿宋" w:hAnsi="仿宋" w:eastAsia="仿宋" w:cs="仿宋"/>
        </w:rPr>
        <w:t>中方县花桥镇中心小学</w:t>
      </w:r>
      <w:r>
        <w:rPr>
          <w:rFonts w:hint="eastAsia" w:ascii="仿宋" w:hAnsi="仿宋" w:eastAsia="仿宋" w:cs="仿宋"/>
          <w:kern w:val="0"/>
          <w:szCs w:val="21"/>
        </w:rPr>
        <w:t>没有一般公共预算财政拨款“三公”经费支出，故本表无数据。</w:t>
      </w:r>
    </w:p>
    <w:p>
      <w:pPr>
        <w:widowControl/>
        <w:jc w:val="left"/>
        <w:rPr>
          <w:rFonts w:ascii="仿宋" w:hAnsi="仿宋" w:eastAsia="仿宋" w:cs="仿宋"/>
          <w:kern w:val="0"/>
          <w:szCs w:val="21"/>
        </w:rPr>
        <w:sectPr>
          <w:pgSz w:w="16838" w:h="11906" w:orient="landscape"/>
          <w:pgMar w:top="1803" w:right="1440" w:bottom="1803" w:left="1440" w:header="851" w:footer="992" w:gutter="0"/>
          <w:pgNumType w:fmt="numberInDash"/>
          <w:cols w:space="0" w:num="1"/>
          <w:docGrid w:type="lines" w:linePitch="319" w:charSpace="0"/>
        </w:sectPr>
      </w:pPr>
    </w:p>
    <w:tbl>
      <w:tblPr>
        <w:tblStyle w:val="7"/>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63"/>
        <w:gridCol w:w="4063"/>
        <w:gridCol w:w="1765"/>
        <w:gridCol w:w="1680"/>
        <w:gridCol w:w="1470"/>
        <w:gridCol w:w="1320"/>
        <w:gridCol w:w="1240"/>
        <w:gridCol w:w="13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4440" w:type="dxa"/>
            <w:gridSpan w:val="8"/>
            <w:tcBorders>
              <w:top w:val="nil"/>
              <w:left w:val="nil"/>
              <w:bottom w:val="nil"/>
              <w:right w:val="nil"/>
            </w:tcBorders>
            <w:shd w:val="clear" w:color="auto" w:fill="auto"/>
            <w:vAlign w:val="center"/>
          </w:tcPr>
          <w:p>
            <w:pPr>
              <w:widowControl/>
              <w:jc w:val="center"/>
              <w:rPr>
                <w:rFonts w:ascii="仿宋" w:hAnsi="仿宋" w:eastAsia="仿宋" w:cs="仿宋"/>
                <w:b/>
                <w:kern w:val="0"/>
                <w:szCs w:val="21"/>
              </w:rPr>
            </w:pPr>
            <w:r>
              <w:rPr>
                <w:rFonts w:hint="eastAsia" w:ascii="仿宋" w:hAnsi="仿宋" w:eastAsia="仿宋" w:cs="仿宋"/>
                <w:b/>
                <w:bCs/>
                <w:kern w:val="0"/>
                <w:sz w:val="36"/>
                <w:szCs w:val="36"/>
              </w:rPr>
              <w:t>政府性基金预算财政拨款收入支出决算表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4440" w:type="dxa"/>
            <w:gridSpan w:val="8"/>
            <w:tcBorders>
              <w:top w:val="nil"/>
              <w:left w:val="nil"/>
              <w:bottom w:val="nil"/>
              <w:right w:val="nil"/>
            </w:tcBorders>
            <w:shd w:val="clear" w:color="auto" w:fill="auto"/>
            <w:vAlign w:val="center"/>
          </w:tcPr>
          <w:p>
            <w:pPr>
              <w:widowControl/>
              <w:spacing w:after="34" w:line="34" w:lineRule="atLeast"/>
              <w:jc w:val="right"/>
              <w:rPr>
                <w:rFonts w:ascii="仿宋" w:hAnsi="仿宋" w:eastAsia="仿宋" w:cs="仿宋"/>
                <w:b/>
                <w:kern w:val="0"/>
                <w:szCs w:val="21"/>
              </w:rPr>
            </w:pPr>
            <w:r>
              <w:rPr>
                <w:rFonts w:hint="eastAsia" w:ascii="仿宋" w:hAnsi="仿宋" w:eastAsia="仿宋" w:cs="仿宋"/>
                <w:color w:val="000000"/>
                <w:kern w:val="0"/>
                <w:szCs w:val="21"/>
              </w:rPr>
              <w:t>公开08表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1" w:hRule="atLeast"/>
          <w:jc w:val="center"/>
        </w:trPr>
        <w:tc>
          <w:tcPr>
            <w:tcW w:w="13101" w:type="dxa"/>
            <w:gridSpan w:val="7"/>
            <w:tcBorders>
              <w:top w:val="nil"/>
              <w:left w:val="nil"/>
              <w:bottom w:val="single" w:color="auto" w:sz="4" w:space="0"/>
              <w:right w:val="nil"/>
            </w:tcBorders>
            <w:shd w:val="clear" w:color="auto" w:fill="auto"/>
            <w:vAlign w:val="center"/>
          </w:tcPr>
          <w:p>
            <w:pPr>
              <w:widowControl/>
              <w:spacing w:after="34" w:line="34" w:lineRule="atLeast"/>
              <w:jc w:val="left"/>
              <w:rPr>
                <w:rFonts w:ascii="仿宋" w:hAnsi="仿宋" w:eastAsia="仿宋" w:cs="仿宋"/>
                <w:b/>
                <w:kern w:val="0"/>
                <w:szCs w:val="21"/>
              </w:rPr>
            </w:pPr>
            <w:r>
              <w:rPr>
                <w:rFonts w:hint="eastAsia" w:ascii="仿宋" w:hAnsi="仿宋" w:eastAsia="仿宋" w:cs="仿宋"/>
                <w:color w:val="000000"/>
                <w:kern w:val="0"/>
                <w:szCs w:val="21"/>
              </w:rPr>
              <w:t>单位：</w:t>
            </w:r>
            <w:r>
              <w:rPr>
                <w:rFonts w:ascii="仿宋" w:hAnsi="仿宋" w:eastAsia="仿宋" w:cs="仿宋"/>
                <w:color w:val="000000"/>
              </w:rPr>
              <w:t>中方县花桥镇中心小学</w:t>
            </w:r>
          </w:p>
        </w:tc>
        <w:tc>
          <w:tcPr>
            <w:tcW w:w="1339" w:type="dxa"/>
            <w:tcBorders>
              <w:top w:val="nil"/>
              <w:left w:val="nil"/>
              <w:bottom w:val="single" w:color="auto" w:sz="4" w:space="0"/>
              <w:right w:val="nil"/>
            </w:tcBorders>
            <w:shd w:val="clear" w:color="auto" w:fill="auto"/>
            <w:vAlign w:val="center"/>
          </w:tcPr>
          <w:p>
            <w:pPr>
              <w:widowControl/>
              <w:spacing w:after="34" w:line="34" w:lineRule="atLeast"/>
              <w:jc w:val="right"/>
              <w:rPr>
                <w:rFonts w:ascii="仿宋" w:hAnsi="仿宋" w:eastAsia="仿宋" w:cs="仿宋"/>
                <w:b/>
                <w:kern w:val="0"/>
                <w:szCs w:val="21"/>
              </w:rPr>
            </w:pPr>
            <w:r>
              <w:rPr>
                <w:rFonts w:hint="eastAsia" w:ascii="仿宋" w:hAnsi="仿宋" w:eastAsia="仿宋" w:cs="仿宋"/>
                <w:color w:val="000000"/>
                <w:kern w:val="0"/>
                <w:szCs w:val="21"/>
              </w:rPr>
              <w:t>单位：万元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项    目</w:t>
            </w:r>
          </w:p>
        </w:tc>
        <w:tc>
          <w:tcPr>
            <w:tcW w:w="17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年初结转和结余</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本年收入</w:t>
            </w:r>
          </w:p>
        </w:tc>
        <w:tc>
          <w:tcPr>
            <w:tcW w:w="40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本年支出</w:t>
            </w:r>
          </w:p>
        </w:tc>
        <w:tc>
          <w:tcPr>
            <w:tcW w:w="13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年末结转</w:t>
            </w:r>
          </w:p>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5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功能分类</w:t>
            </w:r>
          </w:p>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科目编码</w:t>
            </w:r>
          </w:p>
        </w:tc>
        <w:tc>
          <w:tcPr>
            <w:tcW w:w="40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科目名称</w:t>
            </w: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center"/>
              <w:rPr>
                <w:rFonts w:ascii="仿宋" w:hAnsi="仿宋" w:eastAsia="仿宋" w:cs="仿宋"/>
                <w:color w:val="000000"/>
                <w:kern w:val="0"/>
                <w:sz w:val="20"/>
                <w:szCs w:val="20"/>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center"/>
              <w:rPr>
                <w:rFonts w:ascii="仿宋" w:hAnsi="仿宋" w:eastAsia="仿宋" w:cs="仿宋"/>
                <w:color w:val="000000"/>
                <w:kern w:val="0"/>
                <w:sz w:val="20"/>
                <w:szCs w:val="20"/>
              </w:rPr>
            </w:pPr>
          </w:p>
        </w:tc>
        <w:tc>
          <w:tcPr>
            <w:tcW w:w="14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小计</w:t>
            </w:r>
          </w:p>
        </w:tc>
        <w:tc>
          <w:tcPr>
            <w:tcW w:w="13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基本支出</w:t>
            </w:r>
          </w:p>
        </w:tc>
        <w:tc>
          <w:tcPr>
            <w:tcW w:w="12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项目支出</w:t>
            </w: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center"/>
              <w:rPr>
                <w:rFonts w:ascii="仿宋" w:hAnsi="仿宋" w:eastAsia="仿宋" w:cs="仿宋"/>
                <w:color w:val="0000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56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406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24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3" w:hRule="atLeast"/>
          <w:jc w:val="center"/>
        </w:trPr>
        <w:tc>
          <w:tcPr>
            <w:tcW w:w="156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406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24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栏次</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2</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3</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4</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5</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ascii="仿宋" w:hAnsi="仿宋" w:eastAsia="仿宋" w:cs="仿宋"/>
              </w:rPr>
              <w:t>合计</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bl>
    <w:p>
      <w:pPr>
        <w:widowControl/>
        <w:spacing w:after="34" w:line="34" w:lineRule="atLeast"/>
        <w:jc w:val="left"/>
        <w:rPr>
          <w:rFonts w:ascii="仿宋" w:hAnsi="仿宋" w:eastAsia="仿宋" w:cs="仿宋"/>
          <w:kern w:val="0"/>
          <w:szCs w:val="21"/>
        </w:rPr>
      </w:pPr>
      <w:r>
        <w:rPr>
          <w:rFonts w:hint="eastAsia" w:ascii="仿宋" w:hAnsi="仿宋" w:eastAsia="仿宋" w:cs="仿宋"/>
          <w:kern w:val="0"/>
          <w:szCs w:val="21"/>
        </w:rPr>
        <w:t>注：本表反映部门本年度政府性基金预算财政拨款收入、支出及结转和结余情况</w:t>
      </w:r>
    </w:p>
    <w:p>
      <w:pPr>
        <w:widowControl/>
        <w:jc w:val="left"/>
        <w:rPr>
          <w:rFonts w:ascii="黑体" w:hAnsi="黑体" w:eastAsia="黑体"/>
          <w:szCs w:val="21"/>
        </w:rPr>
      </w:pPr>
      <w:r>
        <w:rPr>
          <w:rFonts w:ascii="黑体" w:hAnsi="黑体" w:eastAsia="黑体"/>
          <w:szCs w:val="21"/>
        </w:rPr>
        <w:br w:type="page"/>
      </w:r>
    </w:p>
    <w:tbl>
      <w:tblPr>
        <w:tblStyle w:val="7"/>
        <w:tblW w:w="14190" w:type="dxa"/>
        <w:tblInd w:w="91" w:type="dxa"/>
        <w:tblLayout w:type="fixed"/>
        <w:tblCellMar>
          <w:top w:w="0" w:type="dxa"/>
          <w:left w:w="108" w:type="dxa"/>
          <w:bottom w:w="0" w:type="dxa"/>
          <w:right w:w="108" w:type="dxa"/>
        </w:tblCellMar>
      </w:tblPr>
      <w:tblGrid>
        <w:gridCol w:w="1535"/>
        <w:gridCol w:w="4780"/>
        <w:gridCol w:w="2660"/>
        <w:gridCol w:w="2540"/>
        <w:gridCol w:w="2675"/>
      </w:tblGrid>
      <w:tr>
        <w:tblPrEx>
          <w:tblCellMar>
            <w:top w:w="0" w:type="dxa"/>
            <w:left w:w="108" w:type="dxa"/>
            <w:bottom w:w="0" w:type="dxa"/>
            <w:right w:w="108" w:type="dxa"/>
          </w:tblCellMar>
        </w:tblPrEx>
        <w:trPr>
          <w:trHeight w:val="720" w:hRule="atLeast"/>
        </w:trPr>
        <w:tc>
          <w:tcPr>
            <w:tcW w:w="14190" w:type="dxa"/>
            <w:gridSpan w:val="5"/>
            <w:tcBorders>
              <w:top w:val="nil"/>
              <w:left w:val="nil"/>
              <w:bottom w:val="nil"/>
              <w:right w:val="nil"/>
            </w:tcBorders>
            <w:shd w:val="clear" w:color="000000" w:fill="FFFFFF"/>
            <w:vAlign w:val="center"/>
          </w:tcPr>
          <w:p>
            <w:pPr>
              <w:widowControl/>
              <w:jc w:val="center"/>
              <w:rPr>
                <w:rFonts w:ascii="仿宋" w:hAnsi="仿宋" w:eastAsia="仿宋" w:cs="仿宋"/>
                <w:kern w:val="0"/>
                <w:sz w:val="32"/>
                <w:szCs w:val="32"/>
              </w:rPr>
            </w:pPr>
            <w:r>
              <w:rPr>
                <w:rFonts w:hint="eastAsia" w:ascii="仿宋" w:hAnsi="仿宋" w:eastAsia="仿宋" w:cs="仿宋"/>
                <w:b/>
                <w:bCs/>
                <w:kern w:val="0"/>
                <w:sz w:val="36"/>
                <w:szCs w:val="36"/>
              </w:rPr>
              <w:t>国有资本经营预算财政拨款支出决算表</w:t>
            </w:r>
          </w:p>
        </w:tc>
      </w:tr>
      <w:tr>
        <w:tblPrEx>
          <w:tblCellMar>
            <w:top w:w="0" w:type="dxa"/>
            <w:left w:w="108" w:type="dxa"/>
            <w:bottom w:w="0" w:type="dxa"/>
            <w:right w:w="108" w:type="dxa"/>
          </w:tblCellMar>
        </w:tblPrEx>
        <w:trPr>
          <w:trHeight w:val="285" w:hRule="atLeast"/>
        </w:trPr>
        <w:tc>
          <w:tcPr>
            <w:tcW w:w="14190" w:type="dxa"/>
            <w:gridSpan w:val="5"/>
            <w:tcBorders>
              <w:top w:val="nil"/>
              <w:left w:val="nil"/>
              <w:bottom w:val="nil"/>
              <w:right w:val="nil"/>
            </w:tcBorders>
            <w:shd w:val="clear" w:color="000000" w:fill="FFFFFF"/>
            <w:vAlign w:val="center"/>
          </w:tcPr>
          <w:p>
            <w:pPr>
              <w:widowControl/>
              <w:spacing w:after="34" w:line="34" w:lineRule="atLeast"/>
              <w:jc w:val="right"/>
              <w:rPr>
                <w:rFonts w:ascii="仿宋" w:hAnsi="仿宋" w:eastAsia="仿宋" w:cs="仿宋"/>
                <w:color w:val="000000"/>
                <w:kern w:val="0"/>
                <w:sz w:val="20"/>
                <w:szCs w:val="20"/>
              </w:rPr>
            </w:pPr>
            <w:r>
              <w:rPr>
                <w:rFonts w:hint="eastAsia" w:ascii="仿宋" w:hAnsi="仿宋" w:eastAsia="仿宋" w:cs="仿宋"/>
                <w:color w:val="000000"/>
                <w:kern w:val="0"/>
                <w:sz w:val="20"/>
                <w:szCs w:val="20"/>
              </w:rPr>
              <w:t>公开09表</w:t>
            </w:r>
          </w:p>
        </w:tc>
      </w:tr>
      <w:tr>
        <w:tblPrEx>
          <w:tblCellMar>
            <w:top w:w="0" w:type="dxa"/>
            <w:left w:w="108" w:type="dxa"/>
            <w:bottom w:w="0" w:type="dxa"/>
            <w:right w:w="108" w:type="dxa"/>
          </w:tblCellMar>
        </w:tblPrEx>
        <w:trPr>
          <w:trHeight w:val="285" w:hRule="atLeast"/>
        </w:trPr>
        <w:tc>
          <w:tcPr>
            <w:tcW w:w="6315" w:type="dxa"/>
            <w:gridSpan w:val="2"/>
            <w:tcBorders>
              <w:top w:val="nil"/>
              <w:left w:val="nil"/>
              <w:bottom w:val="single" w:color="auto" w:sz="4" w:space="0"/>
              <w:right w:val="nil"/>
            </w:tcBorders>
            <w:shd w:val="clear" w:color="000000" w:fill="FFFFFF"/>
            <w:noWrap/>
            <w:vAlign w:val="center"/>
          </w:tcPr>
          <w:p>
            <w:pPr>
              <w:widowControl/>
              <w:spacing w:after="34" w:line="34" w:lineRule="atLeast"/>
              <w:jc w:val="left"/>
              <w:rPr>
                <w:rFonts w:ascii="仿宋" w:hAnsi="仿宋" w:eastAsia="仿宋" w:cs="仿宋"/>
                <w:kern w:val="0"/>
                <w:sz w:val="20"/>
                <w:szCs w:val="20"/>
              </w:rPr>
            </w:pPr>
            <w:r>
              <w:rPr>
                <w:rFonts w:hint="eastAsia" w:ascii="仿宋" w:hAnsi="仿宋" w:eastAsia="仿宋" w:cs="仿宋"/>
                <w:color w:val="000000"/>
                <w:kern w:val="0"/>
                <w:sz w:val="20"/>
                <w:szCs w:val="20"/>
              </w:rPr>
              <w:t>单位：</w:t>
            </w:r>
            <w:r>
              <w:rPr>
                <w:rFonts w:ascii="仿宋" w:hAnsi="仿宋" w:eastAsia="仿宋" w:cs="仿宋"/>
                <w:color w:val="000000"/>
                <w:sz w:val="20"/>
              </w:rPr>
              <w:t>中方县花桥镇中心小学</w:t>
            </w:r>
          </w:p>
        </w:tc>
        <w:tc>
          <w:tcPr>
            <w:tcW w:w="7875" w:type="dxa"/>
            <w:gridSpan w:val="3"/>
            <w:tcBorders>
              <w:top w:val="nil"/>
              <w:left w:val="nil"/>
              <w:bottom w:val="single" w:color="auto" w:sz="4" w:space="0"/>
              <w:right w:val="nil"/>
            </w:tcBorders>
            <w:shd w:val="clear" w:color="000000" w:fill="FFFFFF"/>
            <w:vAlign w:val="center"/>
          </w:tcPr>
          <w:p>
            <w:pPr>
              <w:widowControl/>
              <w:spacing w:after="34" w:line="34" w:lineRule="atLeast"/>
              <w:jc w:val="right"/>
              <w:rPr>
                <w:rFonts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 xml:space="preserve">项 </w:t>
            </w:r>
            <w:r>
              <w:rPr>
                <w:rFonts w:hint="eastAsia" w:ascii="仿宋" w:hAnsi="仿宋" w:eastAsia="仿宋" w:cs="仿宋"/>
                <w:color w:val="000000"/>
                <w:kern w:val="0"/>
                <w:sz w:val="22"/>
              </w:rPr>
              <w:t xml:space="preserve">   </w:t>
            </w:r>
            <w:r>
              <w:rPr>
                <w:rFonts w:hint="eastAsia" w:ascii="仿宋" w:hAnsi="仿宋" w:eastAsia="仿宋" w:cs="仿宋"/>
                <w:kern w:val="0"/>
                <w:sz w:val="24"/>
                <w:szCs w:val="24"/>
              </w:rPr>
              <w:t>目</w:t>
            </w:r>
          </w:p>
        </w:tc>
        <w:tc>
          <w:tcPr>
            <w:tcW w:w="78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本年支出</w:t>
            </w:r>
          </w:p>
        </w:tc>
      </w:tr>
      <w:tr>
        <w:tblPrEx>
          <w:tblCellMar>
            <w:top w:w="0" w:type="dxa"/>
            <w:left w:w="108" w:type="dxa"/>
            <w:bottom w:w="0" w:type="dxa"/>
            <w:right w:w="108" w:type="dxa"/>
          </w:tblCellMar>
        </w:tblPrEx>
        <w:trPr>
          <w:trHeight w:val="402" w:hRule="atLeast"/>
        </w:trPr>
        <w:tc>
          <w:tcPr>
            <w:tcW w:w="15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功能分类</w:t>
            </w:r>
          </w:p>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科目编码</w:t>
            </w:r>
          </w:p>
        </w:tc>
        <w:tc>
          <w:tcPr>
            <w:tcW w:w="47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科目名称</w:t>
            </w:r>
          </w:p>
        </w:tc>
        <w:tc>
          <w:tcPr>
            <w:tcW w:w="2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合计</w:t>
            </w:r>
          </w:p>
        </w:tc>
        <w:tc>
          <w:tcPr>
            <w:tcW w:w="2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 xml:space="preserve">基本支出  </w:t>
            </w:r>
          </w:p>
        </w:tc>
        <w:tc>
          <w:tcPr>
            <w:tcW w:w="2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项目支出</w:t>
            </w:r>
          </w:p>
        </w:tc>
      </w:tr>
      <w:tr>
        <w:tblPrEx>
          <w:tblCellMar>
            <w:top w:w="0" w:type="dxa"/>
            <w:left w:w="108" w:type="dxa"/>
            <w:bottom w:w="0" w:type="dxa"/>
            <w:right w:w="108" w:type="dxa"/>
          </w:tblCellMar>
        </w:tblPrEx>
        <w:trPr>
          <w:trHeight w:val="402" w:hRule="atLeast"/>
        </w:trPr>
        <w:tc>
          <w:tcPr>
            <w:tcW w:w="1535"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47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266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254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2675"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r>
      <w:tr>
        <w:tblPrEx>
          <w:tblCellMar>
            <w:top w:w="0" w:type="dxa"/>
            <w:left w:w="108" w:type="dxa"/>
            <w:bottom w:w="0" w:type="dxa"/>
            <w:right w:w="108" w:type="dxa"/>
          </w:tblCellMar>
        </w:tblPrEx>
        <w:trPr>
          <w:trHeight w:val="353" w:hRule="atLeast"/>
        </w:trPr>
        <w:tc>
          <w:tcPr>
            <w:tcW w:w="1535"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47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266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254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2675"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r>
      <w:tr>
        <w:tblPrEx>
          <w:tblCellMar>
            <w:top w:w="0" w:type="dxa"/>
            <w:left w:w="108" w:type="dxa"/>
            <w:bottom w:w="0" w:type="dxa"/>
            <w:right w:w="108" w:type="dxa"/>
          </w:tblCellMar>
        </w:tblPrEx>
        <w:trPr>
          <w:trHeight w:val="402"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栏次</w:t>
            </w:r>
          </w:p>
        </w:tc>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25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2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3</w:t>
            </w:r>
          </w:p>
        </w:tc>
      </w:tr>
      <w:tr>
        <w:tblPrEx>
          <w:tblCellMar>
            <w:top w:w="0" w:type="dxa"/>
            <w:left w:w="108" w:type="dxa"/>
            <w:bottom w:w="0" w:type="dxa"/>
            <w:right w:w="108" w:type="dxa"/>
          </w:tblCellMar>
        </w:tblPrEx>
        <w:trPr>
          <w:trHeight w:val="148"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合计</w:t>
            </w:r>
          </w:p>
        </w:tc>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 w:val="24"/>
                <w:szCs w:val="24"/>
              </w:rPr>
            </w:pPr>
          </w:p>
        </w:tc>
        <w:tc>
          <w:tcPr>
            <w:tcW w:w="25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 w:val="24"/>
                <w:szCs w:val="24"/>
              </w:rPr>
            </w:pPr>
          </w:p>
        </w:tc>
        <w:tc>
          <w:tcPr>
            <w:tcW w:w="2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309" w:hRule="atLeast"/>
        </w:trPr>
        <w:tc>
          <w:tcPr>
            <w:tcW w:w="14190" w:type="dxa"/>
            <w:gridSpan w:val="5"/>
            <w:tcBorders>
              <w:top w:val="single" w:color="auto" w:sz="4" w:space="0"/>
              <w:left w:val="nil"/>
              <w:bottom w:val="nil"/>
              <w:right w:val="nil"/>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kern w:val="0"/>
                <w:szCs w:val="21"/>
              </w:rPr>
              <w:t>注：本表反映部门本年度国有资本经营预算财政拨款支出情况。</w:t>
            </w:r>
          </w:p>
          <w:p>
            <w:pPr>
              <w:widowControl/>
              <w:spacing w:after="34" w:line="34" w:lineRule="atLeast"/>
              <w:jc w:val="left"/>
              <w:rPr>
                <w:rFonts w:ascii="仿宋" w:hAnsi="仿宋" w:eastAsia="仿宋" w:cs="仿宋"/>
                <w:kern w:val="0"/>
                <w:sz w:val="24"/>
                <w:szCs w:val="24"/>
              </w:rPr>
            </w:pPr>
            <w:r>
              <w:rPr>
                <w:rFonts w:ascii="仿宋" w:hAnsi="仿宋" w:eastAsia="仿宋" w:cs="仿宋"/>
              </w:rPr>
              <w:t>中方县花桥镇中心小学</w:t>
            </w:r>
            <w:r>
              <w:rPr>
                <w:rFonts w:hint="eastAsia" w:ascii="仿宋" w:hAnsi="仿宋" w:eastAsia="仿宋" w:cs="仿宋"/>
                <w:kern w:val="0"/>
                <w:szCs w:val="21"/>
              </w:rPr>
              <w:t>没有国有资本经营预算财政拨款支出，故本表无数据。</w:t>
            </w:r>
          </w:p>
        </w:tc>
      </w:tr>
    </w:tbl>
    <w:p>
      <w:pPr>
        <w:pStyle w:val="10"/>
        <w:rPr>
          <w:sz w:val="72"/>
          <w:szCs w:val="72"/>
        </w:rPr>
        <w:sectPr>
          <w:pgSz w:w="16838" w:h="11906" w:orient="landscape"/>
          <w:pgMar w:top="1803" w:right="1440" w:bottom="1803" w:left="1440" w:header="851" w:footer="992" w:gutter="0"/>
          <w:pgNumType w:fmt="numberInDash"/>
          <w:cols w:space="0" w:num="1"/>
          <w:docGrid w:type="lines" w:linePitch="319" w:charSpace="0"/>
        </w:sect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rFonts w:ascii="仿宋" w:hAnsi="仿宋" w:eastAsia="仿宋" w:cs="仿宋"/>
          <w:b/>
          <w:bCs/>
          <w:sz w:val="72"/>
          <w:szCs w:val="72"/>
        </w:rPr>
      </w:pPr>
    </w:p>
    <w:p>
      <w:pPr>
        <w:pStyle w:val="10"/>
        <w:jc w:val="center"/>
        <w:rPr>
          <w:rFonts w:ascii="仿宋" w:hAnsi="仿宋" w:eastAsia="仿宋" w:cs="仿宋"/>
          <w:b/>
          <w:bCs/>
          <w:sz w:val="52"/>
          <w:szCs w:val="52"/>
        </w:rPr>
      </w:pPr>
      <w:r>
        <w:rPr>
          <w:rFonts w:hint="eastAsia" w:ascii="仿宋" w:hAnsi="仿宋" w:eastAsia="仿宋" w:cs="仿宋"/>
          <w:b/>
          <w:bCs/>
          <w:sz w:val="52"/>
          <w:szCs w:val="52"/>
        </w:rPr>
        <w:t>第三部分</w:t>
      </w:r>
    </w:p>
    <w:p>
      <w:pPr>
        <w:pStyle w:val="10"/>
        <w:jc w:val="center"/>
        <w:rPr>
          <w:rFonts w:ascii="仿宋" w:hAnsi="仿宋" w:eastAsia="仿宋" w:cs="仿宋"/>
          <w:b/>
          <w:bCs/>
          <w:sz w:val="52"/>
          <w:szCs w:val="52"/>
        </w:rPr>
      </w:pPr>
    </w:p>
    <w:p>
      <w:pPr>
        <w:pStyle w:val="10"/>
        <w:jc w:val="center"/>
        <w:rPr>
          <w:rFonts w:ascii="仿宋" w:hAnsi="仿宋" w:eastAsia="仿宋" w:cs="仿宋"/>
          <w:b/>
          <w:bCs/>
          <w:sz w:val="52"/>
          <w:szCs w:val="52"/>
        </w:rPr>
      </w:pPr>
      <w:r>
        <w:rPr>
          <w:rFonts w:hint="eastAsia" w:ascii="仿宋" w:hAnsi="仿宋" w:eastAsia="仿宋" w:cs="仿宋"/>
          <w:b/>
          <w:bCs/>
          <w:sz w:val="52"/>
          <w:szCs w:val="52"/>
        </w:rPr>
        <w:t>2020年度单位决算情况说明</w:t>
      </w:r>
    </w:p>
    <w:p>
      <w:pPr>
        <w:widowControl/>
        <w:jc w:val="left"/>
        <w:rPr>
          <w:rFonts w:ascii="黑体" w:eastAsia="黑体" w:cs="黑体"/>
          <w:color w:val="000000"/>
          <w:kern w:val="0"/>
          <w:sz w:val="70"/>
          <w:szCs w:val="70"/>
        </w:rPr>
      </w:pPr>
      <w:r>
        <w:rPr>
          <w:sz w:val="70"/>
          <w:szCs w:val="70"/>
        </w:rPr>
        <w:br w:type="page"/>
      </w:r>
    </w:p>
    <w:p>
      <w:pPr>
        <w:pStyle w:val="10"/>
        <w:rPr>
          <w:rFonts w:asciiTheme="minorEastAsia" w:hAnsiTheme="minorEastAsia" w:eastAsiaTheme="minorEastAsia"/>
          <w:sz w:val="32"/>
          <w:szCs w:val="32"/>
        </w:rPr>
      </w:pP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一、收入支出决算总体情况说明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2020年度收入、支出总计1,214.31万元，与上年相比增加</w:t>
      </w:r>
      <w:r>
        <w:rPr>
          <w:rFonts w:hint="eastAsia" w:ascii="仿宋" w:hAnsi="仿宋" w:eastAsia="仿宋" w:cs="仿宋"/>
        </w:rPr>
        <w:t>79.36</w:t>
      </w:r>
      <w:r>
        <w:rPr>
          <w:rFonts w:ascii="仿宋" w:hAnsi="仿宋" w:eastAsia="仿宋" w:cs="仿宋"/>
        </w:rPr>
        <w:t>万元</w:t>
      </w:r>
      <w:r>
        <w:rPr>
          <w:rFonts w:hint="eastAsia" w:ascii="仿宋" w:hAnsi="仿宋" w:eastAsia="仿宋" w:cs="仿宋"/>
        </w:rPr>
        <w:t>，增加6.99%。</w:t>
      </w:r>
      <w:r>
        <w:rPr>
          <w:rFonts w:ascii="仿宋" w:hAnsi="仿宋" w:eastAsia="仿宋" w:cs="仿宋"/>
        </w:rPr>
        <w:t>主要是因为</w:t>
      </w:r>
      <w:r>
        <w:rPr>
          <w:rFonts w:hint="eastAsia" w:ascii="仿宋" w:hAnsi="仿宋" w:eastAsia="仿宋" w:cs="仿宋"/>
        </w:rPr>
        <w:t>人员经费增加，造成财政收支增加</w:t>
      </w:r>
      <w:r>
        <w:rPr>
          <w:rFonts w:ascii="仿宋" w:hAnsi="仿宋" w:eastAsia="仿宋" w:cs="仿宋"/>
        </w:rPr>
        <w:t>。</w:t>
      </w:r>
      <w:r>
        <w:rPr>
          <w:rFonts w:hint="eastAsia" w:ascii="仿宋" w:hAnsi="仿宋" w:eastAsia="仿宋" w:cs="仿宋"/>
        </w:rPr>
        <w:t>其中收入</w:t>
      </w:r>
      <w:r>
        <w:rPr>
          <w:rFonts w:ascii="仿宋" w:hAnsi="仿宋" w:eastAsia="仿宋" w:cs="仿宋"/>
        </w:rPr>
        <w:t>1,214.31万元，与上年相比增加</w:t>
      </w:r>
      <w:r>
        <w:rPr>
          <w:rFonts w:hint="eastAsia" w:ascii="仿宋" w:hAnsi="仿宋" w:eastAsia="仿宋" w:cs="仿宋"/>
        </w:rPr>
        <w:t>79.36</w:t>
      </w:r>
      <w:r>
        <w:rPr>
          <w:rFonts w:ascii="仿宋" w:hAnsi="仿宋" w:eastAsia="仿宋" w:cs="仿宋"/>
        </w:rPr>
        <w:t>万元</w:t>
      </w:r>
      <w:r>
        <w:rPr>
          <w:rFonts w:hint="eastAsia" w:ascii="仿宋" w:hAnsi="仿宋" w:eastAsia="仿宋" w:cs="仿宋"/>
        </w:rPr>
        <w:t>，增加6.99%。</w:t>
      </w:r>
      <w:r>
        <w:rPr>
          <w:rFonts w:ascii="仿宋" w:hAnsi="仿宋" w:eastAsia="仿宋" w:cs="仿宋"/>
        </w:rPr>
        <w:t>主要是因为</w:t>
      </w:r>
      <w:r>
        <w:rPr>
          <w:rFonts w:hint="eastAsia" w:ascii="仿宋" w:hAnsi="仿宋" w:eastAsia="仿宋" w:cs="仿宋"/>
        </w:rPr>
        <w:t>人员经费增加，造成财政收</w:t>
      </w:r>
      <w:r>
        <w:rPr>
          <w:rFonts w:hint="eastAsia" w:ascii="仿宋" w:hAnsi="仿宋" w:eastAsia="仿宋" w:cs="仿宋"/>
          <w:lang w:val="en-US" w:eastAsia="zh-CN"/>
        </w:rPr>
        <w:t>入</w:t>
      </w:r>
      <w:r>
        <w:rPr>
          <w:rFonts w:hint="eastAsia" w:ascii="仿宋" w:hAnsi="仿宋" w:eastAsia="仿宋" w:cs="仿宋"/>
        </w:rPr>
        <w:t>增加；支出</w:t>
      </w:r>
      <w:r>
        <w:rPr>
          <w:rFonts w:ascii="仿宋" w:hAnsi="仿宋" w:eastAsia="仿宋" w:cs="仿宋"/>
        </w:rPr>
        <w:t>1,214.31万元，与上年相比增加</w:t>
      </w:r>
      <w:r>
        <w:rPr>
          <w:rFonts w:hint="eastAsia" w:ascii="仿宋" w:hAnsi="仿宋" w:eastAsia="仿宋" w:cs="仿宋"/>
        </w:rPr>
        <w:t>79.36</w:t>
      </w:r>
      <w:r>
        <w:rPr>
          <w:rFonts w:ascii="仿宋" w:hAnsi="仿宋" w:eastAsia="仿宋" w:cs="仿宋"/>
        </w:rPr>
        <w:t>万元</w:t>
      </w:r>
      <w:r>
        <w:rPr>
          <w:rFonts w:hint="eastAsia" w:ascii="仿宋" w:hAnsi="仿宋" w:eastAsia="仿宋" w:cs="仿宋"/>
        </w:rPr>
        <w:t>，增加6.99%。</w:t>
      </w:r>
      <w:r>
        <w:rPr>
          <w:rFonts w:ascii="仿宋" w:hAnsi="仿宋" w:eastAsia="仿宋" w:cs="仿宋"/>
        </w:rPr>
        <w:t>主要是因为</w:t>
      </w:r>
      <w:r>
        <w:rPr>
          <w:rFonts w:hint="eastAsia" w:ascii="仿宋" w:hAnsi="仿宋" w:eastAsia="仿宋" w:cs="仿宋"/>
        </w:rPr>
        <w:t>人员经费增加，造成财政</w:t>
      </w:r>
      <w:r>
        <w:rPr>
          <w:rFonts w:hint="eastAsia" w:ascii="仿宋" w:hAnsi="仿宋" w:eastAsia="仿宋" w:cs="仿宋"/>
          <w:lang w:val="en-US" w:eastAsia="zh-CN"/>
        </w:rPr>
        <w:t>支出</w:t>
      </w:r>
      <w:r>
        <w:rPr>
          <w:rFonts w:hint="eastAsia" w:ascii="仿宋" w:hAnsi="仿宋" w:eastAsia="仿宋" w:cs="仿宋"/>
        </w:rPr>
        <w:t>增加。</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二、收入决算情况说明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本年收入合计1,214.31万元，其中：财政拨款收入1,214.31万元，占100%；上级补助收入0万元，占0%；事业收入0万元，占0%；经营收入0万元，占0%；附属单位上缴收入0万元，占0%；其他收入0万元，占0%。</w:t>
      </w:r>
    </w:p>
    <w:p>
      <w:pPr>
        <w:pStyle w:val="3"/>
        <w:tabs>
          <w:tab w:val="left" w:pos="3864"/>
          <w:tab w:val="left" w:pos="6248"/>
          <w:tab w:val="left" w:pos="7386"/>
        </w:tabs>
        <w:overflowPunct w:val="0"/>
        <w:spacing w:before="1" w:line="360" w:lineRule="auto"/>
        <w:ind w:right="420"/>
        <w:jc w:val="center"/>
        <w:rPr>
          <w:rFonts w:ascii="仿宋" w:hAnsi="仿宋" w:eastAsia="仿宋" w:cs="仿宋"/>
        </w:rPr>
      </w:pPr>
      <w:r>
        <w:rPr>
          <w:rFonts w:hint="eastAsia" w:ascii="仿宋" w:hAnsi="仿宋" w:eastAsia="仿宋" w:cs="仿宋"/>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8"/>
                    <a:stretch>
                      <a:fillRect/>
                    </a:stretch>
                  </pic:blipFill>
                  <pic:spPr>
                    <a:xfrm>
                      <a:off x="0" y="0"/>
                      <a:ext cx="6134100" cy="3429000"/>
                    </a:xfrm>
                    <a:prstGeom prst="rect">
                      <a:avLst/>
                    </a:prstGeom>
                  </pic:spPr>
                </pic:pic>
              </a:graphicData>
            </a:graphic>
          </wp:inline>
        </w:drawing>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三、支出决算情况说明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本年支出合计1,214.31万元，其中：基本支出1,214.31万元，占100%；项目支出0万元，占0%；上缴上级支出0万元，占0%；经营支出0万元，占0%；对附属单位补助支出0万元，占0%。</w:t>
      </w:r>
    </w:p>
    <w:p>
      <w:pPr>
        <w:pStyle w:val="3"/>
        <w:tabs>
          <w:tab w:val="left" w:pos="3864"/>
          <w:tab w:val="left" w:pos="6248"/>
          <w:tab w:val="left" w:pos="7386"/>
        </w:tabs>
        <w:overflowPunct w:val="0"/>
        <w:spacing w:before="1" w:line="360" w:lineRule="auto"/>
        <w:ind w:right="420"/>
        <w:jc w:val="center"/>
        <w:rPr>
          <w:rFonts w:ascii="仿宋" w:hAnsi="仿宋" w:eastAsia="仿宋" w:cs="仿宋"/>
        </w:rPr>
      </w:pPr>
      <w:r>
        <w:rPr>
          <w:rFonts w:hint="eastAsia" w:ascii="仿宋" w:hAnsi="仿宋" w:eastAsia="仿宋" w:cs="仿宋"/>
        </w:rPr>
        <w:drawing>
          <wp:inline distT="0" distB="0" distL="0" distR="0">
            <wp:extent cx="6134100" cy="3429000"/>
            <wp:effectExtent l="0" t="0" r="0" b="0"/>
            <wp:docPr id="4" name="Drawing 4"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4" descr="Generated"/>
                    <pic:cNvPicPr>
                      <a:picLocks noChangeAspect="1"/>
                    </pic:cNvPicPr>
                  </pic:nvPicPr>
                  <pic:blipFill>
                    <a:blip r:embed="rId9"/>
                    <a:stretch>
                      <a:fillRect/>
                    </a:stretch>
                  </pic:blipFill>
                  <pic:spPr>
                    <a:xfrm>
                      <a:off x="0" y="0"/>
                      <a:ext cx="6134100" cy="3429000"/>
                    </a:xfrm>
                    <a:prstGeom prst="rect">
                      <a:avLst/>
                    </a:prstGeom>
                  </pic:spPr>
                </pic:pic>
              </a:graphicData>
            </a:graphic>
          </wp:inline>
        </w:drawing>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四、财政拨款收入支出决算总体情况说明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2020年度财政拨款收、支总计1,214.31万元，与上年相比增加</w:t>
      </w:r>
      <w:r>
        <w:rPr>
          <w:rFonts w:hint="eastAsia" w:ascii="仿宋" w:hAnsi="仿宋" w:eastAsia="仿宋" w:cs="仿宋"/>
        </w:rPr>
        <w:t>79.36</w:t>
      </w:r>
      <w:r>
        <w:rPr>
          <w:rFonts w:ascii="仿宋" w:hAnsi="仿宋" w:eastAsia="仿宋" w:cs="仿宋"/>
        </w:rPr>
        <w:t>万元</w:t>
      </w:r>
      <w:r>
        <w:rPr>
          <w:rFonts w:hint="eastAsia" w:ascii="仿宋" w:hAnsi="仿宋" w:eastAsia="仿宋" w:cs="仿宋"/>
        </w:rPr>
        <w:t>，增加,6.99%。</w:t>
      </w:r>
      <w:r>
        <w:rPr>
          <w:rFonts w:ascii="仿宋" w:hAnsi="仿宋" w:eastAsia="仿宋" w:cs="仿宋"/>
        </w:rPr>
        <w:t>主要是因为</w:t>
      </w:r>
      <w:r>
        <w:rPr>
          <w:rFonts w:hint="eastAsia" w:ascii="仿宋" w:hAnsi="仿宋" w:eastAsia="仿宋" w:cs="仿宋"/>
        </w:rPr>
        <w:t>人员经费增加，造成财政收支增加</w:t>
      </w:r>
      <w:r>
        <w:rPr>
          <w:rFonts w:ascii="仿宋" w:hAnsi="仿宋" w:eastAsia="仿宋" w:cs="仿宋"/>
        </w:rPr>
        <w:t>。</w:t>
      </w:r>
      <w:r>
        <w:rPr>
          <w:rFonts w:hint="eastAsia" w:ascii="仿宋" w:hAnsi="仿宋" w:eastAsia="仿宋" w:cs="仿宋"/>
        </w:rPr>
        <w:t>其中收入</w:t>
      </w:r>
      <w:r>
        <w:rPr>
          <w:rFonts w:ascii="仿宋" w:hAnsi="仿宋" w:eastAsia="仿宋" w:cs="仿宋"/>
        </w:rPr>
        <w:t>1,214.31万元，与上年相比增加</w:t>
      </w:r>
      <w:r>
        <w:rPr>
          <w:rFonts w:hint="eastAsia" w:ascii="仿宋" w:hAnsi="仿宋" w:eastAsia="仿宋" w:cs="仿宋"/>
        </w:rPr>
        <w:t>79.36</w:t>
      </w:r>
      <w:r>
        <w:rPr>
          <w:rFonts w:ascii="仿宋" w:hAnsi="仿宋" w:eastAsia="仿宋" w:cs="仿宋"/>
        </w:rPr>
        <w:t>万元</w:t>
      </w:r>
      <w:r>
        <w:rPr>
          <w:rFonts w:hint="eastAsia" w:ascii="仿宋" w:hAnsi="仿宋" w:eastAsia="仿宋" w:cs="仿宋"/>
        </w:rPr>
        <w:t>，增加6.99%。</w:t>
      </w:r>
      <w:r>
        <w:rPr>
          <w:rFonts w:ascii="仿宋" w:hAnsi="仿宋" w:eastAsia="仿宋" w:cs="仿宋"/>
        </w:rPr>
        <w:t>主要是因为</w:t>
      </w:r>
      <w:r>
        <w:rPr>
          <w:rFonts w:hint="eastAsia" w:ascii="仿宋" w:hAnsi="仿宋" w:eastAsia="仿宋" w:cs="仿宋"/>
        </w:rPr>
        <w:t>人员经费增加，造成财政收</w:t>
      </w:r>
      <w:r>
        <w:rPr>
          <w:rFonts w:hint="eastAsia" w:ascii="仿宋" w:hAnsi="仿宋" w:eastAsia="仿宋" w:cs="仿宋"/>
          <w:lang w:val="en-US" w:eastAsia="zh-CN"/>
        </w:rPr>
        <w:t>入</w:t>
      </w:r>
      <w:r>
        <w:rPr>
          <w:rFonts w:hint="eastAsia" w:ascii="仿宋" w:hAnsi="仿宋" w:eastAsia="仿宋" w:cs="仿宋"/>
        </w:rPr>
        <w:t>增加；支出</w:t>
      </w:r>
      <w:r>
        <w:rPr>
          <w:rFonts w:ascii="仿宋" w:hAnsi="仿宋" w:eastAsia="仿宋" w:cs="仿宋"/>
        </w:rPr>
        <w:t>1,214.31万元，与上年相比增加</w:t>
      </w:r>
      <w:r>
        <w:rPr>
          <w:rFonts w:hint="eastAsia" w:ascii="仿宋" w:hAnsi="仿宋" w:eastAsia="仿宋" w:cs="仿宋"/>
        </w:rPr>
        <w:t>79.36</w:t>
      </w:r>
      <w:r>
        <w:rPr>
          <w:rFonts w:ascii="仿宋" w:hAnsi="仿宋" w:eastAsia="仿宋" w:cs="仿宋"/>
        </w:rPr>
        <w:t>万元</w:t>
      </w:r>
      <w:r>
        <w:rPr>
          <w:rFonts w:hint="eastAsia" w:ascii="仿宋" w:hAnsi="仿宋" w:eastAsia="仿宋" w:cs="仿宋"/>
        </w:rPr>
        <w:t>，增加6.99%。</w:t>
      </w:r>
      <w:r>
        <w:rPr>
          <w:rFonts w:ascii="仿宋" w:hAnsi="仿宋" w:eastAsia="仿宋" w:cs="仿宋"/>
        </w:rPr>
        <w:t>主要是因为</w:t>
      </w:r>
      <w:r>
        <w:rPr>
          <w:rFonts w:hint="eastAsia" w:ascii="仿宋" w:hAnsi="仿宋" w:eastAsia="仿宋" w:cs="仿宋"/>
        </w:rPr>
        <w:t>人员经费增加，造成财政</w:t>
      </w:r>
      <w:r>
        <w:rPr>
          <w:rFonts w:hint="eastAsia" w:ascii="仿宋" w:hAnsi="仿宋" w:eastAsia="仿宋" w:cs="仿宋"/>
          <w:lang w:val="en-US" w:eastAsia="zh-CN"/>
        </w:rPr>
        <w:t>支出</w:t>
      </w:r>
      <w:bookmarkStart w:id="3" w:name="_GoBack"/>
      <w:bookmarkEnd w:id="3"/>
      <w:r>
        <w:rPr>
          <w:rFonts w:hint="eastAsia" w:ascii="仿宋" w:hAnsi="仿宋" w:eastAsia="仿宋" w:cs="仿宋"/>
        </w:rPr>
        <w:t>增加。</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五、一般公共预算财政拨款支出决算情况说明</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（一）财政拨款支出决算总体情况</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2020年度财政拨款支出1,214.31万元，占本年支出合计的100%，与上年相比，财政拨款支出增加</w:t>
      </w:r>
      <w:r>
        <w:rPr>
          <w:rFonts w:hint="eastAsia" w:ascii="仿宋" w:hAnsi="仿宋" w:eastAsia="仿宋" w:cs="仿宋"/>
        </w:rPr>
        <w:t>79.36</w:t>
      </w:r>
      <w:r>
        <w:rPr>
          <w:rFonts w:ascii="仿宋" w:hAnsi="仿宋" w:eastAsia="仿宋" w:cs="仿宋"/>
        </w:rPr>
        <w:t>万元，</w:t>
      </w:r>
      <w:r>
        <w:rPr>
          <w:rFonts w:hint="eastAsia" w:ascii="仿宋" w:hAnsi="仿宋" w:eastAsia="仿宋" w:cs="仿宋"/>
        </w:rPr>
        <w:t>增加,6.99%。</w:t>
      </w:r>
      <w:r>
        <w:rPr>
          <w:rFonts w:ascii="仿宋" w:hAnsi="仿宋" w:eastAsia="仿宋" w:cs="仿宋"/>
        </w:rPr>
        <w:t>主要是因为</w:t>
      </w:r>
      <w:r>
        <w:rPr>
          <w:rFonts w:hint="eastAsia" w:ascii="仿宋" w:hAnsi="仿宋" w:eastAsia="仿宋" w:cs="仿宋"/>
        </w:rPr>
        <w:t>人员经费支出增加，造成财政支出增加</w:t>
      </w:r>
      <w:r>
        <w:rPr>
          <w:rFonts w:ascii="仿宋" w:hAnsi="仿宋" w:eastAsia="仿宋" w:cs="仿宋"/>
        </w:rPr>
        <w:t>。</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（二）财政拨款支出决算结构情况</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2020年度财政拨款支出1,214.31万元，主要用于以下方面：教育支出（类）1,214.31万元，占100%。</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（三）财政拨款支出决算具体情况</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2020年度财政拨款支出年初预算数为1,173.32万元，支出决算数为1,214.31万元，完成年初预算的103.49%，其中：</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1、教育支出（类）普通教育（款）学前教育（项）。</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年初预算为20.68万元，支出决算为20.68万元，完成年初预算的100%。</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2、教育支出（类）普通教育（款）小学教育（项）。</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年初预算为1,152.29万元，支出决算为1,193.28万元，完成年初预算的103.56%，决算数大于预算数的主要原因是：人员经费中的薪级工资增加。</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3、教育支出（类）普通教育（款）其他普通教育支出（项）。</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年初预算为0.35万元，支出决算为0.35万元，完成年初预算的100%。</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六、财政拨款基本支出决算情况说明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2020年度财政拨款基本支出1,214.3万元，其中：人员经费1,089.96万元，占基本支出的89.76%，主要包括：基本工资、津贴补贴、机关事业单位基本养老保险缴费、职工基本医疗保险缴费、其他社会保障缴费、其他工资福利支出、生活补助、助学金、奖励金、其他对个人和家庭的补助；公用经费124.34万元，占基本支出的10.24%，主要包括：办公费、印刷费、咨询费、水费、电费、邮电费、差旅费、维修（护）费、培训费、专用材料费、专用燃料费、劳务费、工会经费、其他商品和服务支出。</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七、一般公共预算财政拨款三公经费支出决算情况说明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（一）“三公”经费财政拨款支出决算总体情况说明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三公”经费财政拨款支出预算为0万元，支出决算为0万元，“三公”经费财政拨款支出预算为0万元，无法计算完成比率，其中：因公出国（境）费支出预算为0万元，支出决算为0万元，与本年预算数相同，与上年决算数相同。</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公务接待费支出预算为0万元，支出决算为0万元，与本年预算数相同，与上年决算数相同。</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公务用车购置费及运行维护费支出预算为0万元，支出决算为0万元，与本年预算数相同，与上年预算数相同。</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（二）“三公”经费财政拨款支出决算具体情况说明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2020年度“三公”经费财政拨款支出决算中，公务接待费支出决算0万元，占0%，因公出国（境）费支出决算0万元，占0%，公务用车购置费及运行维护费支出决算0万元，占0%。其中：</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1、因公出国（境）费支出决算为0万元，全年安排因公出国（境）团组0个，累计0人次。</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2、公务接待费支出决算为0万元，全年共接待来访团组0个，来宾0人次。</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3、公务用车购置费及运行维护费支出决算为0万元。截止2020年12月31日，我单位开支财政拨款的公务用车保有量为0辆。</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八、政府性基金预算收入支出决算情况</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本单位无政府性基金收支。</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九、关于机关运行经费支出说明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本部门2020年度机关运行经费支出0万元，与年初预算数相同。</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十、一般性支出情况</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2020年本部门开支会议费0万元。开支培训费6.97万元，用于开展教育教学教研培训，人数85人，内容为各科教师教学研讨培训、参加“国培”培训、教师信息技术提升集中培训、参加项目县“送教下乡”培训等；举办0等节庆、晚会、论坛、赛事活动，开支0万元，主要是0。</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十一、关于政府采购支出说明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本部门2020年度政府采购支出总额0万元，其中：政府采购货物支出0万元、政府采购工程支出0万元、政府采购服务支出0万元。授予中小企业合同金额0万元，其中：授予小微企业合同金额0万元，</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十二、国有资产占用情况说明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截至2020年12月31日，本单位共有车辆0辆，其中，主要领导干部用车0辆、机要通信用车0辆、应急保障用车0辆、执法执勤用车0辆、特种专业技术用车0辆、其他用车0辆。单位价值50万元以上通用设备0台（套），单位价值100万元以上专用设备0台（套）。</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十三、预算绩效评价工作开展情况</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本部门</w:t>
      </w:r>
      <w:r>
        <w:rPr>
          <w:rFonts w:hint="eastAsia" w:ascii="仿宋" w:hAnsi="仿宋" w:eastAsia="仿宋" w:cs="仿宋"/>
        </w:rPr>
        <w:t>无项目经费，未开展</w:t>
      </w:r>
      <w:r>
        <w:rPr>
          <w:rFonts w:ascii="仿宋" w:hAnsi="仿宋" w:eastAsia="仿宋" w:cs="仿宋"/>
        </w:rPr>
        <w:t>预算绩效管理</w:t>
      </w:r>
      <w:r>
        <w:rPr>
          <w:rFonts w:hint="eastAsia" w:ascii="仿宋" w:hAnsi="仿宋" w:eastAsia="仿宋" w:cs="仿宋"/>
        </w:rPr>
        <w:t>评价。</w:t>
      </w:r>
    </w:p>
    <w:p>
      <w:pPr>
        <w:pStyle w:val="10"/>
        <w:tabs>
          <w:tab w:val="left" w:pos="5967"/>
        </w:tabs>
        <w:rPr>
          <w:sz w:val="72"/>
          <w:szCs w:val="72"/>
        </w:rPr>
        <w:sectPr>
          <w:footerReference r:id="rId6" w:type="default"/>
          <w:pgSz w:w="11906" w:h="16838"/>
          <w:pgMar w:top="720" w:right="720" w:bottom="720" w:left="720" w:header="851" w:footer="992" w:gutter="0"/>
          <w:pgNumType w:fmt="numberInDash"/>
          <w:cols w:space="0" w:num="1"/>
          <w:docGrid w:type="lines" w:linePitch="319" w:charSpace="0"/>
        </w:sectPr>
      </w:pPr>
    </w:p>
    <w:p>
      <w:pPr>
        <w:pStyle w:val="10"/>
        <w:jc w:val="both"/>
        <w:rPr>
          <w:sz w:val="72"/>
          <w:szCs w:val="72"/>
        </w:rPr>
      </w:pPr>
    </w:p>
    <w:p>
      <w:pPr>
        <w:pStyle w:val="10"/>
        <w:jc w:val="both"/>
        <w:rPr>
          <w:sz w:val="72"/>
          <w:szCs w:val="72"/>
        </w:rPr>
      </w:pPr>
    </w:p>
    <w:p>
      <w:pPr>
        <w:pStyle w:val="10"/>
        <w:jc w:val="center"/>
        <w:rPr>
          <w:rFonts w:ascii="仿宋" w:hAnsi="仿宋" w:eastAsia="仿宋" w:cs="仿宋"/>
          <w:b/>
          <w:bCs/>
          <w:sz w:val="72"/>
          <w:szCs w:val="72"/>
        </w:rPr>
      </w:pPr>
    </w:p>
    <w:p>
      <w:pPr>
        <w:pStyle w:val="10"/>
        <w:jc w:val="center"/>
        <w:rPr>
          <w:rFonts w:ascii="仿宋" w:hAnsi="仿宋" w:eastAsia="仿宋" w:cs="仿宋"/>
          <w:b/>
          <w:bCs/>
          <w:sz w:val="72"/>
          <w:szCs w:val="72"/>
        </w:rPr>
      </w:pPr>
    </w:p>
    <w:p>
      <w:pPr>
        <w:pStyle w:val="10"/>
        <w:jc w:val="center"/>
        <w:rPr>
          <w:rFonts w:ascii="仿宋" w:hAnsi="仿宋" w:eastAsia="仿宋" w:cs="仿宋"/>
          <w:b/>
          <w:bCs/>
          <w:sz w:val="52"/>
          <w:szCs w:val="52"/>
        </w:rPr>
      </w:pPr>
      <w:r>
        <w:rPr>
          <w:rFonts w:hint="eastAsia" w:ascii="仿宋" w:hAnsi="仿宋" w:eastAsia="仿宋" w:cs="仿宋"/>
          <w:b/>
          <w:bCs/>
          <w:sz w:val="52"/>
          <w:szCs w:val="52"/>
        </w:rPr>
        <w:t>第四部分</w:t>
      </w:r>
    </w:p>
    <w:p>
      <w:pPr>
        <w:jc w:val="center"/>
        <w:rPr>
          <w:rFonts w:ascii="仿宋" w:hAnsi="仿宋" w:eastAsia="仿宋" w:cs="仿宋"/>
          <w:b/>
          <w:bCs/>
          <w:color w:val="000000"/>
          <w:kern w:val="0"/>
          <w:sz w:val="52"/>
          <w:szCs w:val="52"/>
        </w:rPr>
      </w:pPr>
    </w:p>
    <w:p>
      <w:pPr>
        <w:jc w:val="center"/>
        <w:rPr>
          <w:rFonts w:ascii="仿宋" w:hAnsi="仿宋" w:eastAsia="仿宋" w:cs="仿宋"/>
          <w:b/>
          <w:bCs/>
          <w:color w:val="000000"/>
          <w:kern w:val="0"/>
          <w:sz w:val="52"/>
          <w:szCs w:val="52"/>
        </w:rPr>
      </w:pPr>
      <w:r>
        <w:rPr>
          <w:rFonts w:hint="eastAsia" w:ascii="仿宋" w:hAnsi="仿宋" w:eastAsia="仿宋" w:cs="仿宋"/>
          <w:b/>
          <w:bCs/>
          <w:color w:val="000000"/>
          <w:kern w:val="0"/>
          <w:sz w:val="52"/>
          <w:szCs w:val="52"/>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一、财政拨款收入</w:t>
      </w:r>
      <w:r>
        <w:rPr>
          <w:rFonts w:ascii="仿宋" w:hAnsi="仿宋" w:eastAsia="仿宋" w:cs="仿宋"/>
          <w:b/>
          <w:color w:val="000000"/>
          <w:sz w:val="32"/>
        </w:rPr>
        <w:t>：</w:t>
      </w:r>
      <w:r>
        <w:rPr>
          <w:rFonts w:hint="eastAsia" w:ascii="仿宋" w:hAnsi="仿宋" w:eastAsia="仿宋" w:cs="仿宋"/>
          <w:color w:val="000000"/>
          <w:kern w:val="0"/>
          <w:sz w:val="32"/>
          <w:szCs w:val="32"/>
        </w:rPr>
        <w:t>指单位本年度从同级财政部门取得的各类财政拨款。</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二、上级补助收入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指事业单位从主管部门和上级单位取得的非财政补助收入。</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三、事业收入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指事业单位开展专业业务活动及其辅助活动取得的收入，事业单位收到的财政专户实际核拨的教育收费等资金在此反映。</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四、经营收入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指事业单位在专业业务活动及其辅助活动之外开展非独立核算经营活动取得的收入。</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五、附属单位上缴收入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指事业单位附属独立核算单位按照有关规定上缴的收入。</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六、其他收入</w:t>
      </w:r>
      <w:r>
        <w:rPr>
          <w:rFonts w:ascii="仿宋" w:hAnsi="仿宋" w:eastAsia="仿宋" w:cs="仿宋"/>
          <w:b/>
          <w:color w:val="000000"/>
          <w:sz w:val="32"/>
        </w:rPr>
        <w:t>：</w:t>
      </w:r>
      <w:r>
        <w:rPr>
          <w:rFonts w:hint="eastAsia" w:ascii="仿宋" w:hAnsi="仿宋" w:eastAsia="仿宋" w:cs="仿宋"/>
          <w:color w:val="000000"/>
          <w:kern w:val="0"/>
          <w:sz w:val="32"/>
          <w:szCs w:val="32"/>
        </w:rPr>
        <w:t>指单位取得的除上述“财政拨款收入”、“事业收入”、“经营收入”等以外的各项收入。</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七、使用非财政拨款结余</w:t>
      </w:r>
      <w:r>
        <w:rPr>
          <w:rFonts w:ascii="仿宋" w:hAnsi="仿宋" w:eastAsia="仿宋" w:cs="仿宋"/>
          <w:b/>
          <w:color w:val="000000"/>
          <w:sz w:val="32"/>
        </w:rPr>
        <w:t>：</w:t>
      </w:r>
      <w:r>
        <w:rPr>
          <w:rFonts w:hint="eastAsia" w:ascii="仿宋" w:hAnsi="仿宋" w:eastAsia="仿宋" w:cs="仿宋"/>
          <w:color w:val="000000"/>
          <w:kern w:val="0"/>
          <w:sz w:val="32"/>
          <w:szCs w:val="32"/>
        </w:rPr>
        <w:t>指事业单位使用非财政拨款结余（原事业基金）弥补当年收支差额的数额。</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八、年初结转和结余</w:t>
      </w:r>
      <w:r>
        <w:rPr>
          <w:rFonts w:ascii="仿宋" w:hAnsi="仿宋" w:eastAsia="仿宋" w:cs="仿宋"/>
          <w:b/>
          <w:color w:val="000000"/>
          <w:sz w:val="32"/>
        </w:rPr>
        <w:t>：</w:t>
      </w:r>
      <w:r>
        <w:rPr>
          <w:rFonts w:hint="eastAsia" w:ascii="仿宋" w:hAnsi="仿宋" w:eastAsia="仿宋" w:cs="仿宋"/>
          <w:color w:val="000000"/>
          <w:kern w:val="0"/>
          <w:sz w:val="32"/>
          <w:szCs w:val="32"/>
        </w:rPr>
        <w:t>指单位上年结转本年使用的基本支出结转、项目支出结转和结余和经营结余。</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九、结余分配</w:t>
      </w:r>
      <w:r>
        <w:rPr>
          <w:rFonts w:ascii="仿宋" w:hAnsi="仿宋" w:eastAsia="仿宋" w:cs="仿宋"/>
          <w:b/>
          <w:color w:val="000000"/>
          <w:sz w:val="32"/>
        </w:rPr>
        <w:t>：</w:t>
      </w:r>
      <w:r>
        <w:rPr>
          <w:rFonts w:hint="eastAsia" w:ascii="仿宋" w:hAnsi="仿宋" w:eastAsia="仿宋" w:cs="仿宋"/>
          <w:color w:val="000000"/>
          <w:kern w:val="0"/>
          <w:sz w:val="32"/>
          <w:szCs w:val="32"/>
        </w:rPr>
        <w:t>指事业单位按规定对非财政拨款结余资金提取的专用基金、缴纳的所得税和转入非财政拨款结余等。</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十、年末结转和结余资金</w:t>
      </w:r>
      <w:r>
        <w:rPr>
          <w:rFonts w:ascii="仿宋" w:hAnsi="仿宋" w:eastAsia="仿宋" w:cs="仿宋"/>
          <w:b/>
          <w:color w:val="000000"/>
          <w:sz w:val="32"/>
        </w:rPr>
        <w:t>：</w:t>
      </w:r>
      <w:r>
        <w:rPr>
          <w:rFonts w:hint="eastAsia" w:ascii="仿宋" w:hAnsi="仿宋" w:eastAsia="仿宋" w:cs="仿宋"/>
          <w:color w:val="000000"/>
          <w:kern w:val="0"/>
          <w:sz w:val="32"/>
          <w:szCs w:val="32"/>
        </w:rPr>
        <w:t>指本年度或以前年度预算安排、因客观条件发生变化无法按原计划实施，需要延迟到以后年度按有关规定继续使用的资金。</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十一、基本支出</w:t>
      </w:r>
      <w:r>
        <w:rPr>
          <w:rFonts w:ascii="仿宋" w:hAnsi="仿宋" w:eastAsia="仿宋" w:cs="仿宋"/>
          <w:b/>
          <w:color w:val="000000"/>
          <w:sz w:val="32"/>
        </w:rPr>
        <w:t>：</w:t>
      </w:r>
      <w:r>
        <w:rPr>
          <w:rFonts w:hint="eastAsia" w:ascii="仿宋" w:hAnsi="仿宋" w:eastAsia="仿宋" w:cs="仿宋"/>
          <w:color w:val="000000"/>
          <w:kern w:val="0"/>
          <w:sz w:val="32"/>
          <w:szCs w:val="32"/>
        </w:rPr>
        <w:t>指为保障机构正常运转、完成日常工作任务而发生的支出，包括人员经费和公用经费。</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十二、项目支出</w:t>
      </w:r>
      <w:r>
        <w:rPr>
          <w:rFonts w:ascii="仿宋" w:hAnsi="仿宋" w:eastAsia="仿宋" w:cs="仿宋"/>
          <w:b/>
          <w:color w:val="000000"/>
          <w:sz w:val="32"/>
        </w:rPr>
        <w:t>：</w:t>
      </w:r>
      <w:r>
        <w:rPr>
          <w:rFonts w:hint="eastAsia" w:ascii="仿宋" w:hAnsi="仿宋" w:eastAsia="仿宋" w:cs="仿宋"/>
          <w:color w:val="000000"/>
          <w:kern w:val="0"/>
          <w:sz w:val="32"/>
          <w:szCs w:val="32"/>
        </w:rPr>
        <w:t>指在为完成特定的工作任务和事业发展目标所发生的支出。</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十三、上缴上级支出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指事业单位按照财政部门和主管部门的规定上缴上级单位的支出。</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十四、经营支出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指事业单位在专业业务活动及其辅助活动之外开展非独立核算经营活动发生的支出。</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十五、对附属单位补助支出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指事业单位用财政拨款收入之外的收入对附属单位补助发生的支出。</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十六、“三公”经费</w:t>
      </w:r>
      <w:r>
        <w:rPr>
          <w:rFonts w:ascii="仿宋" w:hAnsi="仿宋" w:eastAsia="仿宋" w:cs="仿宋"/>
          <w:b/>
          <w:color w:val="000000"/>
          <w:sz w:val="32"/>
        </w:rPr>
        <w:t>：</w:t>
      </w:r>
      <w:r>
        <w:rPr>
          <w:rFonts w:hint="eastAsia" w:ascii="仿宋" w:hAnsi="仿宋" w:eastAsia="仿宋" w:cs="仿宋"/>
          <w:color w:val="000000"/>
          <w:kern w:val="0"/>
          <w:sz w:val="32"/>
          <w:szCs w:val="32"/>
        </w:rPr>
        <w:t>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十七、机关运行经费</w:t>
      </w:r>
      <w:r>
        <w:rPr>
          <w:rFonts w:ascii="仿宋" w:hAnsi="仿宋" w:eastAsia="仿宋" w:cs="仿宋"/>
          <w:b/>
          <w:color w:val="000000"/>
          <w:sz w:val="32"/>
        </w:rPr>
        <w:t>：</w:t>
      </w:r>
      <w:r>
        <w:rPr>
          <w:rFonts w:hint="eastAsia" w:ascii="仿宋" w:hAnsi="仿宋" w:eastAsia="仿宋" w:cs="仿宋"/>
          <w:color w:val="000000"/>
          <w:kern w:val="0"/>
          <w:sz w:val="32"/>
          <w:szCs w:val="32"/>
        </w:rPr>
        <w:t>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十八、教育支出(类)普通教育(款)学前教育(项)</w:t>
      </w:r>
      <w:r>
        <w:rPr>
          <w:rFonts w:ascii="仿宋" w:hAnsi="仿宋" w:eastAsia="仿宋" w:cs="仿宋"/>
          <w:b/>
          <w:color w:val="000000"/>
          <w:sz w:val="32"/>
        </w:rPr>
        <w:t>：</w:t>
      </w:r>
      <w:r>
        <w:rPr>
          <w:rFonts w:hint="eastAsia" w:ascii="仿宋" w:hAnsi="仿宋" w:eastAsia="仿宋" w:cs="仿宋"/>
          <w:color w:val="000000"/>
          <w:kern w:val="0"/>
          <w:sz w:val="32"/>
          <w:szCs w:val="32"/>
        </w:rPr>
        <w:t>反映各部门举办的学前教育支出。</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十九、教育支出(类)普通教育(款)小学教育(项)</w:t>
      </w:r>
      <w:r>
        <w:rPr>
          <w:rFonts w:ascii="仿宋" w:hAnsi="仿宋" w:eastAsia="仿宋" w:cs="仿宋"/>
          <w:b/>
          <w:color w:val="000000"/>
          <w:sz w:val="32"/>
        </w:rPr>
        <w:t>：</w:t>
      </w:r>
      <w:r>
        <w:rPr>
          <w:rFonts w:hint="eastAsia" w:ascii="仿宋" w:hAnsi="仿宋" w:eastAsia="仿宋" w:cs="仿宋"/>
          <w:color w:val="000000"/>
          <w:kern w:val="0"/>
          <w:sz w:val="32"/>
          <w:szCs w:val="32"/>
        </w:rPr>
        <w:t>反映各部门举办的小学教育支出。政府各部门对社会中介组织等举办的小学的资助，如各类捐赠、补贴等，也在本科目中反映。</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二十、教育支出(类)普通教育(款)其他普通教育支出(项)</w:t>
      </w:r>
      <w:r>
        <w:rPr>
          <w:rFonts w:ascii="仿宋" w:hAnsi="仿宋" w:eastAsia="仿宋" w:cs="仿宋"/>
          <w:b/>
          <w:color w:val="000000"/>
          <w:sz w:val="32"/>
        </w:rPr>
        <w:t>：</w:t>
      </w:r>
      <w:r>
        <w:rPr>
          <w:rFonts w:hint="eastAsia" w:ascii="仿宋" w:hAnsi="仿宋" w:eastAsia="仿宋" w:cs="仿宋"/>
          <w:color w:val="000000"/>
          <w:kern w:val="0"/>
          <w:sz w:val="32"/>
          <w:szCs w:val="32"/>
        </w:rPr>
        <w:t>反映除上述项目以外其他用于普通教育方面的支出。</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3" w:hRule="atLeast"/>
        </w:trPr>
        <w:tc>
          <w:tcPr>
            <w:tcW w:w="8516" w:type="dxa"/>
            <w:tcBorders>
              <w:top w:val="nil"/>
              <w:left w:val="nil"/>
              <w:bottom w:val="nil"/>
              <w:right w:val="nil"/>
            </w:tcBorders>
            <w:vAlign w:val="center"/>
          </w:tcPr>
          <w:p>
            <w:pPr>
              <w:pStyle w:val="10"/>
              <w:jc w:val="center"/>
              <w:rPr>
                <w:rFonts w:ascii="仿宋" w:hAnsi="仿宋" w:eastAsia="仿宋" w:cs="仿宋"/>
                <w:b/>
                <w:bCs/>
                <w:sz w:val="52"/>
                <w:szCs w:val="52"/>
              </w:rPr>
            </w:pPr>
          </w:p>
        </w:tc>
      </w:tr>
    </w:tbl>
    <w:p/>
    <w:sectPr>
      <w:pgSz w:w="11906" w:h="16838"/>
      <w:pgMar w:top="1440" w:right="1803" w:bottom="1440" w:left="1803"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- 16 -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- 16 -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黑体" w:hAnsi="黑体" w:eastAsia="黑体" w:cs="黑体"/>
      </w:rPr>
    </w:pPr>
    <w:r>
      <w:rPr>
        <w:rFonts w:hint="eastAsia" w:ascii="黑体" w:hAnsi="黑体" w:eastAsia="黑体" w:cs="黑体"/>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ascii="黑体" w:hAnsi="黑体" w:eastAsia="黑体" w:cs="黑体"/>
                            </w:rPr>
                            <w:t>- 28 -</w:t>
                          </w:r>
                          <w:r>
                            <w:rPr>
                              <w:rFonts w:hint="eastAsia" w:ascii="黑体" w:hAnsi="黑体" w:eastAsia="黑体" w:cs="黑体"/>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5"/>
                      <w:rPr>
                        <w:rFonts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ascii="黑体" w:hAnsi="黑体" w:eastAsia="黑体" w:cs="黑体"/>
                      </w:rPr>
                      <w:t>- 28 -</w:t>
                    </w:r>
                    <w:r>
                      <w:rPr>
                        <w:rFonts w:hint="eastAsia" w:ascii="黑体" w:hAnsi="黑体" w:eastAsia="黑体" w:cs="黑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zMGRlNjViMzdkNzg4ODhmMTQ5NTk2YWFhMDY5ODkifQ=="/>
  </w:docVars>
  <w:rsids>
    <w:rsidRoot w:val="73D72D54"/>
    <w:rsid w:val="00034B45"/>
    <w:rsid w:val="000A4A40"/>
    <w:rsid w:val="00112995"/>
    <w:rsid w:val="003D2A6F"/>
    <w:rsid w:val="004404A4"/>
    <w:rsid w:val="00833378"/>
    <w:rsid w:val="009018E7"/>
    <w:rsid w:val="00A57004"/>
    <w:rsid w:val="00EF3870"/>
    <w:rsid w:val="01276120"/>
    <w:rsid w:val="01292E6B"/>
    <w:rsid w:val="014F7B6E"/>
    <w:rsid w:val="01511258"/>
    <w:rsid w:val="015967FE"/>
    <w:rsid w:val="019E11B3"/>
    <w:rsid w:val="01A42E7E"/>
    <w:rsid w:val="01A775D9"/>
    <w:rsid w:val="01B60941"/>
    <w:rsid w:val="02701F7E"/>
    <w:rsid w:val="02721624"/>
    <w:rsid w:val="02B21423"/>
    <w:rsid w:val="02E608A0"/>
    <w:rsid w:val="02EF2D79"/>
    <w:rsid w:val="03147B85"/>
    <w:rsid w:val="033D7DA6"/>
    <w:rsid w:val="03562E2F"/>
    <w:rsid w:val="03E42784"/>
    <w:rsid w:val="04026EE9"/>
    <w:rsid w:val="04067B8D"/>
    <w:rsid w:val="040E2250"/>
    <w:rsid w:val="0414592F"/>
    <w:rsid w:val="04373E00"/>
    <w:rsid w:val="04491887"/>
    <w:rsid w:val="047F291F"/>
    <w:rsid w:val="047F40D0"/>
    <w:rsid w:val="04A95710"/>
    <w:rsid w:val="04C96E18"/>
    <w:rsid w:val="04CF483B"/>
    <w:rsid w:val="05283F7F"/>
    <w:rsid w:val="05501AD7"/>
    <w:rsid w:val="05721CEA"/>
    <w:rsid w:val="05877611"/>
    <w:rsid w:val="05AC71A4"/>
    <w:rsid w:val="05BB5E49"/>
    <w:rsid w:val="05E84904"/>
    <w:rsid w:val="060A158E"/>
    <w:rsid w:val="060B4F09"/>
    <w:rsid w:val="060D24D3"/>
    <w:rsid w:val="066E7586"/>
    <w:rsid w:val="06735460"/>
    <w:rsid w:val="06876935"/>
    <w:rsid w:val="06924863"/>
    <w:rsid w:val="06C11D6A"/>
    <w:rsid w:val="06C92B89"/>
    <w:rsid w:val="07016659"/>
    <w:rsid w:val="07413E1B"/>
    <w:rsid w:val="076169E4"/>
    <w:rsid w:val="076E3F15"/>
    <w:rsid w:val="07A03FF7"/>
    <w:rsid w:val="07D03716"/>
    <w:rsid w:val="07DC3A34"/>
    <w:rsid w:val="07E245DA"/>
    <w:rsid w:val="083948C9"/>
    <w:rsid w:val="08435B69"/>
    <w:rsid w:val="08443FC4"/>
    <w:rsid w:val="085D0F3E"/>
    <w:rsid w:val="08703DDB"/>
    <w:rsid w:val="08911752"/>
    <w:rsid w:val="08A67EB6"/>
    <w:rsid w:val="08AD675E"/>
    <w:rsid w:val="08B33244"/>
    <w:rsid w:val="08D162B6"/>
    <w:rsid w:val="08F06986"/>
    <w:rsid w:val="08F75E31"/>
    <w:rsid w:val="092E090E"/>
    <w:rsid w:val="096020E4"/>
    <w:rsid w:val="09743548"/>
    <w:rsid w:val="09940B5A"/>
    <w:rsid w:val="0996686E"/>
    <w:rsid w:val="0A016DB1"/>
    <w:rsid w:val="0A190C1A"/>
    <w:rsid w:val="0A1D43DC"/>
    <w:rsid w:val="0A4E5CBB"/>
    <w:rsid w:val="0A843DA6"/>
    <w:rsid w:val="0AC23008"/>
    <w:rsid w:val="0ACA6C76"/>
    <w:rsid w:val="0ACB336B"/>
    <w:rsid w:val="0AF52874"/>
    <w:rsid w:val="0B0F21C0"/>
    <w:rsid w:val="0B1A005C"/>
    <w:rsid w:val="0B5078D7"/>
    <w:rsid w:val="0B550C44"/>
    <w:rsid w:val="0B772BDC"/>
    <w:rsid w:val="0B8E2066"/>
    <w:rsid w:val="0BA35478"/>
    <w:rsid w:val="0BC04806"/>
    <w:rsid w:val="0BD65627"/>
    <w:rsid w:val="0C0F44E0"/>
    <w:rsid w:val="0CA1448F"/>
    <w:rsid w:val="0CA32AA8"/>
    <w:rsid w:val="0D2F20B4"/>
    <w:rsid w:val="0D452501"/>
    <w:rsid w:val="0D65075F"/>
    <w:rsid w:val="0D665132"/>
    <w:rsid w:val="0DBB6B0A"/>
    <w:rsid w:val="0DBC1A23"/>
    <w:rsid w:val="0DDC135D"/>
    <w:rsid w:val="0E1C1CBD"/>
    <w:rsid w:val="0E7552DD"/>
    <w:rsid w:val="0E79533D"/>
    <w:rsid w:val="0E7D57CF"/>
    <w:rsid w:val="0ECC3BEA"/>
    <w:rsid w:val="0F144184"/>
    <w:rsid w:val="0F1C62C7"/>
    <w:rsid w:val="0F2E1F67"/>
    <w:rsid w:val="0F3D5BBA"/>
    <w:rsid w:val="0F3F019D"/>
    <w:rsid w:val="0F3F0C21"/>
    <w:rsid w:val="0F800099"/>
    <w:rsid w:val="0F921EF8"/>
    <w:rsid w:val="0FC26152"/>
    <w:rsid w:val="0FC601BF"/>
    <w:rsid w:val="10060226"/>
    <w:rsid w:val="1021781E"/>
    <w:rsid w:val="109244B4"/>
    <w:rsid w:val="10E67F73"/>
    <w:rsid w:val="11350FC3"/>
    <w:rsid w:val="11403931"/>
    <w:rsid w:val="11427235"/>
    <w:rsid w:val="1160207C"/>
    <w:rsid w:val="11691213"/>
    <w:rsid w:val="11A678F3"/>
    <w:rsid w:val="11B2477D"/>
    <w:rsid w:val="120A0B74"/>
    <w:rsid w:val="1225480C"/>
    <w:rsid w:val="12305B44"/>
    <w:rsid w:val="12395882"/>
    <w:rsid w:val="12572C62"/>
    <w:rsid w:val="12832B16"/>
    <w:rsid w:val="12963B61"/>
    <w:rsid w:val="12A001D8"/>
    <w:rsid w:val="12A03FDD"/>
    <w:rsid w:val="12EB14A5"/>
    <w:rsid w:val="132B2CAB"/>
    <w:rsid w:val="13426212"/>
    <w:rsid w:val="13511047"/>
    <w:rsid w:val="13530689"/>
    <w:rsid w:val="13571F03"/>
    <w:rsid w:val="13584546"/>
    <w:rsid w:val="138132DE"/>
    <w:rsid w:val="138662BF"/>
    <w:rsid w:val="139B183B"/>
    <w:rsid w:val="13CD7E8D"/>
    <w:rsid w:val="141459E2"/>
    <w:rsid w:val="14295BBE"/>
    <w:rsid w:val="143746C5"/>
    <w:rsid w:val="14501E36"/>
    <w:rsid w:val="145B604C"/>
    <w:rsid w:val="15037188"/>
    <w:rsid w:val="15153CFF"/>
    <w:rsid w:val="154C316F"/>
    <w:rsid w:val="154E64F6"/>
    <w:rsid w:val="15BF24D2"/>
    <w:rsid w:val="16174016"/>
    <w:rsid w:val="16366EA1"/>
    <w:rsid w:val="16517A95"/>
    <w:rsid w:val="16A059C5"/>
    <w:rsid w:val="16C455F3"/>
    <w:rsid w:val="16F23847"/>
    <w:rsid w:val="176D5AE5"/>
    <w:rsid w:val="176F3CF4"/>
    <w:rsid w:val="177B4445"/>
    <w:rsid w:val="178C1D8E"/>
    <w:rsid w:val="17931257"/>
    <w:rsid w:val="17B07FD2"/>
    <w:rsid w:val="17B52230"/>
    <w:rsid w:val="17D226D1"/>
    <w:rsid w:val="17F03885"/>
    <w:rsid w:val="18152DA2"/>
    <w:rsid w:val="1816118F"/>
    <w:rsid w:val="182F4A44"/>
    <w:rsid w:val="18395CC2"/>
    <w:rsid w:val="183E0B42"/>
    <w:rsid w:val="18541566"/>
    <w:rsid w:val="186B1DF6"/>
    <w:rsid w:val="186F101A"/>
    <w:rsid w:val="18B75606"/>
    <w:rsid w:val="18D511E5"/>
    <w:rsid w:val="19642C59"/>
    <w:rsid w:val="197C2BAB"/>
    <w:rsid w:val="19934B8F"/>
    <w:rsid w:val="19C00F4B"/>
    <w:rsid w:val="19D421B6"/>
    <w:rsid w:val="1A2154AB"/>
    <w:rsid w:val="1A2D6009"/>
    <w:rsid w:val="1A365AD9"/>
    <w:rsid w:val="1A384EDA"/>
    <w:rsid w:val="1A3A7A46"/>
    <w:rsid w:val="1A4B3825"/>
    <w:rsid w:val="1A5214C4"/>
    <w:rsid w:val="1A604A6E"/>
    <w:rsid w:val="1A622F58"/>
    <w:rsid w:val="1AAE251F"/>
    <w:rsid w:val="1AB77BA8"/>
    <w:rsid w:val="1ABA1A9B"/>
    <w:rsid w:val="1AD210BC"/>
    <w:rsid w:val="1ADA5355"/>
    <w:rsid w:val="1AEB4A6C"/>
    <w:rsid w:val="1B113722"/>
    <w:rsid w:val="1BA34EBE"/>
    <w:rsid w:val="1BA64A02"/>
    <w:rsid w:val="1BBE4C21"/>
    <w:rsid w:val="1BCC526D"/>
    <w:rsid w:val="1C0F7370"/>
    <w:rsid w:val="1C1845D0"/>
    <w:rsid w:val="1C1C1C79"/>
    <w:rsid w:val="1C285793"/>
    <w:rsid w:val="1C38750B"/>
    <w:rsid w:val="1C432267"/>
    <w:rsid w:val="1C550A94"/>
    <w:rsid w:val="1C682658"/>
    <w:rsid w:val="1C731FF7"/>
    <w:rsid w:val="1C7F7769"/>
    <w:rsid w:val="1CB02F77"/>
    <w:rsid w:val="1CBB3285"/>
    <w:rsid w:val="1CC175BC"/>
    <w:rsid w:val="1CE53BF5"/>
    <w:rsid w:val="1D3B4CED"/>
    <w:rsid w:val="1D61464A"/>
    <w:rsid w:val="1D8231E6"/>
    <w:rsid w:val="1D901010"/>
    <w:rsid w:val="1DAA11E9"/>
    <w:rsid w:val="1DBE404A"/>
    <w:rsid w:val="1E16693C"/>
    <w:rsid w:val="1E2E1C47"/>
    <w:rsid w:val="1E5309C4"/>
    <w:rsid w:val="1E554167"/>
    <w:rsid w:val="1E783066"/>
    <w:rsid w:val="1E7D61A5"/>
    <w:rsid w:val="1E924A94"/>
    <w:rsid w:val="1EB41A4F"/>
    <w:rsid w:val="1ECB2665"/>
    <w:rsid w:val="1EDB0670"/>
    <w:rsid w:val="1F1A67CD"/>
    <w:rsid w:val="1F2406C6"/>
    <w:rsid w:val="1F6163BF"/>
    <w:rsid w:val="1F6278C1"/>
    <w:rsid w:val="1F8B5BAF"/>
    <w:rsid w:val="1F8F6EC3"/>
    <w:rsid w:val="1FA94F16"/>
    <w:rsid w:val="20255F25"/>
    <w:rsid w:val="20291CB3"/>
    <w:rsid w:val="202F73AB"/>
    <w:rsid w:val="2049150E"/>
    <w:rsid w:val="20540D0F"/>
    <w:rsid w:val="205913A2"/>
    <w:rsid w:val="20707F7E"/>
    <w:rsid w:val="20824933"/>
    <w:rsid w:val="20842F75"/>
    <w:rsid w:val="20844EDC"/>
    <w:rsid w:val="20853A42"/>
    <w:rsid w:val="20C80A9F"/>
    <w:rsid w:val="20CB3580"/>
    <w:rsid w:val="20CC6679"/>
    <w:rsid w:val="20D12D62"/>
    <w:rsid w:val="20D24D60"/>
    <w:rsid w:val="20EF11BB"/>
    <w:rsid w:val="20FE693B"/>
    <w:rsid w:val="2111037C"/>
    <w:rsid w:val="21210B07"/>
    <w:rsid w:val="213C39F7"/>
    <w:rsid w:val="21444B43"/>
    <w:rsid w:val="21486C01"/>
    <w:rsid w:val="214E64EB"/>
    <w:rsid w:val="215E2854"/>
    <w:rsid w:val="21665038"/>
    <w:rsid w:val="216820ED"/>
    <w:rsid w:val="219D0A68"/>
    <w:rsid w:val="21A66555"/>
    <w:rsid w:val="21AC0CB6"/>
    <w:rsid w:val="21C806DD"/>
    <w:rsid w:val="21C84029"/>
    <w:rsid w:val="2254336E"/>
    <w:rsid w:val="22BF5F1A"/>
    <w:rsid w:val="22F87C27"/>
    <w:rsid w:val="230D6FA9"/>
    <w:rsid w:val="235D5957"/>
    <w:rsid w:val="23866A70"/>
    <w:rsid w:val="23E8231D"/>
    <w:rsid w:val="23EA2D8E"/>
    <w:rsid w:val="23F16DBD"/>
    <w:rsid w:val="247728AF"/>
    <w:rsid w:val="24AD00E2"/>
    <w:rsid w:val="24B74192"/>
    <w:rsid w:val="24D85F11"/>
    <w:rsid w:val="2523105C"/>
    <w:rsid w:val="25242F6B"/>
    <w:rsid w:val="25261089"/>
    <w:rsid w:val="25365CD1"/>
    <w:rsid w:val="258861EB"/>
    <w:rsid w:val="2591552F"/>
    <w:rsid w:val="25A13587"/>
    <w:rsid w:val="25A36332"/>
    <w:rsid w:val="25C46206"/>
    <w:rsid w:val="25D20556"/>
    <w:rsid w:val="26153E79"/>
    <w:rsid w:val="26285F08"/>
    <w:rsid w:val="264C0E1C"/>
    <w:rsid w:val="26622DB4"/>
    <w:rsid w:val="26650EB8"/>
    <w:rsid w:val="26731BEC"/>
    <w:rsid w:val="26991832"/>
    <w:rsid w:val="26CD0188"/>
    <w:rsid w:val="27394F8E"/>
    <w:rsid w:val="27523E2B"/>
    <w:rsid w:val="280930C2"/>
    <w:rsid w:val="28234FB2"/>
    <w:rsid w:val="28353550"/>
    <w:rsid w:val="28373F3E"/>
    <w:rsid w:val="28905184"/>
    <w:rsid w:val="28A2570F"/>
    <w:rsid w:val="28D43AA3"/>
    <w:rsid w:val="28D91A73"/>
    <w:rsid w:val="292F7AB5"/>
    <w:rsid w:val="29391735"/>
    <w:rsid w:val="296E6EA5"/>
    <w:rsid w:val="29976D19"/>
    <w:rsid w:val="29B04233"/>
    <w:rsid w:val="29B409F0"/>
    <w:rsid w:val="29DC5911"/>
    <w:rsid w:val="2A717FA2"/>
    <w:rsid w:val="2A9F5D13"/>
    <w:rsid w:val="2ABF6C24"/>
    <w:rsid w:val="2ADD3382"/>
    <w:rsid w:val="2AE8452D"/>
    <w:rsid w:val="2B252CD9"/>
    <w:rsid w:val="2B3E1800"/>
    <w:rsid w:val="2B4F1786"/>
    <w:rsid w:val="2B856DA1"/>
    <w:rsid w:val="2BCA702D"/>
    <w:rsid w:val="2C06344A"/>
    <w:rsid w:val="2C0C5168"/>
    <w:rsid w:val="2C1B6AEB"/>
    <w:rsid w:val="2C317416"/>
    <w:rsid w:val="2C85031F"/>
    <w:rsid w:val="2C9C05BB"/>
    <w:rsid w:val="2CA11E70"/>
    <w:rsid w:val="2CC953AF"/>
    <w:rsid w:val="2D065459"/>
    <w:rsid w:val="2D3C0815"/>
    <w:rsid w:val="2D551503"/>
    <w:rsid w:val="2D7633A7"/>
    <w:rsid w:val="2D8D6A47"/>
    <w:rsid w:val="2DD14B22"/>
    <w:rsid w:val="2DDD3980"/>
    <w:rsid w:val="2DDF0704"/>
    <w:rsid w:val="2DE5291B"/>
    <w:rsid w:val="2E162F19"/>
    <w:rsid w:val="2E504D30"/>
    <w:rsid w:val="2E7C7ED0"/>
    <w:rsid w:val="2E8B76B1"/>
    <w:rsid w:val="2EBF1B8D"/>
    <w:rsid w:val="2EC01172"/>
    <w:rsid w:val="2EE27F02"/>
    <w:rsid w:val="2F1560C0"/>
    <w:rsid w:val="2F412AFA"/>
    <w:rsid w:val="2F716956"/>
    <w:rsid w:val="2F7572F7"/>
    <w:rsid w:val="2F827763"/>
    <w:rsid w:val="2FA757D8"/>
    <w:rsid w:val="2FEE69A6"/>
    <w:rsid w:val="306200F0"/>
    <w:rsid w:val="30705EF8"/>
    <w:rsid w:val="30986BE7"/>
    <w:rsid w:val="30B44244"/>
    <w:rsid w:val="30B7715D"/>
    <w:rsid w:val="30C24F02"/>
    <w:rsid w:val="30D63CF2"/>
    <w:rsid w:val="310D7CC9"/>
    <w:rsid w:val="3172637E"/>
    <w:rsid w:val="317F3D67"/>
    <w:rsid w:val="31A35982"/>
    <w:rsid w:val="31A47F94"/>
    <w:rsid w:val="31B72549"/>
    <w:rsid w:val="31F571E6"/>
    <w:rsid w:val="323F0E05"/>
    <w:rsid w:val="32646CEC"/>
    <w:rsid w:val="327379FA"/>
    <w:rsid w:val="32926FEA"/>
    <w:rsid w:val="32EF625F"/>
    <w:rsid w:val="32F77F3F"/>
    <w:rsid w:val="33285B6D"/>
    <w:rsid w:val="333618F4"/>
    <w:rsid w:val="333B15CC"/>
    <w:rsid w:val="334C5141"/>
    <w:rsid w:val="33793E0E"/>
    <w:rsid w:val="338836F4"/>
    <w:rsid w:val="33AF6BEE"/>
    <w:rsid w:val="34296063"/>
    <w:rsid w:val="34386AD2"/>
    <w:rsid w:val="349B6A4B"/>
    <w:rsid w:val="34D921AF"/>
    <w:rsid w:val="34E40B9E"/>
    <w:rsid w:val="34FE3DB4"/>
    <w:rsid w:val="351500C6"/>
    <w:rsid w:val="35335C9B"/>
    <w:rsid w:val="35386F12"/>
    <w:rsid w:val="35627325"/>
    <w:rsid w:val="357F7A7E"/>
    <w:rsid w:val="359A4299"/>
    <w:rsid w:val="35AA1B77"/>
    <w:rsid w:val="35BB146A"/>
    <w:rsid w:val="3619331F"/>
    <w:rsid w:val="364D5677"/>
    <w:rsid w:val="368C4536"/>
    <w:rsid w:val="36EF53F3"/>
    <w:rsid w:val="37282DBC"/>
    <w:rsid w:val="37502E47"/>
    <w:rsid w:val="375C6F10"/>
    <w:rsid w:val="37604A3D"/>
    <w:rsid w:val="3763046F"/>
    <w:rsid w:val="37667412"/>
    <w:rsid w:val="379A48E2"/>
    <w:rsid w:val="379C3BB7"/>
    <w:rsid w:val="37AB117E"/>
    <w:rsid w:val="37D61961"/>
    <w:rsid w:val="37E41E16"/>
    <w:rsid w:val="37E707E9"/>
    <w:rsid w:val="37EB4486"/>
    <w:rsid w:val="37F74C52"/>
    <w:rsid w:val="38145E69"/>
    <w:rsid w:val="3822751A"/>
    <w:rsid w:val="382D0B30"/>
    <w:rsid w:val="38694446"/>
    <w:rsid w:val="387265D1"/>
    <w:rsid w:val="389568AD"/>
    <w:rsid w:val="38F34CAE"/>
    <w:rsid w:val="393A0F87"/>
    <w:rsid w:val="393F6B8C"/>
    <w:rsid w:val="394B5B7A"/>
    <w:rsid w:val="394F0762"/>
    <w:rsid w:val="397618E6"/>
    <w:rsid w:val="398334A6"/>
    <w:rsid w:val="399143ED"/>
    <w:rsid w:val="399C6D06"/>
    <w:rsid w:val="39F523D9"/>
    <w:rsid w:val="3A0305F4"/>
    <w:rsid w:val="3A3F393A"/>
    <w:rsid w:val="3A764397"/>
    <w:rsid w:val="3A8E08AB"/>
    <w:rsid w:val="3AF32055"/>
    <w:rsid w:val="3AF745B2"/>
    <w:rsid w:val="3B0D06CA"/>
    <w:rsid w:val="3B0E1523"/>
    <w:rsid w:val="3B0E2BC1"/>
    <w:rsid w:val="3B10150F"/>
    <w:rsid w:val="3B1913B0"/>
    <w:rsid w:val="3B217121"/>
    <w:rsid w:val="3B4D746D"/>
    <w:rsid w:val="3B64507A"/>
    <w:rsid w:val="3B7539D5"/>
    <w:rsid w:val="3B95631A"/>
    <w:rsid w:val="3BAD7452"/>
    <w:rsid w:val="3BBA67C9"/>
    <w:rsid w:val="3BC5789D"/>
    <w:rsid w:val="3BDD31CE"/>
    <w:rsid w:val="3C36709E"/>
    <w:rsid w:val="3C3E3DD1"/>
    <w:rsid w:val="3C576B6D"/>
    <w:rsid w:val="3CC80866"/>
    <w:rsid w:val="3CCF2D44"/>
    <w:rsid w:val="3CEA2C1F"/>
    <w:rsid w:val="3D2B255F"/>
    <w:rsid w:val="3D2C1495"/>
    <w:rsid w:val="3D6400D0"/>
    <w:rsid w:val="3D696032"/>
    <w:rsid w:val="3D873FA7"/>
    <w:rsid w:val="3DCA60E8"/>
    <w:rsid w:val="3DD370DA"/>
    <w:rsid w:val="3DF57EB8"/>
    <w:rsid w:val="3E001606"/>
    <w:rsid w:val="3E1A5F4B"/>
    <w:rsid w:val="3E200EA3"/>
    <w:rsid w:val="3E822E90"/>
    <w:rsid w:val="3EF97CBD"/>
    <w:rsid w:val="3F01066C"/>
    <w:rsid w:val="3FA230F2"/>
    <w:rsid w:val="3FA7678B"/>
    <w:rsid w:val="3FA8340E"/>
    <w:rsid w:val="401175F4"/>
    <w:rsid w:val="402A0417"/>
    <w:rsid w:val="403F3341"/>
    <w:rsid w:val="4058716E"/>
    <w:rsid w:val="40705F35"/>
    <w:rsid w:val="40784FAD"/>
    <w:rsid w:val="407F750C"/>
    <w:rsid w:val="40963113"/>
    <w:rsid w:val="40A32BFA"/>
    <w:rsid w:val="40D14984"/>
    <w:rsid w:val="40EA444A"/>
    <w:rsid w:val="412B66CE"/>
    <w:rsid w:val="41512A26"/>
    <w:rsid w:val="41812FA9"/>
    <w:rsid w:val="4182142E"/>
    <w:rsid w:val="418336EA"/>
    <w:rsid w:val="41C05247"/>
    <w:rsid w:val="42070F29"/>
    <w:rsid w:val="420D1B91"/>
    <w:rsid w:val="426D6567"/>
    <w:rsid w:val="429C67A7"/>
    <w:rsid w:val="42AD2D65"/>
    <w:rsid w:val="42C271BA"/>
    <w:rsid w:val="42CF7C1D"/>
    <w:rsid w:val="42DB6E6D"/>
    <w:rsid w:val="42EA6946"/>
    <w:rsid w:val="434468E3"/>
    <w:rsid w:val="434740DF"/>
    <w:rsid w:val="43702F93"/>
    <w:rsid w:val="43A50C96"/>
    <w:rsid w:val="44324618"/>
    <w:rsid w:val="4482594F"/>
    <w:rsid w:val="44994F4D"/>
    <w:rsid w:val="44A31ACC"/>
    <w:rsid w:val="44A51573"/>
    <w:rsid w:val="44D26B54"/>
    <w:rsid w:val="453916BC"/>
    <w:rsid w:val="45CE7C4C"/>
    <w:rsid w:val="45EC5FEB"/>
    <w:rsid w:val="45F736A5"/>
    <w:rsid w:val="4633099A"/>
    <w:rsid w:val="464C751F"/>
    <w:rsid w:val="468F7DA0"/>
    <w:rsid w:val="469B3F7E"/>
    <w:rsid w:val="46B03499"/>
    <w:rsid w:val="4700503B"/>
    <w:rsid w:val="4706696D"/>
    <w:rsid w:val="47113037"/>
    <w:rsid w:val="47382FD8"/>
    <w:rsid w:val="47580E71"/>
    <w:rsid w:val="475A1B60"/>
    <w:rsid w:val="47601C7A"/>
    <w:rsid w:val="477F7281"/>
    <w:rsid w:val="47860733"/>
    <w:rsid w:val="47AC6AEF"/>
    <w:rsid w:val="47AD3A66"/>
    <w:rsid w:val="47DB462B"/>
    <w:rsid w:val="47DF64A0"/>
    <w:rsid w:val="484D49E3"/>
    <w:rsid w:val="486855A2"/>
    <w:rsid w:val="488E614C"/>
    <w:rsid w:val="48D272BD"/>
    <w:rsid w:val="48D84475"/>
    <w:rsid w:val="48DC2D1A"/>
    <w:rsid w:val="49105682"/>
    <w:rsid w:val="49241999"/>
    <w:rsid w:val="492B1DFC"/>
    <w:rsid w:val="494E1741"/>
    <w:rsid w:val="49553D12"/>
    <w:rsid w:val="49812CF9"/>
    <w:rsid w:val="49BD27D9"/>
    <w:rsid w:val="49C32606"/>
    <w:rsid w:val="49E015C9"/>
    <w:rsid w:val="49FF228D"/>
    <w:rsid w:val="4A130A8B"/>
    <w:rsid w:val="4A3272C2"/>
    <w:rsid w:val="4A483989"/>
    <w:rsid w:val="4A64250C"/>
    <w:rsid w:val="4A842482"/>
    <w:rsid w:val="4A8516D8"/>
    <w:rsid w:val="4AA738E0"/>
    <w:rsid w:val="4AAD6B93"/>
    <w:rsid w:val="4AD01E1A"/>
    <w:rsid w:val="4AE471B2"/>
    <w:rsid w:val="4AFC3E8E"/>
    <w:rsid w:val="4B104096"/>
    <w:rsid w:val="4B4B7FC2"/>
    <w:rsid w:val="4B5E26CE"/>
    <w:rsid w:val="4B7029A1"/>
    <w:rsid w:val="4B76791F"/>
    <w:rsid w:val="4B790541"/>
    <w:rsid w:val="4BAB5143"/>
    <w:rsid w:val="4BD14024"/>
    <w:rsid w:val="4BE25377"/>
    <w:rsid w:val="4BE531E0"/>
    <w:rsid w:val="4BF90FA4"/>
    <w:rsid w:val="4C017A1F"/>
    <w:rsid w:val="4C153395"/>
    <w:rsid w:val="4C5207AE"/>
    <w:rsid w:val="4C673746"/>
    <w:rsid w:val="4C8A628E"/>
    <w:rsid w:val="4C9832A8"/>
    <w:rsid w:val="4C9E7A67"/>
    <w:rsid w:val="4CA76709"/>
    <w:rsid w:val="4CAC7D76"/>
    <w:rsid w:val="4CBD53AE"/>
    <w:rsid w:val="4CC1763A"/>
    <w:rsid w:val="4CDE6559"/>
    <w:rsid w:val="4D046728"/>
    <w:rsid w:val="4D1206BF"/>
    <w:rsid w:val="4D241E6C"/>
    <w:rsid w:val="4D6F3BD9"/>
    <w:rsid w:val="4DB42D30"/>
    <w:rsid w:val="4DD25292"/>
    <w:rsid w:val="4DD80D90"/>
    <w:rsid w:val="4E042104"/>
    <w:rsid w:val="4E347E75"/>
    <w:rsid w:val="4E4933C2"/>
    <w:rsid w:val="4E732275"/>
    <w:rsid w:val="4E8107AF"/>
    <w:rsid w:val="4EAB6BC8"/>
    <w:rsid w:val="4EB421C5"/>
    <w:rsid w:val="4EE26404"/>
    <w:rsid w:val="4F673EE8"/>
    <w:rsid w:val="4F9A5001"/>
    <w:rsid w:val="4FB71475"/>
    <w:rsid w:val="4FF02F67"/>
    <w:rsid w:val="500E5EDD"/>
    <w:rsid w:val="501F49B5"/>
    <w:rsid w:val="50646D64"/>
    <w:rsid w:val="50880CED"/>
    <w:rsid w:val="50BA3053"/>
    <w:rsid w:val="50FB4DD1"/>
    <w:rsid w:val="5100469E"/>
    <w:rsid w:val="512B7592"/>
    <w:rsid w:val="51846EA7"/>
    <w:rsid w:val="51D97A8B"/>
    <w:rsid w:val="51E34EB8"/>
    <w:rsid w:val="51EA4CB7"/>
    <w:rsid w:val="51F80C95"/>
    <w:rsid w:val="521A20C4"/>
    <w:rsid w:val="52210A86"/>
    <w:rsid w:val="522B6251"/>
    <w:rsid w:val="52496310"/>
    <w:rsid w:val="526007CC"/>
    <w:rsid w:val="52867736"/>
    <w:rsid w:val="52BE76AE"/>
    <w:rsid w:val="52CE5E95"/>
    <w:rsid w:val="52CF4419"/>
    <w:rsid w:val="530653DD"/>
    <w:rsid w:val="53124DA1"/>
    <w:rsid w:val="53396C24"/>
    <w:rsid w:val="535F6287"/>
    <w:rsid w:val="536153F0"/>
    <w:rsid w:val="53A10A0B"/>
    <w:rsid w:val="53F378D8"/>
    <w:rsid w:val="540F129D"/>
    <w:rsid w:val="543742FB"/>
    <w:rsid w:val="543E2E38"/>
    <w:rsid w:val="54A46F6D"/>
    <w:rsid w:val="54D96004"/>
    <w:rsid w:val="55070ABE"/>
    <w:rsid w:val="557634E1"/>
    <w:rsid w:val="55A434E9"/>
    <w:rsid w:val="55D26BC3"/>
    <w:rsid w:val="55D62BEA"/>
    <w:rsid w:val="55E768BD"/>
    <w:rsid w:val="55EB37A1"/>
    <w:rsid w:val="55F5392F"/>
    <w:rsid w:val="55F932BC"/>
    <w:rsid w:val="5675402A"/>
    <w:rsid w:val="56827C3F"/>
    <w:rsid w:val="56B224C0"/>
    <w:rsid w:val="56CF6ACB"/>
    <w:rsid w:val="56EE42B6"/>
    <w:rsid w:val="5708400C"/>
    <w:rsid w:val="57183A74"/>
    <w:rsid w:val="573568EA"/>
    <w:rsid w:val="57773C92"/>
    <w:rsid w:val="57D1293C"/>
    <w:rsid w:val="57F95C2A"/>
    <w:rsid w:val="580C1DB1"/>
    <w:rsid w:val="582820C3"/>
    <w:rsid w:val="582A6D65"/>
    <w:rsid w:val="585C558C"/>
    <w:rsid w:val="587956F9"/>
    <w:rsid w:val="58A73AA6"/>
    <w:rsid w:val="58B05894"/>
    <w:rsid w:val="58B23052"/>
    <w:rsid w:val="58B81054"/>
    <w:rsid w:val="58BD53FE"/>
    <w:rsid w:val="58BF4FB7"/>
    <w:rsid w:val="58DD0CFA"/>
    <w:rsid w:val="58F4663F"/>
    <w:rsid w:val="58F97626"/>
    <w:rsid w:val="590C3076"/>
    <w:rsid w:val="59160132"/>
    <w:rsid w:val="59D85F30"/>
    <w:rsid w:val="59DD0C9A"/>
    <w:rsid w:val="59E74A49"/>
    <w:rsid w:val="59F34B37"/>
    <w:rsid w:val="59F55317"/>
    <w:rsid w:val="5A075E63"/>
    <w:rsid w:val="5A27573A"/>
    <w:rsid w:val="5A3E0EA1"/>
    <w:rsid w:val="5A4859E7"/>
    <w:rsid w:val="5A626EC9"/>
    <w:rsid w:val="5A8A1B4A"/>
    <w:rsid w:val="5AB61869"/>
    <w:rsid w:val="5ACF7E5C"/>
    <w:rsid w:val="5AF412E4"/>
    <w:rsid w:val="5B070BCF"/>
    <w:rsid w:val="5B203A22"/>
    <w:rsid w:val="5B527993"/>
    <w:rsid w:val="5B5C27B8"/>
    <w:rsid w:val="5B6670B3"/>
    <w:rsid w:val="5B693B9A"/>
    <w:rsid w:val="5B6B11E9"/>
    <w:rsid w:val="5B836D4E"/>
    <w:rsid w:val="5B8B6370"/>
    <w:rsid w:val="5B936B97"/>
    <w:rsid w:val="5B991D26"/>
    <w:rsid w:val="5BB115A2"/>
    <w:rsid w:val="5C1215B5"/>
    <w:rsid w:val="5C244D6B"/>
    <w:rsid w:val="5C290845"/>
    <w:rsid w:val="5C5950DF"/>
    <w:rsid w:val="5C5B3977"/>
    <w:rsid w:val="5C6717BA"/>
    <w:rsid w:val="5C746B0B"/>
    <w:rsid w:val="5CD61CA4"/>
    <w:rsid w:val="5CD83630"/>
    <w:rsid w:val="5CE94DC2"/>
    <w:rsid w:val="5CFC3977"/>
    <w:rsid w:val="5D0B50EF"/>
    <w:rsid w:val="5D337CB5"/>
    <w:rsid w:val="5D853F16"/>
    <w:rsid w:val="5DBB5C9E"/>
    <w:rsid w:val="5DBC2570"/>
    <w:rsid w:val="5E136AA0"/>
    <w:rsid w:val="5E2B2E38"/>
    <w:rsid w:val="5E2C3333"/>
    <w:rsid w:val="5E493798"/>
    <w:rsid w:val="5E586243"/>
    <w:rsid w:val="5E857D72"/>
    <w:rsid w:val="5E9B6FE6"/>
    <w:rsid w:val="5EB10408"/>
    <w:rsid w:val="5EC05A92"/>
    <w:rsid w:val="5EFD0E59"/>
    <w:rsid w:val="5F6931E6"/>
    <w:rsid w:val="5F7F1EE1"/>
    <w:rsid w:val="5F8C37BC"/>
    <w:rsid w:val="5FBB25F2"/>
    <w:rsid w:val="5FD92ADA"/>
    <w:rsid w:val="5FFB0B07"/>
    <w:rsid w:val="5FFE4F54"/>
    <w:rsid w:val="60560594"/>
    <w:rsid w:val="60611414"/>
    <w:rsid w:val="606176D2"/>
    <w:rsid w:val="60675F17"/>
    <w:rsid w:val="609A4B7B"/>
    <w:rsid w:val="61073138"/>
    <w:rsid w:val="61123463"/>
    <w:rsid w:val="618E1A80"/>
    <w:rsid w:val="61BF5B31"/>
    <w:rsid w:val="61F558B8"/>
    <w:rsid w:val="622D3443"/>
    <w:rsid w:val="62552982"/>
    <w:rsid w:val="62B123E4"/>
    <w:rsid w:val="62CD5C45"/>
    <w:rsid w:val="62D77A7F"/>
    <w:rsid w:val="62D850B9"/>
    <w:rsid w:val="630729D5"/>
    <w:rsid w:val="630D32AE"/>
    <w:rsid w:val="63A26CEB"/>
    <w:rsid w:val="63C56A23"/>
    <w:rsid w:val="63D76A9D"/>
    <w:rsid w:val="63F754F8"/>
    <w:rsid w:val="6474067C"/>
    <w:rsid w:val="649A7FE9"/>
    <w:rsid w:val="64CC496B"/>
    <w:rsid w:val="65174E17"/>
    <w:rsid w:val="651F09DF"/>
    <w:rsid w:val="652210EB"/>
    <w:rsid w:val="65794350"/>
    <w:rsid w:val="657D6472"/>
    <w:rsid w:val="659B6673"/>
    <w:rsid w:val="65C64580"/>
    <w:rsid w:val="66525880"/>
    <w:rsid w:val="66765696"/>
    <w:rsid w:val="669E66EB"/>
    <w:rsid w:val="66C95744"/>
    <w:rsid w:val="66E41FBE"/>
    <w:rsid w:val="66FB57CC"/>
    <w:rsid w:val="67090F98"/>
    <w:rsid w:val="673E4D9C"/>
    <w:rsid w:val="6740356B"/>
    <w:rsid w:val="67476CC8"/>
    <w:rsid w:val="675B2A11"/>
    <w:rsid w:val="67757E4A"/>
    <w:rsid w:val="679A5C28"/>
    <w:rsid w:val="67BA4A3A"/>
    <w:rsid w:val="67CF2170"/>
    <w:rsid w:val="67EC7A26"/>
    <w:rsid w:val="68143F2C"/>
    <w:rsid w:val="681F7678"/>
    <w:rsid w:val="68535329"/>
    <w:rsid w:val="68623565"/>
    <w:rsid w:val="686F3462"/>
    <w:rsid w:val="687A5204"/>
    <w:rsid w:val="687C48AE"/>
    <w:rsid w:val="68A74C99"/>
    <w:rsid w:val="68DB777F"/>
    <w:rsid w:val="68FD4E3A"/>
    <w:rsid w:val="6949590D"/>
    <w:rsid w:val="699026AD"/>
    <w:rsid w:val="69C26914"/>
    <w:rsid w:val="69CF6211"/>
    <w:rsid w:val="69E37B94"/>
    <w:rsid w:val="69E67729"/>
    <w:rsid w:val="6A4E42A1"/>
    <w:rsid w:val="6A632AD3"/>
    <w:rsid w:val="6A84509B"/>
    <w:rsid w:val="6A9816E9"/>
    <w:rsid w:val="6AA354C6"/>
    <w:rsid w:val="6ACC5319"/>
    <w:rsid w:val="6AD4151A"/>
    <w:rsid w:val="6ADD6771"/>
    <w:rsid w:val="6B083E55"/>
    <w:rsid w:val="6B57005C"/>
    <w:rsid w:val="6B8D3927"/>
    <w:rsid w:val="6B9B0681"/>
    <w:rsid w:val="6BB97111"/>
    <w:rsid w:val="6BCA6B66"/>
    <w:rsid w:val="6BD10292"/>
    <w:rsid w:val="6BD65086"/>
    <w:rsid w:val="6BDF6D43"/>
    <w:rsid w:val="6BE94CB0"/>
    <w:rsid w:val="6C247E67"/>
    <w:rsid w:val="6C427A82"/>
    <w:rsid w:val="6C595E57"/>
    <w:rsid w:val="6C630F37"/>
    <w:rsid w:val="6CA9025A"/>
    <w:rsid w:val="6CB564E8"/>
    <w:rsid w:val="6CB75BD6"/>
    <w:rsid w:val="6D045E4A"/>
    <w:rsid w:val="6D2E2594"/>
    <w:rsid w:val="6D2E55EA"/>
    <w:rsid w:val="6D364A56"/>
    <w:rsid w:val="6D507883"/>
    <w:rsid w:val="6DA901DD"/>
    <w:rsid w:val="6DAC3F16"/>
    <w:rsid w:val="6DC7239F"/>
    <w:rsid w:val="6DCF1523"/>
    <w:rsid w:val="6DE53954"/>
    <w:rsid w:val="6E2D7AEA"/>
    <w:rsid w:val="6E3B732E"/>
    <w:rsid w:val="6E437F85"/>
    <w:rsid w:val="6E4A2FA7"/>
    <w:rsid w:val="6E960A18"/>
    <w:rsid w:val="6ED07527"/>
    <w:rsid w:val="6F2F3B72"/>
    <w:rsid w:val="6F9C7DC6"/>
    <w:rsid w:val="6F9E17FF"/>
    <w:rsid w:val="6FA04405"/>
    <w:rsid w:val="6FC43F1A"/>
    <w:rsid w:val="6FEE3B27"/>
    <w:rsid w:val="6FFB4E81"/>
    <w:rsid w:val="70095140"/>
    <w:rsid w:val="701B26B0"/>
    <w:rsid w:val="701E56C1"/>
    <w:rsid w:val="70457740"/>
    <w:rsid w:val="70505934"/>
    <w:rsid w:val="706636AD"/>
    <w:rsid w:val="708320B8"/>
    <w:rsid w:val="70A52F0F"/>
    <w:rsid w:val="70BF6EAC"/>
    <w:rsid w:val="715B6DF0"/>
    <w:rsid w:val="716A74FE"/>
    <w:rsid w:val="71983FCC"/>
    <w:rsid w:val="71BE2868"/>
    <w:rsid w:val="71C70D0F"/>
    <w:rsid w:val="71C77393"/>
    <w:rsid w:val="71DA62D5"/>
    <w:rsid w:val="72544AD5"/>
    <w:rsid w:val="72834686"/>
    <w:rsid w:val="72BA37D1"/>
    <w:rsid w:val="72F04A82"/>
    <w:rsid w:val="72F6284E"/>
    <w:rsid w:val="73111840"/>
    <w:rsid w:val="732F5CE0"/>
    <w:rsid w:val="735F7A76"/>
    <w:rsid w:val="737C5636"/>
    <w:rsid w:val="73A020F1"/>
    <w:rsid w:val="73AB3864"/>
    <w:rsid w:val="73C734EC"/>
    <w:rsid w:val="73D72D54"/>
    <w:rsid w:val="749C342F"/>
    <w:rsid w:val="74A32466"/>
    <w:rsid w:val="74C20CC9"/>
    <w:rsid w:val="74D55F45"/>
    <w:rsid w:val="75213D60"/>
    <w:rsid w:val="75267B08"/>
    <w:rsid w:val="755406ED"/>
    <w:rsid w:val="756A1ED5"/>
    <w:rsid w:val="762B3711"/>
    <w:rsid w:val="763E33FE"/>
    <w:rsid w:val="765366C0"/>
    <w:rsid w:val="766C579E"/>
    <w:rsid w:val="76742C90"/>
    <w:rsid w:val="76820CCA"/>
    <w:rsid w:val="76A6708F"/>
    <w:rsid w:val="76C94304"/>
    <w:rsid w:val="76E01314"/>
    <w:rsid w:val="76F07D7C"/>
    <w:rsid w:val="77083036"/>
    <w:rsid w:val="77107791"/>
    <w:rsid w:val="7717199B"/>
    <w:rsid w:val="771A59E0"/>
    <w:rsid w:val="77262FA1"/>
    <w:rsid w:val="77AB5277"/>
    <w:rsid w:val="77D2588A"/>
    <w:rsid w:val="77FE601B"/>
    <w:rsid w:val="780073C7"/>
    <w:rsid w:val="781D210F"/>
    <w:rsid w:val="783F6CF0"/>
    <w:rsid w:val="784B0D1B"/>
    <w:rsid w:val="788F230F"/>
    <w:rsid w:val="78E44E0B"/>
    <w:rsid w:val="78EA2843"/>
    <w:rsid w:val="79170E28"/>
    <w:rsid w:val="795C052D"/>
    <w:rsid w:val="796E5DDD"/>
    <w:rsid w:val="798551A7"/>
    <w:rsid w:val="79A00331"/>
    <w:rsid w:val="79B867A5"/>
    <w:rsid w:val="79BC6710"/>
    <w:rsid w:val="79D9246E"/>
    <w:rsid w:val="79F958D3"/>
    <w:rsid w:val="7A092DFE"/>
    <w:rsid w:val="7A4C292E"/>
    <w:rsid w:val="7AB76F30"/>
    <w:rsid w:val="7ABD2964"/>
    <w:rsid w:val="7AD83B23"/>
    <w:rsid w:val="7B092A56"/>
    <w:rsid w:val="7B1866B0"/>
    <w:rsid w:val="7B26545E"/>
    <w:rsid w:val="7B3576ED"/>
    <w:rsid w:val="7B3C0F81"/>
    <w:rsid w:val="7B5E07DF"/>
    <w:rsid w:val="7BB267C4"/>
    <w:rsid w:val="7C260C58"/>
    <w:rsid w:val="7C381B91"/>
    <w:rsid w:val="7C6F6035"/>
    <w:rsid w:val="7D0A4DD0"/>
    <w:rsid w:val="7D29035F"/>
    <w:rsid w:val="7DC20FD0"/>
    <w:rsid w:val="7DD97376"/>
    <w:rsid w:val="7DDA3C6D"/>
    <w:rsid w:val="7DDD3DB1"/>
    <w:rsid w:val="7E2F79DD"/>
    <w:rsid w:val="7E4B6D51"/>
    <w:rsid w:val="7E897169"/>
    <w:rsid w:val="7F04182C"/>
    <w:rsid w:val="7F0471AE"/>
    <w:rsid w:val="7F435AE3"/>
    <w:rsid w:val="7F49525D"/>
    <w:rsid w:val="7F6902E1"/>
    <w:rsid w:val="7F697FDE"/>
    <w:rsid w:val="7F716C7F"/>
    <w:rsid w:val="7FA32FAB"/>
    <w:rsid w:val="7FB46227"/>
    <w:rsid w:val="7FC43A73"/>
    <w:rsid w:val="7FE17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before="260" w:after="260" w:line="413" w:lineRule="auto"/>
      <w:outlineLvl w:val="2"/>
    </w:pPr>
    <w:rPr>
      <w:b/>
      <w:sz w:val="32"/>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rPr>
      <w:sz w:val="32"/>
      <w:szCs w:val="32"/>
    </w:rPr>
  </w:style>
  <w:style w:type="paragraph" w:styleId="4">
    <w:name w:val="Balloon Text"/>
    <w:basedOn w:val="1"/>
    <w:link w:val="13"/>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页脚 字符"/>
    <w:basedOn w:val="9"/>
    <w:qFormat/>
    <w:uiPriority w:val="0"/>
    <w:rPr>
      <w:rFonts w:ascii="Arial Unicode MS" w:hAnsi="Arial Unicode MS" w:eastAsia="Arial Unicode MS" w:cs="Arial Unicode MS"/>
      <w:sz w:val="18"/>
      <w:szCs w:val="18"/>
      <w:lang w:val="zh-CN" w:bidi="zh-CN"/>
    </w:rPr>
  </w:style>
  <w:style w:type="character" w:customStyle="1" w:styleId="13">
    <w:name w:val="批注框文本 Char"/>
    <w:basedOn w:val="9"/>
    <w:link w:val="4"/>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6908</Words>
  <Characters>8191</Characters>
  <Lines>70</Lines>
  <Paragraphs>19</Paragraphs>
  <TotalTime>8</TotalTime>
  <ScaleCrop>false</ScaleCrop>
  <LinksUpToDate>false</LinksUpToDate>
  <CharactersWithSpaces>8443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2021-08-31T01:09:00Z</dcterms:created>
  <dc:creator>Administrator</dc:creator>
  <cp:lastModifiedBy>坏脾气</cp:lastModifiedBy>
  <dcterms:modified xsi:type="dcterms:W3CDTF">2022-08-23T02:50:19Z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EED05CEA200D4403A3DCB0EFF85B6FE6</vt:lpwstr>
  </property>
</Properties>
</file>