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5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5" w:hRule="atLeast"/>
        </w:trPr>
        <w:tc>
          <w:tcPr>
            <w:tcW w:w="8522" w:type="dxa"/>
          </w:tcPr>
          <w:p>
            <w:pPr>
              <w:pStyle w:val="3"/>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b/>
                <w:bCs/>
                <w:color w:val="FF0000"/>
                <w:sz w:val="22"/>
                <w:szCs w:val="2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2" w:hRule="atLeast"/>
        </w:trPr>
        <w:tc>
          <w:tcPr>
            <w:tcW w:w="8522" w:type="dxa"/>
          </w:tcPr>
          <w:p>
            <w:pPr>
              <w:pStyle w:val="9"/>
              <w:jc w:val="center"/>
              <w:rPr>
                <w:rFonts w:hint="eastAsia" w:ascii="宋体" w:hAnsi="宋体" w:eastAsia="宋体" w:cs="宋体"/>
                <w:b/>
                <w:bCs/>
                <w:sz w:val="52"/>
                <w:szCs w:val="52"/>
                <w:lang w:val="en-US" w:eastAsia="zh-CN"/>
              </w:rPr>
            </w:pPr>
            <w:r>
              <w:rPr>
                <w:rFonts w:hint="eastAsia" w:ascii="宋体" w:hAnsi="宋体" w:eastAsia="宋体" w:cs="宋体"/>
                <w:b/>
                <w:bCs/>
                <w:sz w:val="52"/>
                <w:szCs w:val="52"/>
                <w:lang w:val="en-US" w:eastAsia="zh-CN"/>
              </w:rPr>
              <w:t>2020年度</w:t>
            </w:r>
          </w:p>
          <w:p>
            <w:pPr>
              <w:pStyle w:val="9"/>
              <w:jc w:val="center"/>
              <w:rPr>
                <w:rFonts w:hint="default" w:ascii="宋体" w:hAnsi="宋体" w:eastAsia="宋体" w:cs="宋体"/>
                <w:b/>
                <w:bCs/>
                <w:sz w:val="52"/>
                <w:szCs w:val="52"/>
                <w:lang w:val="en-US" w:eastAsia="zh-CN"/>
              </w:rPr>
            </w:pPr>
            <w:r>
              <w:rPr>
                <w:rFonts w:hint="default" w:ascii="宋体" w:hAnsi="宋体" w:eastAsia="宋体" w:cs="宋体"/>
                <w:b/>
                <w:bCs/>
                <w:sz w:val="52"/>
                <w:szCs w:val="52"/>
                <w:lang w:val="en-US" w:eastAsia="zh-CN"/>
              </w:rPr>
              <w:t>中方县中方镇炉亭坳学校</w:t>
            </w:r>
            <w:r>
              <w:rPr>
                <w:rFonts w:ascii="宋体" w:hAnsi="宋体" w:eastAsia="宋体" w:cs="宋体"/>
                <w:b/>
                <w:sz w:val="52"/>
              </w:rPr>
              <w:t>单位</w:t>
            </w:r>
            <w:r>
              <w:rPr>
                <w:rFonts w:hint="eastAsia" w:ascii="宋体" w:hAnsi="宋体" w:eastAsia="宋体" w:cs="宋体"/>
                <w:b/>
                <w:bCs/>
                <w:sz w:val="52"/>
                <w:szCs w:val="52"/>
                <w:lang w:val="en-US" w:eastAsia="zh-CN"/>
              </w:rPr>
              <w:t>决算</w:t>
            </w:r>
          </w:p>
          <w:p>
            <w:pPr>
              <w:pStyle w:val="9"/>
              <w:jc w:val="center"/>
              <w:rPr>
                <w:rFonts w:hint="default" w:ascii="宋体" w:hAnsi="宋体" w:eastAsia="宋体" w:cs="宋体"/>
                <w:b/>
                <w:bCs/>
                <w:sz w:val="52"/>
                <w:szCs w:val="52"/>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632" w:hRule="atLeast"/>
        </w:trPr>
        <w:tc>
          <w:tcPr>
            <w:tcW w:w="8522" w:type="dxa"/>
          </w:tcPr>
          <w:p>
            <w:pPr>
              <w:pStyle w:val="9"/>
              <w:jc w:val="both"/>
              <w:rPr>
                <w:rFonts w:hint="eastAsia"/>
                <w:sz w:val="44"/>
                <w:szCs w:val="44"/>
                <w:vertAlign w:val="baseline"/>
                <w:lang w:val="en-US" w:eastAsia="zh-CN"/>
              </w:rPr>
            </w:pPr>
          </w:p>
        </w:tc>
      </w:tr>
    </w:tbl>
    <w:p>
      <w:pPr>
        <w:pStyle w:val="9"/>
        <w:rPr>
          <w:rFonts w:hint="eastAsia"/>
          <w:sz w:val="32"/>
          <w:szCs w:val="32"/>
        </w:rPr>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pPr>
    </w:p>
    <w:p>
      <w:pPr>
        <w:pStyle w:val="9"/>
        <w:spacing w:line="500" w:lineRule="exact"/>
        <w:jc w:val="center"/>
        <w:rPr>
          <w:rFonts w:hint="eastAsia" w:ascii="仿宋" w:hAnsi="仿宋" w:eastAsia="仿宋" w:cs="仿宋"/>
          <w:b/>
          <w:sz w:val="32"/>
          <w:szCs w:val="32"/>
        </w:rPr>
      </w:pPr>
      <w:r>
        <w:rPr>
          <w:rFonts w:hint="eastAsia" w:ascii="仿宋" w:hAnsi="仿宋" w:eastAsia="仿宋" w:cs="仿宋"/>
          <w:b/>
          <w:sz w:val="32"/>
          <w:szCs w:val="32"/>
        </w:rPr>
        <w:t>目录</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第一部分</w:t>
      </w:r>
      <w:r>
        <w:rPr>
          <w:rFonts w:ascii="仿宋" w:hAnsi="仿宋" w:eastAsia="仿宋" w:cs="仿宋"/>
          <w:b/>
          <w:sz w:val="28"/>
        </w:rPr>
        <w:t>中方县中方镇炉亭坳学校单位概况</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w:t>
      </w:r>
      <w:r>
        <w:rPr>
          <w:rFonts w:ascii="仿宋" w:hAnsi="仿宋" w:eastAsia="仿宋" w:cs="仿宋"/>
          <w:sz w:val="28"/>
        </w:rPr>
        <w:t>单位职责</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二、机构设置</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第二部分2020年度部门决算表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二、收入决算表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四、财政拨款收入支出决算总表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五、一般公共预算财政拨款支出决算表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六、一般公共预算财政拨款基本支出决算表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七、一般公共预算财政拨款“三公”经费支出决算表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八、政府性基金预算财政拨款收入支出决算表</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九、国有资本经营预算财政拨款支出决算表</w:t>
      </w:r>
    </w:p>
    <w:p>
      <w:pPr>
        <w:pStyle w:val="9"/>
        <w:keepNext w:val="0"/>
        <w:keepLines w:val="0"/>
        <w:pageBreakBefore w:val="0"/>
        <w:widowControl w:val="0"/>
        <w:kinsoku/>
        <w:wordWrap/>
        <w:overflowPunct/>
        <w:topLinePunct w:val="0"/>
        <w:bidi w:val="0"/>
        <w:adjustRightInd/>
        <w:snapToGrid/>
        <w:spacing w:line="440" w:lineRule="exact"/>
        <w:textAlignment w:val="auto"/>
        <w:rPr>
          <w:rFonts w:hint="eastAsia" w:ascii="仿宋" w:hAnsi="仿宋" w:eastAsia="仿宋" w:cs="仿宋"/>
          <w:b/>
          <w:sz w:val="28"/>
          <w:szCs w:val="28"/>
        </w:rPr>
      </w:pPr>
      <w:r>
        <w:rPr>
          <w:rFonts w:hint="eastAsia" w:ascii="仿宋" w:hAnsi="仿宋" w:eastAsia="仿宋" w:cs="仿宋"/>
          <w:b/>
          <w:sz w:val="28"/>
          <w:szCs w:val="28"/>
        </w:rPr>
        <w:t>第三部分2020年度部门决算情况说明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一、收入支出决算总体情况说明</w:t>
      </w:r>
    </w:p>
    <w:p>
      <w:pPr>
        <w:keepNext w:val="0"/>
        <w:keepLines w:val="0"/>
        <w:pageBreakBefore w:val="0"/>
        <w:widowControl w:val="0"/>
        <w:kinsoku/>
        <w:wordWrap/>
        <w:overflowPunct/>
        <w:topLinePunct w:val="0"/>
        <w:bidi w:val="0"/>
        <w:adjustRightInd/>
        <w:snapToGrid/>
        <w:spacing w:line="44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二、收入决算情况说明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三、支出决算情况说明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四、财政拨款收入支出决算总体情况说明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五、一般公共预算财政拨款支出决算情况说明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六、一般公共预算财政拨款基本支出决算情况说明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七、一般公共预算财政拨款三公经费支出决算情况说明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八、政府性基金预算收入支出决算情况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九、关于机关运行经费支出说明</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十、一般性支出情况</w:t>
      </w:r>
    </w:p>
    <w:p>
      <w:pPr>
        <w:keepNext w:val="0"/>
        <w:keepLines w:val="0"/>
        <w:pageBreakBefore w:val="0"/>
        <w:widowControl w:val="0"/>
        <w:kinsoku/>
        <w:wordWrap/>
        <w:overflowPunct/>
        <w:topLinePunct w:val="0"/>
        <w:autoSpaceDE w:val="0"/>
        <w:autoSpaceDN w:val="0"/>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rPr>
      </w:pPr>
      <w:r>
        <w:rPr>
          <w:rFonts w:hint="eastAsia" w:ascii="仿宋" w:hAnsi="仿宋" w:eastAsia="仿宋" w:cs="仿宋"/>
          <w:color w:val="000000"/>
          <w:kern w:val="0"/>
          <w:sz w:val="28"/>
          <w:szCs w:val="28"/>
        </w:rPr>
        <w:t>十一、关于政府采购支出说明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十二、关于国有资产占用情况说明</w:t>
      </w:r>
    </w:p>
    <w:p>
      <w:pPr>
        <w:pStyle w:val="9"/>
        <w:keepNext w:val="0"/>
        <w:keepLines w:val="0"/>
        <w:pageBreakBefore w:val="0"/>
        <w:widowControl w:val="0"/>
        <w:kinsoku/>
        <w:wordWrap/>
        <w:overflowPunct/>
        <w:topLinePunct w:val="0"/>
        <w:bidi w:val="0"/>
        <w:adjustRightInd/>
        <w:snapToGrid/>
        <w:spacing w:line="44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十三、关于2020年度预算绩效情况的说明</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hint="eastAsia" w:ascii="仿宋" w:hAnsi="仿宋" w:eastAsia="仿宋" w:cs="仿宋"/>
          <w:b/>
          <w:color w:val="000000"/>
          <w:kern w:val="0"/>
          <w:sz w:val="28"/>
          <w:szCs w:val="28"/>
        </w:rPr>
        <w:t>第四部分名词解释</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pPr>
      <w:r>
        <w:rPr>
          <w:rFonts w:ascii="仿宋" w:hAnsi="仿宋" w:eastAsia="仿宋" w:cs="仿宋"/>
          <w:b/>
          <w:color w:val="000000"/>
          <w:sz w:val="28"/>
        </w:rPr>
        <w:t>第</w:t>
      </w:r>
      <w:r>
        <w:rPr>
          <w:rFonts w:hint="eastAsia" w:ascii="仿宋" w:hAnsi="仿宋" w:eastAsia="仿宋" w:cs="仿宋"/>
          <w:b/>
          <w:color w:val="000000"/>
          <w:kern w:val="0"/>
          <w:sz w:val="28"/>
          <w:szCs w:val="28"/>
          <w:lang w:val="en-US" w:eastAsia="zh-CN"/>
        </w:rPr>
        <w:t>五</w:t>
      </w:r>
      <w:r>
        <w:rPr>
          <w:rFonts w:hint="eastAsia" w:ascii="仿宋" w:hAnsi="仿宋" w:eastAsia="仿宋" w:cs="仿宋"/>
          <w:b/>
          <w:color w:val="000000"/>
          <w:kern w:val="0"/>
          <w:sz w:val="28"/>
          <w:szCs w:val="28"/>
        </w:rPr>
        <w:t>部分</w:t>
      </w:r>
      <w:r>
        <w:rPr>
          <w:rFonts w:hint="eastAsia" w:ascii="仿宋" w:hAnsi="仿宋" w:eastAsia="仿宋" w:cs="仿宋"/>
          <w:b/>
          <w:color w:val="000000"/>
          <w:kern w:val="0"/>
          <w:sz w:val="28"/>
          <w:szCs w:val="28"/>
          <w:lang w:val="en-US" w:eastAsia="zh-CN"/>
        </w:rPr>
        <w:t>附件</w:t>
      </w:r>
    </w:p>
    <w:p>
      <w:pPr>
        <w:keepNext w:val="0"/>
        <w:keepLines w:val="0"/>
        <w:pageBreakBefore w:val="0"/>
        <w:widowControl w:val="0"/>
        <w:kinsoku/>
        <w:wordWrap/>
        <w:overflowPunct/>
        <w:topLinePunct w:val="0"/>
        <w:autoSpaceDE w:val="0"/>
        <w:autoSpaceDN w:val="0"/>
        <w:bidi w:val="0"/>
        <w:adjustRightInd/>
        <w:snapToGrid/>
        <w:spacing w:line="440" w:lineRule="exact"/>
        <w:jc w:val="left"/>
        <w:textAlignment w:val="auto"/>
        <w:rPr>
          <w:rFonts w:hint="eastAsia" w:ascii="仿宋" w:hAnsi="仿宋" w:eastAsia="仿宋" w:cs="仿宋"/>
          <w:b/>
          <w:color w:val="000000"/>
          <w:kern w:val="0"/>
          <w:sz w:val="28"/>
          <w:szCs w:val="28"/>
        </w:rPr>
        <w:sectPr>
          <w:footerReference r:id="rId5" w:type="default"/>
          <w:pgSz w:w="11906" w:h="16838"/>
          <w:pgMar w:top="1440" w:right="1800" w:bottom="1440" w:left="1800" w:header="851" w:footer="992" w:gutter="0"/>
          <w:pgNumType w:fmt="numberInDash" w:start="1"/>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第一部分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中方县中方镇炉亭坳学校</w:t>
      </w:r>
    </w:p>
    <w:p>
      <w:pPr>
        <w:pStyle w:val="9"/>
        <w:jc w:val="center"/>
        <w:rPr>
          <w:rFonts w:hint="eastAsia" w:ascii="仿宋" w:hAnsi="仿宋" w:eastAsia="仿宋" w:cs="仿宋"/>
          <w:b/>
          <w:bCs/>
          <w:sz w:val="48"/>
          <w:szCs w:val="48"/>
        </w:rPr>
      </w:pPr>
      <w:r>
        <w:rPr>
          <w:rFonts w:hint="eastAsia" w:ascii="仿宋" w:hAnsi="仿宋" w:eastAsia="仿宋" w:cs="仿宋"/>
          <w:b/>
          <w:bCs/>
          <w:sz w:val="52"/>
          <w:szCs w:val="52"/>
        </w:rPr>
        <w:t>单位</w:t>
      </w:r>
      <w:r>
        <w:rPr>
          <w:rFonts w:ascii="仿宋" w:hAnsi="仿宋" w:eastAsia="仿宋" w:cs="仿宋"/>
          <w:b/>
          <w:sz w:val="52"/>
        </w:rPr>
        <w:t>概况</w:t>
      </w:r>
    </w:p>
    <w:p>
      <w:pPr>
        <w:rPr>
          <w:rFonts w:ascii="黑体" w:hAnsi="黑体" w:eastAsia="黑体"/>
          <w:sz w:val="32"/>
          <w:szCs w:val="32"/>
        </w:rPr>
      </w:pPr>
      <w:r>
        <w:rPr>
          <w:rFonts w:ascii="黑体" w:hAnsi="黑体" w:eastAsia="黑体"/>
          <w:sz w:val="32"/>
          <w:szCs w:val="32"/>
        </w:rPr>
        <w:br w:type="page"/>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default" w:ascii="仿宋" w:hAnsi="仿宋" w:eastAsia="仿宋" w:cs="仿宋"/>
          <w:b/>
          <w:bCs/>
          <w:color w:val="auto"/>
          <w:kern w:val="0"/>
          <w:lang w:val="en-US" w:eastAsia="zh-CN" w:bidi="zh-CN"/>
        </w:rPr>
      </w:pPr>
      <w:r>
        <w:rPr>
          <w:rFonts w:hint="eastAsia" w:ascii="仿宋" w:hAnsi="仿宋" w:eastAsia="仿宋" w:cs="仿宋"/>
          <w:b/>
          <w:bCs/>
          <w:color w:val="auto"/>
          <w:kern w:val="0"/>
          <w:lang w:val="en-US" w:eastAsia="zh-CN" w:bidi="zh-CN"/>
        </w:rPr>
        <w:t>一</w:t>
      </w:r>
      <w:r>
        <w:rPr>
          <w:rFonts w:hint="eastAsia" w:ascii="仿宋" w:hAnsi="仿宋" w:eastAsia="仿宋" w:cs="仿宋"/>
          <w:b/>
          <w:bCs/>
          <w:color w:val="auto"/>
          <w:kern w:val="0"/>
          <w:lang w:val="zh-CN" w:bidi="zh-CN"/>
        </w:rPr>
        <w:t>、</w:t>
      </w:r>
      <w:r>
        <w:rPr>
          <w:rFonts w:hint="eastAsia" w:ascii="仿宋" w:hAnsi="仿宋" w:eastAsia="仿宋" w:cs="仿宋"/>
          <w:b/>
          <w:bCs/>
          <w:color w:val="auto"/>
          <w:kern w:val="0"/>
          <w:lang w:val="en-US" w:eastAsia="zh-CN" w:bidi="zh-CN"/>
        </w:rPr>
        <w:t>部门职责</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bidi="zh-CN"/>
        </w:rPr>
      </w:pPr>
      <w:r>
        <w:rPr>
          <w:rFonts w:ascii="仿宋" w:hAnsi="仿宋" w:eastAsia="仿宋" w:cs="仿宋"/>
          <w:color w:val="auto"/>
        </w:rPr>
        <w:t>贯彻落实国家教育工作的方针、政策和法律、法规；实施初中义务教育；促进基础教育发展；落实初中学历教育。落实基础教育教学基本要求和教学基本文件，全面实施素质教育。</w:t>
      </w:r>
    </w:p>
    <w:p>
      <w:pPr>
        <w:jc w:val="left"/>
        <w:rPr>
          <w:rFonts w:hint="eastAsia" w:ascii="仿宋" w:hAnsi="仿宋" w:eastAsia="仿宋" w:cs="仿宋"/>
          <w:sz w:val="28"/>
          <w:szCs w:val="32"/>
        </w:rPr>
      </w:pP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b/>
          <w:bCs/>
          <w:color w:val="auto"/>
          <w:kern w:val="0"/>
          <w:lang w:val="zh-CN" w:bidi="zh-CN"/>
        </w:rPr>
      </w:pPr>
      <w:r>
        <w:rPr>
          <w:rFonts w:hint="eastAsia" w:ascii="仿宋" w:hAnsi="仿宋" w:eastAsia="仿宋" w:cs="仿宋"/>
          <w:b/>
          <w:bCs/>
          <w:color w:val="auto"/>
          <w:kern w:val="0"/>
          <w:lang w:val="zh-CN" w:bidi="zh-CN"/>
        </w:rPr>
        <w:t>二、机构设置及决算单位构成</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（一）内设机构设置。</w:t>
      </w:r>
      <w:r>
        <w:rPr>
          <w:rFonts w:ascii="仿宋" w:hAnsi="仿宋" w:eastAsia="仿宋" w:cs="仿宋"/>
          <w:color w:val="auto"/>
        </w:rPr>
        <w:t>中方县中方镇炉亭坳学校内设机构包括：中方县中方镇炉亭坳学校为股级全额拨款事业单位。内设校长室、党建办公室、办公室、教导室、德育处、总务处、财务室。核定编制31人，事业编制31人，工勤编制1人，实有在职人员32人，退休人员24人。现有公务车0台。</w:t>
      </w:r>
    </w:p>
    <w:p>
      <w:pPr>
        <w:pStyle w:val="3"/>
        <w:keepNext w:val="0"/>
        <w:keepLines w:val="0"/>
        <w:pageBreakBefore w:val="0"/>
        <w:widowControl w:val="0"/>
        <w:suppressAutoHyphens/>
        <w:kinsoku/>
        <w:wordWrap/>
        <w:overflowPunct/>
        <w:topLinePunct w:val="0"/>
        <w:autoSpaceDE/>
        <w:autoSpaceDN/>
        <w:bidi w:val="0"/>
        <w:adjustRightInd/>
        <w:snapToGrid/>
        <w:spacing w:before="0" w:after="0" w:line="360" w:lineRule="auto"/>
        <w:ind w:left="420" w:leftChars="200" w:right="481" w:rightChars="229" w:firstLine="658" w:firstLineChars="0"/>
        <w:jc w:val="both"/>
        <w:textAlignment w:val="auto"/>
        <w:rPr>
          <w:rFonts w:hint="eastAsia" w:ascii="仿宋" w:hAnsi="仿宋" w:eastAsia="仿宋" w:cs="仿宋"/>
          <w:color w:val="auto"/>
          <w:kern w:val="0"/>
          <w:lang w:val="en-US" w:eastAsia="zh-CN" w:bidi="zh-CN"/>
        </w:rPr>
      </w:pPr>
      <w:r>
        <w:rPr>
          <w:rFonts w:hint="eastAsia" w:ascii="仿宋" w:hAnsi="仿宋" w:eastAsia="仿宋" w:cs="仿宋"/>
          <w:color w:val="auto"/>
          <w:kern w:val="0"/>
          <w:lang w:val="en-US" w:eastAsia="zh-CN" w:bidi="zh-CN"/>
        </w:rPr>
        <w:t>（二）决算单位构成。</w:t>
      </w:r>
      <w:r>
        <w:rPr>
          <w:rFonts w:ascii="仿宋" w:hAnsi="仿宋" w:eastAsia="仿宋" w:cs="仿宋"/>
          <w:color w:val="auto"/>
        </w:rPr>
        <w:t>中方县中方镇炉亭坳学校2020年部门决算汇总公开单位构成包括：中方县中方镇炉亭坳学校。</w:t>
      </w:r>
    </w:p>
    <w:p>
      <w:pPr>
        <w:pStyle w:val="3"/>
        <w:keepNext w:val="0"/>
        <w:keepLines w:val="0"/>
        <w:pageBreakBefore w:val="0"/>
        <w:widowControl w:val="0"/>
        <w:kinsoku/>
        <w:wordWrap/>
        <w:overflowPunct/>
        <w:topLinePunct w:val="0"/>
        <w:autoSpaceDE/>
        <w:autoSpaceDN/>
        <w:bidi w:val="0"/>
        <w:adjustRightInd/>
        <w:snapToGrid/>
        <w:spacing w:line="360" w:lineRule="auto"/>
        <w:ind w:left="0" w:leftChars="0" w:right="481" w:rightChars="229" w:firstLine="640" w:firstLineChars="200"/>
        <w:jc w:val="both"/>
        <w:textAlignment w:val="auto"/>
        <w:rPr>
          <w:rFonts w:hint="eastAsia" w:ascii="仿宋" w:hAnsi="仿宋" w:eastAsia="仿宋" w:cs="仿宋"/>
        </w:rPr>
      </w:pPr>
    </w:p>
    <w:p>
      <w:pPr>
        <w:widowControl/>
        <w:spacing w:line="600" w:lineRule="exact"/>
        <w:ind w:left="0" w:leftChars="0" w:firstLine="838" w:firstLineChars="262"/>
        <w:rPr>
          <w:rFonts w:hint="eastAsia" w:ascii="仿宋" w:hAnsi="仿宋" w:eastAsia="仿宋" w:cs="仿宋"/>
          <w:bCs/>
          <w:kern w:val="0"/>
          <w:sz w:val="32"/>
          <w:szCs w:val="32"/>
        </w:rPr>
        <w:sectPr>
          <w:pgSz w:w="11906" w:h="16838"/>
          <w:pgMar w:top="720" w:right="720" w:bottom="720" w:left="720" w:header="851" w:footer="992" w:gutter="0"/>
          <w:pgNumType w:fmt="numberInDash"/>
          <w:cols w:space="425" w:num="1"/>
          <w:docGrid w:type="lines" w:linePitch="312" w:charSpace="0"/>
        </w:sectPr>
      </w:pPr>
    </w:p>
    <w:p>
      <w:pPr>
        <w:jc w:val="center"/>
        <w:rPr>
          <w:sz w:val="72"/>
          <w:szCs w:val="72"/>
        </w:rPr>
      </w:pPr>
    </w:p>
    <w:p>
      <w:pPr>
        <w:jc w:val="center"/>
        <w:rPr>
          <w:sz w:val="72"/>
          <w:szCs w:val="72"/>
        </w:rPr>
      </w:pPr>
    </w:p>
    <w:p>
      <w:pPr>
        <w:jc w:val="center"/>
        <w:rPr>
          <w:sz w:val="72"/>
          <w:szCs w:val="72"/>
        </w:rPr>
      </w:pPr>
    </w:p>
    <w:p>
      <w:pPr>
        <w:jc w:val="center"/>
        <w:rPr>
          <w:sz w:val="72"/>
          <w:szCs w:val="72"/>
        </w:rPr>
      </w:pPr>
    </w:p>
    <w:p>
      <w:pPr>
        <w:jc w:val="center"/>
        <w:rPr>
          <w:rFonts w:hint="eastAsia" w:ascii="仿宋" w:hAnsi="仿宋" w:eastAsia="仿宋" w:cs="仿宋"/>
          <w:b/>
          <w:bCs/>
          <w:sz w:val="52"/>
          <w:szCs w:val="52"/>
        </w:rPr>
      </w:pPr>
      <w:r>
        <w:rPr>
          <w:rFonts w:hint="eastAsia" w:ascii="仿宋" w:hAnsi="仿宋" w:eastAsia="仿宋" w:cs="仿宋"/>
          <w:b/>
          <w:bCs/>
          <w:sz w:val="52"/>
          <w:szCs w:val="52"/>
        </w:rPr>
        <w:t>第二部分</w:t>
      </w:r>
    </w:p>
    <w:p>
      <w:pPr>
        <w:jc w:val="center"/>
        <w:rPr>
          <w:rFonts w:hint="eastAsia" w:ascii="仿宋" w:hAnsi="仿宋" w:eastAsia="仿宋" w:cs="仿宋"/>
          <w:b/>
          <w:bCs/>
          <w:sz w:val="52"/>
          <w:szCs w:val="52"/>
        </w:rPr>
      </w:pPr>
    </w:p>
    <w:p>
      <w:pPr>
        <w:jc w:val="center"/>
        <w:rPr>
          <w:sz w:val="72"/>
          <w:szCs w:val="72"/>
        </w:rPr>
      </w:pPr>
      <w:r>
        <w:rPr>
          <w:rFonts w:hint="eastAsia" w:ascii="仿宋" w:hAnsi="仿宋" w:eastAsia="仿宋" w:cs="仿宋"/>
          <w:b/>
          <w:bCs/>
          <w:sz w:val="52"/>
          <w:szCs w:val="52"/>
        </w:rPr>
        <w:t>单位</w:t>
      </w:r>
      <w:r>
        <w:rPr>
          <w:rFonts w:ascii="仿宋" w:hAnsi="仿宋" w:eastAsia="仿宋" w:cs="仿宋"/>
          <w:b/>
          <w:sz w:val="52"/>
        </w:rPr>
        <w:t>决算表</w:t>
      </w:r>
    </w:p>
    <w:p>
      <w:pPr>
        <w:jc w:val="center"/>
        <w:rPr>
          <w:sz w:val="72"/>
          <w:szCs w:val="72"/>
        </w:rPr>
        <w:sectPr>
          <w:pgSz w:w="11906" w:h="16838"/>
          <w:pgMar w:top="1440" w:right="1800" w:bottom="1440" w:left="1800" w:header="851" w:footer="992" w:gutter="0"/>
          <w:pgNumType w:fmt="numberInDash"/>
          <w:cols w:space="425" w:num="1"/>
          <w:docGrid w:type="lines" w:linePitch="312" w:charSpace="0"/>
        </w:sectPr>
      </w:pPr>
    </w:p>
    <w:tbl>
      <w:tblPr>
        <w:tblStyle w:val="6"/>
        <w:tblW w:w="13995" w:type="dxa"/>
        <w:tblInd w:w="91" w:type="dxa"/>
        <w:tblLayout w:type="fixed"/>
        <w:tblCellMar>
          <w:top w:w="0" w:type="dxa"/>
          <w:left w:w="108" w:type="dxa"/>
          <w:bottom w:w="0" w:type="dxa"/>
          <w:right w:w="108" w:type="dxa"/>
        </w:tblCellMar>
      </w:tblPr>
      <w:tblGrid>
        <w:gridCol w:w="4535"/>
        <w:gridCol w:w="800"/>
        <w:gridCol w:w="1980"/>
        <w:gridCol w:w="3960"/>
        <w:gridCol w:w="800"/>
        <w:gridCol w:w="1920"/>
      </w:tblGrid>
      <w:tr>
        <w:tblPrEx>
          <w:tblCellMar>
            <w:top w:w="0" w:type="dxa"/>
            <w:left w:w="108" w:type="dxa"/>
            <w:bottom w:w="0" w:type="dxa"/>
            <w:right w:w="108" w:type="dxa"/>
          </w:tblCellMar>
        </w:tblPrEx>
        <w:trPr>
          <w:cantSplit/>
          <w:trHeight w:val="360" w:hRule="atLeast"/>
        </w:trPr>
        <w:tc>
          <w:tcPr>
            <w:tcW w:w="13995" w:type="dxa"/>
            <w:gridSpan w:val="6"/>
            <w:tcBorders>
              <w:top w:val="nil"/>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收入支出决算总表</w:t>
            </w:r>
          </w:p>
        </w:tc>
      </w:tr>
      <w:tr>
        <w:tblPrEx>
          <w:tblCellMar>
            <w:top w:w="0" w:type="dxa"/>
            <w:left w:w="108" w:type="dxa"/>
            <w:bottom w:w="0" w:type="dxa"/>
            <w:right w:w="108" w:type="dxa"/>
          </w:tblCellMar>
        </w:tblPrEx>
        <w:trPr>
          <w:cantSplit/>
          <w:trHeight w:val="90" w:hRule="atLeast"/>
        </w:trPr>
        <w:tc>
          <w:tcPr>
            <w:tcW w:w="13995" w:type="dxa"/>
            <w:gridSpan w:val="6"/>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公开01表</w:t>
            </w:r>
          </w:p>
        </w:tc>
      </w:tr>
      <w:tr>
        <w:tblPrEx>
          <w:tblCellMar>
            <w:top w:w="0" w:type="dxa"/>
            <w:left w:w="108" w:type="dxa"/>
            <w:bottom w:w="0" w:type="dxa"/>
            <w:right w:w="108" w:type="dxa"/>
          </w:tblCellMar>
        </w:tblPrEx>
        <w:trPr>
          <w:cantSplit/>
          <w:trHeight w:val="90" w:hRule="atLeast"/>
        </w:trPr>
        <w:tc>
          <w:tcPr>
            <w:tcW w:w="533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中方县中方镇炉亭坳学校</w:t>
            </w:r>
          </w:p>
        </w:tc>
        <w:tc>
          <w:tcPr>
            <w:tcW w:w="8660" w:type="dxa"/>
            <w:gridSpan w:val="4"/>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cantSplit/>
          <w:trHeight w:val="90" w:hRule="atLeast"/>
        </w:trPr>
        <w:tc>
          <w:tcPr>
            <w:tcW w:w="7315"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66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cantSplit/>
          <w:trHeight w:val="337"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决算数</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1</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4"/>
                <w:szCs w:val="24"/>
              </w:rPr>
            </w:pPr>
          </w:p>
        </w:tc>
        <w:tc>
          <w:tcPr>
            <w:tcW w:w="1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i w:val="0"/>
                <w:color w:val="000000"/>
                <w:kern w:val="2"/>
                <w:sz w:val="22"/>
                <w:szCs w:val="22"/>
                <w:u w:val="none"/>
                <w:lang w:val="en-US" w:eastAsia="zh-CN" w:bidi="ar-SA"/>
              </w:rPr>
            </w:pPr>
            <w:r>
              <w:rPr>
                <w:rFonts w:hint="eastAsia" w:ascii="仿宋" w:hAnsi="仿宋" w:eastAsia="仿宋" w:cs="仿宋"/>
                <w:i w:val="0"/>
                <w:color w:val="000000"/>
                <w:kern w:val="0"/>
                <w:sz w:val="22"/>
                <w:szCs w:val="22"/>
                <w:u w:val="none"/>
                <w:lang w:val="en-US" w:eastAsia="zh-CN" w:bidi="ar"/>
              </w:rPr>
              <w:t>2</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三、国有资本经营预算财政拨款收入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四、上级补助收入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五、事业收入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六、经营收入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七、附属单位上缴收入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八、其他收入</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27</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lang w:val="en-US" w:eastAsia="zh-CN"/>
              </w:rPr>
            </w:pPr>
            <w:r>
              <w:rPr>
                <w:rFonts w:hint="eastAsia" w:ascii="仿宋" w:hAnsi="仿宋" w:eastAsia="仿宋" w:cs="仿宋"/>
              </w:rPr>
              <w:t>420.89</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58</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使用非财政拨款结余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结余分配</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59</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年末结转和结余</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r>
      <w:tr>
        <w:tblPrEx>
          <w:tblCellMar>
            <w:top w:w="0" w:type="dxa"/>
            <w:left w:w="108" w:type="dxa"/>
            <w:bottom w:w="0" w:type="dxa"/>
            <w:right w:w="108" w:type="dxa"/>
          </w:tblCellMar>
        </w:tblPrEx>
        <w:trPr>
          <w:cantSplit/>
          <w:trHeight w:val="90" w:hRule="atLeast"/>
        </w:trPr>
        <w:tc>
          <w:tcPr>
            <w:tcW w:w="453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p>
        </w:tc>
        <w:tc>
          <w:tcPr>
            <w:tcW w:w="39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lef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4535"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30</w:t>
            </w:r>
          </w:p>
        </w:tc>
        <w:tc>
          <w:tcPr>
            <w:tcW w:w="19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39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suppressLineNumbers w:val="0"/>
              <w:kinsoku/>
              <w:wordWrap/>
              <w:overflowPunct/>
              <w:topLinePunct w:val="0"/>
              <w:autoSpaceDE/>
              <w:autoSpaceDN/>
              <w:bidi w:val="0"/>
              <w:adjustRightInd/>
              <w:snapToGrid w:val="0"/>
              <w:spacing w:after="34" w:line="34" w:lineRule="atLeast"/>
              <w:jc w:val="center"/>
              <w:textAlignment w:val="auto"/>
              <w:rPr>
                <w:rFonts w:hint="eastAsia" w:ascii="仿宋" w:hAnsi="仿宋" w:eastAsia="仿宋" w:cs="仿宋"/>
                <w:kern w:val="0"/>
                <w:sz w:val="22"/>
              </w:rPr>
            </w:pPr>
            <w:r>
              <w:rPr>
                <w:rFonts w:hint="eastAsia" w:ascii="仿宋" w:hAnsi="仿宋" w:eastAsia="仿宋" w:cs="仿宋"/>
                <w:i w:val="0"/>
                <w:color w:val="000000"/>
                <w:kern w:val="0"/>
                <w:sz w:val="22"/>
                <w:szCs w:val="22"/>
                <w:u w:val="none"/>
                <w:lang w:val="en-US" w:eastAsia="zh-CN" w:bidi="ar"/>
              </w:rPr>
              <w:t>61</w:t>
            </w:r>
          </w:p>
        </w:tc>
        <w:tc>
          <w:tcPr>
            <w:tcW w:w="1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val="0"/>
              <w:spacing w:after="34" w:line="34" w:lineRule="atLeast"/>
              <w:jc w:val="right"/>
              <w:textAlignment w:val="auto"/>
              <w:rPr>
                <w:rFonts w:hint="eastAsia" w:ascii="仿宋" w:hAnsi="仿宋" w:eastAsia="仿宋" w:cs="仿宋"/>
                <w:b/>
                <w:bCs/>
                <w:kern w:val="0"/>
                <w:sz w:val="22"/>
              </w:rPr>
            </w:pPr>
            <w:r>
              <w:rPr>
                <w:rFonts w:hint="eastAsia" w:ascii="仿宋" w:hAnsi="仿宋" w:eastAsia="仿宋" w:cs="仿宋"/>
              </w:rPr>
              <w:t>420.89</w:t>
            </w:r>
          </w:p>
        </w:tc>
      </w:tr>
      <w:tr>
        <w:tblPrEx>
          <w:tblCellMar>
            <w:top w:w="0" w:type="dxa"/>
            <w:left w:w="108" w:type="dxa"/>
            <w:bottom w:w="0" w:type="dxa"/>
            <w:right w:w="108" w:type="dxa"/>
          </w:tblCellMar>
        </w:tblPrEx>
        <w:trPr>
          <w:cantSplit/>
          <w:trHeight w:val="90" w:hRule="atLeast"/>
        </w:trPr>
        <w:tc>
          <w:tcPr>
            <w:tcW w:w="13995" w:type="dxa"/>
            <w:gridSpan w:val="6"/>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kern w:val="0"/>
                <w:sz w:val="24"/>
                <w:szCs w:val="24"/>
              </w:rPr>
              <w:t>注：1.本表反映部门本年度的总收支和年末结转结余情况。</w:t>
            </w:r>
            <w:r>
              <w:rPr>
                <w:rFonts w:hint="eastAsia" w:ascii="仿宋" w:hAnsi="仿宋" w:eastAsia="仿宋" w:cs="仿宋"/>
                <w:kern w:val="0"/>
                <w:sz w:val="24"/>
                <w:szCs w:val="24"/>
              </w:rPr>
              <w:br w:type="textWrapping"/>
            </w:r>
            <w:r>
              <w:rPr>
                <w:rFonts w:hint="eastAsia" w:ascii="仿宋" w:hAnsi="仿宋" w:eastAsia="仿宋" w:cs="仿宋"/>
                <w:kern w:val="0"/>
                <w:sz w:val="24"/>
                <w:szCs w:val="24"/>
              </w:rPr>
              <w:t xml:space="preserve"> 2.本套报表金额单位转换时可能存在尾数误差。</w:t>
            </w:r>
          </w:p>
        </w:tc>
      </w:tr>
    </w:tbl>
    <w:p>
      <w:pPr>
        <w:jc w:val="center"/>
        <w:rPr>
          <w:rFonts w:ascii="黑体" w:hAnsi="黑体" w:eastAsia="黑体"/>
          <w:sz w:val="28"/>
          <w:szCs w:val="28"/>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3988" w:type="dxa"/>
        <w:tblInd w:w="0" w:type="dxa"/>
        <w:tblLayout w:type="fixed"/>
        <w:tblCellMar>
          <w:top w:w="0" w:type="dxa"/>
          <w:left w:w="0" w:type="dxa"/>
          <w:bottom w:w="0" w:type="dxa"/>
          <w:right w:w="0" w:type="dxa"/>
        </w:tblCellMar>
      </w:tblPr>
      <w:tblGrid>
        <w:gridCol w:w="1337"/>
        <w:gridCol w:w="2863"/>
        <w:gridCol w:w="1663"/>
        <w:gridCol w:w="1474"/>
        <w:gridCol w:w="1491"/>
        <w:gridCol w:w="1457"/>
        <w:gridCol w:w="1230"/>
        <w:gridCol w:w="1320"/>
        <w:gridCol w:w="1153"/>
      </w:tblGrid>
      <w:tr>
        <w:tblPrEx>
          <w:tblCellMar>
            <w:top w:w="0" w:type="dxa"/>
            <w:left w:w="0" w:type="dxa"/>
            <w:bottom w:w="0" w:type="dxa"/>
            <w:right w:w="0" w:type="dxa"/>
          </w:tblCellMar>
        </w:tblPrEx>
        <w:trPr>
          <w:trHeight w:val="435" w:hRule="atLeast"/>
        </w:trPr>
        <w:tc>
          <w:tcPr>
            <w:tcW w:w="13988" w:type="dxa"/>
            <w:gridSpan w:val="9"/>
            <w:tcBorders>
              <w:top w:val="nil"/>
              <w:left w:val="nil"/>
              <w:bottom w:val="nil"/>
              <w:right w:val="nil"/>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line="2" w:lineRule="atLeast"/>
              <w:jc w:val="center"/>
              <w:textAlignment w:val="auto"/>
              <w:rPr>
                <w:rFonts w:hint="eastAsia" w:ascii="仿宋" w:hAnsi="仿宋" w:eastAsia="仿宋" w:cs="仿宋"/>
                <w:color w:val="000000"/>
                <w:sz w:val="32"/>
                <w:szCs w:val="32"/>
              </w:rPr>
            </w:pPr>
            <w:r>
              <w:rPr>
                <w:rFonts w:hint="eastAsia" w:ascii="仿宋" w:hAnsi="仿宋" w:eastAsia="仿宋" w:cs="仿宋"/>
                <w:b/>
                <w:bCs/>
                <w:color w:val="000000"/>
                <w:sz w:val="32"/>
                <w:szCs w:val="32"/>
              </w:rPr>
              <w:t>收入决算表</w:t>
            </w:r>
          </w:p>
        </w:tc>
      </w:tr>
      <w:tr>
        <w:tblPrEx>
          <w:tblCellMar>
            <w:top w:w="0" w:type="dxa"/>
            <w:left w:w="0" w:type="dxa"/>
            <w:bottom w:w="0" w:type="dxa"/>
            <w:right w:w="0" w:type="dxa"/>
          </w:tblCellMar>
        </w:tblPrEx>
        <w:trPr>
          <w:trHeight w:val="111" w:hRule="atLeast"/>
        </w:trPr>
        <w:tc>
          <w:tcPr>
            <w:tcW w:w="12835" w:type="dxa"/>
            <w:gridSpan w:val="8"/>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both"/>
              <w:textAlignment w:val="auto"/>
              <w:rPr>
                <w:rFonts w:hint="eastAsia" w:ascii="仿宋" w:hAnsi="仿宋" w:eastAsia="仿宋" w:cs="仿宋"/>
                <w:sz w:val="24"/>
                <w:szCs w:val="24"/>
              </w:rPr>
            </w:pPr>
          </w:p>
        </w:tc>
        <w:tc>
          <w:tcPr>
            <w:tcW w:w="1153" w:type="dxa"/>
            <w:tcBorders>
              <w:top w:val="nil"/>
              <w:left w:val="nil"/>
              <w:bottom w:val="nil"/>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公开02表</w:t>
            </w:r>
          </w:p>
        </w:tc>
      </w:tr>
      <w:tr>
        <w:tblPrEx>
          <w:tblCellMar>
            <w:top w:w="0" w:type="dxa"/>
            <w:left w:w="0" w:type="dxa"/>
            <w:bottom w:w="0" w:type="dxa"/>
            <w:right w:w="0" w:type="dxa"/>
          </w:tblCellMar>
        </w:tblPrEx>
        <w:trPr>
          <w:trHeight w:val="90" w:hRule="atLeast"/>
        </w:trPr>
        <w:tc>
          <w:tcPr>
            <w:tcW w:w="12835" w:type="dxa"/>
            <w:gridSpan w:val="8"/>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sz w:val="24"/>
                <w:szCs w:val="24"/>
              </w:rPr>
            </w:pPr>
            <w:r>
              <w:rPr>
                <w:rFonts w:hint="eastAsia" w:ascii="仿宋" w:hAnsi="仿宋" w:eastAsia="仿宋" w:cs="仿宋"/>
                <w:color w:val="000000"/>
                <w:sz w:val="20"/>
                <w:szCs w:val="20"/>
                <w:lang w:eastAsia="zh-CN"/>
              </w:rPr>
              <w:t>单位</w:t>
            </w:r>
            <w:r>
              <w:rPr>
                <w:rFonts w:hint="eastAsia" w:ascii="仿宋" w:hAnsi="仿宋" w:eastAsia="仿宋" w:cs="仿宋"/>
                <w:color w:val="000000"/>
                <w:sz w:val="20"/>
                <w:szCs w:val="20"/>
              </w:rPr>
              <w:t>：</w:t>
            </w:r>
            <w:r>
              <w:rPr>
                <w:rFonts w:ascii="仿宋" w:hAnsi="仿宋" w:eastAsia="仿宋" w:cs="仿宋"/>
                <w:color w:val="000000"/>
                <w:sz w:val="20"/>
              </w:rPr>
              <w:t>中方县中方镇炉亭坳学校</w:t>
            </w:r>
          </w:p>
        </w:tc>
        <w:tc>
          <w:tcPr>
            <w:tcW w:w="1153" w:type="dxa"/>
            <w:tcBorders>
              <w:top w:val="nil"/>
              <w:left w:val="nil"/>
              <w:bottom w:val="single" w:color="auto" w:sz="4" w:space="0"/>
              <w:right w:val="nil"/>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sz w:val="20"/>
                <w:szCs w:val="20"/>
              </w:rPr>
            </w:pPr>
            <w:r>
              <w:rPr>
                <w:rFonts w:hint="eastAsia" w:ascii="仿宋" w:hAnsi="仿宋" w:eastAsia="仿宋" w:cs="仿宋"/>
                <w:color w:val="000000"/>
                <w:sz w:val="20"/>
                <w:szCs w:val="20"/>
              </w:rPr>
              <w:t>单位：万元</w:t>
            </w:r>
          </w:p>
        </w:tc>
      </w:tr>
      <w:tr>
        <w:tblPrEx>
          <w:tblCellMar>
            <w:top w:w="0" w:type="dxa"/>
            <w:left w:w="0" w:type="dxa"/>
            <w:bottom w:w="0" w:type="dxa"/>
            <w:right w:w="0" w:type="dxa"/>
          </w:tblCellMar>
        </w:tblPrEx>
        <w:trPr>
          <w:trHeight w:val="45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项    目</w:t>
            </w:r>
          </w:p>
        </w:tc>
        <w:tc>
          <w:tcPr>
            <w:tcW w:w="16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本年收入合计</w:t>
            </w:r>
          </w:p>
        </w:tc>
        <w:tc>
          <w:tcPr>
            <w:tcW w:w="1474"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上级补助收入</w:t>
            </w:r>
          </w:p>
        </w:tc>
        <w:tc>
          <w:tcPr>
            <w:tcW w:w="145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事业收入</w:t>
            </w:r>
          </w:p>
        </w:tc>
        <w:tc>
          <w:tcPr>
            <w:tcW w:w="123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经营收入</w:t>
            </w:r>
          </w:p>
        </w:tc>
        <w:tc>
          <w:tcPr>
            <w:tcW w:w="132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附属单位</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上缴收入</w:t>
            </w:r>
          </w:p>
        </w:tc>
        <w:tc>
          <w:tcPr>
            <w:tcW w:w="115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其他收入</w:t>
            </w:r>
          </w:p>
        </w:tc>
      </w:tr>
      <w:tr>
        <w:tblPrEx>
          <w:tblCellMar>
            <w:top w:w="0" w:type="dxa"/>
            <w:left w:w="0" w:type="dxa"/>
            <w:bottom w:w="0" w:type="dxa"/>
            <w:right w:w="0" w:type="dxa"/>
          </w:tblCellMar>
        </w:tblPrEx>
        <w:trPr>
          <w:trHeight w:val="450" w:hRule="atLeast"/>
        </w:trPr>
        <w:tc>
          <w:tcPr>
            <w:tcW w:w="133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rPr>
            </w:pPr>
            <w:r>
              <w:rPr>
                <w:rFonts w:hint="eastAsia" w:ascii="仿宋" w:hAnsi="仿宋" w:eastAsia="仿宋" w:cs="仿宋"/>
              </w:rPr>
              <w:t>功能分类</w:t>
            </w:r>
          </w:p>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科目编码</w:t>
            </w:r>
          </w:p>
        </w:tc>
        <w:tc>
          <w:tcPr>
            <w:tcW w:w="286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科目名称</w:t>
            </w: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312" w:hRule="atLeast"/>
        </w:trPr>
        <w:tc>
          <w:tcPr>
            <w:tcW w:w="133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28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6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23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c>
          <w:tcPr>
            <w:tcW w:w="115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90"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栏次</w:t>
            </w:r>
          </w:p>
        </w:tc>
        <w:tc>
          <w:tcPr>
            <w:tcW w:w="16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1</w:t>
            </w:r>
          </w:p>
        </w:tc>
        <w:tc>
          <w:tcPr>
            <w:tcW w:w="1474"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2</w:t>
            </w:r>
          </w:p>
        </w:tc>
        <w:tc>
          <w:tcPr>
            <w:tcW w:w="149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3</w:t>
            </w:r>
          </w:p>
        </w:tc>
        <w:tc>
          <w:tcPr>
            <w:tcW w:w="145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4</w:t>
            </w:r>
          </w:p>
        </w:tc>
        <w:tc>
          <w:tcPr>
            <w:tcW w:w="123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5</w:t>
            </w:r>
          </w:p>
        </w:tc>
        <w:tc>
          <w:tcPr>
            <w:tcW w:w="1320"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6</w:t>
            </w:r>
          </w:p>
        </w:tc>
        <w:tc>
          <w:tcPr>
            <w:tcW w:w="115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hint="eastAsia" w:ascii="仿宋" w:hAnsi="仿宋" w:eastAsia="仿宋" w:cs="仿宋"/>
              </w:rPr>
              <w:t>7</w:t>
            </w:r>
          </w:p>
        </w:tc>
      </w:tr>
      <w:tr>
        <w:tblPrEx>
          <w:tblCellMar>
            <w:top w:w="0" w:type="dxa"/>
            <w:left w:w="0" w:type="dxa"/>
            <w:bottom w:w="0" w:type="dxa"/>
            <w:right w:w="0" w:type="dxa"/>
          </w:tblCellMar>
        </w:tblPrEx>
        <w:trPr>
          <w:trHeight w:val="245" w:hRule="atLeast"/>
        </w:trPr>
        <w:tc>
          <w:tcPr>
            <w:tcW w:w="420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sz w:val="24"/>
                <w:szCs w:val="24"/>
              </w:rPr>
            </w:pPr>
            <w:r>
              <w:rPr>
                <w:rFonts w:ascii="仿宋" w:hAnsi="仿宋" w:eastAsia="仿宋" w:cs="仿宋"/>
              </w:rPr>
              <w:t>合计</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lang w:val="en-US" w:eastAsia="zh-CN"/>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205</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普通教育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420.89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2050201</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学前教育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0.69</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0.69</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2050202</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小学教育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35.65</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35.65</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2050203</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初中教育</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384.33</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384.33</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147" w:hRule="atLeast"/>
        </w:trPr>
        <w:tc>
          <w:tcPr>
            <w:tcW w:w="133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 xml:space="preserve">    2050299</w:t>
            </w:r>
          </w:p>
        </w:tc>
        <w:tc>
          <w:tcPr>
            <w:tcW w:w="2863"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sz w:val="24"/>
                <w:szCs w:val="24"/>
              </w:rPr>
            </w:pPr>
            <w:r>
              <w:rPr>
                <w:rFonts w:hint="eastAsia" w:ascii="仿宋" w:hAnsi="仿宋" w:eastAsia="仿宋" w:cs="仿宋"/>
              </w:rPr>
              <w:t>其他普通教育支出</w:t>
            </w:r>
          </w:p>
        </w:tc>
        <w:tc>
          <w:tcPr>
            <w:tcW w:w="16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0.22</w:t>
            </w:r>
          </w:p>
        </w:tc>
        <w:tc>
          <w:tcPr>
            <w:tcW w:w="147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r>
              <w:rPr>
                <w:rFonts w:hint="eastAsia" w:ascii="仿宋" w:hAnsi="仿宋" w:eastAsia="仿宋" w:cs="仿宋"/>
              </w:rPr>
              <w:t>0.22</w:t>
            </w:r>
          </w:p>
        </w:tc>
        <w:tc>
          <w:tcPr>
            <w:tcW w:w="149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45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23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32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c>
          <w:tcPr>
            <w:tcW w:w="115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sz w:val="24"/>
                <w:szCs w:val="24"/>
              </w:rPr>
            </w:pPr>
          </w:p>
        </w:tc>
      </w:tr>
      <w:tr>
        <w:tblPrEx>
          <w:tblCellMar>
            <w:top w:w="0" w:type="dxa"/>
            <w:left w:w="0" w:type="dxa"/>
            <w:bottom w:w="0" w:type="dxa"/>
            <w:right w:w="0" w:type="dxa"/>
          </w:tblCellMar>
        </w:tblPrEx>
        <w:trPr>
          <w:trHeight w:val="615" w:hRule="atLeast"/>
        </w:trPr>
        <w:tc>
          <w:tcPr>
            <w:tcW w:w="13988" w:type="dxa"/>
            <w:gridSpan w:val="9"/>
            <w:tcBorders>
              <w:top w:val="single" w:color="auto" w:sz="4" w:space="0"/>
              <w:left w:val="nil"/>
              <w:bottom w:val="nil"/>
              <w:right w:val="nil"/>
            </w:tcBorders>
            <w:shd w:val="clear" w:color="auto" w:fill="auto"/>
            <w:tcMar>
              <w:top w:w="15" w:type="dxa"/>
              <w:left w:w="15" w:type="dxa"/>
              <w:bottom w:w="0" w:type="dxa"/>
              <w:right w:w="15" w:type="dxa"/>
            </w:tcMar>
            <w:vAlign w:val="center"/>
          </w:tcPr>
          <w:p>
            <w:pPr>
              <w:keepNext w:val="0"/>
              <w:keepLines w:val="0"/>
              <w:pageBreakBefore w:val="0"/>
              <w:widowControl w:val="0"/>
              <w:kinsoku/>
              <w:wordWrap/>
              <w:overflowPunct/>
              <w:topLinePunct w:val="0"/>
              <w:autoSpaceDE/>
              <w:autoSpaceDN/>
              <w:bidi w:val="0"/>
              <w:adjustRightInd/>
              <w:snapToGrid/>
              <w:spacing w:after="34" w:line="34" w:lineRule="atLeast"/>
              <w:textAlignment w:val="auto"/>
              <w:rPr>
                <w:rFonts w:hint="eastAsia" w:ascii="仿宋" w:hAnsi="仿宋" w:eastAsia="仿宋" w:cs="仿宋"/>
              </w:rPr>
            </w:pPr>
            <w:r>
              <w:rPr>
                <w:rFonts w:hint="eastAsia" w:ascii="仿宋" w:hAnsi="仿宋" w:eastAsia="仿宋" w:cs="仿宋"/>
              </w:rPr>
              <w:t>注：本表反映部门本年度取得的各项收入情况。</w:t>
            </w:r>
          </w:p>
        </w:tc>
      </w:tr>
    </w:tbl>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tbl>
      <w:tblPr>
        <w:tblStyle w:val="6"/>
        <w:tblW w:w="13935" w:type="dxa"/>
        <w:tblInd w:w="91" w:type="dxa"/>
        <w:tblLayout w:type="fixed"/>
        <w:tblCellMar>
          <w:top w:w="0" w:type="dxa"/>
          <w:left w:w="108" w:type="dxa"/>
          <w:bottom w:w="0" w:type="dxa"/>
          <w:right w:w="108" w:type="dxa"/>
        </w:tblCellMar>
      </w:tblPr>
      <w:tblGrid>
        <w:gridCol w:w="1716"/>
        <w:gridCol w:w="3326"/>
        <w:gridCol w:w="1680"/>
        <w:gridCol w:w="1371"/>
        <w:gridCol w:w="1492"/>
        <w:gridCol w:w="1697"/>
        <w:gridCol w:w="1183"/>
        <w:gridCol w:w="1470"/>
      </w:tblGrid>
      <w:tr>
        <w:tblPrEx>
          <w:tblCellMar>
            <w:top w:w="0" w:type="dxa"/>
            <w:left w:w="108" w:type="dxa"/>
            <w:bottom w:w="0" w:type="dxa"/>
            <w:right w:w="108" w:type="dxa"/>
          </w:tblCellMar>
        </w:tblPrEx>
        <w:trPr>
          <w:trHeight w:val="435" w:hRule="atLeast"/>
        </w:trPr>
        <w:tc>
          <w:tcPr>
            <w:tcW w:w="13935" w:type="dxa"/>
            <w:gridSpan w:val="8"/>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支出决算表</w:t>
            </w:r>
          </w:p>
        </w:tc>
      </w:tr>
      <w:tr>
        <w:trPr>
          <w:trHeight w:val="90" w:hRule="atLeast"/>
        </w:trPr>
        <w:tc>
          <w:tcPr>
            <w:tcW w:w="12465" w:type="dxa"/>
            <w:gridSpan w:val="7"/>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公开03表</w:t>
            </w:r>
          </w:p>
        </w:tc>
      </w:tr>
      <w:tr>
        <w:tblPrEx>
          <w:tblCellMar>
            <w:top w:w="0" w:type="dxa"/>
            <w:left w:w="108" w:type="dxa"/>
            <w:bottom w:w="0" w:type="dxa"/>
            <w:right w:w="108" w:type="dxa"/>
          </w:tblCellMar>
        </w:tblPrEx>
        <w:trPr>
          <w:trHeight w:val="104" w:hRule="atLeast"/>
        </w:trPr>
        <w:tc>
          <w:tcPr>
            <w:tcW w:w="12465" w:type="dxa"/>
            <w:gridSpan w:val="7"/>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中方县中方镇炉亭坳学校</w:t>
            </w:r>
          </w:p>
        </w:tc>
        <w:tc>
          <w:tcPr>
            <w:tcW w:w="1470"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50"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168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本年支出合计</w:t>
            </w:r>
          </w:p>
        </w:tc>
        <w:tc>
          <w:tcPr>
            <w:tcW w:w="137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基本支出</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c>
          <w:tcPr>
            <w:tcW w:w="1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上缴上级支出</w:t>
            </w:r>
          </w:p>
        </w:tc>
        <w:tc>
          <w:tcPr>
            <w:tcW w:w="118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经营支出</w:t>
            </w:r>
          </w:p>
        </w:tc>
        <w:tc>
          <w:tcPr>
            <w:tcW w:w="1470"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对附属单位补助支出</w:t>
            </w:r>
          </w:p>
        </w:tc>
      </w:tr>
      <w:tr>
        <w:tblPrEx>
          <w:tblCellMar>
            <w:top w:w="0" w:type="dxa"/>
            <w:left w:w="108" w:type="dxa"/>
            <w:bottom w:w="0" w:type="dxa"/>
            <w:right w:w="108" w:type="dxa"/>
          </w:tblCellMar>
        </w:tblPrEx>
        <w:trPr>
          <w:trHeight w:val="450" w:hRule="atLeast"/>
        </w:trPr>
        <w:tc>
          <w:tcPr>
            <w:tcW w:w="171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3326"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71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332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371"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69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139"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137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149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c>
          <w:tcPr>
            <w:tcW w:w="169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4</w:t>
            </w:r>
          </w:p>
        </w:tc>
        <w:tc>
          <w:tcPr>
            <w:tcW w:w="1183"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5</w:t>
            </w:r>
          </w:p>
        </w:tc>
        <w:tc>
          <w:tcPr>
            <w:tcW w:w="147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6</w:t>
            </w:r>
          </w:p>
        </w:tc>
      </w:tr>
      <w:tr>
        <w:tblPrEx>
          <w:tblCellMar>
            <w:top w:w="0" w:type="dxa"/>
            <w:left w:w="108" w:type="dxa"/>
            <w:bottom w:w="0" w:type="dxa"/>
            <w:right w:w="108" w:type="dxa"/>
          </w:tblCellMar>
        </w:tblPrEx>
        <w:trPr>
          <w:trHeight w:val="657" w:hRule="atLeast"/>
        </w:trPr>
        <w:tc>
          <w:tcPr>
            <w:tcW w:w="5042"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205</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普通教育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420.89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2050201</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学前教育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0.69</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0.69</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2050202</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小学教育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35.65</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35.65</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2050203</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初中教育</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384.33</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384.33</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48" w:hRule="atLeast"/>
        </w:trPr>
        <w:tc>
          <w:tcPr>
            <w:tcW w:w="17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 xml:space="preserve">    2050299</w:t>
            </w:r>
          </w:p>
        </w:tc>
        <w:tc>
          <w:tcPr>
            <w:tcW w:w="33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rPr>
              <w:t>其他普通教育支出</w:t>
            </w:r>
          </w:p>
        </w:tc>
        <w:tc>
          <w:tcPr>
            <w:tcW w:w="16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0.22</w:t>
            </w:r>
          </w:p>
        </w:tc>
        <w:tc>
          <w:tcPr>
            <w:tcW w:w="1371"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r>
              <w:rPr>
                <w:rFonts w:hint="eastAsia" w:ascii="仿宋" w:hAnsi="仿宋" w:eastAsia="仿宋" w:cs="仿宋"/>
              </w:rPr>
              <w:t>0.22</w:t>
            </w:r>
          </w:p>
        </w:tc>
        <w:tc>
          <w:tcPr>
            <w:tcW w:w="1492"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697"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18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7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630" w:hRule="atLeast"/>
        </w:trPr>
        <w:tc>
          <w:tcPr>
            <w:tcW w:w="13935" w:type="dxa"/>
            <w:gridSpan w:val="8"/>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注：本表反映部门本年度各项支出情况。</w:t>
            </w:r>
          </w:p>
        </w:tc>
      </w:tr>
    </w:tbl>
    <w:p>
      <w:pPr>
        <w:rPr>
          <w:rFonts w:ascii="Times New Roman" w:hAnsi="Times New Roman" w:eastAsia="方正小标宋_GBK" w:cs="Times New Roman"/>
          <w:color w:val="000000"/>
          <w:kern w:val="0"/>
          <w:sz w:val="36"/>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5522" w:type="dxa"/>
        <w:tblInd w:w="91" w:type="dxa"/>
        <w:tblLayout w:type="fixed"/>
        <w:tblCellMar>
          <w:top w:w="0" w:type="dxa"/>
          <w:left w:w="108" w:type="dxa"/>
          <w:bottom w:w="0" w:type="dxa"/>
          <w:right w:w="108" w:type="dxa"/>
        </w:tblCellMar>
      </w:tblPr>
      <w:tblGrid>
        <w:gridCol w:w="3208"/>
        <w:gridCol w:w="760"/>
        <w:gridCol w:w="1600"/>
        <w:gridCol w:w="3380"/>
        <w:gridCol w:w="820"/>
        <w:gridCol w:w="1580"/>
        <w:gridCol w:w="1400"/>
        <w:gridCol w:w="1360"/>
        <w:gridCol w:w="1414"/>
      </w:tblGrid>
      <w:tr>
        <w:tblPrEx>
          <w:tblCellMar>
            <w:top w:w="0" w:type="dxa"/>
            <w:left w:w="108" w:type="dxa"/>
            <w:bottom w:w="0" w:type="dxa"/>
            <w:right w:w="108" w:type="dxa"/>
          </w:tblCellMar>
        </w:tblPrEx>
        <w:trPr>
          <w:trHeight w:val="360" w:hRule="atLeast"/>
        </w:trPr>
        <w:tc>
          <w:tcPr>
            <w:tcW w:w="15522" w:type="dxa"/>
            <w:gridSpan w:val="9"/>
            <w:tcBorders>
              <w:top w:val="nil"/>
              <w:left w:val="nil"/>
              <w:bottom w:val="nil"/>
              <w:right w:val="nil"/>
            </w:tcBorders>
            <w:shd w:val="clear" w:color="auto" w:fill="auto"/>
            <w:noWrap/>
            <w:vAlign w:val="center"/>
          </w:tcPr>
          <w:p>
            <w:pPr>
              <w:widowControl/>
              <w:jc w:val="center"/>
              <w:rPr>
                <w:rFonts w:hint="eastAsia" w:ascii="仿宋" w:hAnsi="仿宋" w:eastAsia="仿宋" w:cs="仿宋"/>
                <w:color w:val="000000"/>
                <w:kern w:val="0"/>
                <w:sz w:val="32"/>
                <w:szCs w:val="32"/>
              </w:rPr>
            </w:pPr>
            <w:bookmarkStart w:id="0" w:name="RANGE!A1:I22"/>
            <w:bookmarkEnd w:id="0"/>
            <w:bookmarkStart w:id="1" w:name="RANGE!A1:F16"/>
            <w:r>
              <w:rPr>
                <w:rFonts w:hint="eastAsia" w:ascii="仿宋" w:hAnsi="仿宋" w:eastAsia="仿宋" w:cs="仿宋"/>
                <w:b/>
                <w:bCs/>
                <w:color w:val="000000"/>
                <w:kern w:val="0"/>
                <w:sz w:val="32"/>
                <w:szCs w:val="32"/>
              </w:rPr>
              <w:t>财政拨款收入支出决算总表</w:t>
            </w:r>
          </w:p>
        </w:tc>
      </w:tr>
      <w:tr>
        <w:tblPrEx>
          <w:tblCellMar>
            <w:top w:w="0" w:type="dxa"/>
            <w:left w:w="108" w:type="dxa"/>
            <w:bottom w:w="0" w:type="dxa"/>
            <w:right w:w="108" w:type="dxa"/>
          </w:tblCellMar>
        </w:tblPrEx>
        <w:trPr>
          <w:trHeight w:val="148" w:hRule="atLeast"/>
        </w:trPr>
        <w:tc>
          <w:tcPr>
            <w:tcW w:w="14108" w:type="dxa"/>
            <w:gridSpan w:val="8"/>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1414" w:type="dxa"/>
            <w:tcBorders>
              <w:top w:val="nil"/>
              <w:left w:val="nil"/>
              <w:bottom w:val="nil"/>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公开04表</w:t>
            </w:r>
          </w:p>
        </w:tc>
      </w:tr>
      <w:tr>
        <w:tblPrEx>
          <w:tblCellMar>
            <w:top w:w="0" w:type="dxa"/>
            <w:left w:w="108" w:type="dxa"/>
            <w:bottom w:w="0" w:type="dxa"/>
            <w:right w:w="108" w:type="dxa"/>
          </w:tblCellMar>
        </w:tblPrEx>
        <w:trPr>
          <w:trHeight w:val="90" w:hRule="atLeast"/>
        </w:trPr>
        <w:tc>
          <w:tcPr>
            <w:tcW w:w="14108" w:type="dxa"/>
            <w:gridSpan w:val="8"/>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中方县中方镇炉亭坳学校</w:t>
            </w:r>
          </w:p>
        </w:tc>
        <w:tc>
          <w:tcPr>
            <w:tcW w:w="1414" w:type="dxa"/>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556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收入</w:t>
            </w:r>
          </w:p>
        </w:tc>
        <w:tc>
          <w:tcPr>
            <w:tcW w:w="9954"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支出</w:t>
            </w:r>
          </w:p>
        </w:tc>
      </w:tr>
      <w:tr>
        <w:tblPrEx>
          <w:tblCellMar>
            <w:top w:w="0" w:type="dxa"/>
            <w:left w:w="108" w:type="dxa"/>
            <w:bottom w:w="0" w:type="dxa"/>
            <w:right w:w="108" w:type="dxa"/>
          </w:tblCellMar>
        </w:tblPrEx>
        <w:trPr>
          <w:trHeight w:val="73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金额</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    目</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0"/>
                <w:szCs w:val="20"/>
              </w:rPr>
            </w:pPr>
            <w:r>
              <w:rPr>
                <w:rFonts w:hint="eastAsia" w:ascii="仿宋" w:hAnsi="仿宋" w:eastAsia="仿宋" w:cs="仿宋"/>
                <w:kern w:val="0"/>
                <w:sz w:val="20"/>
                <w:szCs w:val="20"/>
              </w:rPr>
              <w:t>行次</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4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一般公共预算财政拨款</w:t>
            </w:r>
          </w:p>
        </w:tc>
        <w:tc>
          <w:tcPr>
            <w:tcW w:w="13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政府性基金预算财政拨款</w:t>
            </w:r>
          </w:p>
        </w:tc>
        <w:tc>
          <w:tcPr>
            <w:tcW w:w="14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国有资本经营预算财政拨款</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ascii="仿宋" w:hAnsi="仿宋" w:eastAsia="仿宋" w:cs="仿宋"/>
                <w:sz w:val="24"/>
              </w:rPr>
              <w:t>栏    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    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lang w:val="en-US" w:eastAsia="zh-CN"/>
              </w:rPr>
            </w:pPr>
            <w:r>
              <w:rPr>
                <w:rFonts w:hint="eastAsia" w:ascii="仿宋" w:hAnsi="仿宋" w:eastAsia="仿宋" w:cs="仿宋"/>
              </w:rPr>
              <w:t>2</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3</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4</w:t>
            </w: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rPr>
              <w:t>5</w:t>
            </w: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一、一般公共服务支出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二、外交支出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三、国有资本经营财政拨款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三、国防支出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四、公共安全支出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五、教育支出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六、科学技术支出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七、文化旅游体育与传媒支出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八、社会保障和就业支出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九、卫生健康支出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十、节能环保支出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十一、城乡社区支出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十二、农林水支出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十三、交通运输支出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十四、资源勘探工业信息等支出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十五、商业服务业等支出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十六、金融支出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十七、援助其他地区支出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49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十八、自然资源海洋气象等支出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19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十九、住房保障支出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二十、粮油物资储备支出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二十一、国有资本经营预算支出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二十二、灾害防治及应急管理支出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54</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23</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二十三、其他支出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55</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24</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二十四、债务还本支出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56</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25</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二十五、债务付息支出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57</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02"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26</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二十六、抗疫特别国债安排的支出</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58</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97"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ascii="仿宋" w:hAnsi="仿宋" w:eastAsia="仿宋" w:cs="仿宋"/>
                <w:b/>
                <w:sz w:val="22"/>
              </w:rPr>
              <w:t>本年收入合计</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27</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420.89</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本年支出合计</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59</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年初财政拨款结转和结余</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28</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年末财政拨款结转和结余</w:t>
            </w: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60</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一般公共预算财政拨款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29</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61</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政府性基金预算财政拨款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30</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62</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90" w:hRule="atLeast"/>
        </w:trPr>
        <w:tc>
          <w:tcPr>
            <w:tcW w:w="320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r>
              <w:rPr>
                <w:rFonts w:hint="eastAsia" w:ascii="仿宋" w:hAnsi="仿宋" w:eastAsia="仿宋" w:cs="仿宋"/>
              </w:rPr>
              <w:t xml:space="preserve">  国有资本经营预算财政拨款</w:t>
            </w:r>
          </w:p>
        </w:tc>
        <w:tc>
          <w:tcPr>
            <w:tcW w:w="7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31</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0.0</w:t>
            </w:r>
          </w:p>
        </w:tc>
        <w:tc>
          <w:tcPr>
            <w:tcW w:w="33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2"/>
              </w:rPr>
            </w:pPr>
          </w:p>
        </w:tc>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rPr>
            </w:pPr>
            <w:r>
              <w:rPr>
                <w:rFonts w:hint="eastAsia" w:ascii="仿宋" w:hAnsi="仿宋" w:eastAsia="仿宋" w:cs="仿宋"/>
              </w:rPr>
              <w:t>63</w:t>
            </w:r>
          </w:p>
        </w:tc>
        <w:tc>
          <w:tcPr>
            <w:tcW w:w="15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p>
        </w:tc>
      </w:tr>
      <w:tr>
        <w:tblPrEx>
          <w:tblCellMar>
            <w:top w:w="0" w:type="dxa"/>
            <w:left w:w="108" w:type="dxa"/>
            <w:bottom w:w="0" w:type="dxa"/>
            <w:right w:w="108" w:type="dxa"/>
          </w:tblCellMar>
        </w:tblPrEx>
        <w:trPr>
          <w:trHeight w:val="459" w:hRule="atLeast"/>
        </w:trPr>
        <w:tc>
          <w:tcPr>
            <w:tcW w:w="320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76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32</w:t>
            </w:r>
          </w:p>
        </w:tc>
        <w:tc>
          <w:tcPr>
            <w:tcW w:w="16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kern w:val="0"/>
                <w:sz w:val="22"/>
              </w:rPr>
              <w:t>420.89</w:t>
            </w:r>
          </w:p>
        </w:tc>
        <w:tc>
          <w:tcPr>
            <w:tcW w:w="33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bCs/>
                <w:kern w:val="0"/>
                <w:sz w:val="22"/>
              </w:rPr>
            </w:pPr>
            <w:r>
              <w:rPr>
                <w:rFonts w:hint="eastAsia" w:ascii="仿宋" w:hAnsi="仿宋" w:eastAsia="仿宋" w:cs="仿宋"/>
                <w:b/>
                <w:bCs/>
                <w:kern w:val="0"/>
                <w:sz w:val="22"/>
              </w:rPr>
              <w:t>总计</w:t>
            </w:r>
          </w:p>
        </w:tc>
        <w:tc>
          <w:tcPr>
            <w:tcW w:w="8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2"/>
                <w:lang w:val="en-US" w:eastAsia="zh-CN"/>
              </w:rPr>
            </w:pPr>
            <w:r>
              <w:rPr>
                <w:rFonts w:hint="eastAsia" w:ascii="仿宋" w:hAnsi="仿宋" w:eastAsia="仿宋" w:cs="仿宋"/>
                <w:kern w:val="0"/>
                <w:sz w:val="22"/>
                <w:lang w:val="en-US" w:eastAsia="zh-CN"/>
              </w:rPr>
              <w:t>64</w:t>
            </w:r>
          </w:p>
        </w:tc>
        <w:tc>
          <w:tcPr>
            <w:tcW w:w="158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40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2"/>
              </w:rPr>
            </w:pPr>
            <w:r>
              <w:rPr>
                <w:rFonts w:hint="eastAsia" w:ascii="仿宋" w:hAnsi="仿宋" w:eastAsia="仿宋" w:cs="仿宋"/>
              </w:rPr>
              <w:t>420.89</w:t>
            </w:r>
          </w:p>
        </w:tc>
        <w:tc>
          <w:tcPr>
            <w:tcW w:w="13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c>
          <w:tcPr>
            <w:tcW w:w="1414"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bCs/>
                <w:kern w:val="0"/>
                <w:sz w:val="22"/>
              </w:rPr>
            </w:pPr>
          </w:p>
        </w:tc>
      </w:tr>
      <w:tr>
        <w:tblPrEx>
          <w:tblCellMar>
            <w:top w:w="0" w:type="dxa"/>
            <w:left w:w="108" w:type="dxa"/>
            <w:bottom w:w="0" w:type="dxa"/>
            <w:right w:w="108" w:type="dxa"/>
          </w:tblCellMar>
        </w:tblPrEx>
        <w:trPr>
          <w:trHeight w:val="295" w:hRule="atLeast"/>
        </w:trPr>
        <w:tc>
          <w:tcPr>
            <w:tcW w:w="15522" w:type="dxa"/>
            <w:gridSpan w:val="9"/>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注：本表反映部门本年度一般公共预算财政拨款、政府性基金预算财政拨款和国有资本经营预算财政拨款的总收支和年末结转结余情况。</w:t>
            </w:r>
          </w:p>
        </w:tc>
      </w:tr>
    </w:tbl>
    <w:p>
      <w:pPr>
        <w:widowControl/>
        <w:jc w:val="both"/>
        <w:rPr>
          <w:rFonts w:ascii="Times New Roman" w:hAnsi="Times New Roman" w:eastAsia="方正小标宋_GBK" w:cs="Times New Roman"/>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bookmarkEnd w:id="1"/>
    <w:tbl>
      <w:tblPr>
        <w:tblStyle w:val="6"/>
        <w:tblW w:w="14219" w:type="dxa"/>
        <w:jc w:val="center"/>
        <w:tblLayout w:type="fixed"/>
        <w:tblCellMar>
          <w:top w:w="0" w:type="dxa"/>
          <w:left w:w="108" w:type="dxa"/>
          <w:bottom w:w="0" w:type="dxa"/>
          <w:right w:w="108" w:type="dxa"/>
        </w:tblCellMar>
      </w:tblPr>
      <w:tblGrid>
        <w:gridCol w:w="1693"/>
        <w:gridCol w:w="4886"/>
        <w:gridCol w:w="2674"/>
        <w:gridCol w:w="2486"/>
        <w:gridCol w:w="2480"/>
      </w:tblGrid>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一般公共预算财政拨款支出决算表</w:t>
            </w:r>
          </w:p>
        </w:tc>
      </w:tr>
      <w:tr>
        <w:tblPrEx>
          <w:tblCellMar>
            <w:top w:w="0" w:type="dxa"/>
            <w:left w:w="108" w:type="dxa"/>
            <w:bottom w:w="0" w:type="dxa"/>
            <w:right w:w="108" w:type="dxa"/>
          </w:tblCellMar>
        </w:tblPrEx>
        <w:trPr>
          <w:trHeight w:val="405" w:hRule="atLeast"/>
          <w:jc w:val="center"/>
        </w:trPr>
        <w:tc>
          <w:tcPr>
            <w:tcW w:w="14219" w:type="dxa"/>
            <w:gridSpan w:val="5"/>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公开05表</w:t>
            </w:r>
          </w:p>
        </w:tc>
      </w:tr>
      <w:tr>
        <w:tblPrEx>
          <w:tblCellMar>
            <w:top w:w="0" w:type="dxa"/>
            <w:left w:w="108" w:type="dxa"/>
            <w:bottom w:w="0" w:type="dxa"/>
            <w:right w:w="108" w:type="dxa"/>
          </w:tblCellMar>
        </w:tblPrEx>
        <w:trPr>
          <w:trHeight w:val="405" w:hRule="atLeast"/>
          <w:jc w:val="center"/>
        </w:trPr>
        <w:tc>
          <w:tcPr>
            <w:tcW w:w="6579"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中方县中方镇炉亭坳学校</w:t>
            </w:r>
          </w:p>
        </w:tc>
        <w:tc>
          <w:tcPr>
            <w:tcW w:w="7640" w:type="dxa"/>
            <w:gridSpan w:val="3"/>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9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 xml:space="preserve">项 </w:t>
            </w:r>
            <w:r>
              <w:rPr>
                <w:rFonts w:hint="eastAsia" w:ascii="仿宋" w:hAnsi="仿宋" w:eastAsia="仿宋" w:cs="仿宋"/>
                <w:b/>
                <w:color w:val="000000"/>
                <w:kern w:val="0"/>
                <w:szCs w:val="21"/>
              </w:rPr>
              <w:t xml:space="preserve">   </w:t>
            </w:r>
            <w:r>
              <w:rPr>
                <w:rFonts w:hint="eastAsia" w:ascii="仿宋" w:hAnsi="仿宋" w:eastAsia="仿宋" w:cs="仿宋"/>
                <w:b/>
                <w:kern w:val="0"/>
                <w:szCs w:val="21"/>
              </w:rPr>
              <w:t>目</w:t>
            </w:r>
          </w:p>
        </w:tc>
        <w:tc>
          <w:tcPr>
            <w:tcW w:w="764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本年支出</w:t>
            </w:r>
          </w:p>
        </w:tc>
      </w:tr>
      <w:tr>
        <w:tblPrEx>
          <w:tblCellMar>
            <w:top w:w="0" w:type="dxa"/>
            <w:left w:w="108" w:type="dxa"/>
            <w:bottom w:w="0" w:type="dxa"/>
            <w:right w:w="108" w:type="dxa"/>
          </w:tblCellMar>
        </w:tblPrEx>
        <w:trPr>
          <w:trHeight w:val="495" w:hRule="atLeast"/>
          <w:jc w:val="center"/>
        </w:trPr>
        <w:tc>
          <w:tcPr>
            <w:tcW w:w="169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科目编码</w:t>
            </w:r>
          </w:p>
        </w:tc>
        <w:tc>
          <w:tcPr>
            <w:tcW w:w="48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科目名称</w:t>
            </w:r>
          </w:p>
        </w:tc>
        <w:tc>
          <w:tcPr>
            <w:tcW w:w="267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小计</w:t>
            </w:r>
          </w:p>
        </w:tc>
        <w:tc>
          <w:tcPr>
            <w:tcW w:w="248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基本支出</w:t>
            </w:r>
          </w:p>
        </w:tc>
        <w:tc>
          <w:tcPr>
            <w:tcW w:w="24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b/>
                <w:kern w:val="0"/>
                <w:szCs w:val="21"/>
              </w:rPr>
            </w:pPr>
            <w:r>
              <w:rPr>
                <w:rFonts w:hint="eastAsia" w:ascii="仿宋" w:hAnsi="仿宋" w:eastAsia="仿宋" w:cs="仿宋"/>
                <w:b/>
                <w:kern w:val="0"/>
                <w:szCs w:val="21"/>
              </w:rPr>
              <w:t>项目支出</w:t>
            </w:r>
          </w:p>
        </w:tc>
      </w:tr>
      <w:tr>
        <w:tblPrEx>
          <w:tblCellMar>
            <w:top w:w="0" w:type="dxa"/>
            <w:left w:w="108" w:type="dxa"/>
            <w:bottom w:w="0" w:type="dxa"/>
            <w:right w:w="108" w:type="dxa"/>
          </w:tblCellMar>
        </w:tblPrEx>
        <w:trPr>
          <w:trHeight w:val="360"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312" w:hRule="atLeast"/>
          <w:jc w:val="center"/>
        </w:trPr>
        <w:tc>
          <w:tcPr>
            <w:tcW w:w="169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8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674"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6"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24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r>
      <w:tr>
        <w:tblPrEx>
          <w:tblCellMar>
            <w:top w:w="0" w:type="dxa"/>
            <w:left w:w="108" w:type="dxa"/>
            <w:bottom w:w="0" w:type="dxa"/>
            <w:right w:w="108" w:type="dxa"/>
          </w:tblCellMar>
        </w:tblPrEx>
        <w:trPr>
          <w:trHeight w:val="450" w:hRule="atLeast"/>
          <w:jc w:val="center"/>
        </w:trPr>
        <w:tc>
          <w:tcPr>
            <w:tcW w:w="6579"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205</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普通教育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420.89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2050201</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学前教育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0.69</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0.69</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2050202</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小学教育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35.65</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35.65</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2050203</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初中教育</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384.33</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384.33</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rPr>
          <w:trHeight w:val="448" w:hRule="atLeast"/>
          <w:jc w:val="center"/>
        </w:trPr>
        <w:tc>
          <w:tcPr>
            <w:tcW w:w="169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 xml:space="preserve">    2050299</w:t>
            </w:r>
          </w:p>
        </w:tc>
        <w:tc>
          <w:tcPr>
            <w:tcW w:w="48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rPr>
              <w:t>其他普通教育支出</w:t>
            </w:r>
          </w:p>
        </w:tc>
        <w:tc>
          <w:tcPr>
            <w:tcW w:w="267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2486"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rPr>
              <w:t>0.22</w:t>
            </w:r>
          </w:p>
        </w:tc>
        <w:tc>
          <w:tcPr>
            <w:tcW w:w="24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90" w:hRule="atLeast"/>
          <w:jc w:val="center"/>
        </w:trPr>
        <w:tc>
          <w:tcPr>
            <w:tcW w:w="14219"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注：本表反映部门本年度一般公共预算财政拨款支出情况。</w:t>
            </w:r>
          </w:p>
        </w:tc>
      </w:tr>
    </w:tbl>
    <w:p>
      <w:pPr>
        <w:widowControl/>
        <w:jc w:val="left"/>
        <w:rPr>
          <w:rFonts w:ascii="Times New Roman" w:hAnsi="Times New Roman" w:eastAsia="仿宋_GB2312" w:cs="Times New Roman"/>
          <w:bCs/>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0" w:type="auto"/>
        <w:tblInd w:w="0" w:type="dxa"/>
        <w:tblLayout w:type="fixed"/>
        <w:tblCellMar>
          <w:top w:w="0" w:type="dxa"/>
          <w:left w:w="108" w:type="dxa"/>
          <w:bottom w:w="0" w:type="dxa"/>
          <w:right w:w="108" w:type="dxa"/>
        </w:tblCellMar>
      </w:tblPr>
      <w:tblGrid>
        <w:gridCol w:w="1068"/>
        <w:gridCol w:w="3153"/>
        <w:gridCol w:w="1260"/>
        <w:gridCol w:w="1220"/>
        <w:gridCol w:w="2920"/>
        <w:gridCol w:w="1180"/>
        <w:gridCol w:w="1180"/>
        <w:gridCol w:w="2520"/>
        <w:gridCol w:w="1300"/>
      </w:tblGrid>
      <w:tr>
        <w:tblPrEx>
          <w:tblCellMar>
            <w:top w:w="0" w:type="dxa"/>
            <w:left w:w="108" w:type="dxa"/>
            <w:bottom w:w="0" w:type="dxa"/>
            <w:right w:w="108" w:type="dxa"/>
          </w:tblCellMar>
        </w:tblPrEx>
        <w:trPr>
          <w:trHeight w:val="113" w:hRule="atLeast"/>
        </w:trPr>
        <w:tc>
          <w:tcPr>
            <w:tcW w:w="15801" w:type="dxa"/>
            <w:gridSpan w:val="9"/>
            <w:tcBorders>
              <w:top w:val="nil"/>
              <w:left w:val="nil"/>
              <w:bottom w:val="nil"/>
              <w:right w:val="nil"/>
            </w:tcBorders>
            <w:shd w:val="clear" w:color="auto" w:fill="auto"/>
            <w:vAlign w:val="center"/>
          </w:tcPr>
          <w:p>
            <w:pPr>
              <w:widowControl/>
              <w:jc w:val="center"/>
              <w:rPr>
                <w:rFonts w:hint="eastAsia" w:ascii="仿宋" w:hAnsi="仿宋" w:eastAsia="仿宋" w:cs="仿宋"/>
                <w:color w:val="000000"/>
                <w:kern w:val="0"/>
                <w:szCs w:val="20"/>
              </w:rPr>
            </w:pPr>
            <w:bookmarkStart w:id="2" w:name="RANGE!A1:I34"/>
            <w:r>
              <w:rPr>
                <w:rFonts w:hint="eastAsia" w:ascii="仿宋" w:hAnsi="仿宋" w:eastAsia="仿宋" w:cs="仿宋"/>
                <w:b/>
                <w:bCs/>
                <w:kern w:val="0"/>
                <w:sz w:val="36"/>
                <w:szCs w:val="36"/>
              </w:rPr>
              <w:t>一般公共预算财政拨款基本支出决算表</w:t>
            </w:r>
            <w:bookmarkEnd w:id="2"/>
          </w:p>
        </w:tc>
      </w:tr>
      <w:tr>
        <w:tblPrEx>
          <w:tblCellMar>
            <w:top w:w="0" w:type="dxa"/>
            <w:left w:w="108" w:type="dxa"/>
            <w:bottom w:w="0" w:type="dxa"/>
            <w:right w:w="108" w:type="dxa"/>
          </w:tblCellMar>
        </w:tblPrEx>
        <w:trPr>
          <w:trHeight w:val="90" w:hRule="atLeast"/>
        </w:trPr>
        <w:tc>
          <w:tcPr>
            <w:tcW w:w="15801" w:type="dxa"/>
            <w:gridSpan w:val="9"/>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公开06表</w:t>
            </w:r>
          </w:p>
        </w:tc>
      </w:tr>
      <w:tr>
        <w:tblPrEx>
          <w:tblCellMar>
            <w:top w:w="0" w:type="dxa"/>
            <w:left w:w="108" w:type="dxa"/>
            <w:bottom w:w="0" w:type="dxa"/>
            <w:right w:w="108" w:type="dxa"/>
          </w:tblCellMar>
        </w:tblPrEx>
        <w:trPr>
          <w:trHeight w:val="113" w:hRule="atLeast"/>
        </w:trPr>
        <w:tc>
          <w:tcPr>
            <w:tcW w:w="1198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中方县中方镇炉亭坳学校</w:t>
            </w:r>
          </w:p>
        </w:tc>
        <w:tc>
          <w:tcPr>
            <w:tcW w:w="3820" w:type="dxa"/>
            <w:gridSpan w:val="2"/>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113" w:hRule="atLeast"/>
        </w:trPr>
        <w:tc>
          <w:tcPr>
            <w:tcW w:w="548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w:t>
            </w:r>
          </w:p>
        </w:tc>
        <w:tc>
          <w:tcPr>
            <w:tcW w:w="10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w:t>
            </w:r>
          </w:p>
        </w:tc>
      </w:tr>
      <w:tr>
        <w:tblPrEx>
          <w:tblCellMar>
            <w:top w:w="0" w:type="dxa"/>
            <w:left w:w="108" w:type="dxa"/>
            <w:bottom w:w="0" w:type="dxa"/>
            <w:right w:w="108" w:type="dxa"/>
          </w:tblCellMar>
        </w:tblPrEx>
        <w:trPr>
          <w:trHeight w:val="113" w:hRule="atLeast"/>
        </w:trPr>
        <w:tc>
          <w:tcPr>
            <w:tcW w:w="106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ascii="仿宋" w:hAnsi="仿宋" w:eastAsia="仿宋" w:cs="仿宋"/>
                <w:color w:val="000000"/>
                <w:sz w:val="20"/>
              </w:rPr>
              <w:t>经济分类科目编码</w:t>
            </w:r>
          </w:p>
        </w:tc>
        <w:tc>
          <w:tcPr>
            <w:tcW w:w="315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2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9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c>
          <w:tcPr>
            <w:tcW w:w="11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经济分类科目编码</w:t>
            </w:r>
          </w:p>
        </w:tc>
        <w:tc>
          <w:tcPr>
            <w:tcW w:w="25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科目名称</w:t>
            </w:r>
          </w:p>
        </w:tc>
        <w:tc>
          <w:tcPr>
            <w:tcW w:w="13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决算数</w:t>
            </w: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378.51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19.83</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债务利息及费用支出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基本工资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179.26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办公费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2.69</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国内债务付息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津贴补贴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118.86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印刷费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0.76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30702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国外债务付息</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咨询费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伙食补助费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手续费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房屋建筑物购建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绩效工资</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水费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0.81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办公设备购置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机关事业单位基本养老保险缴费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44.69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2.71</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专用设备购置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职业年金缴费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邮电费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31005</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基础设施建设</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职工基本医疗保险缴费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21.86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取暖费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大型修缮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公务员医疗补助缴费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30209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物业管理费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信息网络及软件购置更新</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其他社会保障缴费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8.55</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差旅费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0.22</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物资储备</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住房公积金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30212</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因公出国（境）费用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31009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土地补偿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30114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30213</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维修（护）费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31010</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安置补助</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30199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其他工资福利支出</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5.29</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租赁费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地上附着物和青苗补偿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22.56</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会议费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0.18</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拆迁补偿</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离休费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培训费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5.60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31013</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公务用车购置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30302</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退休费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8.00</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公务接待费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31019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其他交通工具购置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30303</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退职（役）费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30218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专用材料费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0.20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31021</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文物和陈列品购置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30304</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抚恤金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30224</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被装购置费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31022</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无形资产购置</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30305</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生活补助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30225</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专用燃料费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31099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其他资本性支出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30306</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救济费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30226</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劳务费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1.66</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30307</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医疗费补助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30227</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委托业务费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39906</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赠与</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30308</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助学金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14.04</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30228</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工会经费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3.50</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39907</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国家赔偿费用支出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30309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奖励金</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rPr>
              <w:t>0.51</w:t>
            </w: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30229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福利费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39908</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对民间非营利组织和群众性自治组织补贴</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30310</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个人农业生产补贴</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30231</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公务用车运行维护费</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39999</w:t>
            </w: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r>
              <w:rPr>
                <w:rFonts w:hint="eastAsia" w:ascii="仿宋" w:hAnsi="仿宋" w:eastAsia="仿宋" w:cs="仿宋"/>
              </w:rPr>
              <w:t xml:space="preserve">  其他支出</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30311</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代缴社会保险费</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30239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其他交通费用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30399</w:t>
            </w: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其他对个人和家庭的补助</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30240</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税金及附加费用</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394" w:hRule="exact"/>
        </w:trPr>
        <w:tc>
          <w:tcPr>
            <w:tcW w:w="106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3153"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2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30299</w:t>
            </w:r>
          </w:p>
        </w:tc>
        <w:tc>
          <w:tcPr>
            <w:tcW w:w="29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0"/>
              </w:rPr>
            </w:pPr>
            <w:r>
              <w:rPr>
                <w:rFonts w:hint="eastAsia" w:ascii="仿宋" w:hAnsi="仿宋" w:eastAsia="仿宋" w:cs="仿宋"/>
              </w:rPr>
              <w:t xml:space="preserve">  其他商品和服务支出</w:t>
            </w: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c>
          <w:tcPr>
            <w:tcW w:w="118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25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18"/>
              </w:rPr>
            </w:pP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p>
        </w:tc>
      </w:tr>
      <w:tr>
        <w:tblPrEx>
          <w:tblCellMar>
            <w:top w:w="0" w:type="dxa"/>
            <w:left w:w="108" w:type="dxa"/>
            <w:bottom w:w="0" w:type="dxa"/>
            <w:right w:w="108" w:type="dxa"/>
          </w:tblCellMar>
        </w:tblPrEx>
        <w:trPr>
          <w:trHeight w:val="403" w:hRule="exact"/>
        </w:trPr>
        <w:tc>
          <w:tcPr>
            <w:tcW w:w="42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人员经费合计</w:t>
            </w:r>
          </w:p>
        </w:tc>
        <w:tc>
          <w:tcPr>
            <w:tcW w:w="126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401.06</w:t>
            </w:r>
          </w:p>
        </w:tc>
        <w:tc>
          <w:tcPr>
            <w:tcW w:w="9020"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Cs w:val="20"/>
              </w:rPr>
            </w:pPr>
            <w:r>
              <w:rPr>
                <w:rFonts w:hint="eastAsia" w:ascii="仿宋" w:hAnsi="仿宋" w:eastAsia="仿宋" w:cs="仿宋"/>
                <w:color w:val="000000"/>
                <w:kern w:val="0"/>
                <w:szCs w:val="20"/>
              </w:rPr>
              <w:t>公用经费合计</w:t>
            </w:r>
          </w:p>
        </w:tc>
        <w:tc>
          <w:tcPr>
            <w:tcW w:w="130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Cs w:val="18"/>
              </w:rPr>
            </w:pPr>
            <w:r>
              <w:rPr>
                <w:rFonts w:hint="eastAsia" w:ascii="仿宋" w:hAnsi="仿宋" w:eastAsia="仿宋" w:cs="仿宋"/>
                <w:color w:val="000000"/>
                <w:kern w:val="0"/>
                <w:szCs w:val="18"/>
              </w:rPr>
              <w:t>19.83</w:t>
            </w:r>
          </w:p>
        </w:tc>
      </w:tr>
      <w:tr>
        <w:tblPrEx>
          <w:tblCellMar>
            <w:top w:w="0" w:type="dxa"/>
            <w:left w:w="108" w:type="dxa"/>
            <w:bottom w:w="0" w:type="dxa"/>
            <w:right w:w="108" w:type="dxa"/>
          </w:tblCellMar>
        </w:tblPrEx>
        <w:trPr>
          <w:trHeight w:val="641" w:hRule="exact"/>
        </w:trPr>
        <w:tc>
          <w:tcPr>
            <w:tcW w:w="15801" w:type="dxa"/>
            <w:gridSpan w:val="9"/>
            <w:tcBorders>
              <w:top w:val="single" w:color="auto" w:sz="4" w:space="0"/>
              <w:left w:val="nil"/>
              <w:bottom w:val="nil"/>
              <w:right w:val="nil"/>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color w:val="000000"/>
                <w:kern w:val="0"/>
                <w:szCs w:val="24"/>
              </w:rPr>
            </w:pPr>
            <w:r>
              <w:rPr>
                <w:rFonts w:hint="eastAsia" w:ascii="仿宋" w:hAnsi="仿宋" w:eastAsia="仿宋" w:cs="仿宋"/>
                <w:color w:val="000000"/>
                <w:kern w:val="0"/>
                <w:szCs w:val="24"/>
              </w:rPr>
              <w:t>注：本表反映部门本年度一般公共预算财政拨款基本支出明细情况。</w:t>
            </w:r>
          </w:p>
          <w:p>
            <w:pPr>
              <w:widowControl/>
              <w:jc w:val="left"/>
              <w:rPr>
                <w:rFonts w:hint="eastAsia" w:ascii="仿宋" w:hAnsi="仿宋" w:eastAsia="仿宋" w:cs="仿宋"/>
                <w:color w:val="000000"/>
                <w:kern w:val="0"/>
                <w:szCs w:val="24"/>
              </w:rPr>
            </w:pPr>
          </w:p>
          <w:p>
            <w:pPr>
              <w:widowControl/>
              <w:jc w:val="left"/>
              <w:rPr>
                <w:rFonts w:hint="eastAsia" w:ascii="仿宋" w:hAnsi="仿宋" w:eastAsia="仿宋" w:cs="仿宋"/>
                <w:color w:val="000000"/>
                <w:kern w:val="0"/>
                <w:szCs w:val="24"/>
              </w:rPr>
            </w:pPr>
          </w:p>
        </w:tc>
      </w:tr>
    </w:tbl>
    <w:p>
      <w:pPr>
        <w:widowControl/>
        <w:jc w:val="center"/>
        <w:rPr>
          <w:rFonts w:hint="eastAsia" w:ascii="Times New Roman" w:hAnsi="Times New Roman" w:eastAsia="方正小标宋_GBK" w:cs="Times New Roman"/>
          <w:color w:val="000000"/>
          <w:kern w:val="0"/>
          <w:sz w:val="36"/>
          <w:szCs w:val="36"/>
        </w:rPr>
        <w:sectPr>
          <w:pgSz w:w="16838" w:h="11906" w:orient="landscape"/>
          <w:pgMar w:top="1582" w:right="567" w:bottom="771" w:left="567" w:header="851" w:footer="992" w:gutter="0"/>
          <w:pgNumType w:fmt="numberInDash"/>
          <w:cols w:space="0" w:num="1"/>
          <w:rtlGutter w:val="0"/>
          <w:docGrid w:type="lines" w:linePitch="319" w:charSpace="0"/>
        </w:sectPr>
      </w:pPr>
    </w:p>
    <w:tbl>
      <w:tblPr>
        <w:tblStyle w:val="6"/>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tblPrEx>
          <w:tblCellMar>
            <w:top w:w="0" w:type="dxa"/>
            <w:left w:w="108" w:type="dxa"/>
            <w:bottom w:w="0" w:type="dxa"/>
            <w:right w:w="108" w:type="dxa"/>
          </w:tblCellMar>
        </w:tblPrEx>
        <w:trPr>
          <w:trHeight w:val="397" w:hRule="atLeast"/>
          <w:jc w:val="center"/>
        </w:trPr>
        <w:tc>
          <w:tcPr>
            <w:tcW w:w="14640" w:type="dxa"/>
            <w:gridSpan w:val="12"/>
            <w:tcBorders>
              <w:top w:val="nil"/>
              <w:left w:val="nil"/>
              <w:bottom w:val="nil"/>
              <w:right w:val="nil"/>
            </w:tcBorders>
            <w:shd w:val="clear" w:color="auto" w:fill="auto"/>
            <w:vAlign w:val="center"/>
          </w:tcPr>
          <w:p>
            <w:pPr>
              <w:widowControl/>
              <w:jc w:val="center"/>
              <w:rPr>
                <w:rFonts w:hint="eastAsia" w:ascii="仿宋" w:hAnsi="仿宋" w:eastAsia="仿宋" w:cs="仿宋"/>
                <w:kern w:val="0"/>
                <w:szCs w:val="21"/>
              </w:rPr>
            </w:pPr>
            <w:r>
              <w:rPr>
                <w:rFonts w:hint="eastAsia" w:ascii="仿宋" w:hAnsi="仿宋" w:eastAsia="仿宋" w:cs="仿宋"/>
                <w:b/>
                <w:bCs/>
                <w:color w:val="000000"/>
                <w:kern w:val="0"/>
                <w:sz w:val="36"/>
                <w:szCs w:val="36"/>
              </w:rPr>
              <w:t>一般公共预算财政拨款“三公”经费支出决算表</w:t>
            </w:r>
          </w:p>
        </w:tc>
      </w:tr>
      <w:tr>
        <w:trPr>
          <w:trHeight w:val="157" w:hRule="atLeast"/>
          <w:jc w:val="center"/>
        </w:trPr>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p>
        </w:tc>
        <w:tc>
          <w:tcPr>
            <w:tcW w:w="7320" w:type="dxa"/>
            <w:gridSpan w:val="6"/>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公开07表</w:t>
            </w:r>
          </w:p>
        </w:tc>
      </w:tr>
      <w:tr>
        <w:tblPrEx>
          <w:tblCellMar>
            <w:top w:w="0" w:type="dxa"/>
            <w:left w:w="108" w:type="dxa"/>
            <w:bottom w:w="0" w:type="dxa"/>
            <w:right w:w="108" w:type="dxa"/>
          </w:tblCellMar>
        </w:tblPrEx>
        <w:trPr>
          <w:trHeight w:val="90" w:hRule="atLeast"/>
          <w:jc w:val="center"/>
        </w:trPr>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中方县中方镇炉亭坳学校</w:t>
            </w:r>
          </w:p>
        </w:tc>
        <w:tc>
          <w:tcPr>
            <w:tcW w:w="7320" w:type="dxa"/>
            <w:gridSpan w:val="6"/>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r>
              <w:rPr>
                <w:rFonts w:hint="eastAsia" w:ascii="仿宋" w:hAnsi="仿宋" w:eastAsia="仿宋" w:cs="仿宋"/>
                <w:color w:val="000000"/>
                <w:kern w:val="0"/>
                <w:szCs w:val="21"/>
              </w:rPr>
              <w:t>单位：万元</w:t>
            </w:r>
          </w:p>
        </w:tc>
      </w:tr>
      <w:tr>
        <w:tblPrEx>
          <w:tblCellMar>
            <w:top w:w="0" w:type="dxa"/>
            <w:left w:w="108" w:type="dxa"/>
            <w:bottom w:w="0" w:type="dxa"/>
            <w:right w:w="108" w:type="dxa"/>
          </w:tblCellMar>
        </w:tblPrEx>
        <w:trPr>
          <w:trHeight w:val="397" w:hRule="atLeast"/>
          <w:jc w:val="center"/>
        </w:trPr>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预算数</w:t>
            </w:r>
          </w:p>
        </w:tc>
        <w:tc>
          <w:tcPr>
            <w:tcW w:w="7320"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决算数</w:t>
            </w:r>
          </w:p>
        </w:tc>
      </w:tr>
      <w:tr>
        <w:tblPrEx>
          <w:tblCellMar>
            <w:top w:w="0" w:type="dxa"/>
            <w:left w:w="108" w:type="dxa"/>
            <w:bottom w:w="0" w:type="dxa"/>
            <w:right w:w="108" w:type="dxa"/>
          </w:tblCellMar>
        </w:tblPrEx>
        <w:trPr>
          <w:trHeight w:val="397" w:hRule="atLeast"/>
          <w:jc w:val="center"/>
        </w:trPr>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合计</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因公出国（境）费</w:t>
            </w:r>
          </w:p>
        </w:tc>
        <w:tc>
          <w:tcPr>
            <w:tcW w:w="366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公务用车购置及运行费</w:t>
            </w:r>
          </w:p>
        </w:tc>
        <w:tc>
          <w:tcPr>
            <w:tcW w:w="12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接待费</w:t>
            </w:r>
          </w:p>
        </w:tc>
      </w:tr>
      <w:tr>
        <w:tblPrEx>
          <w:tblCellMar>
            <w:top w:w="0" w:type="dxa"/>
            <w:left w:w="108" w:type="dxa"/>
            <w:bottom w:w="0" w:type="dxa"/>
            <w:right w:w="108" w:type="dxa"/>
          </w:tblCellMar>
        </w:tblPrEx>
        <w:trPr>
          <w:trHeight w:val="397" w:hRule="atLeast"/>
          <w:jc w:val="center"/>
        </w:trPr>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小计</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购置费</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公务用车</w:t>
            </w:r>
            <w:r>
              <w:rPr>
                <w:rFonts w:hint="eastAsia" w:ascii="仿宋" w:hAnsi="仿宋" w:eastAsia="仿宋" w:cs="仿宋"/>
                <w:kern w:val="0"/>
                <w:szCs w:val="21"/>
              </w:rPr>
              <w:br w:type="textWrapping"/>
            </w:r>
            <w:r>
              <w:rPr>
                <w:rFonts w:hint="eastAsia" w:ascii="仿宋" w:hAnsi="仿宋" w:eastAsia="仿宋" w:cs="仿宋"/>
                <w:kern w:val="0"/>
                <w:szCs w:val="21"/>
              </w:rPr>
              <w:t>运行费</w:t>
            </w:r>
          </w:p>
        </w:tc>
        <w:tc>
          <w:tcPr>
            <w:tcW w:w="12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CellMar>
            <w:top w:w="0" w:type="dxa"/>
            <w:left w:w="108" w:type="dxa"/>
            <w:bottom w:w="0" w:type="dxa"/>
            <w:right w:w="108" w:type="dxa"/>
          </w:tblCellMar>
        </w:tblPrEx>
        <w:trPr>
          <w:trHeight w:val="112"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2</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3</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4</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5</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6</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7</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8</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lang w:val="en-US" w:eastAsia="zh-CN"/>
              </w:rPr>
            </w:pPr>
            <w:r>
              <w:rPr>
                <w:rFonts w:hint="eastAsia" w:ascii="仿宋" w:hAnsi="仿宋" w:eastAsia="仿宋" w:cs="仿宋"/>
                <w:lang w:val="en-US" w:eastAsia="zh-CN"/>
              </w:rPr>
              <w:t>9</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10</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11</w:t>
            </w: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default" w:ascii="仿宋" w:hAnsi="仿宋" w:eastAsia="仿宋" w:cs="仿宋"/>
                <w:lang w:val="en-US" w:eastAsia="zh-CN"/>
              </w:rPr>
            </w:pPr>
            <w:r>
              <w:rPr>
                <w:rFonts w:hint="eastAsia" w:ascii="仿宋" w:hAnsi="仿宋" w:eastAsia="仿宋" w:cs="仿宋"/>
                <w:lang w:val="en-US" w:eastAsia="zh-CN"/>
              </w:rPr>
              <w:t>12</w:t>
            </w:r>
          </w:p>
        </w:tc>
      </w:tr>
      <w:tr>
        <w:tblPrEx>
          <w:tblCellMar>
            <w:top w:w="0" w:type="dxa"/>
            <w:left w:w="108" w:type="dxa"/>
            <w:bottom w:w="0" w:type="dxa"/>
            <w:right w:w="108" w:type="dxa"/>
          </w:tblCellMar>
        </w:tblPrEx>
        <w:trPr>
          <w:trHeight w:val="397" w:hRule="atLeast"/>
          <w:jc w:val="center"/>
        </w:trPr>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三公”经费支出预决算情况。其中，预算数为“三公”经费全年预算数，反映按规定程序调整后的预算数；决算数是包括当年一般公共预算财政拨款和以前年度结转资金安排的实际支出。</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ascii="仿宋" w:hAnsi="仿宋" w:eastAsia="仿宋" w:cs="仿宋"/>
        </w:rPr>
        <w:t>中方县中方镇炉亭坳学校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一般公共预算财政拨款“三公”经费支出，故本表无数据。</w:t>
      </w:r>
    </w:p>
    <w:p>
      <w:pPr>
        <w:widowControl/>
        <w:jc w:val="left"/>
        <w:rPr>
          <w:rFonts w:hint="eastAsia" w:ascii="仿宋" w:hAnsi="仿宋" w:eastAsia="仿宋" w:cs="仿宋"/>
          <w:kern w:val="0"/>
          <w:szCs w:val="21"/>
        </w:rPr>
        <w:sectPr>
          <w:pgSz w:w="16838" w:h="11906" w:orient="landscape"/>
          <w:pgMar w:top="1803" w:right="1440" w:bottom="1803" w:left="1440" w:header="851" w:footer="992" w:gutter="0"/>
          <w:pgNumType w:fmt="numberInDash"/>
          <w:cols w:space="0" w:num="1"/>
          <w:rtlGutter w:val="0"/>
          <w:docGrid w:type="lines" w:linePitch="319" w:charSpace="0"/>
        </w:sectPr>
      </w:pPr>
    </w:p>
    <w:tbl>
      <w:tblPr>
        <w:tblStyle w:val="6"/>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563"/>
        <w:gridCol w:w="4063"/>
        <w:gridCol w:w="1765"/>
        <w:gridCol w:w="1680"/>
        <w:gridCol w:w="1470"/>
        <w:gridCol w:w="1320"/>
        <w:gridCol w:w="1240"/>
        <w:gridCol w:w="1339"/>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4440" w:type="dxa"/>
            <w:gridSpan w:val="8"/>
            <w:tcBorders>
              <w:top w:val="nil"/>
              <w:left w:val="nil"/>
              <w:bottom w:val="nil"/>
              <w:right w:val="nil"/>
            </w:tcBorders>
            <w:shd w:val="clear" w:color="auto" w:fill="auto"/>
            <w:vAlign w:val="center"/>
          </w:tcPr>
          <w:p>
            <w:pPr>
              <w:widowControl/>
              <w:jc w:val="center"/>
              <w:rPr>
                <w:rFonts w:hint="eastAsia" w:ascii="仿宋" w:hAnsi="仿宋" w:eastAsia="仿宋" w:cs="仿宋"/>
                <w:b/>
                <w:kern w:val="0"/>
                <w:szCs w:val="21"/>
              </w:rPr>
            </w:pPr>
            <w:r>
              <w:rPr>
                <w:rFonts w:hint="eastAsia" w:ascii="仿宋" w:hAnsi="仿宋" w:eastAsia="仿宋" w:cs="仿宋"/>
                <w:b/>
                <w:bCs/>
                <w:kern w:val="0"/>
                <w:sz w:val="36"/>
                <w:szCs w:val="36"/>
              </w:rPr>
              <w:t>政府性基金预算财政拨款收入支出决算表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4440" w:type="dxa"/>
            <w:gridSpan w:val="8"/>
            <w:tcBorders>
              <w:top w:val="nil"/>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公开08表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1" w:hRule="atLeast"/>
          <w:jc w:val="center"/>
        </w:trPr>
        <w:tc>
          <w:tcPr>
            <w:tcW w:w="13101" w:type="dxa"/>
            <w:gridSpan w:val="7"/>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b/>
                <w:kern w:val="0"/>
                <w:szCs w:val="21"/>
              </w:rPr>
            </w:pPr>
            <w:r>
              <w:rPr>
                <w:rFonts w:hint="eastAsia" w:ascii="仿宋" w:hAnsi="仿宋" w:eastAsia="仿宋" w:cs="仿宋"/>
                <w:color w:val="000000"/>
                <w:kern w:val="0"/>
                <w:szCs w:val="21"/>
                <w:lang w:eastAsia="zh-CN"/>
              </w:rPr>
              <w:t>单位</w:t>
            </w:r>
            <w:r>
              <w:rPr>
                <w:rFonts w:hint="eastAsia" w:ascii="仿宋" w:hAnsi="仿宋" w:eastAsia="仿宋" w:cs="仿宋"/>
                <w:color w:val="000000"/>
                <w:kern w:val="0"/>
                <w:szCs w:val="21"/>
              </w:rPr>
              <w:t>：</w:t>
            </w:r>
            <w:r>
              <w:rPr>
                <w:rFonts w:ascii="仿宋" w:hAnsi="仿宋" w:eastAsia="仿宋" w:cs="仿宋"/>
                <w:color w:val="000000"/>
              </w:rPr>
              <w:t>中方县中方镇炉亭坳学校</w:t>
            </w:r>
          </w:p>
        </w:tc>
        <w:tc>
          <w:tcPr>
            <w:tcW w:w="1339" w:type="dxa"/>
            <w:tcBorders>
              <w:top w:val="nil"/>
              <w:left w:val="nil"/>
              <w:bottom w:val="single" w:color="auto" w:sz="4" w:space="0"/>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b/>
                <w:kern w:val="0"/>
                <w:szCs w:val="21"/>
              </w:rPr>
            </w:pPr>
            <w:r>
              <w:rPr>
                <w:rFonts w:hint="eastAsia" w:ascii="仿宋" w:hAnsi="仿宋" w:eastAsia="仿宋" w:cs="仿宋"/>
                <w:color w:val="000000"/>
                <w:kern w:val="0"/>
                <w:szCs w:val="21"/>
              </w:rPr>
              <w:t>单位：万元</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    目</w:t>
            </w:r>
          </w:p>
        </w:tc>
        <w:tc>
          <w:tcPr>
            <w:tcW w:w="176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年初结转和结余</w:t>
            </w:r>
          </w:p>
        </w:tc>
        <w:tc>
          <w:tcPr>
            <w:tcW w:w="16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本年收入</w:t>
            </w:r>
          </w:p>
        </w:tc>
        <w:tc>
          <w:tcPr>
            <w:tcW w:w="403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本年支出</w:t>
            </w:r>
          </w:p>
        </w:tc>
        <w:tc>
          <w:tcPr>
            <w:tcW w:w="133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年末结转</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和结余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科目编码</w:t>
            </w:r>
          </w:p>
        </w:tc>
        <w:tc>
          <w:tcPr>
            <w:tcW w:w="406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科目名称</w:t>
            </w: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c>
          <w:tcPr>
            <w:tcW w:w="147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小计</w:t>
            </w:r>
          </w:p>
        </w:tc>
        <w:tc>
          <w:tcPr>
            <w:tcW w:w="132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基本支出</w:t>
            </w:r>
          </w:p>
        </w:tc>
        <w:tc>
          <w:tcPr>
            <w:tcW w:w="12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项目支出</w:t>
            </w: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color w:val="000000"/>
                <w:kern w:val="0"/>
                <w:sz w:val="20"/>
                <w:szCs w:val="20"/>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12" w:hRule="atLeast"/>
          <w:jc w:val="center"/>
        </w:trPr>
        <w:tc>
          <w:tcPr>
            <w:tcW w:w="15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4063"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76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6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47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2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2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c>
          <w:tcPr>
            <w:tcW w:w="1339"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3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栏次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1</w:t>
            </w: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2</w:t>
            </w: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3</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4</w:t>
            </w: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5</w:t>
            </w: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hint="eastAsia" w:ascii="仿宋" w:hAnsi="仿宋" w:eastAsia="仿宋" w:cs="仿宋"/>
                <w:kern w:val="0"/>
                <w:szCs w:val="21"/>
              </w:rPr>
              <w:t>6</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10" w:hRule="atLeast"/>
          <w:jc w:val="center"/>
        </w:trPr>
        <w:tc>
          <w:tcPr>
            <w:tcW w:w="5626"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Cs w:val="21"/>
              </w:rPr>
            </w:pPr>
            <w:r>
              <w:rPr>
                <w:rFonts w:ascii="仿宋" w:hAnsi="仿宋" w:eastAsia="仿宋" w:cs="仿宋"/>
              </w:rPr>
              <w:t>合计</w:t>
            </w:r>
          </w:p>
        </w:tc>
        <w:tc>
          <w:tcPr>
            <w:tcW w:w="176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68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47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2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c>
          <w:tcPr>
            <w:tcW w:w="133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Cs w:val="21"/>
              </w:rPr>
            </w:pPr>
          </w:p>
        </w:tc>
      </w:tr>
    </w:tbl>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Cs w:val="21"/>
        </w:rPr>
      </w:pPr>
      <w:r>
        <w:rPr>
          <w:rFonts w:hint="eastAsia" w:ascii="仿宋" w:hAnsi="仿宋" w:eastAsia="仿宋" w:cs="仿宋"/>
          <w:kern w:val="0"/>
          <w:szCs w:val="21"/>
        </w:rPr>
        <w:t>注：本表反映部门本年度政府性基金预算财政拨款收入、支出及结转和结余情况</w:t>
      </w:r>
    </w:p>
    <w:p>
      <w:pPr>
        <w:widowControl/>
        <w:jc w:val="left"/>
        <w:rPr>
          <w:rFonts w:ascii="黑体" w:hAnsi="黑体" w:eastAsia="黑体"/>
          <w:szCs w:val="21"/>
        </w:rPr>
      </w:pPr>
      <w:r>
        <w:rPr>
          <w:rFonts w:ascii="黑体" w:hAnsi="黑体" w:eastAsia="黑体"/>
          <w:szCs w:val="21"/>
        </w:rPr>
        <w:br w:type="page"/>
      </w:r>
    </w:p>
    <w:tbl>
      <w:tblPr>
        <w:tblStyle w:val="6"/>
        <w:tblW w:w="14190" w:type="dxa"/>
        <w:tblInd w:w="91" w:type="dxa"/>
        <w:tblLayout w:type="fixed"/>
        <w:tblCellMar>
          <w:top w:w="0" w:type="dxa"/>
          <w:left w:w="108" w:type="dxa"/>
          <w:bottom w:w="0" w:type="dxa"/>
          <w:right w:w="108" w:type="dxa"/>
        </w:tblCellMar>
      </w:tblPr>
      <w:tblGrid>
        <w:gridCol w:w="1535"/>
        <w:gridCol w:w="4780"/>
        <w:gridCol w:w="2660"/>
        <w:gridCol w:w="2540"/>
        <w:gridCol w:w="2675"/>
      </w:tblGrid>
      <w:tr>
        <w:tblPrEx>
          <w:tblCellMar>
            <w:top w:w="0" w:type="dxa"/>
            <w:left w:w="108" w:type="dxa"/>
            <w:bottom w:w="0" w:type="dxa"/>
            <w:right w:w="108" w:type="dxa"/>
          </w:tblCellMar>
        </w:tblPrEx>
        <w:trPr>
          <w:trHeight w:val="720" w:hRule="atLeast"/>
        </w:trPr>
        <w:tc>
          <w:tcPr>
            <w:tcW w:w="14190" w:type="dxa"/>
            <w:gridSpan w:val="5"/>
            <w:tcBorders>
              <w:top w:val="nil"/>
              <w:left w:val="nil"/>
              <w:bottom w:val="nil"/>
              <w:right w:val="nil"/>
            </w:tcBorders>
            <w:shd w:val="clear" w:color="000000" w:fill="FFFFFF"/>
            <w:vAlign w:val="center"/>
          </w:tcPr>
          <w:p>
            <w:pPr>
              <w:widowControl/>
              <w:jc w:val="center"/>
              <w:rPr>
                <w:rFonts w:hint="eastAsia" w:ascii="仿宋" w:hAnsi="仿宋" w:eastAsia="仿宋" w:cs="仿宋"/>
                <w:kern w:val="0"/>
                <w:sz w:val="32"/>
                <w:szCs w:val="32"/>
              </w:rPr>
            </w:pPr>
            <w:r>
              <w:rPr>
                <w:rFonts w:hint="eastAsia" w:ascii="仿宋" w:hAnsi="仿宋" w:eastAsia="仿宋" w:cs="仿宋"/>
                <w:b/>
                <w:bCs/>
                <w:kern w:val="0"/>
                <w:sz w:val="36"/>
                <w:szCs w:val="36"/>
              </w:rPr>
              <w:t>国有资本经营预算财政拨款支出决算表</w:t>
            </w:r>
          </w:p>
        </w:tc>
      </w:tr>
      <w:tr>
        <w:tblPrEx>
          <w:tblCellMar>
            <w:top w:w="0" w:type="dxa"/>
            <w:left w:w="108" w:type="dxa"/>
            <w:bottom w:w="0" w:type="dxa"/>
            <w:right w:w="108" w:type="dxa"/>
          </w:tblCellMar>
        </w:tblPrEx>
        <w:trPr>
          <w:trHeight w:val="285" w:hRule="atLeast"/>
        </w:trPr>
        <w:tc>
          <w:tcPr>
            <w:tcW w:w="14190" w:type="dxa"/>
            <w:gridSpan w:val="5"/>
            <w:tcBorders>
              <w:top w:val="nil"/>
              <w:left w:val="nil"/>
              <w:bottom w:val="nil"/>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公开09表</w:t>
            </w:r>
          </w:p>
        </w:tc>
      </w:tr>
      <w:tr>
        <w:tblPrEx>
          <w:tblCellMar>
            <w:top w:w="0" w:type="dxa"/>
            <w:left w:w="108" w:type="dxa"/>
            <w:bottom w:w="0" w:type="dxa"/>
            <w:right w:w="108" w:type="dxa"/>
          </w:tblCellMar>
        </w:tblPrEx>
        <w:trPr>
          <w:trHeight w:val="285" w:hRule="atLeast"/>
        </w:trPr>
        <w:tc>
          <w:tcPr>
            <w:tcW w:w="6315" w:type="dxa"/>
            <w:gridSpan w:val="2"/>
            <w:tcBorders>
              <w:top w:val="nil"/>
              <w:left w:val="nil"/>
              <w:bottom w:val="single" w:color="auto" w:sz="4" w:space="0"/>
              <w:right w:val="nil"/>
            </w:tcBorders>
            <w:shd w:val="clear" w:color="000000" w:fill="FFFFFF"/>
            <w:noWrap/>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0"/>
                <w:szCs w:val="20"/>
              </w:rPr>
            </w:pPr>
            <w:r>
              <w:rPr>
                <w:rFonts w:hint="eastAsia" w:ascii="仿宋" w:hAnsi="仿宋" w:eastAsia="仿宋" w:cs="仿宋"/>
                <w:color w:val="000000"/>
                <w:kern w:val="0"/>
                <w:sz w:val="20"/>
                <w:szCs w:val="20"/>
                <w:lang w:eastAsia="zh-CN"/>
              </w:rPr>
              <w:t>单位</w:t>
            </w:r>
            <w:r>
              <w:rPr>
                <w:rFonts w:hint="eastAsia" w:ascii="仿宋" w:hAnsi="仿宋" w:eastAsia="仿宋" w:cs="仿宋"/>
                <w:color w:val="000000"/>
                <w:kern w:val="0"/>
                <w:sz w:val="20"/>
                <w:szCs w:val="20"/>
              </w:rPr>
              <w:t>：</w:t>
            </w:r>
            <w:r>
              <w:rPr>
                <w:rFonts w:ascii="仿宋" w:hAnsi="仿宋" w:eastAsia="仿宋" w:cs="仿宋"/>
                <w:color w:val="000000"/>
                <w:sz w:val="20"/>
              </w:rPr>
              <w:t>中方县中方镇炉亭坳学校</w:t>
            </w:r>
          </w:p>
        </w:tc>
        <w:tc>
          <w:tcPr>
            <w:tcW w:w="7875" w:type="dxa"/>
            <w:gridSpan w:val="3"/>
            <w:tcBorders>
              <w:top w:val="nil"/>
              <w:left w:val="nil"/>
              <w:bottom w:val="single" w:color="auto" w:sz="4" w:space="0"/>
              <w:right w:val="nil"/>
            </w:tcBorders>
            <w:shd w:val="clear" w:color="000000" w:fill="FFFFFF"/>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单位：万元</w:t>
            </w: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项 </w:t>
            </w:r>
            <w:r>
              <w:rPr>
                <w:rFonts w:hint="eastAsia" w:ascii="仿宋" w:hAnsi="仿宋" w:eastAsia="仿宋" w:cs="仿宋"/>
                <w:color w:val="000000"/>
                <w:kern w:val="0"/>
                <w:sz w:val="22"/>
              </w:rPr>
              <w:t xml:space="preserve">   </w:t>
            </w:r>
            <w:r>
              <w:rPr>
                <w:rFonts w:hint="eastAsia" w:ascii="仿宋" w:hAnsi="仿宋" w:eastAsia="仿宋" w:cs="仿宋"/>
                <w:kern w:val="0"/>
                <w:sz w:val="24"/>
                <w:szCs w:val="24"/>
              </w:rPr>
              <w:t>目</w:t>
            </w:r>
          </w:p>
        </w:tc>
        <w:tc>
          <w:tcPr>
            <w:tcW w:w="787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本年支出</w:t>
            </w:r>
          </w:p>
        </w:tc>
      </w:tr>
      <w:tr>
        <w:tblPrEx>
          <w:tblCellMar>
            <w:top w:w="0" w:type="dxa"/>
            <w:left w:w="108" w:type="dxa"/>
            <w:bottom w:w="0" w:type="dxa"/>
            <w:right w:w="108" w:type="dxa"/>
          </w:tblCellMar>
        </w:tblPrEx>
        <w:trPr>
          <w:trHeight w:val="402" w:hRule="atLeast"/>
        </w:trPr>
        <w:tc>
          <w:tcPr>
            <w:tcW w:w="15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功能分类</w:t>
            </w:r>
          </w:p>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科目编码</w:t>
            </w:r>
          </w:p>
        </w:tc>
        <w:tc>
          <w:tcPr>
            <w:tcW w:w="47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科目名称</w:t>
            </w:r>
          </w:p>
        </w:tc>
        <w:tc>
          <w:tcPr>
            <w:tcW w:w="26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54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 xml:space="preserve">基本支出  </w:t>
            </w:r>
          </w:p>
        </w:tc>
        <w:tc>
          <w:tcPr>
            <w:tcW w:w="267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项目支出</w:t>
            </w:r>
          </w:p>
        </w:tc>
      </w:tr>
      <w:tr>
        <w:tblPrEx>
          <w:tblCellMar>
            <w:top w:w="0" w:type="dxa"/>
            <w:left w:w="108" w:type="dxa"/>
            <w:bottom w:w="0" w:type="dxa"/>
            <w:right w:w="108" w:type="dxa"/>
          </w:tblCellMar>
        </w:tblPrEx>
        <w:trPr>
          <w:trHeight w:val="40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12"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478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6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540"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c>
          <w:tcPr>
            <w:tcW w:w="2675"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402"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栏次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2</w:t>
            </w: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3</w:t>
            </w:r>
          </w:p>
        </w:tc>
      </w:tr>
      <w:tr>
        <w:tblPrEx>
          <w:tblCellMar>
            <w:top w:w="0" w:type="dxa"/>
            <w:left w:w="108" w:type="dxa"/>
            <w:bottom w:w="0" w:type="dxa"/>
            <w:right w:w="108" w:type="dxa"/>
          </w:tblCellMar>
        </w:tblPrEx>
        <w:trPr>
          <w:trHeight w:val="148" w:hRule="atLeast"/>
        </w:trPr>
        <w:tc>
          <w:tcPr>
            <w:tcW w:w="63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center"/>
              <w:textAlignment w:val="auto"/>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266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54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c>
          <w:tcPr>
            <w:tcW w:w="2675"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right"/>
              <w:textAlignment w:val="auto"/>
              <w:rPr>
                <w:rFonts w:hint="eastAsia" w:ascii="仿宋" w:hAnsi="仿宋" w:eastAsia="仿宋" w:cs="仿宋"/>
                <w:kern w:val="0"/>
                <w:sz w:val="24"/>
                <w:szCs w:val="24"/>
              </w:rPr>
            </w:pPr>
          </w:p>
        </w:tc>
      </w:tr>
      <w:tr>
        <w:tblPrEx>
          <w:tblCellMar>
            <w:top w:w="0" w:type="dxa"/>
            <w:left w:w="108" w:type="dxa"/>
            <w:bottom w:w="0" w:type="dxa"/>
            <w:right w:w="108" w:type="dxa"/>
          </w:tblCellMar>
        </w:tblPrEx>
        <w:trPr>
          <w:trHeight w:val="309" w:hRule="atLeast"/>
        </w:trPr>
        <w:tc>
          <w:tcPr>
            <w:tcW w:w="14190" w:type="dxa"/>
            <w:gridSpan w:val="5"/>
            <w:tcBorders>
              <w:top w:val="single" w:color="auto" w:sz="4" w:space="0"/>
              <w:left w:val="nil"/>
              <w:bottom w:val="nil"/>
              <w:right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1"/>
                <w:szCs w:val="21"/>
              </w:rPr>
            </w:pPr>
            <w:r>
              <w:rPr>
                <w:rFonts w:hint="eastAsia" w:ascii="仿宋" w:hAnsi="仿宋" w:eastAsia="仿宋" w:cs="仿宋"/>
                <w:kern w:val="0"/>
                <w:sz w:val="21"/>
                <w:szCs w:val="21"/>
              </w:rPr>
              <w:t>注：本表反映部门本年度国有资本经营预算财政拨款支出情况。</w:t>
            </w:r>
          </w:p>
          <w:p>
            <w:pPr>
              <w:keepNext w:val="0"/>
              <w:keepLines w:val="0"/>
              <w:pageBreakBefore w:val="0"/>
              <w:widowControl/>
              <w:kinsoku/>
              <w:wordWrap/>
              <w:overflowPunct/>
              <w:topLinePunct w:val="0"/>
              <w:autoSpaceDE/>
              <w:autoSpaceDN/>
              <w:bidi w:val="0"/>
              <w:adjustRightInd/>
              <w:snapToGrid/>
              <w:spacing w:after="34" w:line="34" w:lineRule="atLeast"/>
              <w:jc w:val="left"/>
              <w:textAlignment w:val="auto"/>
              <w:rPr>
                <w:rFonts w:hint="eastAsia" w:ascii="仿宋" w:hAnsi="仿宋" w:eastAsia="仿宋" w:cs="仿宋"/>
                <w:kern w:val="0"/>
                <w:sz w:val="24"/>
                <w:szCs w:val="24"/>
              </w:rPr>
            </w:pPr>
            <w:r>
              <w:rPr>
                <w:rFonts w:ascii="仿宋" w:hAnsi="仿宋" w:eastAsia="仿宋" w:cs="仿宋"/>
              </w:rPr>
              <w:t>中方县中方镇炉亭坳学校</w:t>
            </w:r>
            <w:r>
              <w:rPr>
                <w:rFonts w:hint="eastAsia" w:ascii="仿宋" w:hAnsi="仿宋" w:eastAsia="仿宋" w:cs="仿宋"/>
                <w:kern w:val="0"/>
                <w:sz w:val="21"/>
                <w:szCs w:val="21"/>
                <w:lang w:val="en-US" w:eastAsia="zh-CN"/>
              </w:rPr>
              <w:t>没有</w:t>
            </w:r>
            <w:r>
              <w:rPr>
                <w:rFonts w:hint="eastAsia" w:ascii="仿宋" w:hAnsi="仿宋" w:eastAsia="仿宋" w:cs="仿宋"/>
                <w:kern w:val="0"/>
                <w:sz w:val="21"/>
                <w:szCs w:val="21"/>
              </w:rPr>
              <w:t>国有资本经营预算财政拨款支出，故本表无数据。</w:t>
            </w:r>
          </w:p>
        </w:tc>
      </w:tr>
    </w:tbl>
    <w:p>
      <w:pPr>
        <w:pStyle w:val="9"/>
        <w:rPr>
          <w:sz w:val="72"/>
          <w:szCs w:val="72"/>
        </w:rPr>
        <w:sectPr>
          <w:pgSz w:w="16838" w:h="11906" w:orient="landscape"/>
          <w:pgMar w:top="1803" w:right="1440" w:bottom="1803" w:left="1440" w:header="851" w:footer="992" w:gutter="0"/>
          <w:pgNumType w:fmt="numberInDash"/>
          <w:cols w:space="0" w:num="1"/>
          <w:rtlGutter w:val="0"/>
          <w:docGrid w:type="lines" w:linePitch="319" w:charSpace="0"/>
        </w:sectPr>
      </w:pPr>
    </w:p>
    <w:p>
      <w:pPr>
        <w:pStyle w:val="9"/>
        <w:rPr>
          <w:sz w:val="72"/>
          <w:szCs w:val="72"/>
        </w:rPr>
      </w:pPr>
    </w:p>
    <w:p>
      <w:pPr>
        <w:pStyle w:val="9"/>
        <w:rPr>
          <w:sz w:val="72"/>
          <w:szCs w:val="72"/>
        </w:rPr>
      </w:pPr>
    </w:p>
    <w:p>
      <w:pPr>
        <w:pStyle w:val="9"/>
        <w:rPr>
          <w:sz w:val="72"/>
          <w:szCs w:val="72"/>
        </w:rPr>
      </w:pPr>
    </w:p>
    <w:p>
      <w:pPr>
        <w:pStyle w:val="9"/>
        <w:rPr>
          <w:sz w:val="72"/>
          <w:szCs w:val="72"/>
        </w:rPr>
      </w:pPr>
    </w:p>
    <w:p>
      <w:pPr>
        <w:pStyle w:val="9"/>
        <w:jc w:val="center"/>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pPr>
        <w:pStyle w:val="9"/>
        <w:jc w:val="center"/>
        <w:rPr>
          <w:rFonts w:hint="eastAsia" w:ascii="仿宋" w:hAnsi="仿宋" w:eastAsia="仿宋" w:cs="仿宋"/>
          <w:b/>
          <w:bCs/>
          <w:sz w:val="52"/>
          <w:szCs w:val="5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2020年度</w:t>
      </w:r>
      <w:r>
        <w:rPr>
          <w:rFonts w:hint="eastAsia" w:ascii="仿宋" w:hAnsi="仿宋" w:eastAsia="仿宋" w:cs="仿宋"/>
          <w:b/>
          <w:bCs/>
          <w:sz w:val="52"/>
          <w:szCs w:val="52"/>
          <w:lang w:eastAsia="zh-CN"/>
        </w:rPr>
        <w:t>单位</w:t>
      </w:r>
      <w:r>
        <w:rPr>
          <w:rFonts w:hint="eastAsia" w:ascii="仿宋" w:hAnsi="仿宋" w:eastAsia="仿宋" w:cs="仿宋"/>
          <w:b/>
          <w:bCs/>
          <w:sz w:val="52"/>
          <w:szCs w:val="52"/>
        </w:rPr>
        <w:t>决算情况说明</w:t>
      </w:r>
    </w:p>
    <w:p>
      <w:pPr>
        <w:widowControl/>
        <w:jc w:val="left"/>
        <w:rPr>
          <w:rFonts w:ascii="黑体" w:eastAsia="黑体" w:cs="黑体"/>
          <w:color w:val="000000"/>
          <w:kern w:val="0"/>
          <w:sz w:val="70"/>
          <w:szCs w:val="70"/>
        </w:rPr>
      </w:pPr>
      <w:r>
        <w:rPr>
          <w:sz w:val="70"/>
          <w:szCs w:val="70"/>
        </w:rPr>
        <w:br w:type="page"/>
      </w:r>
    </w:p>
    <w:p>
      <w:pPr>
        <w:pStyle w:val="9"/>
        <w:rPr>
          <w:rFonts w:asciiTheme="minorEastAsia" w:hAnsiTheme="minorEastAsia" w:eastAsiaTheme="minorEastAsia"/>
          <w:sz w:val="32"/>
          <w:szCs w:val="32"/>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eastAsia="zh-CN"/>
        </w:rPr>
      </w:pPr>
      <w:r>
        <w:rPr>
          <w:rFonts w:ascii="仿宋" w:hAnsi="仿宋" w:eastAsia="仿宋" w:cs="仿宋"/>
          <w:b/>
        </w:rPr>
        <w:t>一、收入支出决算总体情况说明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2020年度收入总计420.89万元，与上年相比</w:t>
      </w:r>
      <w:r>
        <w:rPr>
          <w:rFonts w:hint="eastAsia" w:ascii="仿宋" w:hAnsi="仿宋" w:eastAsia="仿宋" w:cs="仿宋"/>
          <w:lang w:eastAsia="zh-CN"/>
        </w:rPr>
        <w:t>减少</w:t>
      </w:r>
      <w:r>
        <w:rPr>
          <w:rFonts w:hint="eastAsia" w:ascii="仿宋" w:hAnsi="仿宋" w:eastAsia="仿宋" w:cs="仿宋"/>
          <w:lang w:val="en-US" w:eastAsia="zh-CN"/>
        </w:rPr>
        <w:t>139.28</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24.86%</w:t>
      </w:r>
      <w:r>
        <w:rPr>
          <w:rFonts w:ascii="仿宋" w:hAnsi="仿宋" w:eastAsia="仿宋" w:cs="仿宋"/>
        </w:rPr>
        <w:t>，主要是因为</w:t>
      </w:r>
      <w:r>
        <w:rPr>
          <w:rFonts w:hint="eastAsia" w:ascii="仿宋" w:hAnsi="仿宋" w:eastAsia="仿宋" w:cs="仿宋"/>
          <w:lang w:val="en-US" w:eastAsia="zh-CN"/>
        </w:rPr>
        <w:t>2020年县管校聘学校人员减少</w:t>
      </w:r>
      <w:r>
        <w:rPr>
          <w:rFonts w:hint="eastAsia" w:ascii="仿宋" w:hAnsi="仿宋" w:eastAsia="仿宋" w:cs="仿宋"/>
          <w:lang w:eastAsia="zh-CN"/>
        </w:rPr>
        <w:t>，</w:t>
      </w:r>
      <w:r>
        <w:rPr>
          <w:rFonts w:hint="eastAsia" w:ascii="仿宋" w:hAnsi="仿宋" w:eastAsia="仿宋" w:cs="仿宋"/>
          <w:lang w:val="en-US" w:eastAsia="zh-CN"/>
        </w:rPr>
        <w:t>人员经费预算减少。</w:t>
      </w:r>
      <w:r>
        <w:rPr>
          <w:rFonts w:ascii="仿宋" w:hAnsi="仿宋" w:eastAsia="仿宋" w:cs="仿宋"/>
        </w:rPr>
        <w:t>支出总计420.89万元，与上年相比</w:t>
      </w:r>
      <w:r>
        <w:rPr>
          <w:rFonts w:hint="eastAsia" w:ascii="仿宋" w:hAnsi="仿宋" w:eastAsia="仿宋" w:cs="仿宋"/>
          <w:lang w:eastAsia="zh-CN"/>
        </w:rPr>
        <w:t>减少</w:t>
      </w:r>
      <w:r>
        <w:rPr>
          <w:rFonts w:hint="eastAsia" w:ascii="仿宋" w:hAnsi="仿宋" w:eastAsia="仿宋" w:cs="仿宋"/>
          <w:lang w:val="en-US" w:eastAsia="zh-CN"/>
        </w:rPr>
        <w:t>139.28</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24.86%</w:t>
      </w:r>
      <w:r>
        <w:rPr>
          <w:rFonts w:ascii="仿宋" w:hAnsi="仿宋" w:eastAsia="仿宋" w:cs="仿宋"/>
        </w:rPr>
        <w:t>，主要是因为</w:t>
      </w:r>
      <w:r>
        <w:rPr>
          <w:rFonts w:hint="eastAsia" w:ascii="仿宋" w:hAnsi="仿宋" w:eastAsia="仿宋" w:cs="仿宋"/>
          <w:lang w:val="en-US" w:eastAsia="zh-CN"/>
        </w:rPr>
        <w:t>2020年县管校聘学校人员减少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二、收入决算情况说明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本年收入合计420.89万元，其中：财政拨款收入420.89万元，占100%；上级补助收入0万元，占0%；事业收入0万元，占0%；经营收入0万元，占0%；附属单位上缴收入0万元，占0%；其他收入0万元，占0%。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0" w:leftChars="0" w:right="420" w:firstLine="0" w:firstLineChars="0"/>
        <w:jc w:val="center"/>
        <w:textAlignment w:val="auto"/>
        <w:rPr>
          <w:rFonts w:hint="eastAsia" w:ascii="仿宋" w:hAnsi="仿宋" w:eastAsia="仿宋" w:cs="仿宋"/>
          <w:lang w:val="en-US" w:eastAsia="zh-CN"/>
        </w:rPr>
      </w:pPr>
      <w:r>
        <w:rPr>
          <w:rFonts w:hint="eastAsia" w:ascii="仿宋" w:hAnsi="仿宋" w:eastAsia="仿宋" w:cs="仿宋"/>
          <w:lang w:val="en-US" w:eastAsia="zh-CN"/>
        </w:rPr>
        <w:drawing>
          <wp:inline distT="0" distB="0" distL="0" distR="0">
            <wp:extent cx="6134100" cy="342900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8"/>
                    <a:stretch>
                      <a:fillRect/>
                    </a:stretch>
                  </pic:blipFill>
                  <pic:spPr>
                    <a:xfrm>
                      <a:off x="0" y="0"/>
                      <a:ext cx="6134100"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本年支出合计420.89万元，其中：基本支出420.89万元，占100%；项目支出0万元，占0%；上缴上级支出0万元，占0%；经营支出0万元，占0%；对附属单位补助支出0万元，占0%。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right="420"/>
        <w:jc w:val="center"/>
        <w:textAlignment w:val="auto"/>
        <w:rPr>
          <w:rFonts w:hint="eastAsia" w:ascii="仿宋" w:hAnsi="仿宋" w:eastAsia="仿宋" w:cs="仿宋"/>
        </w:rPr>
      </w:pPr>
      <w:r>
        <w:rPr>
          <w:rFonts w:hint="eastAsia" w:ascii="仿宋" w:hAnsi="仿宋" w:eastAsia="仿宋" w:cs="仿宋"/>
          <w:lang w:val="en-US" w:eastAsia="zh-CN"/>
        </w:rPr>
        <w:drawing>
          <wp:inline distT="0" distB="0" distL="0" distR="0">
            <wp:extent cx="6134100" cy="3429000"/>
            <wp:effectExtent l="0" t="0" r="0" b="0"/>
            <wp:docPr id="4" name="Drawing 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4" descr="Generated"/>
                    <pic:cNvPicPr>
                      <a:picLocks noChangeAspect="1"/>
                    </pic:cNvPicPr>
                  </pic:nvPicPr>
                  <pic:blipFill>
                    <a:blip r:embed="rId9"/>
                    <a:stretch>
                      <a:fillRect/>
                    </a:stretch>
                  </pic:blipFill>
                  <pic:spPr>
                    <a:xfrm>
                      <a:off x="0" y="0"/>
                      <a:ext cx="6134100" cy="3429000"/>
                    </a:xfrm>
                    <a:prstGeom prst="rect">
                      <a:avLst/>
                    </a:prstGeom>
                  </pic:spPr>
                </pic:pic>
              </a:graphicData>
            </a:graphic>
          </wp:inline>
        </w:drawing>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四、财政拨款收入支出决算总体情况说明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eastAsia="zh-CN"/>
        </w:rPr>
      </w:pPr>
      <w:r>
        <w:rPr>
          <w:rFonts w:ascii="仿宋" w:hAnsi="仿宋" w:eastAsia="仿宋" w:cs="仿宋"/>
        </w:rPr>
        <w:t>2020年度财政拨款收入总计420.89万元，与上年相比</w:t>
      </w:r>
      <w:r>
        <w:rPr>
          <w:rFonts w:hint="eastAsia" w:ascii="仿宋" w:hAnsi="仿宋" w:eastAsia="仿宋" w:cs="仿宋"/>
          <w:lang w:eastAsia="zh-CN"/>
        </w:rPr>
        <w:t>减少</w:t>
      </w:r>
      <w:r>
        <w:rPr>
          <w:rFonts w:hint="eastAsia" w:ascii="仿宋" w:hAnsi="仿宋" w:eastAsia="仿宋" w:cs="仿宋"/>
          <w:lang w:val="en-US" w:eastAsia="zh-CN"/>
        </w:rPr>
        <w:t>139.28</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24.86%</w:t>
      </w:r>
      <w:r>
        <w:rPr>
          <w:rFonts w:ascii="仿宋" w:hAnsi="仿宋" w:eastAsia="仿宋" w:cs="仿宋"/>
        </w:rPr>
        <w:t>，主要是因为</w:t>
      </w:r>
      <w:r>
        <w:rPr>
          <w:rFonts w:hint="eastAsia" w:ascii="仿宋" w:hAnsi="仿宋" w:eastAsia="仿宋" w:cs="仿宋"/>
          <w:lang w:val="en-US" w:eastAsia="zh-CN"/>
        </w:rPr>
        <w:t>2020年县管校聘学校人员减少</w:t>
      </w:r>
      <w:r>
        <w:rPr>
          <w:rFonts w:hint="eastAsia" w:ascii="仿宋" w:hAnsi="仿宋" w:eastAsia="仿宋" w:cs="仿宋"/>
          <w:lang w:eastAsia="zh-CN"/>
        </w:rPr>
        <w:t>，</w:t>
      </w:r>
      <w:r>
        <w:rPr>
          <w:rFonts w:hint="eastAsia" w:ascii="仿宋" w:hAnsi="仿宋" w:eastAsia="仿宋" w:cs="仿宋"/>
          <w:lang w:val="en-US" w:eastAsia="zh-CN"/>
        </w:rPr>
        <w:t>人员经费预算减少。</w:t>
      </w:r>
      <w:r>
        <w:rPr>
          <w:rFonts w:ascii="仿宋" w:hAnsi="仿宋" w:eastAsia="仿宋" w:cs="仿宋"/>
        </w:rPr>
        <w:t>支出总计420.89万元，与上年相比</w:t>
      </w:r>
      <w:r>
        <w:rPr>
          <w:rFonts w:hint="eastAsia" w:ascii="仿宋" w:hAnsi="仿宋" w:eastAsia="仿宋" w:cs="仿宋"/>
          <w:lang w:eastAsia="zh-CN"/>
        </w:rPr>
        <w:t>减少</w:t>
      </w:r>
      <w:r>
        <w:rPr>
          <w:rFonts w:hint="eastAsia" w:ascii="仿宋" w:hAnsi="仿宋" w:eastAsia="仿宋" w:cs="仿宋"/>
          <w:lang w:val="en-US" w:eastAsia="zh-CN"/>
        </w:rPr>
        <w:t>139.28</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24.86%</w:t>
      </w:r>
      <w:r>
        <w:rPr>
          <w:rFonts w:ascii="仿宋" w:hAnsi="仿宋" w:eastAsia="仿宋" w:cs="仿宋"/>
        </w:rPr>
        <w:t>，主要是因为</w:t>
      </w:r>
      <w:r>
        <w:rPr>
          <w:rFonts w:hint="eastAsia" w:ascii="仿宋" w:hAnsi="仿宋" w:eastAsia="仿宋" w:cs="仿宋"/>
          <w:lang w:val="en-US" w:eastAsia="zh-CN"/>
        </w:rPr>
        <w:t>2020年县管校聘学校人员减少</w:t>
      </w:r>
      <w:r>
        <w:rPr>
          <w:rFonts w:hint="eastAsia" w:ascii="仿宋" w:hAnsi="仿宋" w:eastAsia="仿宋" w:cs="仿宋"/>
          <w:lang w:eastAsia="zh-CN"/>
        </w:rPr>
        <w:t>，</w:t>
      </w:r>
      <w:r>
        <w:rPr>
          <w:rFonts w:hint="eastAsia" w:ascii="仿宋" w:hAnsi="仿宋" w:eastAsia="仿宋" w:cs="仿宋"/>
          <w:lang w:val="en-US" w:eastAsia="zh-CN"/>
        </w:rPr>
        <w:t>人员经费支出减少。</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五、一般公共预算财政拨款支出决算情况说明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（一）财政拨款支出决算总体情况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2020年度财政拨款支出420.89万元，占本年支出合计的100%，与上年相比</w:t>
      </w:r>
      <w:r>
        <w:rPr>
          <w:rFonts w:hint="eastAsia" w:ascii="仿宋" w:hAnsi="仿宋" w:eastAsia="仿宋" w:cs="仿宋"/>
          <w:lang w:eastAsia="zh-CN"/>
        </w:rPr>
        <w:t>减少</w:t>
      </w:r>
      <w:r>
        <w:rPr>
          <w:rFonts w:hint="eastAsia" w:ascii="仿宋" w:hAnsi="仿宋" w:eastAsia="仿宋" w:cs="仿宋"/>
          <w:lang w:val="en-US" w:eastAsia="zh-CN"/>
        </w:rPr>
        <w:t>139.28</w:t>
      </w:r>
      <w:r>
        <w:rPr>
          <w:rFonts w:ascii="仿宋" w:hAnsi="仿宋" w:eastAsia="仿宋" w:cs="仿宋"/>
        </w:rPr>
        <w:t>万元</w:t>
      </w:r>
      <w:r>
        <w:rPr>
          <w:rFonts w:hint="eastAsia" w:ascii="仿宋" w:hAnsi="仿宋" w:eastAsia="仿宋" w:cs="仿宋"/>
          <w:lang w:eastAsia="zh-CN"/>
        </w:rPr>
        <w:t>，减少比率</w:t>
      </w:r>
      <w:r>
        <w:rPr>
          <w:rFonts w:hint="eastAsia" w:ascii="仿宋" w:hAnsi="仿宋" w:eastAsia="仿宋" w:cs="仿宋"/>
          <w:lang w:val="en-US" w:eastAsia="zh-CN"/>
        </w:rPr>
        <w:t>24.86%</w:t>
      </w:r>
      <w:r>
        <w:rPr>
          <w:rFonts w:ascii="仿宋" w:hAnsi="仿宋" w:eastAsia="仿宋" w:cs="仿宋"/>
        </w:rPr>
        <w:t>（去年决算数为</w:t>
      </w:r>
      <w:r>
        <w:rPr>
          <w:rFonts w:hint="eastAsia" w:ascii="仿宋" w:hAnsi="仿宋" w:eastAsia="仿宋" w:cs="仿宋"/>
          <w:lang w:val="en-US" w:eastAsia="zh-CN"/>
        </w:rPr>
        <w:t>560.17</w:t>
      </w:r>
      <w:r>
        <w:rPr>
          <w:rFonts w:ascii="仿宋" w:hAnsi="仿宋" w:eastAsia="仿宋" w:cs="仿宋"/>
        </w:rPr>
        <w:t>万元），主要是因为</w:t>
      </w:r>
      <w:r>
        <w:rPr>
          <w:rFonts w:hint="eastAsia" w:ascii="仿宋" w:hAnsi="仿宋" w:eastAsia="仿宋" w:cs="仿宋"/>
          <w:lang w:val="en-US" w:eastAsia="zh-CN"/>
        </w:rPr>
        <w:t>2020年县管校聘学校人员减少</w:t>
      </w:r>
      <w:r>
        <w:rPr>
          <w:rFonts w:ascii="仿宋" w:hAnsi="仿宋" w:eastAsia="仿宋" w:cs="仿宋"/>
        </w:rPr>
        <w:t>。</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（二）财政拨款支出决算结构情况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2020年度财政拨款支出420.89万元，主要用于以下方面：教育支出（类）420.89万元，占100%。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（三）财政拨款支出决算具体情况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2020年度财政拨款支出年初预算数为454.19万元，支出决算数为420.89万元，完成年初预算的92.67%，其中：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1、教育支出（类）普通教育（款）学前教育（项）。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年初预算为0.69万元，支出决算为0.69万元，完成年初预算的100%。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2、教育支出（类）普通教育（款）小学教育（项）。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年初预算为35.65万元，支出决算为35.65万元，完成年初预算的100%。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3、教育支出（类）普通教育（款）初中教育（项）。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年初预算为417.63万元，支出决算为384.33万元，完成年初预算的92.03%，决算数小于预算数的主要原因是：本年有三位老师退休，人员支出减少。</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4、教育支出（类）普通教育（款）其他普通教育支出（项）。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年初预算为0.22万元，支出决算为0.22万元，完成年初预算的100%。</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六、财政拨款基本支出决算情况说明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lang w:val="en-US"/>
        </w:rPr>
      </w:pPr>
      <w:r>
        <w:rPr>
          <w:rFonts w:ascii="仿宋" w:hAnsi="仿宋" w:eastAsia="仿宋" w:cs="仿宋"/>
        </w:rPr>
        <w:t>2020年度财政拨款基本支出420.89万元，其中：人员经费401.06万元，占基本支出的95.29%，主要包括：基本工资、津贴补贴、机关事业单位基本养老保险缴费、职工基本医疗保险缴费、其他社会保障缴费、其他工资福利支出、退休费、助学金、奖励金；公用经费19.83万元，占基本支出的4.71%，主要包括：办公费、印刷费、水费、电费、差旅费、维修（护）费、会议费、培训费、专用材料费、劳务费、工会经费。</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七、一般公共预算财政拨款三公经费支出决算情况说明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（一）“三公”经费财政拨款支出决算总体情况说明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三公”经费财政拨款支出预算为0万元，支出决算为0万元，“三公”经费财政拨款支出预算为0万元，无法计算完成比率，其中：因公出国（境）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公务接待费支出预算为0万元，支出决算为0万元，与本年预算数相同，与上年决算数相同。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公务用车购置费及运行维护费支出预算为0万元，支出决算为0万元，与本年预算数相同，与上年预算数相同。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（二）“三公”经费财政拨款支出决算具体情况说明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2020年度“三公”经费财政拨款支出决算中，公务接待费支出决算0万元，占0%，因公出国（境）费支出决算0万元，占0%，公务用车购置费及运行维护费支出决算0万元，占0%。其中：</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1、因公出国（境）费支出决算为0万元，全年安排因公出国（境）团组0个，累计0人次。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2、公务接待费支出决算为0万元，全年共接待来访团组0个，来宾0人次。</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3、公务用车购置费及运行维护费支出决算为0万元。截止2020年12月31日，我单位开支财政拨款的公务用车保有量为0辆。</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八、政府性基金预算收入支出决算情况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本单位无政府性基金收支。</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九、关于机关运行经费支出说明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本部门2020年度机关运行经费支出0万元，与年初预算数相同。</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十、一般性支出情况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2020年本部门开支会议费0.18万元，用于召开教师会议会议，人数35人，内容为传达上级文件精神，日常教学要求；开支培训费5.6万元，用于开展教师培训，培训差旅费培训，人数35人，内容为业务培训；未举办节庆、晚会、论坛、赛事等活动。</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十一、关于政府采购支出说明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本部门2020年度政府采购支出总额0万元，其中：政府采购货物支出0万元、政府采购工程支出0万元、政府采购服务支出0万元。授予中小企业合同金额0万元，其中：授予小微企业合同金额0万元，</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十二、国有资产占用情况说明</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eastAsia" w:ascii="仿宋" w:hAnsi="仿宋" w:eastAsia="仿宋" w:cs="仿宋"/>
          <w:b w:val="0"/>
          <w:bCs w:val="0"/>
          <w:lang w:val="en-US"/>
        </w:rPr>
      </w:pPr>
      <w:r>
        <w:rPr>
          <w:rFonts w:ascii="仿宋" w:hAnsi="仿宋" w:eastAsia="仿宋" w:cs="仿宋"/>
        </w:rPr>
        <w:t>截至2020年12月31日，本单位共有车辆0辆，其中，主要领导干部用车0辆、机要通信用车0辆、应急保障用车0辆、执法执勤用车0辆、特种专业技术用车0辆、其他用车0辆。单位价值50万元以上通用设备0台（套），单位价值100万元以上专用设备0台（套）。</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62" w:firstLineChars="206"/>
        <w:jc w:val="both"/>
        <w:textAlignment w:val="auto"/>
        <w:rPr>
          <w:rFonts w:hint="eastAsia" w:ascii="仿宋" w:hAnsi="仿宋" w:eastAsia="仿宋" w:cs="仿宋"/>
          <w:b/>
          <w:bCs/>
          <w:lang w:val="en-US"/>
        </w:rPr>
      </w:pPr>
      <w:r>
        <w:rPr>
          <w:rFonts w:ascii="仿宋" w:hAnsi="仿宋" w:eastAsia="仿宋" w:cs="仿宋"/>
          <w:b/>
        </w:rPr>
        <w:t>十三、预算绩效评价工作开展情况</w:t>
      </w:r>
    </w:p>
    <w:p>
      <w:pPr>
        <w:pStyle w:val="3"/>
        <w:keepNext w:val="0"/>
        <w:keepLines w:val="0"/>
        <w:pageBreakBefore w:val="0"/>
        <w:widowControl w:val="0"/>
        <w:tabs>
          <w:tab w:val="left" w:pos="3864"/>
          <w:tab w:val="left" w:pos="6248"/>
          <w:tab w:val="left" w:pos="7386"/>
        </w:tabs>
        <w:kinsoku/>
        <w:wordWrap/>
        <w:overflowPunct w:val="0"/>
        <w:topLinePunct w:val="0"/>
        <w:autoSpaceDE/>
        <w:autoSpaceDN/>
        <w:bidi w:val="0"/>
        <w:adjustRightInd/>
        <w:snapToGrid/>
        <w:spacing w:before="1" w:after="0" w:line="360" w:lineRule="auto"/>
        <w:ind w:left="420" w:leftChars="200" w:right="420" w:firstLine="659" w:firstLineChars="206"/>
        <w:jc w:val="both"/>
        <w:textAlignment w:val="auto"/>
        <w:rPr>
          <w:rFonts w:hint="default" w:eastAsia="仿宋"/>
          <w:sz w:val="72"/>
          <w:szCs w:val="72"/>
          <w:lang w:val="en-US" w:eastAsia="zh-CN"/>
        </w:rPr>
        <w:sectPr>
          <w:footerReference r:id="rId6" w:type="default"/>
          <w:pgSz w:w="11906" w:h="16838"/>
          <w:pgMar w:top="720" w:right="720" w:bottom="720" w:left="720" w:header="851" w:footer="992" w:gutter="0"/>
          <w:pgNumType w:fmt="numberInDash"/>
          <w:cols w:space="0" w:num="1"/>
          <w:rtlGutter w:val="0"/>
          <w:docGrid w:type="lines" w:linePitch="319" w:charSpace="0"/>
        </w:sectPr>
      </w:pPr>
      <w:r>
        <w:rPr>
          <w:rFonts w:ascii="仿宋" w:hAnsi="仿宋" w:eastAsia="仿宋" w:cs="仿宋"/>
        </w:rPr>
        <w:t>本部门</w:t>
      </w:r>
      <w:r>
        <w:rPr>
          <w:rFonts w:hint="eastAsia" w:ascii="仿宋" w:hAnsi="仿宋" w:eastAsia="仿宋" w:cs="仿宋"/>
          <w:lang w:val="en-US" w:eastAsia="zh-CN"/>
        </w:rPr>
        <w:t>未开展</w:t>
      </w:r>
      <w:r>
        <w:rPr>
          <w:rFonts w:ascii="仿宋" w:hAnsi="仿宋" w:eastAsia="仿宋" w:cs="仿宋"/>
        </w:rPr>
        <w:t>预算绩效管理</w:t>
      </w:r>
      <w:r>
        <w:rPr>
          <w:rFonts w:hint="eastAsia" w:ascii="仿宋" w:hAnsi="仿宋" w:eastAsia="仿宋" w:cs="仿宋"/>
          <w:lang w:val="en-US" w:eastAsia="zh-CN"/>
        </w:rPr>
        <w:t>评价工作</w:t>
      </w:r>
    </w:p>
    <w:p>
      <w:pPr>
        <w:pStyle w:val="9"/>
        <w:jc w:val="both"/>
        <w:rPr>
          <w:sz w:val="72"/>
          <w:szCs w:val="72"/>
        </w:rPr>
      </w:pPr>
    </w:p>
    <w:p>
      <w:pPr>
        <w:pStyle w:val="9"/>
        <w:jc w:val="both"/>
        <w:rPr>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72"/>
          <w:szCs w:val="72"/>
        </w:rPr>
      </w:pPr>
    </w:p>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第四部分</w:t>
      </w:r>
    </w:p>
    <w:p>
      <w:pPr>
        <w:jc w:val="center"/>
        <w:rPr>
          <w:rFonts w:hint="eastAsia" w:ascii="仿宋" w:hAnsi="仿宋" w:eastAsia="仿宋" w:cs="仿宋"/>
          <w:b/>
          <w:bCs/>
          <w:color w:val="000000"/>
          <w:kern w:val="0"/>
          <w:sz w:val="52"/>
          <w:szCs w:val="52"/>
        </w:rPr>
      </w:pPr>
    </w:p>
    <w:p>
      <w:pPr>
        <w:jc w:val="center"/>
        <w:rPr>
          <w:rFonts w:hint="eastAsia" w:ascii="仿宋" w:hAnsi="仿宋" w:eastAsia="仿宋" w:cs="仿宋"/>
          <w:b/>
          <w:bCs/>
          <w:color w:val="000000"/>
          <w:kern w:val="0"/>
          <w:sz w:val="52"/>
          <w:szCs w:val="52"/>
        </w:rPr>
      </w:pPr>
      <w:r>
        <w:rPr>
          <w:rFonts w:hint="eastAsia" w:ascii="仿宋" w:hAnsi="仿宋" w:eastAsia="仿宋" w:cs="仿宋"/>
          <w:b/>
          <w:bCs/>
          <w:color w:val="000000"/>
          <w:kern w:val="0"/>
          <w:sz w:val="52"/>
          <w:szCs w:val="52"/>
        </w:rPr>
        <w:t>名词解释</w:t>
      </w:r>
    </w:p>
    <w:p>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pPr>
        <w:ind w:firstLine="640" w:firstLineChars="200"/>
        <w:jc w:val="left"/>
        <w:rPr>
          <w:rFonts w:cs="黑体" w:asciiTheme="minorEastAsia" w:hAnsiTheme="minorEastAsia"/>
          <w:color w:val="000000"/>
          <w:kern w:val="0"/>
          <w:sz w:val="32"/>
          <w:szCs w:val="32"/>
        </w:rPr>
      </w:pP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一、财政拨款收入</w:t>
      </w:r>
      <w:r>
        <w:rPr>
          <w:rFonts w:ascii="仿宋" w:hAnsi="仿宋" w:eastAsia="仿宋" w:cs="仿宋"/>
          <w:b/>
          <w:color w:val="000000"/>
          <w:sz w:val="32"/>
        </w:rPr>
        <w:t>：</w:t>
      </w:r>
      <w:r>
        <w:rPr>
          <w:rFonts w:hint="eastAsia" w:ascii="仿宋" w:hAnsi="仿宋" w:eastAsia="仿宋" w:cs="仿宋"/>
          <w:color w:val="000000"/>
          <w:kern w:val="0"/>
          <w:sz w:val="32"/>
          <w:szCs w:val="32"/>
        </w:rPr>
        <w:t>指单位本年度从同级财政部门取得的各类财政拨款。</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二、上级补助收入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指事业单位从主管部门和上级单位取得的非财政补助收入。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三、事业收入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指事业单位开展专业业务活动及其辅助活动取得的收入，事业单位收到的财政专户实际核拨的教育收费等资金在此反映。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四、经营收入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指事业单位在专业业务活动及其辅助活动之外开展非独立核算经营活动取得的收入。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五、附属单位上缴收入</w:t>
      </w:r>
      <w:r>
        <w:rPr>
          <w:rFonts w:ascii="仿宋" w:hAnsi="仿宋" w:eastAsia="仿宋" w:cs="仿宋"/>
          <w:b/>
          <w:color w:val="000000"/>
          <w:sz w:val="32"/>
        </w:rPr>
        <w:t>：</w:t>
      </w:r>
      <w:r>
        <w:rPr>
          <w:rFonts w:hint="eastAsia" w:ascii="仿宋" w:hAnsi="仿宋" w:eastAsia="仿宋" w:cs="仿宋"/>
          <w:color w:val="000000"/>
          <w:kern w:val="0"/>
          <w:sz w:val="32"/>
          <w:szCs w:val="32"/>
        </w:rPr>
        <w:t>指事业单位附属独立核算单位按照有关规定上缴的收入。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六、其他收入</w:t>
      </w:r>
      <w:r>
        <w:rPr>
          <w:rFonts w:ascii="仿宋" w:hAnsi="仿宋" w:eastAsia="仿宋" w:cs="仿宋"/>
          <w:b/>
          <w:color w:val="000000"/>
          <w:sz w:val="32"/>
        </w:rPr>
        <w:t>：</w:t>
      </w:r>
      <w:r>
        <w:rPr>
          <w:rFonts w:hint="eastAsia" w:ascii="仿宋" w:hAnsi="仿宋" w:eastAsia="仿宋" w:cs="仿宋"/>
          <w:color w:val="000000"/>
          <w:kern w:val="0"/>
          <w:sz w:val="32"/>
          <w:szCs w:val="32"/>
        </w:rPr>
        <w:t>指单位取得的除上述“财政拨款收入”、“事业收入”、“经营收入”等以外的各项收入。</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七、使用非财政拨款结余</w:t>
      </w:r>
      <w:r>
        <w:rPr>
          <w:rFonts w:ascii="仿宋" w:hAnsi="仿宋" w:eastAsia="仿宋" w:cs="仿宋"/>
          <w:b/>
          <w:color w:val="000000"/>
          <w:sz w:val="32"/>
        </w:rPr>
        <w:t>：</w:t>
      </w:r>
      <w:r>
        <w:rPr>
          <w:rFonts w:hint="eastAsia" w:ascii="仿宋" w:hAnsi="仿宋" w:eastAsia="仿宋" w:cs="仿宋"/>
          <w:color w:val="000000"/>
          <w:kern w:val="0"/>
          <w:sz w:val="32"/>
          <w:szCs w:val="32"/>
        </w:rPr>
        <w:t>指事业单位使用非财政拨款结余（原事业基金）弥补当年收支差额的数额。</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八、年初结转和结余</w:t>
      </w:r>
      <w:r>
        <w:rPr>
          <w:rFonts w:ascii="仿宋" w:hAnsi="仿宋" w:eastAsia="仿宋" w:cs="仿宋"/>
          <w:b/>
          <w:color w:val="000000"/>
          <w:sz w:val="32"/>
        </w:rPr>
        <w:t>：</w:t>
      </w:r>
      <w:r>
        <w:rPr>
          <w:rFonts w:hint="eastAsia" w:ascii="仿宋" w:hAnsi="仿宋" w:eastAsia="仿宋" w:cs="仿宋"/>
          <w:color w:val="000000"/>
          <w:kern w:val="0"/>
          <w:sz w:val="32"/>
          <w:szCs w:val="32"/>
        </w:rPr>
        <w:t>指单位上年结转本年使用的基本支出结转、项目支出结转和结余和经营结余。</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九、结余分配</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指事业单位按规定对非财政拨款结余资金提取的专用基金、缴纳的所得税和转入非财政拨款结余等。</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十、年末结转和结余资金</w:t>
      </w:r>
      <w:r>
        <w:rPr>
          <w:rFonts w:ascii="仿宋" w:hAnsi="仿宋" w:eastAsia="仿宋" w:cs="仿宋"/>
          <w:b/>
          <w:color w:val="000000"/>
          <w:sz w:val="32"/>
        </w:rPr>
        <w:t>：</w:t>
      </w:r>
      <w:r>
        <w:rPr>
          <w:rFonts w:hint="eastAsia" w:ascii="仿宋" w:hAnsi="仿宋" w:eastAsia="仿宋" w:cs="仿宋"/>
          <w:color w:val="000000"/>
          <w:kern w:val="0"/>
          <w:sz w:val="32"/>
          <w:szCs w:val="32"/>
        </w:rPr>
        <w:t>指本年度或以前年度预算安排、因客观条件发生变化无法按原计划实施，需要延迟到以后年度按有关规定继续使用的资金。</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十一、基本支出</w:t>
      </w:r>
      <w:r>
        <w:rPr>
          <w:rFonts w:ascii="仿宋" w:hAnsi="仿宋" w:eastAsia="仿宋" w:cs="仿宋"/>
          <w:b/>
          <w:color w:val="000000"/>
          <w:sz w:val="32"/>
        </w:rPr>
        <w:t>：</w:t>
      </w:r>
      <w:r>
        <w:rPr>
          <w:rFonts w:hint="eastAsia" w:ascii="仿宋" w:hAnsi="仿宋" w:eastAsia="仿宋" w:cs="仿宋"/>
          <w:color w:val="000000"/>
          <w:kern w:val="0"/>
          <w:sz w:val="32"/>
          <w:szCs w:val="32"/>
        </w:rPr>
        <w:t>指为保障机构正常运转、完成日常工作任务而发生的支出，包括人员经费和公用经费。</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十二、项目支出</w:t>
      </w:r>
      <w:r>
        <w:rPr>
          <w:rFonts w:ascii="仿宋" w:hAnsi="仿宋" w:eastAsia="仿宋" w:cs="仿宋"/>
          <w:b/>
          <w:color w:val="000000"/>
          <w:sz w:val="32"/>
        </w:rPr>
        <w:t>：</w:t>
      </w:r>
      <w:r>
        <w:rPr>
          <w:rFonts w:hint="eastAsia" w:ascii="仿宋" w:hAnsi="仿宋" w:eastAsia="仿宋" w:cs="仿宋"/>
          <w:color w:val="000000"/>
          <w:kern w:val="0"/>
          <w:sz w:val="32"/>
          <w:szCs w:val="32"/>
        </w:rPr>
        <w:t>指在为完成特定的工作任务和事业发展目标所发生的支出。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十三、上缴上级支出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指事业单位按照财政部门和主管部门的规定上缴上级单位的支出。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十四、经营支出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指事业单位在专业业务活动及其辅助活动之外开展非独立核算经营活动发生的支出。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十五、对附属单位补助支出</w:t>
      </w:r>
      <w:r>
        <w:rPr>
          <w:rFonts w:ascii="仿宋" w:hAnsi="仿宋" w:eastAsia="仿宋" w:cs="仿宋"/>
          <w:b/>
          <w:color w:val="000000"/>
          <w:sz w:val="32"/>
        </w:rPr>
        <w:t>：</w:t>
      </w:r>
      <w:r>
        <w:rPr>
          <w:rFonts w:hint="eastAsia" w:ascii="仿宋" w:hAnsi="仿宋" w:eastAsia="仿宋" w:cs="仿宋"/>
          <w:color w:val="000000"/>
          <w:kern w:val="0"/>
          <w:sz w:val="32"/>
          <w:szCs w:val="32"/>
        </w:rPr>
        <w:t>指事业单位用财政拨款收入之外的收入对附属单位补助发生的支出。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十六、“三公”经费</w:t>
      </w:r>
      <w:r>
        <w:rPr>
          <w:rFonts w:ascii="仿宋" w:hAnsi="仿宋" w:eastAsia="仿宋" w:cs="仿宋"/>
          <w:b/>
          <w:color w:val="000000"/>
          <w:sz w:val="32"/>
        </w:rPr>
        <w:t>：</w:t>
      </w:r>
      <w:r>
        <w:rPr>
          <w:rFonts w:hint="eastAsia" w:ascii="仿宋" w:hAnsi="仿宋" w:eastAsia="仿宋" w:cs="仿宋"/>
          <w:color w:val="000000"/>
          <w:kern w:val="0"/>
          <w:sz w:val="32"/>
          <w:szCs w:val="32"/>
        </w:rPr>
        <w:t>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十七、机关运行经费</w:t>
      </w:r>
      <w:r>
        <w:rPr>
          <w:rFonts w:ascii="仿宋" w:hAnsi="仿宋" w:eastAsia="仿宋" w:cs="仿宋"/>
          <w:b/>
          <w:color w:val="000000"/>
          <w:sz w:val="32"/>
        </w:rPr>
        <w:t>：</w:t>
      </w:r>
      <w:r>
        <w:rPr>
          <w:rFonts w:hint="eastAsia" w:ascii="仿宋" w:hAnsi="仿宋" w:eastAsia="仿宋" w:cs="仿宋"/>
          <w:color w:val="000000"/>
          <w:kern w:val="0"/>
          <w:sz w:val="32"/>
          <w:szCs w:val="32"/>
        </w:rPr>
        <w:t>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十八、教育支出(类)普通教育(款)学前教育(项)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反映各部门举办的学前教育支出。</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十九、教育支出(类)普通教育(款)小学教育(项)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反映各部门举办的小学教育支出。政府各部门对社会中介组织等举办的小学的资助，如各类捐赠、补贴等，也在本科目中反映。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二十、教育支出(类)普通教育(款)初中教育(项)</w:t>
      </w:r>
      <w:r>
        <w:rPr>
          <w:rFonts w:ascii="仿宋" w:hAnsi="仿宋" w:eastAsia="仿宋" w:cs="仿宋"/>
          <w:b/>
          <w:color w:val="000000"/>
          <w:sz w:val="32"/>
        </w:rPr>
        <w:t>：</w:t>
      </w:r>
      <w:r>
        <w:rPr>
          <w:rFonts w:hint="eastAsia" w:ascii="仿宋" w:hAnsi="仿宋" w:eastAsia="仿宋" w:cs="仿宋"/>
          <w:color w:val="000000"/>
          <w:kern w:val="0"/>
          <w:sz w:val="32"/>
          <w:szCs w:val="32"/>
        </w:rPr>
        <w:t>反映各部门举办的初中教育支出。政府各部门对社会中介组织等举办的初中教育的资助，如捐赠、补贴等，也在本科目中反映。</w:t>
      </w:r>
    </w:p>
    <w:p>
      <w:pPr>
        <w:ind w:firstLine="643" w:firstLineChars="200"/>
        <w:jc w:val="both"/>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二十一、教育支出(类)普通教育(款)其他普通教育支出(项)</w:t>
      </w:r>
      <w:r>
        <w:rPr>
          <w:rFonts w:ascii="仿宋" w:hAnsi="仿宋" w:eastAsia="仿宋" w:cs="仿宋"/>
          <w:b/>
          <w:color w:val="000000"/>
          <w:sz w:val="32"/>
        </w:rPr>
        <w:t>：</w:t>
      </w:r>
      <w:r>
        <w:rPr>
          <w:rFonts w:hint="eastAsia" w:ascii="仿宋" w:hAnsi="仿宋" w:eastAsia="仿宋" w:cs="仿宋"/>
          <w:color w:val="000000"/>
          <w:kern w:val="0"/>
          <w:sz w:val="32"/>
          <w:szCs w:val="32"/>
        </w:rPr>
        <w:t>反映除上述项目以外其他用于普通教育方面的支出。</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3" w:hRule="atLeast"/>
        </w:trPr>
        <w:tc>
          <w:tcPr>
            <w:tcW w:w="8516" w:type="dxa"/>
            <w:tcBorders>
              <w:top w:val="nil"/>
              <w:left w:val="nil"/>
              <w:bottom w:val="nil"/>
              <w:right w:val="nil"/>
            </w:tcBorders>
            <w:vAlign w:val="center"/>
          </w:tcPr>
          <w:p>
            <w:pPr>
              <w:pStyle w:val="9"/>
              <w:jc w:val="center"/>
              <w:rPr>
                <w:rFonts w:hint="eastAsia" w:ascii="仿宋" w:hAnsi="仿宋" w:eastAsia="仿宋" w:cs="仿宋"/>
                <w:b/>
                <w:bCs/>
                <w:sz w:val="52"/>
                <w:szCs w:val="52"/>
              </w:rPr>
            </w:pPr>
            <w:r>
              <w:rPr>
                <w:rFonts w:hint="eastAsia" w:ascii="仿宋" w:hAnsi="仿宋" w:eastAsia="仿宋" w:cs="仿宋"/>
                <w:b/>
                <w:bCs/>
                <w:sz w:val="52"/>
                <w:szCs w:val="52"/>
              </w:rPr>
              <w:t>第</w:t>
            </w:r>
            <w:r>
              <w:rPr>
                <w:rFonts w:hint="eastAsia" w:ascii="仿宋" w:hAnsi="仿宋" w:eastAsia="仿宋" w:cs="仿宋"/>
                <w:b/>
                <w:bCs/>
                <w:sz w:val="52"/>
                <w:szCs w:val="52"/>
                <w:lang w:val="en-US" w:eastAsia="zh-CN"/>
              </w:rPr>
              <w:t>五</w:t>
            </w:r>
            <w:r>
              <w:rPr>
                <w:rFonts w:hint="eastAsia" w:ascii="仿宋" w:hAnsi="仿宋" w:eastAsia="仿宋" w:cs="仿宋"/>
                <w:b/>
                <w:bCs/>
                <w:sz w:val="52"/>
                <w:szCs w:val="52"/>
              </w:rPr>
              <w:t>部分</w:t>
            </w:r>
          </w:p>
          <w:p>
            <w:pPr>
              <w:pStyle w:val="9"/>
              <w:jc w:val="center"/>
              <w:rPr>
                <w:rFonts w:hint="eastAsia" w:ascii="仿宋" w:hAnsi="仿宋" w:eastAsia="仿宋" w:cs="仿宋"/>
                <w:b/>
                <w:bCs/>
                <w:sz w:val="52"/>
                <w:szCs w:val="52"/>
              </w:rPr>
            </w:pPr>
          </w:p>
          <w:p>
            <w:pPr>
              <w:pStyle w:val="9"/>
              <w:jc w:val="center"/>
              <w:rPr>
                <w:rFonts w:hint="default" w:ascii="仿宋" w:hAnsi="仿宋" w:eastAsia="仿宋" w:cs="仿宋"/>
                <w:b/>
                <w:bCs/>
                <w:sz w:val="52"/>
                <w:szCs w:val="52"/>
                <w:lang w:val="en-US"/>
              </w:rPr>
            </w:pPr>
            <w:r>
              <w:rPr>
                <w:rFonts w:hint="eastAsia" w:ascii="仿宋" w:hAnsi="仿宋" w:eastAsia="仿宋" w:cs="仿宋"/>
                <w:b/>
                <w:bCs/>
                <w:color w:val="000000"/>
                <w:kern w:val="0"/>
                <w:sz w:val="52"/>
                <w:szCs w:val="52"/>
                <w:lang w:val="en-US" w:eastAsia="zh-CN"/>
              </w:rPr>
              <w:t>附件（无）</w:t>
            </w:r>
            <w:bookmarkStart w:id="3" w:name="_GoBack"/>
            <w:bookmarkEnd w:id="3"/>
          </w:p>
        </w:tc>
      </w:tr>
    </w:tbl>
    <w:p/>
    <w:sectPr>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ascii="黑体" w:hAnsi="黑体" w:eastAsia="黑体" w:cs="黑体"/>
      </w:rPr>
    </w:pPr>
    <w:r>
      <w:rPr>
        <w:rFonts w:hint="eastAsia" w:ascii="黑体" w:hAnsi="黑体" w:eastAsia="黑体" w:cs="黑体"/>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4"/>
                      <w:rPr>
                        <w:rFonts w:hint="eastAsia" w:ascii="黑体" w:hAnsi="黑体" w:eastAsia="黑体" w:cs="黑体"/>
                        <w:lang w:eastAsia="zh-CN"/>
                      </w:rPr>
                    </w:pPr>
                    <w:r>
                      <w:rPr>
                        <w:rFonts w:hint="eastAsia" w:ascii="黑体" w:hAnsi="黑体" w:eastAsia="黑体" w:cs="黑体"/>
                        <w:lang w:eastAsia="zh-CN"/>
                      </w:rPr>
                      <w:fldChar w:fldCharType="begin"/>
                    </w:r>
                    <w:r>
                      <w:rPr>
                        <w:rFonts w:hint="eastAsia" w:ascii="黑体" w:hAnsi="黑体" w:eastAsia="黑体" w:cs="黑体"/>
                        <w:lang w:eastAsia="zh-CN"/>
                      </w:rPr>
                      <w:instrText xml:space="preserve"> PAGE  \* MERGEFORMAT </w:instrText>
                    </w:r>
                    <w:r>
                      <w:rPr>
                        <w:rFonts w:hint="eastAsia" w:ascii="黑体" w:hAnsi="黑体" w:eastAsia="黑体" w:cs="黑体"/>
                        <w:lang w:eastAsia="zh-CN"/>
                      </w:rPr>
                      <w:fldChar w:fldCharType="separate"/>
                    </w:r>
                    <w:r>
                      <w:rPr>
                        <w:rFonts w:hint="eastAsia" w:ascii="黑体" w:hAnsi="黑体" w:eastAsia="黑体" w:cs="黑体"/>
                        <w:lang w:eastAsia="zh-CN"/>
                      </w:rPr>
                      <w:t>1</w:t>
                    </w:r>
                    <w:r>
                      <w:rPr>
                        <w:rFonts w:hint="eastAsia" w:ascii="黑体" w:hAnsi="黑体" w:eastAsia="黑体" w:cs="黑体"/>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zMGRlNjViMzdkNzg4ODhmMTQ5NTk2YWFhMDY5ODkifQ=="/>
  </w:docVars>
  <w:rsids>
    <w:rsidRoot w:val="73D72D54"/>
    <w:rsid w:val="00034B45"/>
    <w:rsid w:val="000A4A40"/>
    <w:rsid w:val="00112995"/>
    <w:rsid w:val="00A57004"/>
    <w:rsid w:val="00C52059"/>
    <w:rsid w:val="00EF3870"/>
    <w:rsid w:val="01276120"/>
    <w:rsid w:val="01292E6B"/>
    <w:rsid w:val="014F7B6E"/>
    <w:rsid w:val="01511258"/>
    <w:rsid w:val="015967FE"/>
    <w:rsid w:val="019E11B3"/>
    <w:rsid w:val="01A42E7E"/>
    <w:rsid w:val="01A775D9"/>
    <w:rsid w:val="01B60941"/>
    <w:rsid w:val="02701F7E"/>
    <w:rsid w:val="02721624"/>
    <w:rsid w:val="02B21423"/>
    <w:rsid w:val="02E608A0"/>
    <w:rsid w:val="02EF2D79"/>
    <w:rsid w:val="03147B85"/>
    <w:rsid w:val="033D7DA6"/>
    <w:rsid w:val="03562E2F"/>
    <w:rsid w:val="03E42784"/>
    <w:rsid w:val="04026EE9"/>
    <w:rsid w:val="04067B8D"/>
    <w:rsid w:val="040E2250"/>
    <w:rsid w:val="0414592F"/>
    <w:rsid w:val="04373E00"/>
    <w:rsid w:val="04491887"/>
    <w:rsid w:val="047F291F"/>
    <w:rsid w:val="047F40D0"/>
    <w:rsid w:val="04A95710"/>
    <w:rsid w:val="04C96E18"/>
    <w:rsid w:val="04CF483B"/>
    <w:rsid w:val="05283F7F"/>
    <w:rsid w:val="05501AD7"/>
    <w:rsid w:val="05721CEA"/>
    <w:rsid w:val="05877611"/>
    <w:rsid w:val="05AC71A4"/>
    <w:rsid w:val="05BB5E49"/>
    <w:rsid w:val="05E84904"/>
    <w:rsid w:val="060A158E"/>
    <w:rsid w:val="060B4F09"/>
    <w:rsid w:val="060D24D3"/>
    <w:rsid w:val="066E7586"/>
    <w:rsid w:val="06735460"/>
    <w:rsid w:val="06876935"/>
    <w:rsid w:val="06924863"/>
    <w:rsid w:val="06C11D6A"/>
    <w:rsid w:val="06C92B89"/>
    <w:rsid w:val="07016659"/>
    <w:rsid w:val="07413E1B"/>
    <w:rsid w:val="076169E4"/>
    <w:rsid w:val="076E3F15"/>
    <w:rsid w:val="07A03FF7"/>
    <w:rsid w:val="07D03716"/>
    <w:rsid w:val="07DC3A34"/>
    <w:rsid w:val="07E245DA"/>
    <w:rsid w:val="083948C9"/>
    <w:rsid w:val="08435B69"/>
    <w:rsid w:val="08443FC4"/>
    <w:rsid w:val="085D0F3E"/>
    <w:rsid w:val="08703DDB"/>
    <w:rsid w:val="08911752"/>
    <w:rsid w:val="08A67EB6"/>
    <w:rsid w:val="08AD675E"/>
    <w:rsid w:val="08B33244"/>
    <w:rsid w:val="08D162B6"/>
    <w:rsid w:val="08F06986"/>
    <w:rsid w:val="08F75E31"/>
    <w:rsid w:val="092E090E"/>
    <w:rsid w:val="096020E4"/>
    <w:rsid w:val="09743548"/>
    <w:rsid w:val="09940B5A"/>
    <w:rsid w:val="0996686E"/>
    <w:rsid w:val="0A016DB1"/>
    <w:rsid w:val="0A190C1A"/>
    <w:rsid w:val="0A1D43DC"/>
    <w:rsid w:val="0A4E5CBB"/>
    <w:rsid w:val="0A843DA6"/>
    <w:rsid w:val="0AC23008"/>
    <w:rsid w:val="0ACA6C76"/>
    <w:rsid w:val="0ACB336B"/>
    <w:rsid w:val="0AF52874"/>
    <w:rsid w:val="0B0F21C0"/>
    <w:rsid w:val="0B1A005C"/>
    <w:rsid w:val="0B5078D7"/>
    <w:rsid w:val="0B550C44"/>
    <w:rsid w:val="0B772BDC"/>
    <w:rsid w:val="0B8E2066"/>
    <w:rsid w:val="0BA35478"/>
    <w:rsid w:val="0BC04806"/>
    <w:rsid w:val="0BD65627"/>
    <w:rsid w:val="0C0F44E0"/>
    <w:rsid w:val="0CA1448F"/>
    <w:rsid w:val="0CA32AA8"/>
    <w:rsid w:val="0D2F20B4"/>
    <w:rsid w:val="0D452501"/>
    <w:rsid w:val="0D65075F"/>
    <w:rsid w:val="0D665132"/>
    <w:rsid w:val="0DBB6B0A"/>
    <w:rsid w:val="0DBC1A23"/>
    <w:rsid w:val="0DDC135D"/>
    <w:rsid w:val="0E1C1CBD"/>
    <w:rsid w:val="0E7552DD"/>
    <w:rsid w:val="0E79533D"/>
    <w:rsid w:val="0E7D57CF"/>
    <w:rsid w:val="0ECC3BEA"/>
    <w:rsid w:val="0F144184"/>
    <w:rsid w:val="0F1C62C7"/>
    <w:rsid w:val="0F2E1F67"/>
    <w:rsid w:val="0F3D5BBA"/>
    <w:rsid w:val="0F3F019D"/>
    <w:rsid w:val="0F3F0C21"/>
    <w:rsid w:val="0F800099"/>
    <w:rsid w:val="0F921EF8"/>
    <w:rsid w:val="0FC26152"/>
    <w:rsid w:val="0FC601BF"/>
    <w:rsid w:val="10060226"/>
    <w:rsid w:val="1021781E"/>
    <w:rsid w:val="109244B4"/>
    <w:rsid w:val="10E67F73"/>
    <w:rsid w:val="11350FC3"/>
    <w:rsid w:val="11403931"/>
    <w:rsid w:val="11427235"/>
    <w:rsid w:val="1160207C"/>
    <w:rsid w:val="11691213"/>
    <w:rsid w:val="11A678F3"/>
    <w:rsid w:val="11B2477D"/>
    <w:rsid w:val="120A0B74"/>
    <w:rsid w:val="1225480C"/>
    <w:rsid w:val="12305B44"/>
    <w:rsid w:val="12395882"/>
    <w:rsid w:val="12572C62"/>
    <w:rsid w:val="12832B16"/>
    <w:rsid w:val="12963B61"/>
    <w:rsid w:val="12A001D8"/>
    <w:rsid w:val="12A03FDD"/>
    <w:rsid w:val="12EB14A5"/>
    <w:rsid w:val="132B2CAB"/>
    <w:rsid w:val="13426212"/>
    <w:rsid w:val="13511047"/>
    <w:rsid w:val="13530689"/>
    <w:rsid w:val="13571F03"/>
    <w:rsid w:val="13584546"/>
    <w:rsid w:val="138132DE"/>
    <w:rsid w:val="138662BF"/>
    <w:rsid w:val="139B183B"/>
    <w:rsid w:val="13CD7E8D"/>
    <w:rsid w:val="141459E2"/>
    <w:rsid w:val="14295BBE"/>
    <w:rsid w:val="143746C5"/>
    <w:rsid w:val="14501E36"/>
    <w:rsid w:val="145B604C"/>
    <w:rsid w:val="15037188"/>
    <w:rsid w:val="15153CFF"/>
    <w:rsid w:val="154C316F"/>
    <w:rsid w:val="154E64F6"/>
    <w:rsid w:val="15BF24D2"/>
    <w:rsid w:val="16174016"/>
    <w:rsid w:val="16366EA1"/>
    <w:rsid w:val="16517A95"/>
    <w:rsid w:val="16A059C5"/>
    <w:rsid w:val="16C455F3"/>
    <w:rsid w:val="16F23847"/>
    <w:rsid w:val="176D5AE5"/>
    <w:rsid w:val="176F3CF4"/>
    <w:rsid w:val="177B4445"/>
    <w:rsid w:val="178C1D8E"/>
    <w:rsid w:val="17931257"/>
    <w:rsid w:val="17B07FD2"/>
    <w:rsid w:val="17B52230"/>
    <w:rsid w:val="17D226D1"/>
    <w:rsid w:val="17F03885"/>
    <w:rsid w:val="18152DA2"/>
    <w:rsid w:val="1816118F"/>
    <w:rsid w:val="182F4A44"/>
    <w:rsid w:val="18395CC2"/>
    <w:rsid w:val="183E0B42"/>
    <w:rsid w:val="18541566"/>
    <w:rsid w:val="186B1DF6"/>
    <w:rsid w:val="186F101A"/>
    <w:rsid w:val="18B75606"/>
    <w:rsid w:val="18D511E5"/>
    <w:rsid w:val="19642C59"/>
    <w:rsid w:val="197C2BAB"/>
    <w:rsid w:val="19934B8F"/>
    <w:rsid w:val="19C00F4B"/>
    <w:rsid w:val="19D421B6"/>
    <w:rsid w:val="1A2154AB"/>
    <w:rsid w:val="1A2D6009"/>
    <w:rsid w:val="1A365AD9"/>
    <w:rsid w:val="1A384EDA"/>
    <w:rsid w:val="1A3A7A46"/>
    <w:rsid w:val="1A4B3825"/>
    <w:rsid w:val="1A5214C4"/>
    <w:rsid w:val="1A604A6E"/>
    <w:rsid w:val="1A622F58"/>
    <w:rsid w:val="1AAE251F"/>
    <w:rsid w:val="1AB77BA8"/>
    <w:rsid w:val="1ABA1A9B"/>
    <w:rsid w:val="1AD210BC"/>
    <w:rsid w:val="1ADA5355"/>
    <w:rsid w:val="1AEB4A6C"/>
    <w:rsid w:val="1B113722"/>
    <w:rsid w:val="1BA34EBE"/>
    <w:rsid w:val="1BA64A02"/>
    <w:rsid w:val="1BBE4C21"/>
    <w:rsid w:val="1BCC526D"/>
    <w:rsid w:val="1C0F7370"/>
    <w:rsid w:val="1C1845D0"/>
    <w:rsid w:val="1C1C1C79"/>
    <w:rsid w:val="1C285793"/>
    <w:rsid w:val="1C38750B"/>
    <w:rsid w:val="1C432267"/>
    <w:rsid w:val="1C550A94"/>
    <w:rsid w:val="1C682658"/>
    <w:rsid w:val="1C731FF7"/>
    <w:rsid w:val="1C7F7769"/>
    <w:rsid w:val="1CB02F77"/>
    <w:rsid w:val="1CBB3285"/>
    <w:rsid w:val="1CC175BC"/>
    <w:rsid w:val="1CE53BF5"/>
    <w:rsid w:val="1D3B4CED"/>
    <w:rsid w:val="1D61464A"/>
    <w:rsid w:val="1D8231E6"/>
    <w:rsid w:val="1D901010"/>
    <w:rsid w:val="1DAA11E9"/>
    <w:rsid w:val="1DBE404A"/>
    <w:rsid w:val="1E16693C"/>
    <w:rsid w:val="1E2E1C47"/>
    <w:rsid w:val="1E5309C4"/>
    <w:rsid w:val="1E554167"/>
    <w:rsid w:val="1E783066"/>
    <w:rsid w:val="1E7D61A5"/>
    <w:rsid w:val="1E924A94"/>
    <w:rsid w:val="1EB41A4F"/>
    <w:rsid w:val="1ECB2665"/>
    <w:rsid w:val="1EDB0670"/>
    <w:rsid w:val="1F1A67CD"/>
    <w:rsid w:val="1F2406C6"/>
    <w:rsid w:val="1F6163BF"/>
    <w:rsid w:val="1F6278C1"/>
    <w:rsid w:val="1F8B5BAF"/>
    <w:rsid w:val="1F8F6EC3"/>
    <w:rsid w:val="1FA94F16"/>
    <w:rsid w:val="20255F25"/>
    <w:rsid w:val="20291CB3"/>
    <w:rsid w:val="202F73AB"/>
    <w:rsid w:val="2049150E"/>
    <w:rsid w:val="20540D0F"/>
    <w:rsid w:val="205913A2"/>
    <w:rsid w:val="20707F7E"/>
    <w:rsid w:val="20824933"/>
    <w:rsid w:val="20842F75"/>
    <w:rsid w:val="20844EDC"/>
    <w:rsid w:val="20853A42"/>
    <w:rsid w:val="20C80A9F"/>
    <w:rsid w:val="20CB3580"/>
    <w:rsid w:val="20CC6679"/>
    <w:rsid w:val="20D12D62"/>
    <w:rsid w:val="20D24D60"/>
    <w:rsid w:val="20EF11BB"/>
    <w:rsid w:val="20FE693B"/>
    <w:rsid w:val="2111037C"/>
    <w:rsid w:val="21210B07"/>
    <w:rsid w:val="213C39F7"/>
    <w:rsid w:val="21444B43"/>
    <w:rsid w:val="21486C01"/>
    <w:rsid w:val="214E64EB"/>
    <w:rsid w:val="215E2854"/>
    <w:rsid w:val="21665038"/>
    <w:rsid w:val="216820ED"/>
    <w:rsid w:val="219D0A68"/>
    <w:rsid w:val="21A66555"/>
    <w:rsid w:val="21AC0CB6"/>
    <w:rsid w:val="21C806DD"/>
    <w:rsid w:val="21C84029"/>
    <w:rsid w:val="2254336E"/>
    <w:rsid w:val="22BF5F1A"/>
    <w:rsid w:val="22F87C27"/>
    <w:rsid w:val="230D6FA9"/>
    <w:rsid w:val="235D5957"/>
    <w:rsid w:val="23866A70"/>
    <w:rsid w:val="23E8231D"/>
    <w:rsid w:val="23EA2D8E"/>
    <w:rsid w:val="23F16DBD"/>
    <w:rsid w:val="247728AF"/>
    <w:rsid w:val="24AD00E2"/>
    <w:rsid w:val="24B74192"/>
    <w:rsid w:val="24D85F11"/>
    <w:rsid w:val="2523105C"/>
    <w:rsid w:val="25242F6B"/>
    <w:rsid w:val="25261089"/>
    <w:rsid w:val="25365CD1"/>
    <w:rsid w:val="258861EB"/>
    <w:rsid w:val="2591552F"/>
    <w:rsid w:val="25A13587"/>
    <w:rsid w:val="25A36332"/>
    <w:rsid w:val="25C46206"/>
    <w:rsid w:val="25D20556"/>
    <w:rsid w:val="26153E79"/>
    <w:rsid w:val="26285F08"/>
    <w:rsid w:val="264C0E1C"/>
    <w:rsid w:val="26622DB4"/>
    <w:rsid w:val="26650EB8"/>
    <w:rsid w:val="26731BEC"/>
    <w:rsid w:val="26991832"/>
    <w:rsid w:val="26CD0188"/>
    <w:rsid w:val="27394F8E"/>
    <w:rsid w:val="27523E2B"/>
    <w:rsid w:val="280930C2"/>
    <w:rsid w:val="28234FB2"/>
    <w:rsid w:val="28353550"/>
    <w:rsid w:val="28373F3E"/>
    <w:rsid w:val="28905184"/>
    <w:rsid w:val="28A2570F"/>
    <w:rsid w:val="28D43AA3"/>
    <w:rsid w:val="28D91A73"/>
    <w:rsid w:val="292F7AB5"/>
    <w:rsid w:val="29391735"/>
    <w:rsid w:val="296E6EA5"/>
    <w:rsid w:val="29976D19"/>
    <w:rsid w:val="29B04233"/>
    <w:rsid w:val="29B409F0"/>
    <w:rsid w:val="29DC5911"/>
    <w:rsid w:val="2A717FA2"/>
    <w:rsid w:val="2A9F5D13"/>
    <w:rsid w:val="2ABF6C24"/>
    <w:rsid w:val="2ADD3382"/>
    <w:rsid w:val="2AE8452D"/>
    <w:rsid w:val="2B252CD9"/>
    <w:rsid w:val="2B3E1800"/>
    <w:rsid w:val="2B4F1786"/>
    <w:rsid w:val="2B856DA1"/>
    <w:rsid w:val="2BCA702D"/>
    <w:rsid w:val="2C06344A"/>
    <w:rsid w:val="2C0C5168"/>
    <w:rsid w:val="2C1B6AEB"/>
    <w:rsid w:val="2C317416"/>
    <w:rsid w:val="2C85031F"/>
    <w:rsid w:val="2C9C05BB"/>
    <w:rsid w:val="2CA11E70"/>
    <w:rsid w:val="2CC953AF"/>
    <w:rsid w:val="2D065459"/>
    <w:rsid w:val="2D3C0815"/>
    <w:rsid w:val="2D551503"/>
    <w:rsid w:val="2D7633A7"/>
    <w:rsid w:val="2D8B4E53"/>
    <w:rsid w:val="2D8D6A47"/>
    <w:rsid w:val="2DD14B22"/>
    <w:rsid w:val="2DDD3980"/>
    <w:rsid w:val="2DDF0704"/>
    <w:rsid w:val="2DE5291B"/>
    <w:rsid w:val="2E162F19"/>
    <w:rsid w:val="2E504D30"/>
    <w:rsid w:val="2E7C7ED0"/>
    <w:rsid w:val="2EBF1B8D"/>
    <w:rsid w:val="2EC01172"/>
    <w:rsid w:val="2EE27F02"/>
    <w:rsid w:val="2F1560C0"/>
    <w:rsid w:val="2F412AFA"/>
    <w:rsid w:val="2F716956"/>
    <w:rsid w:val="2F7572F7"/>
    <w:rsid w:val="2F827763"/>
    <w:rsid w:val="2FA757D8"/>
    <w:rsid w:val="2FEE69A6"/>
    <w:rsid w:val="306200F0"/>
    <w:rsid w:val="30705EF8"/>
    <w:rsid w:val="30986BE7"/>
    <w:rsid w:val="30B44244"/>
    <w:rsid w:val="30B7715D"/>
    <w:rsid w:val="30C24F02"/>
    <w:rsid w:val="30D63CF2"/>
    <w:rsid w:val="310D7CC9"/>
    <w:rsid w:val="3172637E"/>
    <w:rsid w:val="317F3D67"/>
    <w:rsid w:val="31A35982"/>
    <w:rsid w:val="31A47F94"/>
    <w:rsid w:val="31B72549"/>
    <w:rsid w:val="31F571E6"/>
    <w:rsid w:val="323F0E05"/>
    <w:rsid w:val="32646CEC"/>
    <w:rsid w:val="327379FA"/>
    <w:rsid w:val="32926FEA"/>
    <w:rsid w:val="32EF625F"/>
    <w:rsid w:val="32F77F3F"/>
    <w:rsid w:val="33285B6D"/>
    <w:rsid w:val="333618F4"/>
    <w:rsid w:val="333B15CC"/>
    <w:rsid w:val="334C5141"/>
    <w:rsid w:val="33793E0E"/>
    <w:rsid w:val="338836F4"/>
    <w:rsid w:val="33AF6BEE"/>
    <w:rsid w:val="34296063"/>
    <w:rsid w:val="34386AD2"/>
    <w:rsid w:val="349B6A4B"/>
    <w:rsid w:val="34D921AF"/>
    <w:rsid w:val="34E40B9E"/>
    <w:rsid w:val="34FE3DB4"/>
    <w:rsid w:val="351500C6"/>
    <w:rsid w:val="35335C9B"/>
    <w:rsid w:val="35386F12"/>
    <w:rsid w:val="35627325"/>
    <w:rsid w:val="357F7A7E"/>
    <w:rsid w:val="359A4299"/>
    <w:rsid w:val="35AA1B77"/>
    <w:rsid w:val="35BB146A"/>
    <w:rsid w:val="3619331F"/>
    <w:rsid w:val="364D5677"/>
    <w:rsid w:val="368C4536"/>
    <w:rsid w:val="36EF53F3"/>
    <w:rsid w:val="37282DBC"/>
    <w:rsid w:val="37502E47"/>
    <w:rsid w:val="375C6F10"/>
    <w:rsid w:val="37604A3D"/>
    <w:rsid w:val="3763046F"/>
    <w:rsid w:val="37667412"/>
    <w:rsid w:val="379A48E2"/>
    <w:rsid w:val="379C3BB7"/>
    <w:rsid w:val="37AB117E"/>
    <w:rsid w:val="37D61961"/>
    <w:rsid w:val="37E41E16"/>
    <w:rsid w:val="37E707E9"/>
    <w:rsid w:val="37EB4486"/>
    <w:rsid w:val="37F74C52"/>
    <w:rsid w:val="38145E69"/>
    <w:rsid w:val="3822751A"/>
    <w:rsid w:val="382D0B30"/>
    <w:rsid w:val="38694446"/>
    <w:rsid w:val="387265D1"/>
    <w:rsid w:val="389568AD"/>
    <w:rsid w:val="38F34CAE"/>
    <w:rsid w:val="393A0F87"/>
    <w:rsid w:val="393F6B8C"/>
    <w:rsid w:val="394B5B7A"/>
    <w:rsid w:val="394F0762"/>
    <w:rsid w:val="397618E6"/>
    <w:rsid w:val="398334A6"/>
    <w:rsid w:val="399143ED"/>
    <w:rsid w:val="399C6D06"/>
    <w:rsid w:val="39F523D9"/>
    <w:rsid w:val="3A0305F4"/>
    <w:rsid w:val="3A3F393A"/>
    <w:rsid w:val="3A764397"/>
    <w:rsid w:val="3A8E08AB"/>
    <w:rsid w:val="3AF32055"/>
    <w:rsid w:val="3AF745B2"/>
    <w:rsid w:val="3B0D06CA"/>
    <w:rsid w:val="3B0E1523"/>
    <w:rsid w:val="3B0E2BC1"/>
    <w:rsid w:val="3B10150F"/>
    <w:rsid w:val="3B1913B0"/>
    <w:rsid w:val="3B217121"/>
    <w:rsid w:val="3B4D746D"/>
    <w:rsid w:val="3B64507A"/>
    <w:rsid w:val="3B7539D5"/>
    <w:rsid w:val="3B95631A"/>
    <w:rsid w:val="3BAD7452"/>
    <w:rsid w:val="3BBA67C9"/>
    <w:rsid w:val="3BC5789D"/>
    <w:rsid w:val="3BDD31CE"/>
    <w:rsid w:val="3C36709E"/>
    <w:rsid w:val="3C3E3DD1"/>
    <w:rsid w:val="3C576B6D"/>
    <w:rsid w:val="3CC80866"/>
    <w:rsid w:val="3CCF2D44"/>
    <w:rsid w:val="3CEA2C1F"/>
    <w:rsid w:val="3D2B255F"/>
    <w:rsid w:val="3D2C1495"/>
    <w:rsid w:val="3D6400D0"/>
    <w:rsid w:val="3D696032"/>
    <w:rsid w:val="3D873FA7"/>
    <w:rsid w:val="3DCA60E8"/>
    <w:rsid w:val="3DD370DA"/>
    <w:rsid w:val="3DF57EB8"/>
    <w:rsid w:val="3E001606"/>
    <w:rsid w:val="3E1A5F4B"/>
    <w:rsid w:val="3E200EA3"/>
    <w:rsid w:val="3E822E90"/>
    <w:rsid w:val="3EF97CBD"/>
    <w:rsid w:val="3F01066C"/>
    <w:rsid w:val="3FA230F2"/>
    <w:rsid w:val="3FA7678B"/>
    <w:rsid w:val="3FA8340E"/>
    <w:rsid w:val="401175F4"/>
    <w:rsid w:val="402A0417"/>
    <w:rsid w:val="403F3341"/>
    <w:rsid w:val="4058716E"/>
    <w:rsid w:val="40705F35"/>
    <w:rsid w:val="40784FAD"/>
    <w:rsid w:val="407F750C"/>
    <w:rsid w:val="40963113"/>
    <w:rsid w:val="40A32BFA"/>
    <w:rsid w:val="40D14984"/>
    <w:rsid w:val="40EA444A"/>
    <w:rsid w:val="412B66CE"/>
    <w:rsid w:val="41512A26"/>
    <w:rsid w:val="41812FA9"/>
    <w:rsid w:val="4182142E"/>
    <w:rsid w:val="418336EA"/>
    <w:rsid w:val="41C05247"/>
    <w:rsid w:val="42070F29"/>
    <w:rsid w:val="420D1B91"/>
    <w:rsid w:val="426D6567"/>
    <w:rsid w:val="429C67A7"/>
    <w:rsid w:val="42AD2D65"/>
    <w:rsid w:val="42C271BA"/>
    <w:rsid w:val="42CF7C1D"/>
    <w:rsid w:val="42DB6E6D"/>
    <w:rsid w:val="42EA6946"/>
    <w:rsid w:val="434468E3"/>
    <w:rsid w:val="434740DF"/>
    <w:rsid w:val="43702F93"/>
    <w:rsid w:val="43A50C96"/>
    <w:rsid w:val="44324618"/>
    <w:rsid w:val="4482594F"/>
    <w:rsid w:val="44994F4D"/>
    <w:rsid w:val="44A31ACC"/>
    <w:rsid w:val="44A51573"/>
    <w:rsid w:val="44D26B54"/>
    <w:rsid w:val="453916BC"/>
    <w:rsid w:val="45CE7C4C"/>
    <w:rsid w:val="45EC5FEB"/>
    <w:rsid w:val="45F736A5"/>
    <w:rsid w:val="4633099A"/>
    <w:rsid w:val="464C751F"/>
    <w:rsid w:val="468F7DA0"/>
    <w:rsid w:val="469B3F7E"/>
    <w:rsid w:val="46B03499"/>
    <w:rsid w:val="4700503B"/>
    <w:rsid w:val="4706696D"/>
    <w:rsid w:val="47113037"/>
    <w:rsid w:val="47382FD8"/>
    <w:rsid w:val="47580E71"/>
    <w:rsid w:val="475A1B60"/>
    <w:rsid w:val="47601C7A"/>
    <w:rsid w:val="477F7281"/>
    <w:rsid w:val="47860733"/>
    <w:rsid w:val="47AC6AEF"/>
    <w:rsid w:val="47AD3A66"/>
    <w:rsid w:val="47DB462B"/>
    <w:rsid w:val="47DF64A0"/>
    <w:rsid w:val="484D49E3"/>
    <w:rsid w:val="486855A2"/>
    <w:rsid w:val="488E614C"/>
    <w:rsid w:val="48D272BD"/>
    <w:rsid w:val="48D84475"/>
    <w:rsid w:val="48DC2D1A"/>
    <w:rsid w:val="49105682"/>
    <w:rsid w:val="49241999"/>
    <w:rsid w:val="492B1DFC"/>
    <w:rsid w:val="494E1741"/>
    <w:rsid w:val="49553D12"/>
    <w:rsid w:val="49812CF9"/>
    <w:rsid w:val="49BD27D9"/>
    <w:rsid w:val="49C32606"/>
    <w:rsid w:val="49E015C9"/>
    <w:rsid w:val="49FF228D"/>
    <w:rsid w:val="4A130A8B"/>
    <w:rsid w:val="4A3272C2"/>
    <w:rsid w:val="4A483989"/>
    <w:rsid w:val="4A64250C"/>
    <w:rsid w:val="4A842482"/>
    <w:rsid w:val="4A8516D8"/>
    <w:rsid w:val="4AA738E0"/>
    <w:rsid w:val="4AAD6B93"/>
    <w:rsid w:val="4AD01E1A"/>
    <w:rsid w:val="4AE471B2"/>
    <w:rsid w:val="4AFC3E8E"/>
    <w:rsid w:val="4B104096"/>
    <w:rsid w:val="4B4B7FC2"/>
    <w:rsid w:val="4B5E26CE"/>
    <w:rsid w:val="4B7029A1"/>
    <w:rsid w:val="4B76791F"/>
    <w:rsid w:val="4B790541"/>
    <w:rsid w:val="4BAB5143"/>
    <w:rsid w:val="4BD14024"/>
    <w:rsid w:val="4BE25377"/>
    <w:rsid w:val="4BE531E0"/>
    <w:rsid w:val="4BF90FA4"/>
    <w:rsid w:val="4C017A1F"/>
    <w:rsid w:val="4C153395"/>
    <w:rsid w:val="4C5207AE"/>
    <w:rsid w:val="4C673746"/>
    <w:rsid w:val="4C8A628E"/>
    <w:rsid w:val="4C9832A8"/>
    <w:rsid w:val="4C9E7A67"/>
    <w:rsid w:val="4CA76709"/>
    <w:rsid w:val="4CAC7D76"/>
    <w:rsid w:val="4CBD53AE"/>
    <w:rsid w:val="4CC1763A"/>
    <w:rsid w:val="4CDE6559"/>
    <w:rsid w:val="4D046728"/>
    <w:rsid w:val="4D1206BF"/>
    <w:rsid w:val="4D241E6C"/>
    <w:rsid w:val="4D6F3BD9"/>
    <w:rsid w:val="4DB42D30"/>
    <w:rsid w:val="4DD25292"/>
    <w:rsid w:val="4DD80D90"/>
    <w:rsid w:val="4E042104"/>
    <w:rsid w:val="4E347E75"/>
    <w:rsid w:val="4E4933C2"/>
    <w:rsid w:val="4E732275"/>
    <w:rsid w:val="4E8107AF"/>
    <w:rsid w:val="4EAB6BC8"/>
    <w:rsid w:val="4EB421C5"/>
    <w:rsid w:val="4EE26404"/>
    <w:rsid w:val="4F673EE8"/>
    <w:rsid w:val="4F9A5001"/>
    <w:rsid w:val="4FB71475"/>
    <w:rsid w:val="4FF02F67"/>
    <w:rsid w:val="500E5EDD"/>
    <w:rsid w:val="501F49B5"/>
    <w:rsid w:val="50646D64"/>
    <w:rsid w:val="50880CED"/>
    <w:rsid w:val="50BA3053"/>
    <w:rsid w:val="50FB4DD1"/>
    <w:rsid w:val="5100469E"/>
    <w:rsid w:val="512B7592"/>
    <w:rsid w:val="51846EA7"/>
    <w:rsid w:val="51D97A8B"/>
    <w:rsid w:val="51E34EB8"/>
    <w:rsid w:val="51EA4CB7"/>
    <w:rsid w:val="51F80C95"/>
    <w:rsid w:val="521A20C4"/>
    <w:rsid w:val="52210A86"/>
    <w:rsid w:val="522B6251"/>
    <w:rsid w:val="52496310"/>
    <w:rsid w:val="526007CC"/>
    <w:rsid w:val="52867736"/>
    <w:rsid w:val="52BE76AE"/>
    <w:rsid w:val="52CE5E95"/>
    <w:rsid w:val="52CF4419"/>
    <w:rsid w:val="530653DD"/>
    <w:rsid w:val="53124DA1"/>
    <w:rsid w:val="53396C24"/>
    <w:rsid w:val="535F6287"/>
    <w:rsid w:val="536153F0"/>
    <w:rsid w:val="53A10A0B"/>
    <w:rsid w:val="53F378D8"/>
    <w:rsid w:val="540F129D"/>
    <w:rsid w:val="543742FB"/>
    <w:rsid w:val="543E2E38"/>
    <w:rsid w:val="54A46F6D"/>
    <w:rsid w:val="54D96004"/>
    <w:rsid w:val="55070ABE"/>
    <w:rsid w:val="557634E1"/>
    <w:rsid w:val="55A434E9"/>
    <w:rsid w:val="55D26BC3"/>
    <w:rsid w:val="55D62BEA"/>
    <w:rsid w:val="55E768BD"/>
    <w:rsid w:val="55EB37A1"/>
    <w:rsid w:val="55F5392F"/>
    <w:rsid w:val="55F932BC"/>
    <w:rsid w:val="5675402A"/>
    <w:rsid w:val="56827C3F"/>
    <w:rsid w:val="56B224C0"/>
    <w:rsid w:val="56CF6ACB"/>
    <w:rsid w:val="56EE42B6"/>
    <w:rsid w:val="5708400C"/>
    <w:rsid w:val="57183A74"/>
    <w:rsid w:val="573568EA"/>
    <w:rsid w:val="57773C92"/>
    <w:rsid w:val="57D1293C"/>
    <w:rsid w:val="57F95C2A"/>
    <w:rsid w:val="580C1DB1"/>
    <w:rsid w:val="582820C3"/>
    <w:rsid w:val="582A6D65"/>
    <w:rsid w:val="585C558C"/>
    <w:rsid w:val="587956F9"/>
    <w:rsid w:val="58A73AA6"/>
    <w:rsid w:val="58B05894"/>
    <w:rsid w:val="58B23052"/>
    <w:rsid w:val="58B81054"/>
    <w:rsid w:val="58BD53FE"/>
    <w:rsid w:val="58BF4FB7"/>
    <w:rsid w:val="58DD0CFA"/>
    <w:rsid w:val="58F4663F"/>
    <w:rsid w:val="58F97626"/>
    <w:rsid w:val="590C3076"/>
    <w:rsid w:val="59160132"/>
    <w:rsid w:val="59D85F30"/>
    <w:rsid w:val="59DD0C9A"/>
    <w:rsid w:val="59E74A49"/>
    <w:rsid w:val="59F34B37"/>
    <w:rsid w:val="59F55317"/>
    <w:rsid w:val="5A075E63"/>
    <w:rsid w:val="5A27573A"/>
    <w:rsid w:val="5A3E0EA1"/>
    <w:rsid w:val="5A4859E7"/>
    <w:rsid w:val="5A626EC9"/>
    <w:rsid w:val="5A8A1B4A"/>
    <w:rsid w:val="5AB61869"/>
    <w:rsid w:val="5ACF7E5C"/>
    <w:rsid w:val="5AF412E4"/>
    <w:rsid w:val="5B070BCF"/>
    <w:rsid w:val="5B203A22"/>
    <w:rsid w:val="5B527993"/>
    <w:rsid w:val="5B5C27B8"/>
    <w:rsid w:val="5B6670B3"/>
    <w:rsid w:val="5B693B9A"/>
    <w:rsid w:val="5B6B11E9"/>
    <w:rsid w:val="5B836D4E"/>
    <w:rsid w:val="5B8B6370"/>
    <w:rsid w:val="5B936B97"/>
    <w:rsid w:val="5B991D26"/>
    <w:rsid w:val="5BB115A2"/>
    <w:rsid w:val="5C1215B5"/>
    <w:rsid w:val="5C244D6B"/>
    <w:rsid w:val="5C290845"/>
    <w:rsid w:val="5C5950DF"/>
    <w:rsid w:val="5C5B3977"/>
    <w:rsid w:val="5C6717BA"/>
    <w:rsid w:val="5C746B0B"/>
    <w:rsid w:val="5CD61CA4"/>
    <w:rsid w:val="5CD83630"/>
    <w:rsid w:val="5CE94DC2"/>
    <w:rsid w:val="5CFC3977"/>
    <w:rsid w:val="5D0B50EF"/>
    <w:rsid w:val="5D337CB5"/>
    <w:rsid w:val="5D853F16"/>
    <w:rsid w:val="5DBB5C9E"/>
    <w:rsid w:val="5DBC2570"/>
    <w:rsid w:val="5E136AA0"/>
    <w:rsid w:val="5E2B2E38"/>
    <w:rsid w:val="5E2C3333"/>
    <w:rsid w:val="5E493798"/>
    <w:rsid w:val="5E586243"/>
    <w:rsid w:val="5E857D72"/>
    <w:rsid w:val="5E9B6FE6"/>
    <w:rsid w:val="5EB10408"/>
    <w:rsid w:val="5EC05A92"/>
    <w:rsid w:val="5EFD0E59"/>
    <w:rsid w:val="5F6931E6"/>
    <w:rsid w:val="5F7F1EE1"/>
    <w:rsid w:val="5F8C37BC"/>
    <w:rsid w:val="5FBB25F2"/>
    <w:rsid w:val="5FD92ADA"/>
    <w:rsid w:val="5FFB0B07"/>
    <w:rsid w:val="5FFE4F54"/>
    <w:rsid w:val="60560594"/>
    <w:rsid w:val="60611414"/>
    <w:rsid w:val="606176D2"/>
    <w:rsid w:val="60675F17"/>
    <w:rsid w:val="609A4B7B"/>
    <w:rsid w:val="61073138"/>
    <w:rsid w:val="61123463"/>
    <w:rsid w:val="618E1A80"/>
    <w:rsid w:val="61BF5B31"/>
    <w:rsid w:val="61F558B8"/>
    <w:rsid w:val="622D3443"/>
    <w:rsid w:val="62552982"/>
    <w:rsid w:val="62B123E4"/>
    <w:rsid w:val="62CD5C45"/>
    <w:rsid w:val="62D77A7F"/>
    <w:rsid w:val="62D850B9"/>
    <w:rsid w:val="630729D5"/>
    <w:rsid w:val="630D32AE"/>
    <w:rsid w:val="63A26CEB"/>
    <w:rsid w:val="63C56A23"/>
    <w:rsid w:val="63D76A9D"/>
    <w:rsid w:val="63F754F8"/>
    <w:rsid w:val="6474067C"/>
    <w:rsid w:val="649A7FE9"/>
    <w:rsid w:val="64CC496B"/>
    <w:rsid w:val="65174E17"/>
    <w:rsid w:val="651F09DF"/>
    <w:rsid w:val="652210EB"/>
    <w:rsid w:val="65794350"/>
    <w:rsid w:val="657D6472"/>
    <w:rsid w:val="659B6673"/>
    <w:rsid w:val="65C64580"/>
    <w:rsid w:val="66525880"/>
    <w:rsid w:val="66765696"/>
    <w:rsid w:val="669E66EB"/>
    <w:rsid w:val="66C95744"/>
    <w:rsid w:val="66E41FBE"/>
    <w:rsid w:val="66FB57CC"/>
    <w:rsid w:val="67090F98"/>
    <w:rsid w:val="673E4D9C"/>
    <w:rsid w:val="6740356B"/>
    <w:rsid w:val="67476CC8"/>
    <w:rsid w:val="675B2A11"/>
    <w:rsid w:val="67757E4A"/>
    <w:rsid w:val="679A5C28"/>
    <w:rsid w:val="67BA4A3A"/>
    <w:rsid w:val="67CF2170"/>
    <w:rsid w:val="67EC7A26"/>
    <w:rsid w:val="68143F2C"/>
    <w:rsid w:val="681F7678"/>
    <w:rsid w:val="68623565"/>
    <w:rsid w:val="686F3462"/>
    <w:rsid w:val="687A5204"/>
    <w:rsid w:val="687C48AE"/>
    <w:rsid w:val="68A74C99"/>
    <w:rsid w:val="68DB777F"/>
    <w:rsid w:val="68FD4E3A"/>
    <w:rsid w:val="6949590D"/>
    <w:rsid w:val="699026AD"/>
    <w:rsid w:val="69C26914"/>
    <w:rsid w:val="69CF6211"/>
    <w:rsid w:val="69E37B94"/>
    <w:rsid w:val="69E67729"/>
    <w:rsid w:val="6A4E42A1"/>
    <w:rsid w:val="6A632AD3"/>
    <w:rsid w:val="6A84509B"/>
    <w:rsid w:val="6A9816E9"/>
    <w:rsid w:val="6AA354C6"/>
    <w:rsid w:val="6ACC5319"/>
    <w:rsid w:val="6AD4151A"/>
    <w:rsid w:val="6ADD6771"/>
    <w:rsid w:val="6B083E55"/>
    <w:rsid w:val="6B57005C"/>
    <w:rsid w:val="6B8D3927"/>
    <w:rsid w:val="6B9B0681"/>
    <w:rsid w:val="6BB97111"/>
    <w:rsid w:val="6BCA6B66"/>
    <w:rsid w:val="6BD10292"/>
    <w:rsid w:val="6BD65086"/>
    <w:rsid w:val="6BDF6D43"/>
    <w:rsid w:val="6BE94CB0"/>
    <w:rsid w:val="6C247E67"/>
    <w:rsid w:val="6C427A82"/>
    <w:rsid w:val="6C595E57"/>
    <w:rsid w:val="6C630F37"/>
    <w:rsid w:val="6CA9025A"/>
    <w:rsid w:val="6CB564E8"/>
    <w:rsid w:val="6CB75BD6"/>
    <w:rsid w:val="6D045E4A"/>
    <w:rsid w:val="6D2E2594"/>
    <w:rsid w:val="6D2E55EA"/>
    <w:rsid w:val="6D364A56"/>
    <w:rsid w:val="6D507883"/>
    <w:rsid w:val="6DA901DD"/>
    <w:rsid w:val="6DAC3F16"/>
    <w:rsid w:val="6DC7239F"/>
    <w:rsid w:val="6DCF1523"/>
    <w:rsid w:val="6DE53954"/>
    <w:rsid w:val="6E2D7AEA"/>
    <w:rsid w:val="6E3B732E"/>
    <w:rsid w:val="6E437F85"/>
    <w:rsid w:val="6E4A2FA7"/>
    <w:rsid w:val="6E960A18"/>
    <w:rsid w:val="6ED07527"/>
    <w:rsid w:val="6F2F3B72"/>
    <w:rsid w:val="6F9C7DC6"/>
    <w:rsid w:val="6F9E17FF"/>
    <w:rsid w:val="6FA04405"/>
    <w:rsid w:val="6FC43F1A"/>
    <w:rsid w:val="6FEE3B27"/>
    <w:rsid w:val="6FFB4E81"/>
    <w:rsid w:val="70095140"/>
    <w:rsid w:val="701B26B0"/>
    <w:rsid w:val="701E56C1"/>
    <w:rsid w:val="70457740"/>
    <w:rsid w:val="70505934"/>
    <w:rsid w:val="706636AD"/>
    <w:rsid w:val="708320B8"/>
    <w:rsid w:val="70A52F0F"/>
    <w:rsid w:val="70BF6EAC"/>
    <w:rsid w:val="715B6DF0"/>
    <w:rsid w:val="716A74FE"/>
    <w:rsid w:val="71983FCC"/>
    <w:rsid w:val="71BE2868"/>
    <w:rsid w:val="71C70D0F"/>
    <w:rsid w:val="71C77393"/>
    <w:rsid w:val="71DA62D5"/>
    <w:rsid w:val="72544AD5"/>
    <w:rsid w:val="72834686"/>
    <w:rsid w:val="72BA37D1"/>
    <w:rsid w:val="72F04A82"/>
    <w:rsid w:val="72F6284E"/>
    <w:rsid w:val="73111840"/>
    <w:rsid w:val="732F5CE0"/>
    <w:rsid w:val="735F7A76"/>
    <w:rsid w:val="737C5636"/>
    <w:rsid w:val="73A020F1"/>
    <w:rsid w:val="73AB3864"/>
    <w:rsid w:val="73C734EC"/>
    <w:rsid w:val="73D72D54"/>
    <w:rsid w:val="749C342F"/>
    <w:rsid w:val="74A32466"/>
    <w:rsid w:val="74C20CC9"/>
    <w:rsid w:val="74D55F45"/>
    <w:rsid w:val="75213D60"/>
    <w:rsid w:val="75267B08"/>
    <w:rsid w:val="755406ED"/>
    <w:rsid w:val="756A1ED5"/>
    <w:rsid w:val="762B3711"/>
    <w:rsid w:val="763E33FE"/>
    <w:rsid w:val="765366C0"/>
    <w:rsid w:val="766C579E"/>
    <w:rsid w:val="76742C90"/>
    <w:rsid w:val="76820CCA"/>
    <w:rsid w:val="76A6708F"/>
    <w:rsid w:val="76C94304"/>
    <w:rsid w:val="76E01314"/>
    <w:rsid w:val="76F07D7C"/>
    <w:rsid w:val="77083036"/>
    <w:rsid w:val="77107791"/>
    <w:rsid w:val="7717199B"/>
    <w:rsid w:val="771A59E0"/>
    <w:rsid w:val="77262FA1"/>
    <w:rsid w:val="77AB5277"/>
    <w:rsid w:val="77D2588A"/>
    <w:rsid w:val="77FE601B"/>
    <w:rsid w:val="780073C7"/>
    <w:rsid w:val="781D210F"/>
    <w:rsid w:val="783F6CF0"/>
    <w:rsid w:val="784B0D1B"/>
    <w:rsid w:val="788F230F"/>
    <w:rsid w:val="78E44E0B"/>
    <w:rsid w:val="78EA2843"/>
    <w:rsid w:val="79170E28"/>
    <w:rsid w:val="795C052D"/>
    <w:rsid w:val="796E5DDD"/>
    <w:rsid w:val="798551A7"/>
    <w:rsid w:val="79A00331"/>
    <w:rsid w:val="79B867A5"/>
    <w:rsid w:val="79BC6710"/>
    <w:rsid w:val="79D9246E"/>
    <w:rsid w:val="79F958D3"/>
    <w:rsid w:val="7A092DFE"/>
    <w:rsid w:val="7A4C292E"/>
    <w:rsid w:val="7AB76F30"/>
    <w:rsid w:val="7ABD2964"/>
    <w:rsid w:val="7AD83B23"/>
    <w:rsid w:val="7B092A56"/>
    <w:rsid w:val="7B1866B0"/>
    <w:rsid w:val="7B26545E"/>
    <w:rsid w:val="7B3576ED"/>
    <w:rsid w:val="7B3C0F81"/>
    <w:rsid w:val="7B5E07DF"/>
    <w:rsid w:val="7BB267C4"/>
    <w:rsid w:val="7C260C58"/>
    <w:rsid w:val="7C381B91"/>
    <w:rsid w:val="7C6F6035"/>
    <w:rsid w:val="7D0A4DD0"/>
    <w:rsid w:val="7D29035F"/>
    <w:rsid w:val="7DC20FD0"/>
    <w:rsid w:val="7DD97376"/>
    <w:rsid w:val="7DDA3C6D"/>
    <w:rsid w:val="7DDD3DB1"/>
    <w:rsid w:val="7E2F79DD"/>
    <w:rsid w:val="7E4B6D51"/>
    <w:rsid w:val="7E897169"/>
    <w:rsid w:val="7F04182C"/>
    <w:rsid w:val="7F0471AE"/>
    <w:rsid w:val="7F435AE3"/>
    <w:rsid w:val="7F49525D"/>
    <w:rsid w:val="7F6902E1"/>
    <w:rsid w:val="7F697FDE"/>
    <w:rsid w:val="7F716C7F"/>
    <w:rsid w:val="7FA32FAB"/>
    <w:rsid w:val="7FB46227"/>
    <w:rsid w:val="7FC43A73"/>
    <w:rsid w:val="7FE1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sz w:val="32"/>
      <w:szCs w:val="32"/>
    </w:rPr>
  </w:style>
  <w:style w:type="paragraph" w:styleId="4">
    <w:name w:val="footer"/>
    <w:basedOn w:val="1"/>
    <w:qFormat/>
    <w:uiPriority w:val="0"/>
    <w:pPr>
      <w:tabs>
        <w:tab w:val="center" w:pos="4153"/>
        <w:tab w:val="right" w:pos="8306"/>
      </w:tabs>
      <w:snapToGrid w:val="0"/>
    </w:pPr>
    <w:rPr>
      <w:sz w:val="18"/>
      <w:szCs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0">
    <w:name w:val="List Paragraph"/>
    <w:basedOn w:val="1"/>
    <w:qFormat/>
    <w:uiPriority w:val="34"/>
    <w:pPr>
      <w:ind w:firstLine="420" w:firstLineChars="200"/>
    </w:pPr>
  </w:style>
  <w:style w:type="character" w:customStyle="1" w:styleId="11">
    <w:name w:val="页脚 字符"/>
    <w:basedOn w:val="8"/>
    <w:qFormat/>
    <w:uiPriority w:val="0"/>
    <w:rPr>
      <w:rFonts w:ascii="Arial Unicode MS" w:hAnsi="Arial Unicode MS" w:eastAsia="Arial Unicode MS" w:cs="Arial Unicode MS"/>
      <w:sz w:val="18"/>
      <w:szCs w:val="18"/>
      <w:lang w:val="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6804</Words>
  <Characters>7973</Characters>
  <Lines>0</Lines>
  <Paragraphs>0</Paragraphs>
  <TotalTime>0</TotalTime>
  <ScaleCrop>false</ScaleCrop>
  <LinksUpToDate>false</LinksUpToDate>
  <CharactersWithSpaces>8237</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2021-08-31T01:09:00Z</dcterms:created>
  <dc:creator>Administrator</dc:creator>
  <cp:lastModifiedBy>坏脾气</cp:lastModifiedBy>
  <dcterms:modified xsi:type="dcterms:W3CDTF">2022-08-23T02:41:11Z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EED05CEA200D4403A3DCB0EFF85B6FE6</vt:lpwstr>
  </property>
</Properties>
</file>