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中方县接龙镇学校</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32" w:hRule="atLeast"/>
        </w:trPr>
        <w:tc>
          <w:tcPr>
            <w:tcW w:w="8522" w:type="dxa"/>
          </w:tcPr>
          <w:p>
            <w:pPr>
              <w:pStyle w:val="10"/>
              <w:jc w:val="both"/>
              <w:rPr>
                <w:sz w:val="44"/>
                <w:szCs w:val="44"/>
              </w:rPr>
            </w:pPr>
          </w:p>
        </w:tc>
      </w:tr>
    </w:tbl>
    <w:p>
      <w:pPr>
        <w:pStyle w:val="10"/>
        <w:rPr>
          <w:sz w:val="32"/>
          <w:szCs w:val="32"/>
        </w:rPr>
        <w:sectPr>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中方县接龙镇学校单位概况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中方县接龙镇学校</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1、贯彻落实国家教育工作的方针、政策、法规、规章，结合我校拟定具体实施办法和管理制度，并组织实施。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2、研究拟定学校教育改革与发展战略和教育事业发展规划、年度计划及教育发展的重点、速度和步骤，并协调实施。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3、负责学校教育经费的统筹管理；负责教育经费的安排和预决算工作；对学校的各类国有资产进行宏观管理。</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4、负责全面实施素质教育，规划并指导学校的思想政治工作、教育工作、后勤保健与家园共育等工作。</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中方县接龙镇学校内设机构包括：本单位内设机构包括：校长室、办公室、财务室、教导处、德育处、集体办公室、后勤处、体育室、音乐室、实验室、多媒体室、少年宫室、图书室、计算机室、保教处等。</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中方县接龙镇学校2020年部门决算汇总公开单位构成包括：本单位2020年部门决算汇总公开单位构成包括：中方县接龙镇学校，无二级预算单位。</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中方县接龙镇学校</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558.15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2.97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558.15</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2.97</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561.12</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561.12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561.12</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561.12</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中方县接龙镇学校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561.12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561.12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558.15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558.15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558.15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558.15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5.32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5.32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541.12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541.12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8.46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8.46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3.25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3.25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22960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彩票公益金安排的支出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2296004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用于教育事业的彩票公益金支出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中方县接龙镇学校</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561.12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561.12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558.15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558.15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558.15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558.15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5.32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5.32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541.12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541.12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8.46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8.46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3.25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3.25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22960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彩票公益金安排的支出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2296004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用于教育事业的彩票公益金支出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中方县接龙镇学校</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558.15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2.97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558.15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558.15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2.97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2.97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561.12</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561.12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558.15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2.97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561.12</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561.12</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558.15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r>
              <w:rPr>
                <w:rFonts w:hint="eastAsia" w:ascii="仿宋" w:hAnsi="仿宋" w:eastAsia="仿宋" w:cs="仿宋"/>
              </w:rPr>
              <w:t>2.97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中方县接龙镇学校</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558.15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558.15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558.15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558.15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558.15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558.15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5.32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5.32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541.12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541.12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8.46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8.46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3.25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3.25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中方县接龙镇学校</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477.76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40.45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239.47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14.58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151.46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0.85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52.76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28.02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6.06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7.91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0.65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39.94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1.68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0.37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27.07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6.29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0.06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517.70</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40.45</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中方县接龙镇学校</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中方县接龙镇学校</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中方县接龙镇学校</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2.97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2.97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kern w:val="0"/>
                <w:szCs w:val="21"/>
              </w:rPr>
              <w:t>2.97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22960</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彩票公益金安排的支出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2296004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用于教育事业的彩票公益金支出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2.97</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中方县接龙镇学校</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中方县接龙镇学校</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2020年度收入总计561.12万元，与上年相比</w:t>
      </w:r>
      <w:r>
        <w:rPr>
          <w:rFonts w:hint="eastAsia" w:ascii="仿宋" w:hAnsi="仿宋" w:eastAsia="仿宋" w:cs="仿宋"/>
        </w:rPr>
        <w:t>减少69.69</w:t>
      </w:r>
      <w:r>
        <w:rPr>
          <w:rFonts w:ascii="仿宋" w:hAnsi="仿宋" w:eastAsia="仿宋" w:cs="仿宋"/>
        </w:rPr>
        <w:t>万元，</w:t>
      </w:r>
      <w:r>
        <w:rPr>
          <w:rFonts w:hint="eastAsia" w:ascii="仿宋" w:hAnsi="仿宋" w:eastAsia="仿宋" w:cs="仿宋"/>
        </w:rPr>
        <w:t>减少12.4%。</w:t>
      </w:r>
      <w:r>
        <w:rPr>
          <w:rFonts w:ascii="仿宋" w:hAnsi="仿宋" w:eastAsia="仿宋" w:cs="仿宋"/>
        </w:rPr>
        <w:t>主要是因为学校</w:t>
      </w:r>
      <w:r>
        <w:rPr>
          <w:rFonts w:hint="eastAsia" w:ascii="仿宋" w:hAnsi="仿宋" w:eastAsia="仿宋" w:cs="仿宋"/>
        </w:rPr>
        <w:t>人员减少，造成财政收入减少。</w:t>
      </w:r>
      <w:r>
        <w:rPr>
          <w:rFonts w:ascii="仿宋" w:hAnsi="仿宋" w:eastAsia="仿宋" w:cs="仿宋"/>
        </w:rPr>
        <w:t>支出561.12万元，与上年相比</w:t>
      </w:r>
      <w:r>
        <w:rPr>
          <w:rFonts w:hint="eastAsia" w:ascii="仿宋" w:hAnsi="仿宋" w:eastAsia="仿宋" w:cs="仿宋"/>
        </w:rPr>
        <w:t>减少69.69</w:t>
      </w:r>
      <w:r>
        <w:rPr>
          <w:rFonts w:ascii="仿宋" w:hAnsi="仿宋" w:eastAsia="仿宋" w:cs="仿宋"/>
        </w:rPr>
        <w:t>万元，</w:t>
      </w:r>
      <w:r>
        <w:rPr>
          <w:rFonts w:hint="eastAsia" w:ascii="仿宋" w:hAnsi="仿宋" w:eastAsia="仿宋" w:cs="仿宋"/>
        </w:rPr>
        <w:t>减少12.4%。</w:t>
      </w:r>
      <w:r>
        <w:rPr>
          <w:rFonts w:ascii="仿宋" w:hAnsi="仿宋" w:eastAsia="仿宋" w:cs="仿宋"/>
        </w:rPr>
        <w:t>主要是因为学校</w:t>
      </w:r>
      <w:r>
        <w:rPr>
          <w:rFonts w:hint="eastAsia" w:ascii="仿宋" w:hAnsi="仿宋" w:eastAsia="仿宋" w:cs="仿宋"/>
        </w:rPr>
        <w:t>人员减少，造成财政支出减少。</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本年收入合计561.12万元，其中：财政拨款收入561.12万元，占100%；上级补助收入0万元，占0%；事业收入0万元，占0%；经营收入0万元，占0%；附属单位上缴收入0万元，占0%；其他收入0万元，占0%。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6"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本年支出合计561.12万元，其中：基本支出561.12万元，占100%；项目支出0万元，占0%；上缴上级支出0万元，占0%；经营支出0万元，占0%；对附属单位补助支出0万元，占0%。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7"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w:t>
      </w:r>
      <w:r>
        <w:rPr>
          <w:rFonts w:hint="eastAsia" w:ascii="仿宋" w:hAnsi="仿宋" w:eastAsia="仿宋" w:cs="仿宋"/>
          <w:lang w:val="en-US" w:eastAsia="zh-CN"/>
        </w:rPr>
        <w:t>财政拨款</w:t>
      </w:r>
      <w:r>
        <w:rPr>
          <w:rFonts w:ascii="仿宋" w:hAnsi="仿宋" w:eastAsia="仿宋" w:cs="仿宋"/>
        </w:rPr>
        <w:t>收入总计561.12万元，与上年相比</w:t>
      </w:r>
      <w:r>
        <w:rPr>
          <w:rFonts w:hint="eastAsia" w:ascii="仿宋" w:hAnsi="仿宋" w:eastAsia="仿宋" w:cs="仿宋"/>
        </w:rPr>
        <w:t>减少69.69</w:t>
      </w:r>
      <w:r>
        <w:rPr>
          <w:rFonts w:ascii="仿宋" w:hAnsi="仿宋" w:eastAsia="仿宋" w:cs="仿宋"/>
        </w:rPr>
        <w:t>万元，</w:t>
      </w:r>
      <w:r>
        <w:rPr>
          <w:rFonts w:hint="eastAsia" w:ascii="仿宋" w:hAnsi="仿宋" w:eastAsia="仿宋" w:cs="仿宋"/>
        </w:rPr>
        <w:t>减少12.4%。</w:t>
      </w:r>
      <w:r>
        <w:rPr>
          <w:rFonts w:ascii="仿宋" w:hAnsi="仿宋" w:eastAsia="仿宋" w:cs="仿宋"/>
        </w:rPr>
        <w:t>主要是因为学校</w:t>
      </w:r>
      <w:r>
        <w:rPr>
          <w:rFonts w:hint="eastAsia" w:ascii="仿宋" w:hAnsi="仿宋" w:eastAsia="仿宋" w:cs="仿宋"/>
        </w:rPr>
        <w:t>人员减少，造成财政收入减少。</w:t>
      </w:r>
      <w:r>
        <w:rPr>
          <w:rFonts w:ascii="仿宋" w:hAnsi="仿宋" w:eastAsia="仿宋" w:cs="仿宋"/>
        </w:rPr>
        <w:t>支出561.12万元，与上年相比</w:t>
      </w:r>
      <w:r>
        <w:rPr>
          <w:rFonts w:hint="eastAsia" w:ascii="仿宋" w:hAnsi="仿宋" w:eastAsia="仿宋" w:cs="仿宋"/>
        </w:rPr>
        <w:t>减少69.69</w:t>
      </w:r>
      <w:r>
        <w:rPr>
          <w:rFonts w:ascii="仿宋" w:hAnsi="仿宋" w:eastAsia="仿宋" w:cs="仿宋"/>
        </w:rPr>
        <w:t>万元，</w:t>
      </w:r>
      <w:r>
        <w:rPr>
          <w:rFonts w:hint="eastAsia" w:ascii="仿宋" w:hAnsi="仿宋" w:eastAsia="仿宋" w:cs="仿宋"/>
        </w:rPr>
        <w:t>减少12.4%。</w:t>
      </w:r>
      <w:r>
        <w:rPr>
          <w:rFonts w:ascii="仿宋" w:hAnsi="仿宋" w:eastAsia="仿宋" w:cs="仿宋"/>
        </w:rPr>
        <w:t>主要是因为学校</w:t>
      </w:r>
      <w:r>
        <w:rPr>
          <w:rFonts w:hint="eastAsia" w:ascii="仿宋" w:hAnsi="仿宋" w:eastAsia="仿宋" w:cs="仿宋"/>
        </w:rPr>
        <w:t>人员减少，造成财政支出减少。</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2020年度财政拨款支出558.15万元，占本年支出合计的99.47%，与上年相比</w:t>
      </w:r>
      <w:r>
        <w:rPr>
          <w:rFonts w:hint="eastAsia" w:ascii="仿宋" w:hAnsi="仿宋" w:eastAsia="仿宋" w:cs="仿宋"/>
        </w:rPr>
        <w:t>减少69.69</w:t>
      </w:r>
      <w:r>
        <w:rPr>
          <w:rFonts w:ascii="仿宋" w:hAnsi="仿宋" w:eastAsia="仿宋" w:cs="仿宋"/>
        </w:rPr>
        <w:t>万元，</w:t>
      </w:r>
      <w:r>
        <w:rPr>
          <w:rFonts w:hint="eastAsia" w:ascii="仿宋" w:hAnsi="仿宋" w:eastAsia="仿宋" w:cs="仿宋"/>
        </w:rPr>
        <w:t>减少12.5%。</w:t>
      </w:r>
      <w:r>
        <w:rPr>
          <w:rFonts w:ascii="仿宋" w:hAnsi="仿宋" w:eastAsia="仿宋" w:cs="仿宋"/>
        </w:rPr>
        <w:t>主要是因为学校</w:t>
      </w:r>
      <w:r>
        <w:rPr>
          <w:rFonts w:hint="eastAsia" w:ascii="仿宋" w:hAnsi="仿宋" w:eastAsia="仿宋" w:cs="仿宋"/>
        </w:rPr>
        <w:t>人员减少，造成财政收入和支出减少。</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2020年度财政拨款支出558.15万元，主要用于以下方面：教育支出（类）558.15万元，占100%。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2020年度财政拨款支出年初预算数为602.77万元，支出决算数为558.15万元，完成年初预算的92.6%，其中：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1、教育支出（类）普通教育（款）学前教育（项）。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年初预算为5.32万元，支出决算为5.32万元，完成年初预算的100%。</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2、教育支出（类）普通教育（款）小学教育（项）。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年初预算为585.74万元，支出决算为541.12万元，完成年初预算的92.38%，决算数小于预算数的主要原因是：住房公积金计入预算数，而未计入决算数.。</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3、教育支出（类）普通教育（款）初中教育（项）。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年初预算为8.46万元，支出决算为8.46万元，完成年初预算的100%。</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4、教育支出（类）普通教育（款）其他普通教育支出（项）。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年初预算为3.25万元，支出决算为3.25万元，完成年初预算的100%。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558.15万元（金额转换为万元时，因四舍五入存在尾差），其中：人员经费517.7万元，占基本支出的92.75%，主要包括：基本工资、津贴补贴、机关事业单位基本养老保险缴费、职工基本医疗保险缴费、其他社会保障缴费、生活补助、助学金、奖励金；公用经费40.45万元，占基本支出的7.25%，主要包括：办公费、印刷费、水费、电费、邮电费、差旅费、维修（护）费、会议费、培训费、专用材料费、劳务费、工会经费、其他商品和服务支出。</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2020年度政府性基金预算财政拨款收入2.97万元；年初结转和结余0万元；支出2.97万元，其中基本支出2.97万元，项目支出0万元；年末结转和结余0万元。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0.1万元，用于召开用于学校开展县运动会活动经费及参加各种会议开支等会议，人数15人，内容为县运动会活动经费及参加各种会议开支；开支培训费1.68万元，用于开展用于开支教育教学教研培训培训，人数42人，内容为内容为各科教师教学研讨培训、参加“国培”培训、教师信息技术提升集中培训、参加项目县“送教下乡”培训等；举办无等节庆、晚会、论坛、赛事活动，开支0万元，主要是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sz w:val="72"/>
          <w:szCs w:val="72"/>
        </w:rPr>
        <w:sectPr>
          <w:footerReference r:id="rId4" w:type="default"/>
          <w:pgSz w:w="11906" w:h="16838"/>
          <w:pgMar w:top="720" w:right="720" w:bottom="720" w:left="720" w:header="851" w:footer="992" w:gutter="0"/>
          <w:pgNumType w:fmt="numberInDash"/>
          <w:cols w:space="0" w:num="1"/>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w:t>
      </w:r>
      <w:r>
        <w:rPr>
          <w:rFonts w:hint="eastAsia" w:ascii="仿宋" w:hAnsi="仿宋" w:eastAsia="仿宋" w:cs="仿宋"/>
          <w:lang w:val="en-US" w:eastAsia="zh-CN"/>
        </w:rPr>
        <w:t>评价工作</w:t>
      </w: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二十二、其他支出(类)彩票公益金安排的支出(款)用于教育事业的彩票公益金支出(项)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反映用于教育事业的彩票公益金支出。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10"/>
              <w:jc w:val="center"/>
              <w:rPr>
                <w:rFonts w:ascii="仿宋" w:hAnsi="仿宋" w:eastAsia="仿宋" w:cs="仿宋"/>
                <w:b/>
                <w:bCs/>
                <w:sz w:val="52"/>
                <w:szCs w:val="52"/>
              </w:rPr>
            </w:pPr>
            <w:r>
              <w:rPr>
                <w:rFonts w:hint="eastAsia" w:ascii="仿宋" w:hAnsi="仿宋" w:eastAsia="仿宋" w:cs="仿宋"/>
                <w:b/>
                <w:bCs/>
                <w:sz w:val="52"/>
                <w:szCs w:val="52"/>
              </w:rPr>
              <w:t>第五部分</w:t>
            </w:r>
          </w:p>
          <w:p>
            <w:pPr>
              <w:pStyle w:val="10"/>
              <w:jc w:val="center"/>
              <w:rPr>
                <w:rFonts w:ascii="仿宋" w:hAnsi="仿宋" w:eastAsia="仿宋" w:cs="仿宋"/>
                <w:b/>
                <w:bCs/>
                <w:sz w:val="52"/>
                <w:szCs w:val="52"/>
              </w:rPr>
            </w:pPr>
          </w:p>
          <w:p>
            <w:pPr>
              <w:pStyle w:val="10"/>
              <w:jc w:val="center"/>
              <w:rPr>
                <w:rFonts w:hint="default" w:ascii="仿宋" w:hAnsi="仿宋" w:eastAsia="仿宋" w:cs="仿宋"/>
                <w:b/>
                <w:bCs/>
                <w:sz w:val="52"/>
                <w:szCs w:val="52"/>
                <w:lang w:val="en-US" w:eastAsia="zh-CN"/>
              </w:rPr>
            </w:pPr>
            <w:r>
              <w:rPr>
                <w:rFonts w:hint="eastAsia" w:ascii="仿宋" w:hAnsi="仿宋" w:eastAsia="仿宋" w:cs="仿宋"/>
                <w:b/>
                <w:bCs/>
                <w:sz w:val="52"/>
                <w:szCs w:val="52"/>
              </w:rPr>
              <w:t>附件</w:t>
            </w:r>
            <w:r>
              <w:rPr>
                <w:rFonts w:hint="eastAsia" w:ascii="仿宋" w:hAnsi="仿宋" w:eastAsia="仿宋" w:cs="仿宋"/>
                <w:b/>
                <w:bCs/>
                <w:sz w:val="52"/>
                <w:szCs w:val="52"/>
                <w:lang w:val="en-US" w:eastAsia="zh-CN"/>
              </w:rPr>
              <w:t>(无）</w:t>
            </w:r>
            <w:bookmarkStart w:id="3" w:name="_GoBack"/>
            <w:bookmarkEnd w:id="3"/>
          </w:p>
        </w:tc>
      </w:tr>
    </w:tbl>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- 22 -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ascii="黑体" w:hAnsi="黑体" w:eastAsia="黑体" w:cs="黑体"/>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- 28 -</w:t>
                </w:r>
                <w:r>
                  <w:rPr>
                    <w:rFonts w:hint="eastAsia" w:ascii="黑体" w:hAnsi="黑体" w:eastAsia="黑体" w:cs="黑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zMGRlNjViMzdkNzg4ODhmMTQ5NTk2YWFhMDY5ODkifQ=="/>
  </w:docVars>
  <w:rsids>
    <w:rsidRoot w:val="73D72D54"/>
    <w:rsid w:val="00034B45"/>
    <w:rsid w:val="000A4A40"/>
    <w:rsid w:val="00112995"/>
    <w:rsid w:val="00153D9E"/>
    <w:rsid w:val="003E37A5"/>
    <w:rsid w:val="004A0C62"/>
    <w:rsid w:val="00A57004"/>
    <w:rsid w:val="00D804E8"/>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D6ACF"/>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169DE"/>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BE10152"/>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7274</Words>
  <Characters>8574</Characters>
  <Lines>73</Lines>
  <Paragraphs>20</Paragraphs>
  <TotalTime>0</TotalTime>
  <ScaleCrop>false</ScaleCrop>
  <LinksUpToDate>false</LinksUpToDate>
  <CharactersWithSpaces>8856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2022-08-22T04:01:00Z</dcterms:created>
  <dc:creator>Administrator</dc:creator>
  <cp:lastModifiedBy>坏脾气</cp:lastModifiedBy>
  <dcterms:modified xsi:type="dcterms:W3CDTF">2022-08-23T01:43:29Z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