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6E1FC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5" w:hRule="atLeast"/>
        </w:trPr>
        <w:tc>
          <w:tcPr>
            <w:tcW w:w="8522" w:type="dxa"/>
          </w:tcPr>
          <w:p w14:paraId="1915BBBB">
            <w:pPr>
              <w:pStyle w:val="3"/>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b/>
                <w:bCs/>
                <w:color w:val="FF0000"/>
                <w:sz w:val="22"/>
                <w:szCs w:val="22"/>
                <w:lang w:val="en-US" w:eastAsia="zh-CN"/>
              </w:rPr>
            </w:pPr>
          </w:p>
        </w:tc>
      </w:tr>
      <w:tr w14:paraId="67C8C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2" w:hRule="atLeast"/>
        </w:trPr>
        <w:tc>
          <w:tcPr>
            <w:tcW w:w="8522" w:type="dxa"/>
          </w:tcPr>
          <w:p w14:paraId="48F20BCC">
            <w:pPr>
              <w:pStyle w:val="9"/>
              <w:jc w:val="center"/>
              <w:rPr>
                <w:rFonts w:hint="eastAsia" w:ascii="宋体" w:hAnsi="宋体" w:eastAsia="宋体" w:cs="宋体"/>
                <w:b/>
                <w:bCs/>
                <w:sz w:val="52"/>
                <w:szCs w:val="52"/>
                <w:lang w:val="en-US" w:eastAsia="zh-CN"/>
              </w:rPr>
            </w:pPr>
            <w:r>
              <w:rPr>
                <w:rFonts w:hint="eastAsia" w:ascii="宋体" w:hAnsi="宋体" w:eastAsia="宋体" w:cs="宋体"/>
                <w:b/>
                <w:bCs/>
                <w:sz w:val="52"/>
                <w:szCs w:val="52"/>
                <w:lang w:val="en-US" w:eastAsia="zh-CN"/>
              </w:rPr>
              <w:t>2020年度</w:t>
            </w:r>
          </w:p>
          <w:p w14:paraId="002360C6">
            <w:pPr>
              <w:pStyle w:val="9"/>
              <w:jc w:val="center"/>
              <w:rPr>
                <w:rFonts w:hint="default" w:ascii="宋体" w:hAnsi="宋体" w:eastAsia="宋体" w:cs="宋体"/>
                <w:b/>
                <w:bCs/>
                <w:sz w:val="52"/>
                <w:szCs w:val="52"/>
                <w:lang w:val="en-US" w:eastAsia="zh-CN"/>
              </w:rPr>
            </w:pPr>
            <w:r>
              <w:rPr>
                <w:rFonts w:hint="default" w:ascii="宋体" w:hAnsi="宋体" w:eastAsia="宋体" w:cs="宋体"/>
                <w:b/>
                <w:bCs/>
                <w:sz w:val="52"/>
                <w:szCs w:val="52"/>
                <w:lang w:val="en-US" w:eastAsia="zh-CN"/>
              </w:rPr>
              <w:t>中方县桐木镇中学</w:t>
            </w:r>
            <w:r>
              <w:rPr>
                <w:rFonts w:ascii="宋体" w:hAnsi="宋体" w:eastAsia="宋体" w:cs="宋体"/>
                <w:b/>
                <w:sz w:val="52"/>
              </w:rPr>
              <w:t>单位</w:t>
            </w:r>
            <w:r>
              <w:rPr>
                <w:rFonts w:hint="eastAsia" w:ascii="宋体" w:hAnsi="宋体" w:eastAsia="宋体" w:cs="宋体"/>
                <w:b/>
                <w:bCs/>
                <w:sz w:val="52"/>
                <w:szCs w:val="52"/>
                <w:lang w:val="en-US" w:eastAsia="zh-CN"/>
              </w:rPr>
              <w:t>决算</w:t>
            </w:r>
          </w:p>
          <w:p w14:paraId="07C471CD">
            <w:pPr>
              <w:pStyle w:val="9"/>
              <w:jc w:val="center"/>
              <w:rPr>
                <w:rFonts w:hint="default" w:ascii="宋体" w:hAnsi="宋体" w:eastAsia="宋体" w:cs="宋体"/>
                <w:b/>
                <w:bCs/>
                <w:sz w:val="52"/>
                <w:szCs w:val="52"/>
                <w:lang w:val="en-US" w:eastAsia="zh-CN"/>
              </w:rPr>
            </w:pPr>
          </w:p>
        </w:tc>
      </w:tr>
      <w:tr w14:paraId="66D84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2" w:hRule="atLeast"/>
        </w:trPr>
        <w:tc>
          <w:tcPr>
            <w:tcW w:w="8522" w:type="dxa"/>
          </w:tcPr>
          <w:p w14:paraId="251E2730">
            <w:pPr>
              <w:pStyle w:val="9"/>
              <w:jc w:val="both"/>
              <w:rPr>
                <w:rFonts w:hint="eastAsia"/>
                <w:sz w:val="44"/>
                <w:szCs w:val="44"/>
                <w:vertAlign w:val="baseline"/>
                <w:lang w:val="en-US" w:eastAsia="zh-CN"/>
              </w:rPr>
            </w:pPr>
          </w:p>
        </w:tc>
      </w:tr>
    </w:tbl>
    <w:p w14:paraId="7C19918B">
      <w:pPr>
        <w:pStyle w:val="9"/>
        <w:rPr>
          <w:rFonts w:hint="eastAsia"/>
          <w:sz w:val="32"/>
          <w:szCs w:val="32"/>
        </w:rPr>
        <w:sectPr>
          <w:headerReference r:id="rId3" w:type="default"/>
          <w:footerReference r:id="rId4" w:type="default"/>
          <w:pgSz w:w="11906" w:h="16838"/>
          <w:pgMar w:top="1440" w:right="1800" w:bottom="1440" w:left="1800" w:header="851" w:footer="992" w:gutter="0"/>
          <w:pgNumType w:fmt="numberInDash"/>
          <w:cols w:space="425" w:num="1"/>
          <w:docGrid w:type="lines" w:linePitch="312" w:charSpace="0"/>
        </w:sectPr>
      </w:pPr>
    </w:p>
    <w:p w14:paraId="358F26E5">
      <w:pPr>
        <w:pStyle w:val="9"/>
        <w:spacing w:line="500" w:lineRule="exact"/>
        <w:jc w:val="center"/>
        <w:rPr>
          <w:rFonts w:hint="eastAsia" w:ascii="仿宋" w:hAnsi="仿宋" w:eastAsia="仿宋" w:cs="仿宋"/>
          <w:b/>
          <w:sz w:val="32"/>
          <w:szCs w:val="32"/>
        </w:rPr>
      </w:pPr>
      <w:r>
        <w:rPr>
          <w:rFonts w:hint="eastAsia" w:ascii="仿宋" w:hAnsi="仿宋" w:eastAsia="仿宋" w:cs="仿宋"/>
          <w:b/>
          <w:sz w:val="32"/>
          <w:szCs w:val="32"/>
        </w:rPr>
        <w:t>目录</w:t>
      </w:r>
    </w:p>
    <w:p w14:paraId="0A90D3D2">
      <w:pPr>
        <w:pStyle w:val="9"/>
        <w:keepNext w:val="0"/>
        <w:keepLines w:val="0"/>
        <w:pageBreakBefore w:val="0"/>
        <w:widowControl w:val="0"/>
        <w:kinsoku/>
        <w:wordWrap/>
        <w:overflowPunct/>
        <w:topLinePunct w:val="0"/>
        <w:bidi w:val="0"/>
        <w:adjustRightInd/>
        <w:snapToGrid/>
        <w:spacing w:line="440" w:lineRule="exact"/>
        <w:textAlignment w:val="auto"/>
        <w:rPr>
          <w:rFonts w:hint="eastAsia" w:ascii="仿宋" w:hAnsi="仿宋" w:eastAsia="仿宋" w:cs="仿宋"/>
          <w:b/>
          <w:sz w:val="28"/>
          <w:szCs w:val="28"/>
        </w:rPr>
      </w:pPr>
      <w:r>
        <w:rPr>
          <w:rFonts w:hint="eastAsia" w:ascii="仿宋" w:hAnsi="仿宋" w:eastAsia="仿宋" w:cs="仿宋"/>
          <w:b/>
          <w:sz w:val="28"/>
          <w:szCs w:val="28"/>
        </w:rPr>
        <w:t>第一部分</w:t>
      </w:r>
      <w:r>
        <w:rPr>
          <w:rFonts w:ascii="仿宋" w:hAnsi="仿宋" w:eastAsia="仿宋" w:cs="仿宋"/>
          <w:b/>
          <w:sz w:val="28"/>
        </w:rPr>
        <w:t>中方县桐木镇中学单位概况</w:t>
      </w:r>
    </w:p>
    <w:p w14:paraId="63D50F45">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w:t>
      </w:r>
      <w:r>
        <w:rPr>
          <w:rFonts w:ascii="仿宋" w:hAnsi="仿宋" w:eastAsia="仿宋" w:cs="仿宋"/>
          <w:sz w:val="28"/>
        </w:rPr>
        <w:t>单位职责</w:t>
      </w:r>
    </w:p>
    <w:p w14:paraId="2480401D">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二、机构设置</w:t>
      </w:r>
    </w:p>
    <w:p w14:paraId="7513EB8F">
      <w:pPr>
        <w:pStyle w:val="9"/>
        <w:keepNext w:val="0"/>
        <w:keepLines w:val="0"/>
        <w:pageBreakBefore w:val="0"/>
        <w:widowControl w:val="0"/>
        <w:kinsoku/>
        <w:wordWrap/>
        <w:overflowPunct/>
        <w:topLinePunct w:val="0"/>
        <w:bidi w:val="0"/>
        <w:adjustRightInd/>
        <w:snapToGrid/>
        <w:spacing w:line="440" w:lineRule="exact"/>
        <w:textAlignment w:val="auto"/>
        <w:rPr>
          <w:rFonts w:hint="eastAsia" w:ascii="仿宋" w:hAnsi="仿宋" w:eastAsia="仿宋" w:cs="仿宋"/>
          <w:b/>
          <w:sz w:val="28"/>
          <w:szCs w:val="28"/>
        </w:rPr>
      </w:pPr>
      <w:r>
        <w:rPr>
          <w:rFonts w:hint="eastAsia" w:ascii="仿宋" w:hAnsi="仿宋" w:eastAsia="仿宋" w:cs="仿宋"/>
          <w:b/>
          <w:sz w:val="28"/>
          <w:szCs w:val="28"/>
        </w:rPr>
        <w:t>第二部分2020年度部门决算表</w:t>
      </w:r>
    </w:p>
    <w:p w14:paraId="4D7C90DF">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一、收入支出决算总表</w:t>
      </w:r>
    </w:p>
    <w:p w14:paraId="25CBB8AA">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二、收入决算表</w:t>
      </w:r>
    </w:p>
    <w:p w14:paraId="54D9F077">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三、支出决算表</w:t>
      </w:r>
    </w:p>
    <w:p w14:paraId="512F0546">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四、财政拨款收入支出决算总表</w:t>
      </w:r>
    </w:p>
    <w:p w14:paraId="1180465E">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五、一般公共预算财政拨款支出决算表</w:t>
      </w:r>
    </w:p>
    <w:p w14:paraId="3C2A5800">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六、一般公共预算财政拨款基本支出决算表</w:t>
      </w:r>
    </w:p>
    <w:p w14:paraId="198BB2C5">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七、一般公共预算财政拨款“三公”经费支出决算表</w:t>
      </w:r>
    </w:p>
    <w:p w14:paraId="28C9B150">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八、政府性基金预算财政拨款收入支出决算表</w:t>
      </w:r>
    </w:p>
    <w:p w14:paraId="7B36E413">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九、国有资本经营预算财政拨款支出决算表</w:t>
      </w:r>
    </w:p>
    <w:p w14:paraId="6E335F92">
      <w:pPr>
        <w:pStyle w:val="9"/>
        <w:keepNext w:val="0"/>
        <w:keepLines w:val="0"/>
        <w:pageBreakBefore w:val="0"/>
        <w:widowControl w:val="0"/>
        <w:kinsoku/>
        <w:wordWrap/>
        <w:overflowPunct/>
        <w:topLinePunct w:val="0"/>
        <w:bidi w:val="0"/>
        <w:adjustRightInd/>
        <w:snapToGrid/>
        <w:spacing w:line="440" w:lineRule="exact"/>
        <w:textAlignment w:val="auto"/>
        <w:rPr>
          <w:rFonts w:hint="eastAsia" w:ascii="仿宋" w:hAnsi="仿宋" w:eastAsia="仿宋" w:cs="仿宋"/>
          <w:b/>
          <w:sz w:val="28"/>
          <w:szCs w:val="28"/>
        </w:rPr>
      </w:pPr>
      <w:r>
        <w:rPr>
          <w:rFonts w:hint="eastAsia" w:ascii="仿宋" w:hAnsi="仿宋" w:eastAsia="仿宋" w:cs="仿宋"/>
          <w:b/>
          <w:sz w:val="28"/>
          <w:szCs w:val="28"/>
        </w:rPr>
        <w:t>第三部分2020年度部门决算情况说明</w:t>
      </w:r>
    </w:p>
    <w:p w14:paraId="6E9493DB">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一、收入支出决算总体情况说明</w:t>
      </w:r>
    </w:p>
    <w:p w14:paraId="242EA20D">
      <w:pPr>
        <w:keepNext w:val="0"/>
        <w:keepLines w:val="0"/>
        <w:pageBreakBefore w:val="0"/>
        <w:widowControl w:val="0"/>
        <w:kinsoku/>
        <w:wordWrap/>
        <w:overflowPunct/>
        <w:topLinePunct w:val="0"/>
        <w:bidi w:val="0"/>
        <w:adjustRightInd/>
        <w:snapToGrid/>
        <w:spacing w:line="44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二、收入决算情况说明</w:t>
      </w:r>
    </w:p>
    <w:p w14:paraId="4B03FB9F">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三、支出决算情况说明</w:t>
      </w:r>
    </w:p>
    <w:p w14:paraId="01921251">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四、财政拨款收入支出决算总体情况说明</w:t>
      </w:r>
    </w:p>
    <w:p w14:paraId="6ABC8D3B">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五、一般公共预算财政拨款支出决算情况说明</w:t>
      </w:r>
    </w:p>
    <w:p w14:paraId="134B81AF">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六、一般公共预算财政拨款基本支出决算情况说明</w:t>
      </w:r>
    </w:p>
    <w:p w14:paraId="04FAD01C">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七、一般公共预算财政拨款三公经费支出决算情况说明</w:t>
      </w:r>
    </w:p>
    <w:p w14:paraId="2F00ACBF">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八、政府性基金预算收入支出决算情况</w:t>
      </w:r>
    </w:p>
    <w:p w14:paraId="6894EF01">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九、关于机关运行经费支出说明</w:t>
      </w:r>
    </w:p>
    <w:p w14:paraId="5768E17F">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十、一般性支出情况</w:t>
      </w:r>
    </w:p>
    <w:p w14:paraId="1D11CC67">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十一、关于政府采购支出说明</w:t>
      </w:r>
    </w:p>
    <w:p w14:paraId="429D3B24">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十二、关于国有资产占用情况说明</w:t>
      </w:r>
    </w:p>
    <w:p w14:paraId="6E611EF7">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十三、关于2020年度预算绩效情况的说明</w:t>
      </w:r>
    </w:p>
    <w:p w14:paraId="7D40E616">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仿宋" w:hAnsi="仿宋" w:eastAsia="仿宋" w:cs="仿宋"/>
          <w:b/>
          <w:color w:val="000000"/>
          <w:kern w:val="0"/>
          <w:sz w:val="28"/>
          <w:szCs w:val="28"/>
        </w:rPr>
      </w:pPr>
      <w:r>
        <w:rPr>
          <w:rFonts w:hint="eastAsia" w:ascii="仿宋" w:hAnsi="仿宋" w:eastAsia="仿宋" w:cs="仿宋"/>
          <w:b/>
          <w:color w:val="000000"/>
          <w:kern w:val="0"/>
          <w:sz w:val="28"/>
          <w:szCs w:val="28"/>
        </w:rPr>
        <w:t>第四部分名词解释</w:t>
      </w:r>
    </w:p>
    <w:p w14:paraId="2FEABBA1">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仿宋" w:hAnsi="仿宋" w:eastAsia="仿宋" w:cs="仿宋"/>
          <w:b/>
          <w:color w:val="000000"/>
          <w:kern w:val="0"/>
          <w:sz w:val="28"/>
          <w:szCs w:val="28"/>
        </w:rPr>
      </w:pPr>
      <w:r>
        <w:rPr>
          <w:rFonts w:ascii="仿宋" w:hAnsi="仿宋" w:eastAsia="仿宋" w:cs="仿宋"/>
          <w:b/>
          <w:color w:val="000000"/>
          <w:sz w:val="28"/>
        </w:rPr>
        <w:t>第</w:t>
      </w:r>
      <w:r>
        <w:rPr>
          <w:rFonts w:hint="eastAsia" w:ascii="仿宋" w:hAnsi="仿宋" w:eastAsia="仿宋" w:cs="仿宋"/>
          <w:b/>
          <w:color w:val="000000"/>
          <w:kern w:val="0"/>
          <w:sz w:val="28"/>
          <w:szCs w:val="28"/>
          <w:lang w:val="en-US" w:eastAsia="zh-CN"/>
        </w:rPr>
        <w:t>五</w:t>
      </w:r>
      <w:r>
        <w:rPr>
          <w:rFonts w:hint="eastAsia" w:ascii="仿宋" w:hAnsi="仿宋" w:eastAsia="仿宋" w:cs="仿宋"/>
          <w:b/>
          <w:color w:val="000000"/>
          <w:kern w:val="0"/>
          <w:sz w:val="28"/>
          <w:szCs w:val="28"/>
        </w:rPr>
        <w:t>部分</w:t>
      </w:r>
      <w:r>
        <w:rPr>
          <w:rFonts w:hint="eastAsia" w:ascii="仿宋" w:hAnsi="仿宋" w:eastAsia="仿宋" w:cs="仿宋"/>
          <w:b/>
          <w:color w:val="000000"/>
          <w:kern w:val="0"/>
          <w:sz w:val="28"/>
          <w:szCs w:val="28"/>
          <w:lang w:val="en-US" w:eastAsia="zh-CN"/>
        </w:rPr>
        <w:t>附件</w:t>
      </w:r>
    </w:p>
    <w:p w14:paraId="2BA88970">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仿宋" w:hAnsi="仿宋" w:eastAsia="仿宋" w:cs="仿宋"/>
          <w:b/>
          <w:color w:val="000000"/>
          <w:kern w:val="0"/>
          <w:sz w:val="28"/>
          <w:szCs w:val="28"/>
        </w:rPr>
        <w:sectPr>
          <w:footerReference r:id="rId5" w:type="default"/>
          <w:pgSz w:w="11906" w:h="16838"/>
          <w:pgMar w:top="1440" w:right="1800" w:bottom="1440" w:left="1800" w:header="851" w:footer="992" w:gutter="0"/>
          <w:pgNumType w:fmt="numberInDash" w:start="1"/>
          <w:cols w:space="425" w:num="1"/>
          <w:docGrid w:type="lines" w:linePitch="312" w:charSpace="0"/>
        </w:sectPr>
      </w:pPr>
    </w:p>
    <w:p w14:paraId="37CA7382">
      <w:pPr>
        <w:jc w:val="center"/>
        <w:rPr>
          <w:sz w:val="72"/>
          <w:szCs w:val="72"/>
        </w:rPr>
      </w:pPr>
    </w:p>
    <w:p w14:paraId="4F944FA6">
      <w:pPr>
        <w:jc w:val="center"/>
        <w:rPr>
          <w:sz w:val="72"/>
          <w:szCs w:val="72"/>
        </w:rPr>
      </w:pPr>
    </w:p>
    <w:p w14:paraId="3C2DAA7E">
      <w:pPr>
        <w:jc w:val="center"/>
        <w:rPr>
          <w:sz w:val="72"/>
          <w:szCs w:val="72"/>
        </w:rPr>
      </w:pPr>
    </w:p>
    <w:p w14:paraId="4C239953">
      <w:pPr>
        <w:jc w:val="center"/>
        <w:rPr>
          <w:sz w:val="72"/>
          <w:szCs w:val="72"/>
        </w:rPr>
      </w:pPr>
    </w:p>
    <w:p w14:paraId="55280E74">
      <w:pPr>
        <w:jc w:val="center"/>
        <w:rPr>
          <w:sz w:val="72"/>
          <w:szCs w:val="72"/>
        </w:rPr>
      </w:pPr>
    </w:p>
    <w:p w14:paraId="3CBCE62B">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第一部分</w:t>
      </w:r>
    </w:p>
    <w:p w14:paraId="391607EF">
      <w:pPr>
        <w:pStyle w:val="9"/>
        <w:jc w:val="center"/>
        <w:rPr>
          <w:rFonts w:hint="eastAsia" w:ascii="仿宋" w:hAnsi="仿宋" w:eastAsia="仿宋" w:cs="仿宋"/>
          <w:b/>
          <w:bCs/>
          <w:sz w:val="52"/>
          <w:szCs w:val="52"/>
        </w:rPr>
      </w:pPr>
    </w:p>
    <w:p w14:paraId="770A879D">
      <w:pPr>
        <w:pStyle w:val="9"/>
        <w:jc w:val="center"/>
        <w:rPr>
          <w:rFonts w:hint="eastAsia" w:ascii="仿宋" w:hAnsi="仿宋" w:eastAsia="仿宋" w:cs="仿宋"/>
          <w:b/>
          <w:bCs/>
          <w:sz w:val="52"/>
          <w:szCs w:val="52"/>
        </w:rPr>
      </w:pPr>
      <w:r>
        <w:rPr>
          <w:rFonts w:hint="eastAsia" w:ascii="仿宋" w:hAnsi="仿宋" w:eastAsia="仿宋" w:cs="仿宋"/>
          <w:b/>
          <w:bCs/>
          <w:sz w:val="52"/>
          <w:szCs w:val="52"/>
        </w:rPr>
        <w:t>中方县桐木镇中学</w:t>
      </w:r>
    </w:p>
    <w:p w14:paraId="3CD053DC">
      <w:pPr>
        <w:pStyle w:val="9"/>
        <w:jc w:val="center"/>
        <w:rPr>
          <w:rFonts w:hint="eastAsia" w:ascii="仿宋" w:hAnsi="仿宋" w:eastAsia="仿宋" w:cs="仿宋"/>
          <w:b/>
          <w:bCs/>
          <w:sz w:val="48"/>
          <w:szCs w:val="48"/>
        </w:rPr>
      </w:pPr>
      <w:r>
        <w:rPr>
          <w:rFonts w:hint="eastAsia" w:ascii="仿宋" w:hAnsi="仿宋" w:eastAsia="仿宋" w:cs="仿宋"/>
          <w:b/>
          <w:bCs/>
          <w:sz w:val="52"/>
          <w:szCs w:val="52"/>
        </w:rPr>
        <w:t>单位</w:t>
      </w:r>
      <w:r>
        <w:rPr>
          <w:rFonts w:ascii="仿宋" w:hAnsi="仿宋" w:eastAsia="仿宋" w:cs="仿宋"/>
          <w:b/>
          <w:sz w:val="52"/>
        </w:rPr>
        <w:t>概况</w:t>
      </w:r>
    </w:p>
    <w:p w14:paraId="755BBAAC">
      <w:pPr>
        <w:rPr>
          <w:rFonts w:ascii="黑体" w:hAnsi="黑体" w:eastAsia="黑体"/>
          <w:sz w:val="32"/>
          <w:szCs w:val="32"/>
        </w:rPr>
      </w:pPr>
      <w:r>
        <w:rPr>
          <w:rFonts w:ascii="黑体" w:hAnsi="黑体" w:eastAsia="黑体"/>
          <w:sz w:val="32"/>
          <w:szCs w:val="32"/>
        </w:rPr>
        <w:br w:type="page"/>
      </w:r>
    </w:p>
    <w:p w14:paraId="7233489B">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default" w:ascii="仿宋" w:hAnsi="仿宋" w:eastAsia="仿宋" w:cs="仿宋"/>
          <w:b/>
          <w:bCs/>
          <w:color w:val="auto"/>
          <w:kern w:val="0"/>
          <w:lang w:val="en-US" w:eastAsia="zh-CN" w:bidi="zh-CN"/>
        </w:rPr>
      </w:pPr>
      <w:r>
        <w:rPr>
          <w:rFonts w:hint="eastAsia" w:ascii="仿宋" w:hAnsi="仿宋" w:eastAsia="仿宋" w:cs="仿宋"/>
          <w:b/>
          <w:bCs/>
          <w:color w:val="auto"/>
          <w:kern w:val="0"/>
          <w:lang w:val="en-US" w:eastAsia="zh-CN" w:bidi="zh-CN"/>
        </w:rPr>
        <w:t>一</w:t>
      </w:r>
      <w:r>
        <w:rPr>
          <w:rFonts w:hint="eastAsia" w:ascii="仿宋" w:hAnsi="仿宋" w:eastAsia="仿宋" w:cs="仿宋"/>
          <w:b/>
          <w:bCs/>
          <w:color w:val="auto"/>
          <w:kern w:val="0"/>
          <w:lang w:val="zh-CN" w:bidi="zh-CN"/>
        </w:rPr>
        <w:t>、</w:t>
      </w:r>
      <w:r>
        <w:rPr>
          <w:rFonts w:hint="eastAsia" w:ascii="仿宋" w:hAnsi="仿宋" w:eastAsia="仿宋" w:cs="仿宋"/>
          <w:b/>
          <w:bCs/>
          <w:color w:val="auto"/>
          <w:kern w:val="0"/>
          <w:lang w:val="en-US" w:eastAsia="zh-CN" w:bidi="zh-CN"/>
        </w:rPr>
        <w:t>部门职责</w:t>
      </w:r>
    </w:p>
    <w:p w14:paraId="6F72FF06">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bidi="zh-CN"/>
        </w:rPr>
      </w:pPr>
      <w:r>
        <w:rPr>
          <w:rFonts w:ascii="仿宋" w:hAnsi="仿宋" w:eastAsia="仿宋" w:cs="仿宋"/>
          <w:color w:val="auto"/>
        </w:rPr>
        <w:t>1、实施初中义务教育，促进基础教育发展。</w:t>
      </w:r>
    </w:p>
    <w:p w14:paraId="7B11DC7D">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bidi="zh-CN"/>
        </w:rPr>
      </w:pPr>
      <w:r>
        <w:rPr>
          <w:rFonts w:ascii="仿宋" w:hAnsi="仿宋" w:eastAsia="仿宋" w:cs="仿宋"/>
          <w:color w:val="auto"/>
        </w:rPr>
        <w:t>2、初中学历教育。</w:t>
      </w:r>
    </w:p>
    <w:p w14:paraId="3AA8240D">
      <w:pPr>
        <w:jc w:val="left"/>
        <w:rPr>
          <w:rFonts w:hint="eastAsia" w:ascii="仿宋" w:hAnsi="仿宋" w:eastAsia="仿宋" w:cs="仿宋"/>
          <w:sz w:val="28"/>
          <w:szCs w:val="32"/>
        </w:rPr>
      </w:pPr>
    </w:p>
    <w:p w14:paraId="17D64552">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b/>
          <w:bCs/>
          <w:color w:val="auto"/>
          <w:kern w:val="0"/>
          <w:lang w:val="zh-CN" w:bidi="zh-CN"/>
        </w:rPr>
      </w:pPr>
      <w:r>
        <w:rPr>
          <w:rFonts w:hint="eastAsia" w:ascii="仿宋" w:hAnsi="仿宋" w:eastAsia="仿宋" w:cs="仿宋"/>
          <w:b/>
          <w:bCs/>
          <w:color w:val="auto"/>
          <w:kern w:val="0"/>
          <w:lang w:val="zh-CN" w:bidi="zh-CN"/>
        </w:rPr>
        <w:t>二、机构设置及决算单位构成</w:t>
      </w:r>
    </w:p>
    <w:p w14:paraId="3AD1D607">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eastAsia="zh-CN" w:bidi="zh-CN"/>
        </w:rPr>
      </w:pPr>
      <w:r>
        <w:rPr>
          <w:rFonts w:hint="eastAsia" w:ascii="仿宋" w:hAnsi="仿宋" w:eastAsia="仿宋" w:cs="仿宋"/>
          <w:color w:val="auto"/>
          <w:kern w:val="0"/>
          <w:lang w:val="en-US" w:eastAsia="zh-CN" w:bidi="zh-CN"/>
        </w:rPr>
        <w:t>（一）内设机构设置。</w:t>
      </w:r>
      <w:r>
        <w:rPr>
          <w:rFonts w:ascii="仿宋" w:hAnsi="仿宋" w:eastAsia="仿宋" w:cs="仿宋"/>
          <w:color w:val="auto"/>
        </w:rPr>
        <w:t>中方县桐木镇中学内设机构包括：本单位内设机构包括：总务处、办公室、教导处、德育处等。</w:t>
      </w:r>
    </w:p>
    <w:p w14:paraId="1D9A1D91">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eastAsia="zh-CN" w:bidi="zh-CN"/>
        </w:rPr>
      </w:pPr>
      <w:r>
        <w:rPr>
          <w:rFonts w:hint="eastAsia" w:ascii="仿宋" w:hAnsi="仿宋" w:eastAsia="仿宋" w:cs="仿宋"/>
          <w:color w:val="auto"/>
          <w:kern w:val="0"/>
          <w:lang w:val="en-US" w:eastAsia="zh-CN" w:bidi="zh-CN"/>
        </w:rPr>
        <w:t>（二）决算单位构成。</w:t>
      </w:r>
      <w:r>
        <w:rPr>
          <w:rFonts w:ascii="仿宋" w:hAnsi="仿宋" w:eastAsia="仿宋" w:cs="仿宋"/>
          <w:color w:val="auto"/>
        </w:rPr>
        <w:t>中方县桐木镇中学2020年部门决算汇总公开单位构成包括：中方县桐木镇中学</w:t>
      </w:r>
    </w:p>
    <w:p w14:paraId="16200C82">
      <w:pPr>
        <w:pStyle w:val="3"/>
        <w:keepNext w:val="0"/>
        <w:keepLines w:val="0"/>
        <w:pageBreakBefore w:val="0"/>
        <w:widowControl w:val="0"/>
        <w:kinsoku/>
        <w:wordWrap/>
        <w:overflowPunct/>
        <w:topLinePunct w:val="0"/>
        <w:autoSpaceDE/>
        <w:autoSpaceDN/>
        <w:bidi w:val="0"/>
        <w:adjustRightInd/>
        <w:snapToGrid/>
        <w:spacing w:line="360" w:lineRule="auto"/>
        <w:ind w:left="0" w:leftChars="0" w:right="481" w:rightChars="229" w:firstLine="640" w:firstLineChars="200"/>
        <w:jc w:val="both"/>
        <w:textAlignment w:val="auto"/>
        <w:rPr>
          <w:rFonts w:hint="eastAsia" w:ascii="仿宋" w:hAnsi="仿宋" w:eastAsia="仿宋" w:cs="仿宋"/>
        </w:rPr>
      </w:pPr>
    </w:p>
    <w:p w14:paraId="5C102147">
      <w:pPr>
        <w:widowControl/>
        <w:spacing w:line="600" w:lineRule="exact"/>
        <w:ind w:left="0" w:leftChars="0" w:firstLine="838" w:firstLineChars="262"/>
        <w:rPr>
          <w:rFonts w:hint="eastAsia" w:ascii="仿宋" w:hAnsi="仿宋" w:eastAsia="仿宋" w:cs="仿宋"/>
          <w:bCs/>
          <w:kern w:val="0"/>
          <w:sz w:val="32"/>
          <w:szCs w:val="32"/>
        </w:rPr>
        <w:sectPr>
          <w:pgSz w:w="11906" w:h="16838"/>
          <w:pgMar w:top="720" w:right="720" w:bottom="720" w:left="720" w:header="851" w:footer="992" w:gutter="0"/>
          <w:pgNumType w:fmt="numberInDash"/>
          <w:cols w:space="425" w:num="1"/>
          <w:docGrid w:type="lines" w:linePitch="312" w:charSpace="0"/>
        </w:sectPr>
      </w:pPr>
    </w:p>
    <w:p w14:paraId="0E281AF0">
      <w:pPr>
        <w:jc w:val="center"/>
        <w:rPr>
          <w:sz w:val="72"/>
          <w:szCs w:val="72"/>
        </w:rPr>
      </w:pPr>
    </w:p>
    <w:p w14:paraId="270A1378">
      <w:pPr>
        <w:jc w:val="center"/>
        <w:rPr>
          <w:sz w:val="72"/>
          <w:szCs w:val="72"/>
        </w:rPr>
      </w:pPr>
    </w:p>
    <w:p w14:paraId="41E34E4E">
      <w:pPr>
        <w:jc w:val="center"/>
        <w:rPr>
          <w:sz w:val="72"/>
          <w:szCs w:val="72"/>
        </w:rPr>
      </w:pPr>
    </w:p>
    <w:p w14:paraId="5842FE99">
      <w:pPr>
        <w:jc w:val="center"/>
        <w:rPr>
          <w:sz w:val="72"/>
          <w:szCs w:val="72"/>
        </w:rPr>
      </w:pPr>
    </w:p>
    <w:p w14:paraId="0F16AD66">
      <w:pPr>
        <w:jc w:val="center"/>
        <w:rPr>
          <w:rFonts w:hint="eastAsia" w:ascii="仿宋" w:hAnsi="仿宋" w:eastAsia="仿宋" w:cs="仿宋"/>
          <w:b/>
          <w:bCs/>
          <w:sz w:val="52"/>
          <w:szCs w:val="52"/>
        </w:rPr>
      </w:pPr>
      <w:r>
        <w:rPr>
          <w:rFonts w:hint="eastAsia" w:ascii="仿宋" w:hAnsi="仿宋" w:eastAsia="仿宋" w:cs="仿宋"/>
          <w:b/>
          <w:bCs/>
          <w:sz w:val="52"/>
          <w:szCs w:val="52"/>
        </w:rPr>
        <w:t>第二部分</w:t>
      </w:r>
    </w:p>
    <w:p w14:paraId="30794939">
      <w:pPr>
        <w:jc w:val="center"/>
        <w:rPr>
          <w:rFonts w:hint="eastAsia" w:ascii="仿宋" w:hAnsi="仿宋" w:eastAsia="仿宋" w:cs="仿宋"/>
          <w:b/>
          <w:bCs/>
          <w:sz w:val="52"/>
          <w:szCs w:val="52"/>
        </w:rPr>
      </w:pPr>
    </w:p>
    <w:p w14:paraId="3FBC0C3A">
      <w:pPr>
        <w:jc w:val="center"/>
        <w:rPr>
          <w:sz w:val="72"/>
          <w:szCs w:val="72"/>
        </w:rPr>
      </w:pPr>
      <w:r>
        <w:rPr>
          <w:rFonts w:hint="eastAsia" w:ascii="仿宋" w:hAnsi="仿宋" w:eastAsia="仿宋" w:cs="仿宋"/>
          <w:b/>
          <w:bCs/>
          <w:sz w:val="52"/>
          <w:szCs w:val="52"/>
        </w:rPr>
        <w:t>单位</w:t>
      </w:r>
      <w:r>
        <w:rPr>
          <w:rFonts w:ascii="仿宋" w:hAnsi="仿宋" w:eastAsia="仿宋" w:cs="仿宋"/>
          <w:b/>
          <w:sz w:val="52"/>
        </w:rPr>
        <w:t>决算表</w:t>
      </w:r>
    </w:p>
    <w:p w14:paraId="5C1A62B2">
      <w:pPr>
        <w:jc w:val="center"/>
        <w:rPr>
          <w:sz w:val="72"/>
          <w:szCs w:val="72"/>
        </w:rPr>
        <w:sectPr>
          <w:pgSz w:w="11906" w:h="16838"/>
          <w:pgMar w:top="1440" w:right="1800" w:bottom="1440" w:left="1800" w:header="851" w:footer="992" w:gutter="0"/>
          <w:pgNumType w:fmt="numberInDash"/>
          <w:cols w:space="425" w:num="1"/>
          <w:docGrid w:type="lines" w:linePitch="312" w:charSpace="0"/>
        </w:sectPr>
      </w:pPr>
    </w:p>
    <w:tbl>
      <w:tblPr>
        <w:tblStyle w:val="6"/>
        <w:tblW w:w="13995" w:type="dxa"/>
        <w:tblInd w:w="91" w:type="dxa"/>
        <w:tblLayout w:type="fixed"/>
        <w:tblCellMar>
          <w:top w:w="0" w:type="dxa"/>
          <w:left w:w="108" w:type="dxa"/>
          <w:bottom w:w="0" w:type="dxa"/>
          <w:right w:w="108" w:type="dxa"/>
        </w:tblCellMar>
      </w:tblPr>
      <w:tblGrid>
        <w:gridCol w:w="4535"/>
        <w:gridCol w:w="800"/>
        <w:gridCol w:w="1980"/>
        <w:gridCol w:w="3960"/>
        <w:gridCol w:w="800"/>
        <w:gridCol w:w="1920"/>
      </w:tblGrid>
      <w:tr w14:paraId="72645B2E">
        <w:tblPrEx>
          <w:tblCellMar>
            <w:top w:w="0" w:type="dxa"/>
            <w:left w:w="108" w:type="dxa"/>
            <w:bottom w:w="0" w:type="dxa"/>
            <w:right w:w="108" w:type="dxa"/>
          </w:tblCellMar>
        </w:tblPrEx>
        <w:trPr>
          <w:cantSplit/>
          <w:trHeight w:val="360" w:hRule="atLeast"/>
        </w:trPr>
        <w:tc>
          <w:tcPr>
            <w:tcW w:w="13995" w:type="dxa"/>
            <w:gridSpan w:val="6"/>
            <w:tcBorders>
              <w:top w:val="nil"/>
              <w:left w:val="nil"/>
              <w:bottom w:val="nil"/>
              <w:right w:val="nil"/>
            </w:tcBorders>
            <w:shd w:val="clear" w:color="auto" w:fill="auto"/>
            <w:noWrap/>
            <w:vAlign w:val="center"/>
          </w:tcPr>
          <w:p w14:paraId="48D02829">
            <w:pPr>
              <w:keepNext w:val="0"/>
              <w:keepLines w:val="0"/>
              <w:pageBreakBefore w:val="0"/>
              <w:widowControl/>
              <w:kinsoku/>
              <w:wordWrap/>
              <w:overflowPunct/>
              <w:topLinePunct w:val="0"/>
              <w:autoSpaceDE/>
              <w:autoSpaceDN/>
              <w:bidi w:val="0"/>
              <w:adjustRightInd/>
              <w:snapToGrid/>
              <w:spacing w:line="2" w:lineRule="atLeast"/>
              <w:jc w:val="center"/>
              <w:textAlignment w:val="auto"/>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收入支出决算总表</w:t>
            </w:r>
          </w:p>
        </w:tc>
      </w:tr>
      <w:tr w14:paraId="0BA98B9A">
        <w:tblPrEx>
          <w:tblCellMar>
            <w:top w:w="0" w:type="dxa"/>
            <w:left w:w="108" w:type="dxa"/>
            <w:bottom w:w="0" w:type="dxa"/>
            <w:right w:w="108" w:type="dxa"/>
          </w:tblCellMar>
        </w:tblPrEx>
        <w:trPr>
          <w:cantSplit/>
          <w:trHeight w:val="90" w:hRule="atLeast"/>
        </w:trPr>
        <w:tc>
          <w:tcPr>
            <w:tcW w:w="13995" w:type="dxa"/>
            <w:gridSpan w:val="6"/>
            <w:tcBorders>
              <w:top w:val="nil"/>
              <w:left w:val="nil"/>
              <w:bottom w:val="nil"/>
              <w:right w:val="nil"/>
            </w:tcBorders>
            <w:shd w:val="clear" w:color="000000" w:fill="FFFFFF"/>
            <w:noWrap/>
            <w:vAlign w:val="center"/>
          </w:tcPr>
          <w:p w14:paraId="6398569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公开01表</w:t>
            </w:r>
          </w:p>
        </w:tc>
      </w:tr>
      <w:tr w14:paraId="1B0D4ECD">
        <w:tblPrEx>
          <w:tblCellMar>
            <w:top w:w="0" w:type="dxa"/>
            <w:left w:w="108" w:type="dxa"/>
            <w:bottom w:w="0" w:type="dxa"/>
            <w:right w:w="108" w:type="dxa"/>
          </w:tblCellMar>
        </w:tblPrEx>
        <w:trPr>
          <w:cantSplit/>
          <w:trHeight w:val="90" w:hRule="atLeast"/>
        </w:trPr>
        <w:tc>
          <w:tcPr>
            <w:tcW w:w="5335" w:type="dxa"/>
            <w:gridSpan w:val="2"/>
            <w:tcBorders>
              <w:top w:val="nil"/>
              <w:left w:val="nil"/>
              <w:bottom w:val="single" w:color="auto" w:sz="4" w:space="0"/>
              <w:right w:val="nil"/>
            </w:tcBorders>
            <w:shd w:val="clear" w:color="000000" w:fill="FFFFFF"/>
            <w:noWrap/>
            <w:vAlign w:val="center"/>
          </w:tcPr>
          <w:p w14:paraId="145983D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中方县桐木镇中学</w:t>
            </w:r>
          </w:p>
        </w:tc>
        <w:tc>
          <w:tcPr>
            <w:tcW w:w="8660" w:type="dxa"/>
            <w:gridSpan w:val="4"/>
            <w:tcBorders>
              <w:top w:val="nil"/>
              <w:left w:val="nil"/>
              <w:bottom w:val="single" w:color="auto" w:sz="4" w:space="0"/>
              <w:right w:val="nil"/>
            </w:tcBorders>
            <w:shd w:val="clear" w:color="000000" w:fill="FFFFFF"/>
            <w:noWrap/>
            <w:vAlign w:val="center"/>
          </w:tcPr>
          <w:p w14:paraId="435D579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7909F527">
        <w:tblPrEx>
          <w:tblCellMar>
            <w:top w:w="0" w:type="dxa"/>
            <w:left w:w="108" w:type="dxa"/>
            <w:bottom w:w="0" w:type="dxa"/>
            <w:right w:w="108" w:type="dxa"/>
          </w:tblCellMar>
        </w:tblPrEx>
        <w:trPr>
          <w:cantSplit/>
          <w:trHeight w:val="90" w:hRule="atLeast"/>
        </w:trPr>
        <w:tc>
          <w:tcPr>
            <w:tcW w:w="7315"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51C7072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收入</w:t>
            </w:r>
          </w:p>
        </w:tc>
        <w:tc>
          <w:tcPr>
            <w:tcW w:w="66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650D3E56">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支出</w:t>
            </w:r>
          </w:p>
        </w:tc>
      </w:tr>
      <w:tr w14:paraId="4F058519">
        <w:tblPrEx>
          <w:tblCellMar>
            <w:top w:w="0" w:type="dxa"/>
            <w:left w:w="108" w:type="dxa"/>
            <w:bottom w:w="0" w:type="dxa"/>
            <w:right w:w="108" w:type="dxa"/>
          </w:tblCellMar>
        </w:tblPrEx>
        <w:trPr>
          <w:cantSplit/>
          <w:trHeight w:val="337"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AF5A37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DC1DABF">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248D3A7">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决算数</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9F8B41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D9A653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96E47E6">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决算数</w:t>
            </w:r>
          </w:p>
        </w:tc>
      </w:tr>
      <w:tr w14:paraId="0DE25FE2">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80560A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ascii="仿宋" w:hAnsi="仿宋" w:eastAsia="仿宋" w:cs="仿宋"/>
                <w:sz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824269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C609B49">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1</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EFF2A5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17B03D7">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1200771">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2</w:t>
            </w:r>
          </w:p>
        </w:tc>
      </w:tr>
      <w:tr w14:paraId="79B63E0E">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49DDE1">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848091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BBC254">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544.58</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B2138D9">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一、一般公共服务支出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D1E184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6A5A03">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48A94FDF">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F31F7D">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二、政府性基金预算财政拨款收入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795A4C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299A04">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C22B923">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二、外交支出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C941427">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9819D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4B35298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9890D8">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三、国有资本经营预算财政拨款收入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B39DB16">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4FAE1D">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23AF90C">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0ADB9F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635C71">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563059CA">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F71C09">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四、上级补助收入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C2FEA5E">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656747">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A988AEC">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四、公共安全支出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4FB46F6">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DE9DAE">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61223555">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ACF252">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五、事业收入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CDB3A70">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0738D8">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E7DF34D">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五、教育支出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9235D2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3CE1CC">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542.81</w:t>
            </w:r>
          </w:p>
        </w:tc>
      </w:tr>
      <w:tr w14:paraId="4B47958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92302E">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六、经营收入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99799F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EF1C5E">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28A0EBA">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六、科学技术支出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B466647">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863AD7">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57BAA852">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A39D79">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七、附属单位上缴收入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9543861">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E6AC7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7EEE335">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七、文化旅游体育与传媒支出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9C38D61">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9513AB">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54C91FD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CD02AE">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八、其他收入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4E3B176">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802B73">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1087967">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八、社会保障和就业支出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1845B6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366044">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0.77</w:t>
            </w:r>
          </w:p>
        </w:tc>
      </w:tr>
      <w:tr w14:paraId="2A0172CE">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E535AE">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AC5447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8A0E34">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FA78A18">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九、卫生健康支出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2A429BA">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FD314C">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1.00</w:t>
            </w:r>
          </w:p>
        </w:tc>
      </w:tr>
      <w:tr w14:paraId="5BA91F17">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3C21F0">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A4A381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748760">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F59AF8E">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十、节能环保支出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2CCEBBA">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FC67E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051F9A3E">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82E7C5">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289FE5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870700">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2F66061">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十一、城乡社区支出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84523A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F91E1D">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69B9E6E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8D5ECE">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EC4621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6DD6AE">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1BDF0A7">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十二、农林水支出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22F458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7BFD67">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2958251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5EFCC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2DB5E7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600B47">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37C71D8">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十三、交通运输支出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517857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08B218">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2E7A16D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807474">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359BD46">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9C4C9C">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B7F5558">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十四、资源勘探工业信息等支出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210E24F">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910EA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2C4866A6">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C93DE4">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1F4E63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B8C8A4">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602800C">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十五、商业服务业等支出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F6A546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848CA8">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563126A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B994E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2F2586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E4E4F3">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71A8A46">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十六、金融支出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1DB413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0E75D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32D1CBCB">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91CF4A">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4D387C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725760">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F093C3A">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十七、援助其他地区支出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6FDE00A">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D1992C">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62471F54">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5819B8">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5916E06">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D9E41F">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06F7D7F">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十八、自然资源海洋气象等支出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C43F5D1">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EC94EE">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7874B8AE">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C40844">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C6F719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C28B19">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FF788E0">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十九、住房保障支出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938EBD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15F18C">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6FD1B266">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93994F">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5769A9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02DBF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B971BC7">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二十、粮油物资储备支出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18F35D6">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B22D5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1A13B18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2B4C7C">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1BEB78A">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B7771E">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22265E9">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二十一、国有资本经营预算支出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3A9E59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E7CAD8">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5618C44B">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AB6E81">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05BED0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8CDCC3">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919FBF5">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二十二、灾害防治及应急管理支出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EFB9AC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C86C98">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7884C745">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416DD3">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5C4DF3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ABE5B9">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336E814">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二十三、其他支出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AB5AC31">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81F657">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098EB36F">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E6A120">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97430F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0FCF16">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EDEC07D">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二十四、债务还本支出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43C80E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BDC0A3">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1454985A">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625465">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B9D903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8DFE08">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6C5B1E8">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二十五、债务付息支出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4744B9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C4F604">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3D5827E7">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0ED040">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DB4648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A1DAA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B38BEE1">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二十六、抗疫特别国债安排的支出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D6778D0">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4266C4">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0D39CA04">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D68686">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ascii="仿宋" w:hAnsi="仿宋" w:eastAsia="仿宋" w:cs="仿宋"/>
                <w:b/>
                <w:sz w:val="22"/>
              </w:rPr>
              <w:t>本年收入合计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4925D8F">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27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A144A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lang w:val="en-US" w:eastAsia="zh-CN"/>
              </w:rPr>
            </w:pPr>
            <w:r>
              <w:rPr>
                <w:rFonts w:hint="eastAsia" w:ascii="仿宋" w:hAnsi="仿宋" w:eastAsia="仿宋" w:cs="仿宋"/>
              </w:rPr>
              <w:t>544.58</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6D013F">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本年支出合计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111E93B">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58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AA4CF3">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544.58</w:t>
            </w:r>
          </w:p>
        </w:tc>
      </w:tr>
      <w:tr w14:paraId="3E93FBB4">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204CD3">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使用非财政拨款结余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3D8C33F">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B869D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D7797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结余分配</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CE95497">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2F7D46">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r>
      <w:tr w14:paraId="04DA5568">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C8F14F">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年初结转和结余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63127A7">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F08980">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208F3D">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年末结转和结余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AEB3423">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83ED0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r>
      <w:tr w14:paraId="45049889">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F54984">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A03310D">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0F986B">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10319E">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F8B2A9C">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97275E">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r>
      <w:tr w14:paraId="1149FA5F">
        <w:tblPrEx>
          <w:tblCellMar>
            <w:top w:w="0" w:type="dxa"/>
            <w:left w:w="108" w:type="dxa"/>
            <w:bottom w:w="0" w:type="dxa"/>
            <w:right w:w="108" w:type="dxa"/>
          </w:tblCellMar>
        </w:tblPrEx>
        <w:trPr>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40AB776">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0693224">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30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74C42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544.58</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2AD8EA0">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6512372">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61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C56C56">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b/>
                <w:bCs/>
                <w:kern w:val="0"/>
                <w:sz w:val="22"/>
              </w:rPr>
            </w:pPr>
            <w:r>
              <w:rPr>
                <w:rFonts w:hint="eastAsia" w:ascii="仿宋" w:hAnsi="仿宋" w:eastAsia="仿宋" w:cs="仿宋"/>
              </w:rPr>
              <w:t>544.58</w:t>
            </w:r>
          </w:p>
        </w:tc>
      </w:tr>
      <w:tr w14:paraId="004DED5F">
        <w:tblPrEx>
          <w:tblCellMar>
            <w:top w:w="0" w:type="dxa"/>
            <w:left w:w="108" w:type="dxa"/>
            <w:bottom w:w="0" w:type="dxa"/>
            <w:right w:w="108" w:type="dxa"/>
          </w:tblCellMar>
        </w:tblPrEx>
        <w:trPr>
          <w:cantSplit/>
          <w:trHeight w:val="90" w:hRule="atLeast"/>
        </w:trPr>
        <w:tc>
          <w:tcPr>
            <w:tcW w:w="13995" w:type="dxa"/>
            <w:gridSpan w:val="6"/>
            <w:tcBorders>
              <w:top w:val="single" w:color="auto" w:sz="4" w:space="0"/>
              <w:left w:val="nil"/>
              <w:bottom w:val="nil"/>
              <w:right w:val="nil"/>
            </w:tcBorders>
            <w:shd w:val="clear" w:color="auto" w:fill="auto"/>
            <w:vAlign w:val="center"/>
          </w:tcPr>
          <w:p w14:paraId="25C1AE9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注：1.本表反映部门本年度的总收支和年末结转结余情况。</w:t>
            </w:r>
            <w:r>
              <w:rPr>
                <w:rFonts w:hint="eastAsia" w:ascii="仿宋" w:hAnsi="仿宋" w:eastAsia="仿宋" w:cs="仿宋"/>
                <w:kern w:val="0"/>
                <w:sz w:val="24"/>
                <w:szCs w:val="24"/>
              </w:rPr>
              <w:br w:type="textWrapping"/>
            </w:r>
            <w:r>
              <w:rPr>
                <w:rFonts w:hint="eastAsia" w:ascii="仿宋" w:hAnsi="仿宋" w:eastAsia="仿宋" w:cs="仿宋"/>
                <w:kern w:val="0"/>
                <w:sz w:val="24"/>
                <w:szCs w:val="24"/>
              </w:rPr>
              <w:t xml:space="preserve"> 2.本套报表金额单位转换时可能存在尾数误差。</w:t>
            </w:r>
          </w:p>
        </w:tc>
      </w:tr>
    </w:tbl>
    <w:p w14:paraId="0B2108BC">
      <w:pPr>
        <w:jc w:val="center"/>
        <w:rPr>
          <w:rFonts w:ascii="黑体" w:hAnsi="黑体" w:eastAsia="黑体"/>
          <w:sz w:val="28"/>
          <w:szCs w:val="28"/>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13988" w:type="dxa"/>
        <w:tblInd w:w="0" w:type="dxa"/>
        <w:tblLayout w:type="fixed"/>
        <w:tblCellMar>
          <w:top w:w="0" w:type="dxa"/>
          <w:left w:w="0" w:type="dxa"/>
          <w:bottom w:w="0" w:type="dxa"/>
          <w:right w:w="0" w:type="dxa"/>
        </w:tblCellMar>
      </w:tblPr>
      <w:tblGrid>
        <w:gridCol w:w="1337"/>
        <w:gridCol w:w="2863"/>
        <w:gridCol w:w="1663"/>
        <w:gridCol w:w="1474"/>
        <w:gridCol w:w="1491"/>
        <w:gridCol w:w="1457"/>
        <w:gridCol w:w="1230"/>
        <w:gridCol w:w="1320"/>
        <w:gridCol w:w="1153"/>
      </w:tblGrid>
      <w:tr w14:paraId="33FF3E7D">
        <w:tblPrEx>
          <w:tblCellMar>
            <w:top w:w="0" w:type="dxa"/>
            <w:left w:w="0" w:type="dxa"/>
            <w:bottom w:w="0" w:type="dxa"/>
            <w:right w:w="0" w:type="dxa"/>
          </w:tblCellMar>
        </w:tblPrEx>
        <w:trPr>
          <w:trHeight w:val="435" w:hRule="atLeast"/>
        </w:trPr>
        <w:tc>
          <w:tcPr>
            <w:tcW w:w="13988" w:type="dxa"/>
            <w:gridSpan w:val="9"/>
            <w:tcBorders>
              <w:top w:val="nil"/>
              <w:left w:val="nil"/>
              <w:bottom w:val="nil"/>
              <w:right w:val="nil"/>
            </w:tcBorders>
            <w:shd w:val="clear" w:color="auto" w:fill="auto"/>
            <w:noWrap/>
            <w:tcMar>
              <w:top w:w="15" w:type="dxa"/>
              <w:left w:w="15" w:type="dxa"/>
              <w:bottom w:w="0" w:type="dxa"/>
              <w:right w:w="15" w:type="dxa"/>
            </w:tcMar>
            <w:vAlign w:val="center"/>
          </w:tcPr>
          <w:p w14:paraId="18A02F71">
            <w:pPr>
              <w:keepNext w:val="0"/>
              <w:keepLines w:val="0"/>
              <w:pageBreakBefore w:val="0"/>
              <w:widowControl w:val="0"/>
              <w:kinsoku/>
              <w:wordWrap/>
              <w:overflowPunct/>
              <w:topLinePunct w:val="0"/>
              <w:autoSpaceDE/>
              <w:autoSpaceDN/>
              <w:bidi w:val="0"/>
              <w:adjustRightInd/>
              <w:snapToGrid/>
              <w:spacing w:line="2" w:lineRule="atLeast"/>
              <w:jc w:val="center"/>
              <w:textAlignment w:val="auto"/>
              <w:rPr>
                <w:rFonts w:hint="eastAsia" w:ascii="仿宋" w:hAnsi="仿宋" w:eastAsia="仿宋" w:cs="仿宋"/>
                <w:color w:val="000000"/>
                <w:sz w:val="32"/>
                <w:szCs w:val="32"/>
              </w:rPr>
            </w:pPr>
            <w:r>
              <w:rPr>
                <w:rFonts w:hint="eastAsia" w:ascii="仿宋" w:hAnsi="仿宋" w:eastAsia="仿宋" w:cs="仿宋"/>
                <w:b/>
                <w:bCs/>
                <w:color w:val="000000"/>
                <w:sz w:val="32"/>
                <w:szCs w:val="32"/>
              </w:rPr>
              <w:t>收入决算表</w:t>
            </w:r>
          </w:p>
        </w:tc>
      </w:tr>
      <w:tr w14:paraId="0EFB3840">
        <w:tblPrEx>
          <w:tblCellMar>
            <w:top w:w="0" w:type="dxa"/>
            <w:left w:w="0" w:type="dxa"/>
            <w:bottom w:w="0" w:type="dxa"/>
            <w:right w:w="0" w:type="dxa"/>
          </w:tblCellMar>
        </w:tblPrEx>
        <w:trPr>
          <w:trHeight w:val="111" w:hRule="atLeast"/>
        </w:trPr>
        <w:tc>
          <w:tcPr>
            <w:tcW w:w="12835" w:type="dxa"/>
            <w:gridSpan w:val="8"/>
            <w:tcBorders>
              <w:top w:val="nil"/>
              <w:left w:val="nil"/>
              <w:bottom w:val="nil"/>
              <w:right w:val="nil"/>
            </w:tcBorders>
            <w:shd w:val="clear" w:color="000000" w:fill="FFFFFF"/>
            <w:noWrap/>
            <w:tcMar>
              <w:top w:w="15" w:type="dxa"/>
              <w:left w:w="15" w:type="dxa"/>
              <w:bottom w:w="0" w:type="dxa"/>
              <w:right w:w="15" w:type="dxa"/>
            </w:tcMar>
            <w:vAlign w:val="center"/>
          </w:tcPr>
          <w:p w14:paraId="0427D566">
            <w:pPr>
              <w:keepNext w:val="0"/>
              <w:keepLines w:val="0"/>
              <w:pageBreakBefore w:val="0"/>
              <w:widowControl w:val="0"/>
              <w:kinsoku/>
              <w:wordWrap/>
              <w:overflowPunct/>
              <w:topLinePunct w:val="0"/>
              <w:autoSpaceDE/>
              <w:autoSpaceDN/>
              <w:bidi w:val="0"/>
              <w:adjustRightInd/>
              <w:snapToGrid/>
              <w:spacing w:after="34" w:line="34" w:lineRule="atLeast"/>
              <w:jc w:val="both"/>
              <w:textAlignment w:val="auto"/>
              <w:rPr>
                <w:rFonts w:hint="eastAsia" w:ascii="仿宋" w:hAnsi="仿宋" w:eastAsia="仿宋" w:cs="仿宋"/>
                <w:sz w:val="24"/>
                <w:szCs w:val="24"/>
              </w:rPr>
            </w:pPr>
          </w:p>
        </w:tc>
        <w:tc>
          <w:tcPr>
            <w:tcW w:w="1153" w:type="dxa"/>
            <w:tcBorders>
              <w:top w:val="nil"/>
              <w:left w:val="nil"/>
              <w:bottom w:val="nil"/>
              <w:right w:val="nil"/>
            </w:tcBorders>
            <w:shd w:val="clear" w:color="000000" w:fill="FFFFFF"/>
            <w:noWrap/>
            <w:tcMar>
              <w:top w:w="15" w:type="dxa"/>
              <w:left w:w="15" w:type="dxa"/>
              <w:bottom w:w="0" w:type="dxa"/>
              <w:right w:w="15" w:type="dxa"/>
            </w:tcMar>
            <w:vAlign w:val="center"/>
          </w:tcPr>
          <w:p w14:paraId="1C963A9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sz w:val="20"/>
                <w:szCs w:val="20"/>
              </w:rPr>
            </w:pPr>
            <w:r>
              <w:rPr>
                <w:rFonts w:hint="eastAsia" w:ascii="仿宋" w:hAnsi="仿宋" w:eastAsia="仿宋" w:cs="仿宋"/>
                <w:color w:val="000000"/>
                <w:sz w:val="20"/>
                <w:szCs w:val="20"/>
              </w:rPr>
              <w:t>公开02表</w:t>
            </w:r>
          </w:p>
        </w:tc>
      </w:tr>
      <w:tr w14:paraId="57E01666">
        <w:tblPrEx>
          <w:tblCellMar>
            <w:top w:w="0" w:type="dxa"/>
            <w:left w:w="0" w:type="dxa"/>
            <w:bottom w:w="0" w:type="dxa"/>
            <w:right w:w="0" w:type="dxa"/>
          </w:tblCellMar>
        </w:tblPrEx>
        <w:trPr>
          <w:trHeight w:val="90" w:hRule="atLeast"/>
        </w:trPr>
        <w:tc>
          <w:tcPr>
            <w:tcW w:w="12835" w:type="dxa"/>
            <w:gridSpan w:val="8"/>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14:paraId="09E108F2">
            <w:pPr>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4"/>
                <w:szCs w:val="24"/>
              </w:rPr>
            </w:pPr>
            <w:r>
              <w:rPr>
                <w:rFonts w:hint="eastAsia" w:ascii="仿宋" w:hAnsi="仿宋" w:eastAsia="仿宋" w:cs="仿宋"/>
                <w:color w:val="000000"/>
                <w:sz w:val="20"/>
                <w:szCs w:val="20"/>
                <w:lang w:eastAsia="zh-CN"/>
              </w:rPr>
              <w:t>单位</w:t>
            </w:r>
            <w:r>
              <w:rPr>
                <w:rFonts w:hint="eastAsia" w:ascii="仿宋" w:hAnsi="仿宋" w:eastAsia="仿宋" w:cs="仿宋"/>
                <w:color w:val="000000"/>
                <w:sz w:val="20"/>
                <w:szCs w:val="20"/>
              </w:rPr>
              <w:t>：</w:t>
            </w:r>
            <w:r>
              <w:rPr>
                <w:rFonts w:ascii="仿宋" w:hAnsi="仿宋" w:eastAsia="仿宋" w:cs="仿宋"/>
                <w:color w:val="000000"/>
                <w:sz w:val="20"/>
              </w:rPr>
              <w:t>中方县桐木镇中学</w:t>
            </w:r>
          </w:p>
        </w:tc>
        <w:tc>
          <w:tcPr>
            <w:tcW w:w="1153" w:type="dxa"/>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14:paraId="2E80667E">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sz w:val="20"/>
                <w:szCs w:val="20"/>
              </w:rPr>
            </w:pPr>
            <w:r>
              <w:rPr>
                <w:rFonts w:hint="eastAsia" w:ascii="仿宋" w:hAnsi="仿宋" w:eastAsia="仿宋" w:cs="仿宋"/>
                <w:color w:val="000000"/>
                <w:sz w:val="20"/>
                <w:szCs w:val="20"/>
              </w:rPr>
              <w:t>单位：万元</w:t>
            </w:r>
          </w:p>
        </w:tc>
      </w:tr>
      <w:tr w14:paraId="78561C12">
        <w:tblPrEx>
          <w:tblCellMar>
            <w:top w:w="0" w:type="dxa"/>
            <w:left w:w="0" w:type="dxa"/>
            <w:bottom w:w="0" w:type="dxa"/>
            <w:right w:w="0" w:type="dxa"/>
          </w:tblCellMar>
        </w:tblPrEx>
        <w:trPr>
          <w:trHeight w:val="45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B7B3D09">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项    目</w:t>
            </w:r>
          </w:p>
        </w:tc>
        <w:tc>
          <w:tcPr>
            <w:tcW w:w="16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EAD8CED">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本年收入合计</w:t>
            </w:r>
          </w:p>
        </w:tc>
        <w:tc>
          <w:tcPr>
            <w:tcW w:w="1474"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66B4BEE">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财政拨款收入</w:t>
            </w:r>
          </w:p>
        </w:tc>
        <w:tc>
          <w:tcPr>
            <w:tcW w:w="149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BF6C4A9">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上级补助收入</w:t>
            </w:r>
          </w:p>
        </w:tc>
        <w:tc>
          <w:tcPr>
            <w:tcW w:w="145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E1F8AC9">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事业收入</w:t>
            </w:r>
          </w:p>
        </w:tc>
        <w:tc>
          <w:tcPr>
            <w:tcW w:w="123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E2761C2">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经营收入</w:t>
            </w:r>
          </w:p>
        </w:tc>
        <w:tc>
          <w:tcPr>
            <w:tcW w:w="132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89AFF5B">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r>
              <w:rPr>
                <w:rFonts w:hint="eastAsia" w:ascii="仿宋" w:hAnsi="仿宋" w:eastAsia="仿宋" w:cs="仿宋"/>
              </w:rPr>
              <w:t>附属单位</w:t>
            </w:r>
          </w:p>
          <w:p w14:paraId="11E50625">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上缴收入</w:t>
            </w:r>
          </w:p>
        </w:tc>
        <w:tc>
          <w:tcPr>
            <w:tcW w:w="115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25A3330">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其他收入</w:t>
            </w:r>
          </w:p>
        </w:tc>
      </w:tr>
      <w:tr w14:paraId="5666451C">
        <w:tblPrEx>
          <w:tblCellMar>
            <w:top w:w="0" w:type="dxa"/>
            <w:left w:w="0" w:type="dxa"/>
            <w:bottom w:w="0" w:type="dxa"/>
            <w:right w:w="0" w:type="dxa"/>
          </w:tblCellMar>
        </w:tblPrEx>
        <w:trPr>
          <w:trHeight w:val="450" w:hRule="atLeast"/>
        </w:trPr>
        <w:tc>
          <w:tcPr>
            <w:tcW w:w="133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DDD00CC">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r>
              <w:rPr>
                <w:rFonts w:hint="eastAsia" w:ascii="仿宋" w:hAnsi="仿宋" w:eastAsia="仿宋" w:cs="仿宋"/>
              </w:rPr>
              <w:t>功能分类</w:t>
            </w:r>
          </w:p>
          <w:p w14:paraId="3CB8C1AD">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科目编码</w:t>
            </w:r>
          </w:p>
        </w:tc>
        <w:tc>
          <w:tcPr>
            <w:tcW w:w="28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1C59612">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科目名称</w:t>
            </w:r>
          </w:p>
        </w:tc>
        <w:tc>
          <w:tcPr>
            <w:tcW w:w="1663" w:type="dxa"/>
            <w:vMerge w:val="continue"/>
            <w:tcBorders>
              <w:top w:val="single" w:color="auto" w:sz="4" w:space="0"/>
              <w:left w:val="single" w:color="auto" w:sz="4" w:space="0"/>
              <w:bottom w:val="single" w:color="auto" w:sz="4" w:space="0"/>
              <w:right w:val="single" w:color="auto" w:sz="4" w:space="0"/>
            </w:tcBorders>
            <w:vAlign w:val="center"/>
          </w:tcPr>
          <w:p w14:paraId="080E6F28">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14:paraId="11659379">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2EDD31B1">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14:paraId="10A319D1">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14:paraId="00E200FD">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7FFABE77">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14:paraId="12AE48E7">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r>
      <w:tr w14:paraId="0C8E1AA9">
        <w:tblPrEx>
          <w:tblCellMar>
            <w:top w:w="0" w:type="dxa"/>
            <w:left w:w="0" w:type="dxa"/>
            <w:bottom w:w="0" w:type="dxa"/>
            <w:right w:w="0" w:type="dxa"/>
          </w:tblCellMar>
        </w:tblPrEx>
        <w:trPr>
          <w:trHeight w:val="312" w:hRule="atLeast"/>
        </w:trPr>
        <w:tc>
          <w:tcPr>
            <w:tcW w:w="1337" w:type="dxa"/>
            <w:vMerge w:val="continue"/>
            <w:tcBorders>
              <w:top w:val="single" w:color="auto" w:sz="4" w:space="0"/>
              <w:left w:val="single" w:color="auto" w:sz="4" w:space="0"/>
              <w:bottom w:val="single" w:color="auto" w:sz="4" w:space="0"/>
              <w:right w:val="single" w:color="auto" w:sz="4" w:space="0"/>
            </w:tcBorders>
            <w:vAlign w:val="center"/>
          </w:tcPr>
          <w:p w14:paraId="453D2AE1">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2863" w:type="dxa"/>
            <w:vMerge w:val="continue"/>
            <w:tcBorders>
              <w:top w:val="single" w:color="auto" w:sz="4" w:space="0"/>
              <w:left w:val="single" w:color="auto" w:sz="4" w:space="0"/>
              <w:bottom w:val="single" w:color="auto" w:sz="4" w:space="0"/>
              <w:right w:val="single" w:color="auto" w:sz="4" w:space="0"/>
            </w:tcBorders>
            <w:vAlign w:val="center"/>
          </w:tcPr>
          <w:p w14:paraId="754B166C">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663" w:type="dxa"/>
            <w:vMerge w:val="continue"/>
            <w:tcBorders>
              <w:top w:val="single" w:color="auto" w:sz="4" w:space="0"/>
              <w:left w:val="single" w:color="auto" w:sz="4" w:space="0"/>
              <w:bottom w:val="single" w:color="auto" w:sz="4" w:space="0"/>
              <w:right w:val="single" w:color="auto" w:sz="4" w:space="0"/>
            </w:tcBorders>
            <w:vAlign w:val="center"/>
          </w:tcPr>
          <w:p w14:paraId="135F519A">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14:paraId="06539842">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4E746BB1">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14:paraId="1E2C3827">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14:paraId="690D50EF">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17232041">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14:paraId="1703FEDD">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r>
      <w:tr w14:paraId="044376CB">
        <w:tblPrEx>
          <w:tblCellMar>
            <w:top w:w="0" w:type="dxa"/>
            <w:left w:w="0" w:type="dxa"/>
            <w:bottom w:w="0" w:type="dxa"/>
            <w:right w:w="0" w:type="dxa"/>
          </w:tblCellMar>
        </w:tblPrEx>
        <w:trPr>
          <w:trHeight w:val="9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67DF24C">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栏次</w:t>
            </w:r>
          </w:p>
        </w:tc>
        <w:tc>
          <w:tcPr>
            <w:tcW w:w="16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C2CAE86">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1</w:t>
            </w:r>
          </w:p>
        </w:tc>
        <w:tc>
          <w:tcPr>
            <w:tcW w:w="147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DFD5B25">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2</w:t>
            </w:r>
          </w:p>
        </w:tc>
        <w:tc>
          <w:tcPr>
            <w:tcW w:w="14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04DABEE">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3</w:t>
            </w:r>
          </w:p>
        </w:tc>
        <w:tc>
          <w:tcPr>
            <w:tcW w:w="145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A4D26E4">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4</w:t>
            </w:r>
          </w:p>
        </w:tc>
        <w:tc>
          <w:tcPr>
            <w:tcW w:w="12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441AEEE">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5</w:t>
            </w:r>
          </w:p>
        </w:tc>
        <w:tc>
          <w:tcPr>
            <w:tcW w:w="132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1B60456">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6</w:t>
            </w:r>
          </w:p>
        </w:tc>
        <w:tc>
          <w:tcPr>
            <w:tcW w:w="115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49A4913">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7</w:t>
            </w:r>
          </w:p>
        </w:tc>
      </w:tr>
      <w:tr w14:paraId="10879F8A">
        <w:tblPrEx>
          <w:tblCellMar>
            <w:top w:w="0" w:type="dxa"/>
            <w:left w:w="0" w:type="dxa"/>
            <w:bottom w:w="0" w:type="dxa"/>
            <w:right w:w="0" w:type="dxa"/>
          </w:tblCellMar>
        </w:tblPrEx>
        <w:trPr>
          <w:trHeight w:val="245"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CE452E1">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ascii="仿宋" w:hAnsi="仿宋" w:eastAsia="仿宋" w:cs="仿宋"/>
              </w:rPr>
              <w:t>合计</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8EC8115">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544.58</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66B6CA8">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544.58</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D8E212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13901F8">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75C8D06">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444C46B">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451BDA2">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lang w:val="en-US" w:eastAsia="zh-CN"/>
              </w:rPr>
            </w:pPr>
          </w:p>
        </w:tc>
      </w:tr>
      <w:tr w14:paraId="4E5C4028">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43A8BF3">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205</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9D096BE">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教育支出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FE659C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542.81</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BF184C5">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542.81</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AA82AA7">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18ADE6D">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3BC8678">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84E3D8C">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3D90C10">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4D935CCB">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E35ED9F">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B4F6FA5">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普通教育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C230FA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542.81</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3AD9B08">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542.81</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30F6828">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D9CFF6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5F6EC87">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CDDAB4A">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BC8ED52">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4FF346E0">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71ED8F2">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54DC5A0">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小学教育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305AA36">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61.06</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4CAB1D1">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61.06</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7B681DC">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E954B7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884294B">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6C19EB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6C4C38E">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0D98832E">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CEDD622">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2050203</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BDEB85F">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初中教育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146CEE5">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481.50</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ECCDD98">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481.50</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6CAC022">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DB5F201">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AD325FB">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269DDE3">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D3D9D4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154D7BB6">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B15D4FF">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2050299</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9CFEDBA">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其他普通教育支出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A193724">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0.25</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21F99B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0.25</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1410670">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B0B367A">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7CB43D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10ED45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0AA1B2C">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25E28FC0">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81276DC">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208</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EAE18C9">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社会保障和就业支出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EEC0D7B">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0.77</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89CC967">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0.77</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05BFBF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1BEC6AC">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0245E37">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35DF381">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7CB5284">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30B45DB8">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8E34989">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20807</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C55D092">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就业补助</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6177702">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0.77</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023A7EE">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0.77</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1047B11">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838E06B">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760785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9B4C626">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8B9DC43">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738121FC">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C25EA69">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2080799</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26710F4">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其他就业补助支出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154E18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0.77</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4627204">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0.77</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4D1C316">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1E032A3">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4CE7D1E">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EDC12A2">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3A63ABC">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70D37E3F">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BF5D3E7">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210</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2E28EC6">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卫生健康支出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DA54FC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1.00</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F413B37">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1.00</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DBBBA06">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15AB343">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B15B008">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507E077">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F817C4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6983FAB4">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FF7A8D6">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21004</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F0A74D8">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公共卫生</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514BED7">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1.00</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2A75806">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1.00</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624189E">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73481E3">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4101138">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B95C55A">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E375046">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4302835B">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1F1832E">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2100410</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E6A636A">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突发公共卫生事件应急处理</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B08576B">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1.00</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EBDDFC5">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1.00</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1EE9B9D">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AE3C6B1">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5792ABA">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C81C355">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61AA353">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01BDA7BC">
        <w:tblPrEx>
          <w:tblCellMar>
            <w:top w:w="0" w:type="dxa"/>
            <w:left w:w="0" w:type="dxa"/>
            <w:bottom w:w="0" w:type="dxa"/>
            <w:right w:w="0" w:type="dxa"/>
          </w:tblCellMar>
        </w:tblPrEx>
        <w:trPr>
          <w:trHeight w:val="615" w:hRule="atLeast"/>
        </w:trPr>
        <w:tc>
          <w:tcPr>
            <w:tcW w:w="13988" w:type="dxa"/>
            <w:gridSpan w:val="9"/>
            <w:tcBorders>
              <w:top w:val="single" w:color="auto" w:sz="4" w:space="0"/>
              <w:left w:val="nil"/>
              <w:bottom w:val="nil"/>
              <w:right w:val="nil"/>
            </w:tcBorders>
            <w:shd w:val="clear" w:color="auto" w:fill="auto"/>
            <w:tcMar>
              <w:top w:w="15" w:type="dxa"/>
              <w:left w:w="15" w:type="dxa"/>
              <w:bottom w:w="0" w:type="dxa"/>
              <w:right w:w="15" w:type="dxa"/>
            </w:tcMar>
            <w:vAlign w:val="center"/>
          </w:tcPr>
          <w:p w14:paraId="45F93624">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rPr>
            </w:pPr>
            <w:r>
              <w:rPr>
                <w:rFonts w:hint="eastAsia" w:ascii="仿宋" w:hAnsi="仿宋" w:eastAsia="仿宋" w:cs="仿宋"/>
              </w:rPr>
              <w:t>注：本表反映部门本年度取得的各项收入情况。</w:t>
            </w:r>
          </w:p>
        </w:tc>
      </w:tr>
    </w:tbl>
    <w:p w14:paraId="566967EA">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tbl>
      <w:tblPr>
        <w:tblStyle w:val="6"/>
        <w:tblW w:w="13935" w:type="dxa"/>
        <w:tblInd w:w="91" w:type="dxa"/>
        <w:tblLayout w:type="fixed"/>
        <w:tblCellMar>
          <w:top w:w="0" w:type="dxa"/>
          <w:left w:w="108" w:type="dxa"/>
          <w:bottom w:w="0" w:type="dxa"/>
          <w:right w:w="108" w:type="dxa"/>
        </w:tblCellMar>
      </w:tblPr>
      <w:tblGrid>
        <w:gridCol w:w="1716"/>
        <w:gridCol w:w="3326"/>
        <w:gridCol w:w="1680"/>
        <w:gridCol w:w="1371"/>
        <w:gridCol w:w="1492"/>
        <w:gridCol w:w="1697"/>
        <w:gridCol w:w="1183"/>
        <w:gridCol w:w="1470"/>
      </w:tblGrid>
      <w:tr w14:paraId="3A09D968">
        <w:tblPrEx>
          <w:tblCellMar>
            <w:top w:w="0" w:type="dxa"/>
            <w:left w:w="108" w:type="dxa"/>
            <w:bottom w:w="0" w:type="dxa"/>
            <w:right w:w="108" w:type="dxa"/>
          </w:tblCellMar>
        </w:tblPrEx>
        <w:trPr>
          <w:trHeight w:val="435" w:hRule="atLeast"/>
        </w:trPr>
        <w:tc>
          <w:tcPr>
            <w:tcW w:w="13935" w:type="dxa"/>
            <w:gridSpan w:val="8"/>
            <w:tcBorders>
              <w:top w:val="nil"/>
              <w:left w:val="nil"/>
              <w:bottom w:val="nil"/>
              <w:right w:val="nil"/>
            </w:tcBorders>
            <w:shd w:val="clear" w:color="auto" w:fill="auto"/>
            <w:noWrap/>
            <w:vAlign w:val="center"/>
          </w:tcPr>
          <w:p w14:paraId="09A4792C">
            <w:pPr>
              <w:widowControl/>
              <w:jc w:val="center"/>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支出决算表</w:t>
            </w:r>
          </w:p>
        </w:tc>
      </w:tr>
      <w:tr w14:paraId="44CB072A">
        <w:tblPrEx>
          <w:tblCellMar>
            <w:top w:w="0" w:type="dxa"/>
            <w:left w:w="108" w:type="dxa"/>
            <w:bottom w:w="0" w:type="dxa"/>
            <w:right w:w="108" w:type="dxa"/>
          </w:tblCellMar>
        </w:tblPrEx>
        <w:trPr>
          <w:trHeight w:val="90" w:hRule="atLeast"/>
        </w:trPr>
        <w:tc>
          <w:tcPr>
            <w:tcW w:w="12465" w:type="dxa"/>
            <w:gridSpan w:val="7"/>
            <w:tcBorders>
              <w:top w:val="nil"/>
              <w:left w:val="nil"/>
              <w:bottom w:val="nil"/>
              <w:right w:val="nil"/>
            </w:tcBorders>
            <w:shd w:val="clear" w:color="000000" w:fill="FFFFFF"/>
            <w:noWrap/>
            <w:vAlign w:val="center"/>
          </w:tcPr>
          <w:p w14:paraId="25587CD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nil"/>
              <w:left w:val="nil"/>
              <w:bottom w:val="nil"/>
              <w:right w:val="nil"/>
            </w:tcBorders>
            <w:shd w:val="clear" w:color="000000" w:fill="FFFFFF"/>
            <w:noWrap/>
            <w:vAlign w:val="center"/>
          </w:tcPr>
          <w:p w14:paraId="05576C7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公开03表</w:t>
            </w:r>
          </w:p>
        </w:tc>
      </w:tr>
      <w:tr w14:paraId="6C30E86D">
        <w:tblPrEx>
          <w:tblCellMar>
            <w:top w:w="0" w:type="dxa"/>
            <w:left w:w="108" w:type="dxa"/>
            <w:bottom w:w="0" w:type="dxa"/>
            <w:right w:w="108" w:type="dxa"/>
          </w:tblCellMar>
        </w:tblPrEx>
        <w:trPr>
          <w:trHeight w:val="104" w:hRule="atLeast"/>
        </w:trPr>
        <w:tc>
          <w:tcPr>
            <w:tcW w:w="12465" w:type="dxa"/>
            <w:gridSpan w:val="7"/>
            <w:tcBorders>
              <w:top w:val="nil"/>
              <w:left w:val="nil"/>
              <w:bottom w:val="single" w:color="auto" w:sz="4" w:space="0"/>
              <w:right w:val="nil"/>
            </w:tcBorders>
            <w:shd w:val="clear" w:color="000000" w:fill="FFFFFF"/>
            <w:noWrap/>
            <w:vAlign w:val="center"/>
          </w:tcPr>
          <w:p w14:paraId="4F3833D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中方县桐木镇中学</w:t>
            </w:r>
          </w:p>
        </w:tc>
        <w:tc>
          <w:tcPr>
            <w:tcW w:w="1470" w:type="dxa"/>
            <w:tcBorders>
              <w:top w:val="nil"/>
              <w:left w:val="nil"/>
              <w:bottom w:val="single" w:color="auto" w:sz="4" w:space="0"/>
              <w:right w:val="nil"/>
            </w:tcBorders>
            <w:shd w:val="clear" w:color="000000" w:fill="FFFFFF"/>
            <w:noWrap/>
            <w:vAlign w:val="center"/>
          </w:tcPr>
          <w:p w14:paraId="043A142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0738E80F">
        <w:tblPrEx>
          <w:tblCellMar>
            <w:top w:w="0" w:type="dxa"/>
            <w:left w:w="108" w:type="dxa"/>
            <w:bottom w:w="0" w:type="dxa"/>
            <w:right w:w="108" w:type="dxa"/>
          </w:tblCellMar>
        </w:tblPrEx>
        <w:trPr>
          <w:trHeight w:val="450"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3A9397E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168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547340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本年支出合计</w:t>
            </w:r>
          </w:p>
        </w:tc>
        <w:tc>
          <w:tcPr>
            <w:tcW w:w="137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F41247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基本支出</w:t>
            </w:r>
          </w:p>
        </w:tc>
        <w:tc>
          <w:tcPr>
            <w:tcW w:w="149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5A8CEF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项目支出</w:t>
            </w:r>
          </w:p>
        </w:tc>
        <w:tc>
          <w:tcPr>
            <w:tcW w:w="169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DB63ED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上缴上级支出</w:t>
            </w:r>
          </w:p>
        </w:tc>
        <w:tc>
          <w:tcPr>
            <w:tcW w:w="118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61D54A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经营支出</w:t>
            </w:r>
          </w:p>
        </w:tc>
        <w:tc>
          <w:tcPr>
            <w:tcW w:w="147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301CA0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对附属单位补助支出</w:t>
            </w:r>
          </w:p>
        </w:tc>
      </w:tr>
      <w:tr w14:paraId="59D5104F">
        <w:tblPrEx>
          <w:tblCellMar>
            <w:top w:w="0" w:type="dxa"/>
            <w:left w:w="108" w:type="dxa"/>
            <w:bottom w:w="0" w:type="dxa"/>
            <w:right w:w="108" w:type="dxa"/>
          </w:tblCellMar>
        </w:tblPrEx>
        <w:trPr>
          <w:trHeight w:val="450" w:hRule="atLeast"/>
        </w:trPr>
        <w:tc>
          <w:tcPr>
            <w:tcW w:w="171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942C10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功能分类</w:t>
            </w:r>
          </w:p>
          <w:p w14:paraId="18238F4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科目编码</w:t>
            </w:r>
          </w:p>
        </w:tc>
        <w:tc>
          <w:tcPr>
            <w:tcW w:w="332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DA9666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科目名称</w:t>
            </w: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6E5C564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2DBBFE5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662C551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0ACBBE2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14:paraId="6965207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379FA00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14:paraId="026147F2">
        <w:tblPrEx>
          <w:tblCellMar>
            <w:top w:w="0" w:type="dxa"/>
            <w:left w:w="108" w:type="dxa"/>
            <w:bottom w:w="0" w:type="dxa"/>
            <w:right w:w="108" w:type="dxa"/>
          </w:tblCellMar>
        </w:tblPrEx>
        <w:trPr>
          <w:trHeight w:val="312" w:hRule="atLeast"/>
        </w:trPr>
        <w:tc>
          <w:tcPr>
            <w:tcW w:w="1716" w:type="dxa"/>
            <w:vMerge w:val="continue"/>
            <w:tcBorders>
              <w:top w:val="single" w:color="auto" w:sz="4" w:space="0"/>
              <w:left w:val="single" w:color="auto" w:sz="4" w:space="0"/>
              <w:bottom w:val="single" w:color="auto" w:sz="4" w:space="0"/>
              <w:right w:val="single" w:color="auto" w:sz="4" w:space="0"/>
            </w:tcBorders>
            <w:vAlign w:val="center"/>
          </w:tcPr>
          <w:p w14:paraId="7B35FEA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3326" w:type="dxa"/>
            <w:vMerge w:val="continue"/>
            <w:tcBorders>
              <w:top w:val="single" w:color="auto" w:sz="4" w:space="0"/>
              <w:left w:val="single" w:color="auto" w:sz="4" w:space="0"/>
              <w:bottom w:val="single" w:color="auto" w:sz="4" w:space="0"/>
              <w:right w:val="single" w:color="auto" w:sz="4" w:space="0"/>
            </w:tcBorders>
            <w:vAlign w:val="center"/>
          </w:tcPr>
          <w:p w14:paraId="4A8AD3F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5B1BBF0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5566A33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23257AC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71BD1FB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14:paraId="249F083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03EF72F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14:paraId="3EA71B5A">
        <w:tblPrEx>
          <w:tblCellMar>
            <w:top w:w="0" w:type="dxa"/>
            <w:left w:w="108" w:type="dxa"/>
            <w:bottom w:w="0" w:type="dxa"/>
            <w:right w:w="108" w:type="dxa"/>
          </w:tblCellMar>
        </w:tblPrEx>
        <w:trPr>
          <w:trHeight w:val="139"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70962D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栏次</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31D528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137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6C0A78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14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F446D6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3</w:t>
            </w:r>
          </w:p>
        </w:tc>
        <w:tc>
          <w:tcPr>
            <w:tcW w:w="169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9D0D8B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118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A4E785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5</w:t>
            </w:r>
          </w:p>
        </w:tc>
        <w:tc>
          <w:tcPr>
            <w:tcW w:w="147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FA3668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6</w:t>
            </w:r>
          </w:p>
        </w:tc>
      </w:tr>
      <w:tr w14:paraId="1AD2BF90">
        <w:tblPrEx>
          <w:tblCellMar>
            <w:top w:w="0" w:type="dxa"/>
            <w:left w:w="108" w:type="dxa"/>
            <w:bottom w:w="0" w:type="dxa"/>
            <w:right w:w="108" w:type="dxa"/>
          </w:tblCellMar>
        </w:tblPrEx>
        <w:trPr>
          <w:trHeight w:val="657"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E66953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76739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544.58</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BA348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544.58</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00768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EFF1B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00FB0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C1389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4D544347">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3002BB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205</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BE8457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教育支出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3F8F8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542.81</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74951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542.81</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D4A25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CD580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3DDCA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C0BBB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0A0DD08A">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740E2E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0148AC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普通教育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2D084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542.81</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F2DE4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542.81</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3FDE8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49A50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3B7BD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69D20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097211C2">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9DB423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E4AB02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小学教育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4030B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61.06</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F8641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61.06</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839E2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DF51B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5531A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528EE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29CDB87E">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8945E6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2050203</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7E5B8E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初中教育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6C02D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481.50</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0873F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481.50</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79BDF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FDEBF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800C2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4B7AC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5AA537AF">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1FFEB9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2050299</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A3337D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其他普通教育支出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050D6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0.25</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DAE78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0.25</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12BB6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059FA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B01F1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8DCF7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60116867">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E4C56C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208</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FCF741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社会保障和就业支出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8281B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0.77</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DC90B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0.77</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ED4A4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9CBB2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23A8E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F100F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3E754692">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0E10B4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20807</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8BDEEB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就业补助</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353CC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0.77</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DBC68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0.77</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56125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06F69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5C7D3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685FE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45CCED56">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53C466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2080799</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F4CB9F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其他就业补助支出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5375D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0.77</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B590C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0.77</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10481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DA2E1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A6DBA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24EF4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304D12F8">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5E9111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210</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730296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卫生健康支出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B7D82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1.00</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B65D6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1.00</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04D94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44A77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7BD14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35D5B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14A978D3">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2B3920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21004</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BE6A4D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公共卫生</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C435F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1.00</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50AE6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1.00</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9841C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6176D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DF281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D49AF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00538009">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D0D126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2100410</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8843EE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突发公共卫生事件应急处理</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A3EC6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1.00</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6F71D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1.00</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E57C4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5B0D5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C3BD2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B56C6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153153D0">
        <w:tblPrEx>
          <w:tblCellMar>
            <w:top w:w="0" w:type="dxa"/>
            <w:left w:w="108" w:type="dxa"/>
            <w:bottom w:w="0" w:type="dxa"/>
            <w:right w:w="108" w:type="dxa"/>
          </w:tblCellMar>
        </w:tblPrEx>
        <w:trPr>
          <w:trHeight w:val="630" w:hRule="atLeast"/>
        </w:trPr>
        <w:tc>
          <w:tcPr>
            <w:tcW w:w="13935" w:type="dxa"/>
            <w:gridSpan w:val="8"/>
            <w:tcBorders>
              <w:top w:val="single" w:color="auto" w:sz="4" w:space="0"/>
              <w:left w:val="nil"/>
              <w:bottom w:val="nil"/>
              <w:right w:val="nil"/>
            </w:tcBorders>
            <w:shd w:val="clear" w:color="auto" w:fill="auto"/>
            <w:vAlign w:val="center"/>
          </w:tcPr>
          <w:p w14:paraId="5980210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注：本表反映部门本年度各项支出情况。</w:t>
            </w:r>
          </w:p>
        </w:tc>
      </w:tr>
    </w:tbl>
    <w:p w14:paraId="21800508">
      <w:pPr>
        <w:rPr>
          <w:rFonts w:ascii="Times New Roman" w:hAnsi="Times New Roman" w:eastAsia="方正小标宋_GBK" w:cs="Times New Roman"/>
          <w:color w:val="000000"/>
          <w:kern w:val="0"/>
          <w:sz w:val="36"/>
          <w:szCs w:val="21"/>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15522" w:type="dxa"/>
        <w:tblInd w:w="91" w:type="dxa"/>
        <w:tblLayout w:type="fixed"/>
        <w:tblCellMar>
          <w:top w:w="0" w:type="dxa"/>
          <w:left w:w="108" w:type="dxa"/>
          <w:bottom w:w="0" w:type="dxa"/>
          <w:right w:w="108" w:type="dxa"/>
        </w:tblCellMar>
      </w:tblPr>
      <w:tblGrid>
        <w:gridCol w:w="3208"/>
        <w:gridCol w:w="760"/>
        <w:gridCol w:w="1600"/>
        <w:gridCol w:w="3380"/>
        <w:gridCol w:w="820"/>
        <w:gridCol w:w="1580"/>
        <w:gridCol w:w="1400"/>
        <w:gridCol w:w="1360"/>
        <w:gridCol w:w="1414"/>
      </w:tblGrid>
      <w:tr w14:paraId="01F448E9">
        <w:tblPrEx>
          <w:tblCellMar>
            <w:top w:w="0" w:type="dxa"/>
            <w:left w:w="108" w:type="dxa"/>
            <w:bottom w:w="0" w:type="dxa"/>
            <w:right w:w="108" w:type="dxa"/>
          </w:tblCellMar>
        </w:tblPrEx>
        <w:trPr>
          <w:trHeight w:val="360" w:hRule="atLeast"/>
        </w:trPr>
        <w:tc>
          <w:tcPr>
            <w:tcW w:w="15522" w:type="dxa"/>
            <w:gridSpan w:val="9"/>
            <w:tcBorders>
              <w:top w:val="nil"/>
              <w:left w:val="nil"/>
              <w:bottom w:val="nil"/>
              <w:right w:val="nil"/>
            </w:tcBorders>
            <w:shd w:val="clear" w:color="auto" w:fill="auto"/>
            <w:noWrap/>
            <w:vAlign w:val="center"/>
          </w:tcPr>
          <w:p w14:paraId="2BF876B8">
            <w:pPr>
              <w:widowControl/>
              <w:jc w:val="center"/>
              <w:rPr>
                <w:rFonts w:hint="eastAsia" w:ascii="仿宋" w:hAnsi="仿宋" w:eastAsia="仿宋" w:cs="仿宋"/>
                <w:color w:val="000000"/>
                <w:kern w:val="0"/>
                <w:sz w:val="32"/>
                <w:szCs w:val="32"/>
              </w:rPr>
            </w:pPr>
            <w:bookmarkStart w:id="0" w:name="RANGE!A1:I22"/>
            <w:bookmarkEnd w:id="0"/>
            <w:bookmarkStart w:id="1" w:name="RANGE!A1:F16"/>
            <w:r>
              <w:rPr>
                <w:rFonts w:hint="eastAsia" w:ascii="仿宋" w:hAnsi="仿宋" w:eastAsia="仿宋" w:cs="仿宋"/>
                <w:b/>
                <w:bCs/>
                <w:color w:val="000000"/>
                <w:kern w:val="0"/>
                <w:sz w:val="32"/>
                <w:szCs w:val="32"/>
              </w:rPr>
              <w:t>财政拨款收入支出决算总表</w:t>
            </w:r>
          </w:p>
        </w:tc>
      </w:tr>
      <w:tr w14:paraId="3F83DCA1">
        <w:tblPrEx>
          <w:tblCellMar>
            <w:top w:w="0" w:type="dxa"/>
            <w:left w:w="108" w:type="dxa"/>
            <w:bottom w:w="0" w:type="dxa"/>
            <w:right w:w="108" w:type="dxa"/>
          </w:tblCellMar>
        </w:tblPrEx>
        <w:trPr>
          <w:trHeight w:val="148" w:hRule="atLeast"/>
        </w:trPr>
        <w:tc>
          <w:tcPr>
            <w:tcW w:w="14108" w:type="dxa"/>
            <w:gridSpan w:val="8"/>
            <w:tcBorders>
              <w:top w:val="nil"/>
              <w:left w:val="nil"/>
              <w:bottom w:val="nil"/>
              <w:right w:val="nil"/>
            </w:tcBorders>
            <w:shd w:val="clear" w:color="000000" w:fill="FFFFFF"/>
            <w:noWrap/>
            <w:vAlign w:val="center"/>
          </w:tcPr>
          <w:p w14:paraId="005B86F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14" w:type="dxa"/>
            <w:tcBorders>
              <w:top w:val="nil"/>
              <w:left w:val="nil"/>
              <w:bottom w:val="nil"/>
              <w:right w:val="nil"/>
            </w:tcBorders>
            <w:shd w:val="clear" w:color="000000" w:fill="FFFFFF"/>
            <w:noWrap/>
            <w:vAlign w:val="center"/>
          </w:tcPr>
          <w:p w14:paraId="5BFEAEE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公开04表</w:t>
            </w:r>
          </w:p>
        </w:tc>
      </w:tr>
      <w:tr w14:paraId="1F3317E4">
        <w:tblPrEx>
          <w:tblCellMar>
            <w:top w:w="0" w:type="dxa"/>
            <w:left w:w="108" w:type="dxa"/>
            <w:bottom w:w="0" w:type="dxa"/>
            <w:right w:w="108" w:type="dxa"/>
          </w:tblCellMar>
        </w:tblPrEx>
        <w:trPr>
          <w:trHeight w:val="90" w:hRule="atLeast"/>
        </w:trPr>
        <w:tc>
          <w:tcPr>
            <w:tcW w:w="14108" w:type="dxa"/>
            <w:gridSpan w:val="8"/>
            <w:tcBorders>
              <w:top w:val="nil"/>
              <w:left w:val="nil"/>
              <w:bottom w:val="single" w:color="auto" w:sz="4" w:space="0"/>
              <w:right w:val="nil"/>
            </w:tcBorders>
            <w:shd w:val="clear" w:color="000000" w:fill="FFFFFF"/>
            <w:noWrap/>
            <w:vAlign w:val="center"/>
          </w:tcPr>
          <w:p w14:paraId="01FD4E8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中方县桐木镇中学</w:t>
            </w:r>
          </w:p>
        </w:tc>
        <w:tc>
          <w:tcPr>
            <w:tcW w:w="1414" w:type="dxa"/>
            <w:tcBorders>
              <w:top w:val="nil"/>
              <w:left w:val="nil"/>
              <w:bottom w:val="single" w:color="auto" w:sz="4" w:space="0"/>
              <w:right w:val="nil"/>
            </w:tcBorders>
            <w:shd w:val="clear" w:color="000000" w:fill="FFFFFF"/>
            <w:noWrap/>
            <w:vAlign w:val="center"/>
          </w:tcPr>
          <w:p w14:paraId="2030B56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0755C71B">
        <w:tblPrEx>
          <w:tblCellMar>
            <w:top w:w="0" w:type="dxa"/>
            <w:left w:w="108" w:type="dxa"/>
            <w:bottom w:w="0" w:type="dxa"/>
            <w:right w:w="108" w:type="dxa"/>
          </w:tblCellMar>
        </w:tblPrEx>
        <w:trPr>
          <w:trHeight w:val="402" w:hRule="atLeast"/>
        </w:trPr>
        <w:tc>
          <w:tcPr>
            <w:tcW w:w="556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2BA7A9C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收入</w:t>
            </w:r>
          </w:p>
        </w:tc>
        <w:tc>
          <w:tcPr>
            <w:tcW w:w="9954" w:type="dxa"/>
            <w:gridSpan w:val="6"/>
            <w:tcBorders>
              <w:top w:val="single" w:color="auto" w:sz="4" w:space="0"/>
              <w:left w:val="single" w:color="auto" w:sz="4" w:space="0"/>
              <w:bottom w:val="single" w:color="auto" w:sz="4" w:space="0"/>
              <w:right w:val="single" w:color="auto" w:sz="4" w:space="0"/>
            </w:tcBorders>
            <w:shd w:val="clear" w:color="000000" w:fill="FFFFFF"/>
            <w:noWrap/>
            <w:vAlign w:val="center"/>
          </w:tcPr>
          <w:p w14:paraId="0501419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支出</w:t>
            </w:r>
          </w:p>
        </w:tc>
      </w:tr>
      <w:tr w14:paraId="1B394109">
        <w:tblPrEx>
          <w:tblCellMar>
            <w:top w:w="0" w:type="dxa"/>
            <w:left w:w="108" w:type="dxa"/>
            <w:bottom w:w="0" w:type="dxa"/>
            <w:right w:w="108" w:type="dxa"/>
          </w:tblCellMar>
        </w:tblPrEx>
        <w:trPr>
          <w:trHeight w:val="73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CC02A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D1E77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D0BB3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金额</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6E4BE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4E914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E6C39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14:paraId="1D73F72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一般公共预算财政拨款</w:t>
            </w:r>
          </w:p>
        </w:tc>
        <w:tc>
          <w:tcPr>
            <w:tcW w:w="1360" w:type="dxa"/>
            <w:tcBorders>
              <w:top w:val="single" w:color="auto" w:sz="4" w:space="0"/>
              <w:left w:val="single" w:color="auto" w:sz="4" w:space="0"/>
              <w:bottom w:val="single" w:color="auto" w:sz="4" w:space="0"/>
              <w:right w:val="single" w:color="auto" w:sz="4" w:space="0"/>
            </w:tcBorders>
            <w:shd w:val="clear" w:color="auto" w:fill="auto"/>
            <w:vAlign w:val="center"/>
          </w:tcPr>
          <w:p w14:paraId="2A97545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政府性基金预算财政拨款</w:t>
            </w:r>
          </w:p>
        </w:tc>
        <w:tc>
          <w:tcPr>
            <w:tcW w:w="1414" w:type="dxa"/>
            <w:tcBorders>
              <w:top w:val="single" w:color="auto" w:sz="4" w:space="0"/>
              <w:left w:val="single" w:color="auto" w:sz="4" w:space="0"/>
              <w:bottom w:val="single" w:color="auto" w:sz="4" w:space="0"/>
              <w:right w:val="single" w:color="auto" w:sz="4" w:space="0"/>
            </w:tcBorders>
            <w:shd w:val="clear" w:color="auto" w:fill="auto"/>
            <w:vAlign w:val="center"/>
          </w:tcPr>
          <w:p w14:paraId="0F29E5B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国有资本经营预算财政拨款</w:t>
            </w:r>
          </w:p>
        </w:tc>
      </w:tr>
      <w:tr w14:paraId="4F00BEF9">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028C1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ascii="仿宋" w:hAnsi="仿宋" w:eastAsia="仿宋" w:cs="仿宋"/>
                <w:sz w:val="24"/>
              </w:rPr>
              <w:t>栏    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0A10F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2A261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E8D68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    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2CC20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0EA30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lang w:val="en-US" w:eastAsia="zh-CN"/>
              </w:rPr>
            </w:pPr>
            <w:r>
              <w:rPr>
                <w:rFonts w:hint="eastAsia" w:ascii="仿宋" w:hAnsi="仿宋" w:eastAsia="仿宋" w:cs="仿宋"/>
              </w:rPr>
              <w:t>2</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FBF4B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rPr>
              <w:t>3</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732B1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rPr>
              <w:t>4</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2FE62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rPr>
              <w:t>5</w:t>
            </w:r>
          </w:p>
        </w:tc>
      </w:tr>
      <w:tr w14:paraId="3CA184A0">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5AA52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B634E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592AD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544.58</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96E58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一、一般公共服务支出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CB114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96446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AC011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597E5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644EB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3F6DD6DF">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FF7C8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BD5A7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18FE4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0BAFE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二、外交支出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95AB3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8F159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2D5D0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0BAED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9D015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3E8392D0">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E3A66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w:t>
            </w:r>
            <w:bookmarkStart w:id="3" w:name="_GoBack"/>
            <w:r>
              <w:rPr>
                <w:rFonts w:hint="eastAsia" w:ascii="仿宋" w:hAnsi="仿宋" w:eastAsia="仿宋" w:cs="仿宋"/>
              </w:rPr>
              <w:t>国有资本经营财政拨款</w:t>
            </w:r>
            <w:bookmarkEnd w:id="3"/>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9953C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95199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DF7AA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45917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A315A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01C2F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1A9E7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E0B14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52BBBA94">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6F770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67EE2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C4F53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2406C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四、公共安全支出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A3FFC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8812C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3EB3F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F80D0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C3406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1A996BFE">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11AA2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A30E9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FE4AB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82EC9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五、教育支出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88D4F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C4EB1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542.81</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BB47D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542.81</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A2B69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8A401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3B122865">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48E04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79236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416A2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73E36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六、科学技术支出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C33DB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00B48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3F532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52F1C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4B334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A80CEA4">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C679F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EA38D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BC27D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D9A08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七、文化旅游体育与传媒支出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640FF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7C73E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C96D2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D21FF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78111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61F62B7C">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D03E1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DB613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56FA0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8244C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八、社会保障和就业支出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088ED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2B71E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0.77</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DEEF9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0.77</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6C9B5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C3D55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6013EDD9">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69807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44D55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D7F27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DBD06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九、卫生健康支出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B2966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1A954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1.00</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3A1A7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1.00</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C933C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10546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613F467E">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72B64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4139D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994E8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4D39C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十、节能环保支出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71F70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E6A48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33A53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DE1A6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871CF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7E9CA468">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EDCFF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D59E1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86CB1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CADE8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十一、城乡社区支出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3825F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FA2EB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76C72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F8211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A48FA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0EE4E2B4">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63D39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9E1E1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56424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9EFA1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十二、农林水支出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7F301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C9543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0C4DC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A0B90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0C0F5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79AD0D25">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4EFBE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61C3E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C5D26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70E3E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十三、交通运输支出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2AE15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78676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E3396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EF491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76DA0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3BF9BCA6">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E9591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1EFFB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F7039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B8786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十四、资源勘探工业信息等支出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780FE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32352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3200F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D58E1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F3345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457838C8">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C8631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CB709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349ED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24D6E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十五、商业服务业等支出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DF961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EEBE6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70A5D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2685C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63938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0EF7BAD0">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E4077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65C58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6C732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A4E74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十六、金融支出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5DDFD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3B8B0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6A8DC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4BD7F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93EEC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5B4A35B0">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3C317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54C1C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2D5BC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3BE99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十七、援助其他地区支出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B4006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074BD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31550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34DDB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7C66B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157B5CF2">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27344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ADB57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B7E25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DF98B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十八、自然资源海洋气象等支出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00605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D2C4E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8D6BB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FE999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EC3B5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0E562795">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0C3F7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4E285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BD780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BCAE6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十九、住房保障支出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A874D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2C58F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14BC3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31A59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62237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3598582C">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A9EF3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82585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88657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85CA8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二十、粮油物资储备支出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41E9C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AA472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50EC8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D7D65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833B1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68507D5F">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60B73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4CF7D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4B951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D7F87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二十一、国有资本经营预算支出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F1F97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F6DD1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9FF5B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2B8E0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2DE84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75EF31A6">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5BA70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C65FE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8DF97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4C0F4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二十二、灾害防治及应急管理支出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782AF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30132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7467A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B96CD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15AE7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4CEEB1F3">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67932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289D9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F1ADE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ECB2B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二十三、其他支出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44C46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93896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6E292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F2FF0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75B4F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5F32502F">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84BFA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5793A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2F122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9B9D5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二十四、债务还本支出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9716C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E0139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39E76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2FAA6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69890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7DB2AC75">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6C320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E7DA2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459A2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487B5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二十五、债务付息支出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6BD39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9642B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D03F1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E3DEF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15FDD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C63CA1D">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283EA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E27C9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E6717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BABD0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二十六、抗疫特别国债安排的支出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04D64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16A87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D031B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021F1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64104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7291B835">
        <w:tblPrEx>
          <w:tblCellMar>
            <w:top w:w="0" w:type="dxa"/>
            <w:left w:w="108" w:type="dxa"/>
            <w:bottom w:w="0" w:type="dxa"/>
            <w:right w:w="108" w:type="dxa"/>
          </w:tblCellMar>
        </w:tblPrEx>
        <w:trPr>
          <w:trHeight w:val="49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E0F26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ascii="仿宋" w:hAnsi="仿宋" w:eastAsia="仿宋" w:cs="仿宋"/>
                <w:b/>
                <w:sz w:val="22"/>
              </w:rPr>
              <w:t>本年收入合计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1164D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27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365E1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kern w:val="0"/>
                <w:sz w:val="22"/>
              </w:rPr>
              <w:t>544.58</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CAEE7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本年支出合计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FC5F6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59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B3D6D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544.58</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73AFD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544.58</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F18F8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760C8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bCs/>
                <w:kern w:val="0"/>
                <w:sz w:val="22"/>
              </w:rPr>
            </w:pPr>
          </w:p>
        </w:tc>
      </w:tr>
      <w:tr w14:paraId="15B224B3">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366C4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年初财政拨款结转和结余</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D933D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7A4A5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E4447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年末财政拨款结转和结余</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10AEA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0E4CE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8F90A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BC926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776E8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456B7919">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93CFD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 xml:space="preserve">  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CED40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17780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31306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0D4DA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6D25B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9430B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B4717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FE79A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4614E465">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17787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 xml:space="preserve">  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45BD2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AF3A1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396D4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1742B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1C7A5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6588D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00DD4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E072D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52B36A72">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1953F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 xml:space="preserve">  国有资本经营预算财政拨款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36BD9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764EA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80C82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E7F04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A181E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5FB6D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66D50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C3E90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1715CE95">
        <w:tblPrEx>
          <w:tblCellMar>
            <w:top w:w="0" w:type="dxa"/>
            <w:left w:w="108" w:type="dxa"/>
            <w:bottom w:w="0" w:type="dxa"/>
            <w:right w:w="108" w:type="dxa"/>
          </w:tblCellMar>
        </w:tblPrEx>
        <w:trPr>
          <w:trHeight w:val="459" w:hRule="atLeast"/>
        </w:trPr>
        <w:tc>
          <w:tcPr>
            <w:tcW w:w="320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E64A11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7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E67192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32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7358C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kern w:val="0"/>
                <w:sz w:val="22"/>
              </w:rPr>
              <w:t>544.58</w:t>
            </w:r>
          </w:p>
        </w:tc>
        <w:tc>
          <w:tcPr>
            <w:tcW w:w="33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796A71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8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FD7D79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64</w:t>
            </w:r>
          </w:p>
        </w:tc>
        <w:tc>
          <w:tcPr>
            <w:tcW w:w="15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086EF9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544.58</w:t>
            </w:r>
          </w:p>
        </w:tc>
        <w:tc>
          <w:tcPr>
            <w:tcW w:w="14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A44A76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544.58</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50C56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bCs/>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48080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bCs/>
                <w:kern w:val="0"/>
                <w:sz w:val="22"/>
              </w:rPr>
            </w:pPr>
          </w:p>
        </w:tc>
      </w:tr>
      <w:tr w14:paraId="1B232043">
        <w:tblPrEx>
          <w:tblCellMar>
            <w:top w:w="0" w:type="dxa"/>
            <w:left w:w="108" w:type="dxa"/>
            <w:bottom w:w="0" w:type="dxa"/>
            <w:right w:w="108" w:type="dxa"/>
          </w:tblCellMar>
        </w:tblPrEx>
        <w:trPr>
          <w:trHeight w:val="295" w:hRule="atLeast"/>
        </w:trPr>
        <w:tc>
          <w:tcPr>
            <w:tcW w:w="15522" w:type="dxa"/>
            <w:gridSpan w:val="9"/>
            <w:tcBorders>
              <w:top w:val="single" w:color="auto" w:sz="4" w:space="0"/>
              <w:left w:val="nil"/>
              <w:bottom w:val="nil"/>
              <w:right w:val="nil"/>
            </w:tcBorders>
            <w:shd w:val="clear" w:color="auto" w:fill="auto"/>
            <w:vAlign w:val="center"/>
          </w:tcPr>
          <w:p w14:paraId="0A8C31C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注：本表反映部门本年度一般公共预算财政拨款、政府性基金预算财政拨款和国有资本经营预算财政拨款的总收支和年末结转结余情况。</w:t>
            </w:r>
          </w:p>
        </w:tc>
      </w:tr>
    </w:tbl>
    <w:p w14:paraId="70DAB8A3">
      <w:pPr>
        <w:widowControl/>
        <w:jc w:val="both"/>
        <w:rPr>
          <w:rFonts w:ascii="Times New Roman" w:hAnsi="Times New Roman" w:eastAsia="方正小标宋_GBK" w:cs="Times New Roman"/>
          <w:kern w:val="0"/>
          <w:sz w:val="36"/>
          <w:szCs w:val="36"/>
        </w:rPr>
        <w:sectPr>
          <w:pgSz w:w="16838" w:h="11906" w:orient="landscape"/>
          <w:pgMar w:top="1582" w:right="567" w:bottom="771" w:left="567" w:header="851" w:footer="992" w:gutter="0"/>
          <w:pgNumType w:fmt="numberInDash"/>
          <w:cols w:space="0" w:num="1"/>
          <w:rtlGutter w:val="0"/>
          <w:docGrid w:type="lines" w:linePitch="319" w:charSpace="0"/>
        </w:sectPr>
      </w:pPr>
    </w:p>
    <w:bookmarkEnd w:id="1"/>
    <w:tbl>
      <w:tblPr>
        <w:tblStyle w:val="6"/>
        <w:tblW w:w="14219" w:type="dxa"/>
        <w:jc w:val="center"/>
        <w:tblLayout w:type="fixed"/>
        <w:tblCellMar>
          <w:top w:w="0" w:type="dxa"/>
          <w:left w:w="108" w:type="dxa"/>
          <w:bottom w:w="0" w:type="dxa"/>
          <w:right w:w="108" w:type="dxa"/>
        </w:tblCellMar>
      </w:tblPr>
      <w:tblGrid>
        <w:gridCol w:w="1693"/>
        <w:gridCol w:w="4886"/>
        <w:gridCol w:w="2674"/>
        <w:gridCol w:w="2486"/>
        <w:gridCol w:w="2480"/>
      </w:tblGrid>
      <w:tr w14:paraId="1D80C083">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14:paraId="5E37058F">
            <w:pPr>
              <w:widowControl/>
              <w:jc w:val="center"/>
              <w:rPr>
                <w:rFonts w:hint="eastAsia" w:ascii="仿宋" w:hAnsi="仿宋" w:eastAsia="仿宋" w:cs="仿宋"/>
                <w:b/>
                <w:kern w:val="0"/>
                <w:szCs w:val="21"/>
              </w:rPr>
            </w:pPr>
            <w:r>
              <w:rPr>
                <w:rFonts w:hint="eastAsia" w:ascii="仿宋" w:hAnsi="仿宋" w:eastAsia="仿宋" w:cs="仿宋"/>
                <w:b/>
                <w:bCs/>
                <w:kern w:val="0"/>
                <w:sz w:val="36"/>
                <w:szCs w:val="36"/>
              </w:rPr>
              <w:t>一般公共预算财政拨款支出决算表</w:t>
            </w:r>
          </w:p>
        </w:tc>
      </w:tr>
      <w:tr w14:paraId="38037E5B">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14:paraId="534ECC8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公开05表</w:t>
            </w:r>
          </w:p>
        </w:tc>
      </w:tr>
      <w:tr w14:paraId="4EEC58D7">
        <w:tblPrEx>
          <w:tblCellMar>
            <w:top w:w="0" w:type="dxa"/>
            <w:left w:w="108" w:type="dxa"/>
            <w:bottom w:w="0" w:type="dxa"/>
            <w:right w:w="108" w:type="dxa"/>
          </w:tblCellMar>
        </w:tblPrEx>
        <w:trPr>
          <w:trHeight w:val="405" w:hRule="atLeast"/>
          <w:jc w:val="center"/>
        </w:trPr>
        <w:tc>
          <w:tcPr>
            <w:tcW w:w="6579" w:type="dxa"/>
            <w:gridSpan w:val="2"/>
            <w:tcBorders>
              <w:top w:val="nil"/>
              <w:left w:val="nil"/>
              <w:bottom w:val="single" w:color="auto" w:sz="4" w:space="0"/>
              <w:right w:val="nil"/>
            </w:tcBorders>
            <w:shd w:val="clear" w:color="auto" w:fill="auto"/>
            <w:vAlign w:val="center"/>
          </w:tcPr>
          <w:p w14:paraId="63FBF4B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b/>
                <w:kern w:val="0"/>
                <w:szCs w:val="21"/>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中方县桐木镇中学</w:t>
            </w:r>
          </w:p>
        </w:tc>
        <w:tc>
          <w:tcPr>
            <w:tcW w:w="7640" w:type="dxa"/>
            <w:gridSpan w:val="3"/>
            <w:tcBorders>
              <w:top w:val="nil"/>
              <w:left w:val="nil"/>
              <w:bottom w:val="single" w:color="auto" w:sz="4" w:space="0"/>
              <w:right w:val="nil"/>
            </w:tcBorders>
            <w:shd w:val="clear" w:color="auto" w:fill="auto"/>
            <w:vAlign w:val="center"/>
          </w:tcPr>
          <w:p w14:paraId="724E49F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单位：万元</w:t>
            </w:r>
          </w:p>
        </w:tc>
      </w:tr>
      <w:tr w14:paraId="659973A9">
        <w:tblPrEx>
          <w:tblCellMar>
            <w:top w:w="0" w:type="dxa"/>
            <w:left w:w="108" w:type="dxa"/>
            <w:bottom w:w="0" w:type="dxa"/>
            <w:right w:w="108" w:type="dxa"/>
          </w:tblCellMar>
        </w:tblPrEx>
        <w:trPr>
          <w:trHeight w:val="9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0C1D46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 xml:space="preserve">项 </w:t>
            </w:r>
            <w:r>
              <w:rPr>
                <w:rFonts w:hint="eastAsia" w:ascii="仿宋" w:hAnsi="仿宋" w:eastAsia="仿宋" w:cs="仿宋"/>
                <w:b/>
                <w:color w:val="000000"/>
                <w:kern w:val="0"/>
                <w:szCs w:val="21"/>
              </w:rPr>
              <w:t xml:space="preserve">   </w:t>
            </w:r>
            <w:r>
              <w:rPr>
                <w:rFonts w:hint="eastAsia" w:ascii="仿宋" w:hAnsi="仿宋" w:eastAsia="仿宋" w:cs="仿宋"/>
                <w:b/>
                <w:kern w:val="0"/>
                <w:szCs w:val="21"/>
              </w:rPr>
              <w:t>目</w:t>
            </w:r>
          </w:p>
        </w:tc>
        <w:tc>
          <w:tcPr>
            <w:tcW w:w="764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3D447A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本年支出</w:t>
            </w:r>
          </w:p>
        </w:tc>
      </w:tr>
      <w:tr w14:paraId="0529EB4B">
        <w:tblPrEx>
          <w:tblCellMar>
            <w:top w:w="0" w:type="dxa"/>
            <w:left w:w="108" w:type="dxa"/>
            <w:bottom w:w="0" w:type="dxa"/>
            <w:right w:w="108" w:type="dxa"/>
          </w:tblCellMar>
        </w:tblPrEx>
        <w:trPr>
          <w:trHeight w:val="495" w:hRule="atLeast"/>
          <w:jc w:val="center"/>
        </w:trPr>
        <w:tc>
          <w:tcPr>
            <w:tcW w:w="16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506B55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功能分类</w:t>
            </w:r>
          </w:p>
          <w:p w14:paraId="35A74F8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科目编码</w:t>
            </w:r>
          </w:p>
        </w:tc>
        <w:tc>
          <w:tcPr>
            <w:tcW w:w="48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4003E5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科目名称</w:t>
            </w:r>
          </w:p>
        </w:tc>
        <w:tc>
          <w:tcPr>
            <w:tcW w:w="267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88AEE7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小计</w:t>
            </w:r>
          </w:p>
        </w:tc>
        <w:tc>
          <w:tcPr>
            <w:tcW w:w="24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6C8D17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基本支出</w:t>
            </w:r>
          </w:p>
        </w:tc>
        <w:tc>
          <w:tcPr>
            <w:tcW w:w="24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91DA92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项目支出</w:t>
            </w:r>
          </w:p>
        </w:tc>
      </w:tr>
      <w:tr w14:paraId="176EDBFE">
        <w:tblPrEx>
          <w:tblCellMar>
            <w:top w:w="0" w:type="dxa"/>
            <w:left w:w="108" w:type="dxa"/>
            <w:bottom w:w="0" w:type="dxa"/>
            <w:right w:w="108" w:type="dxa"/>
          </w:tblCellMar>
        </w:tblPrEx>
        <w:trPr>
          <w:trHeight w:val="360"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14:paraId="1CE541F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14:paraId="41D23F9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14:paraId="3ED6F72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14:paraId="5AB9BEA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69075B9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48F3871C">
        <w:tblPrEx>
          <w:tblCellMar>
            <w:top w:w="0" w:type="dxa"/>
            <w:left w:w="108" w:type="dxa"/>
            <w:bottom w:w="0" w:type="dxa"/>
            <w:right w:w="108" w:type="dxa"/>
          </w:tblCellMar>
        </w:tblPrEx>
        <w:trPr>
          <w:trHeight w:val="312"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14:paraId="533A33F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14:paraId="636CE36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14:paraId="4EF7BA1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14:paraId="7ACD40B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77E80BA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22CCC8DE">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8C2235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栏次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0D661D0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1</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67B0EDD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2</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7A285A7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3</w:t>
            </w:r>
          </w:p>
        </w:tc>
      </w:tr>
      <w:tr w14:paraId="4E43197B">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19ABC1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ascii="仿宋" w:hAnsi="仿宋" w:eastAsia="仿宋" w:cs="仿宋"/>
              </w:rPr>
              <w:t>合计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2B7C6A7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544.58</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36B4783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544.58</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32908DD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07144E78">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3F284F0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205</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2F2EAB1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教育支出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417249D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542.81</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51EF87B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542.81</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69D596A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1F76891C">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516917E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045640E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普通教育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4CD6371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542.81</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6C0AF43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542.81</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2FEBFBA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43FA9536">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15D0527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28A1B08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小学教育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04A386B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61.06</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685B2CA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61.06</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4A531A7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4E54C8D4">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4D15E43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2050203</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1522631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初中教育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7657912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481.50</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03F0420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481.50</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1C18B3C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6F68A9A7">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5B486D7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2050299</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1910E7E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其他普通教育支出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4337FDB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0.25</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796FD51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0.25</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4765948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519D5B0D">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6DA92CC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208</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69812ED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社会保障和就业支出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46B7969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0.77</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60B64E2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0.77</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533F852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6FEC3766">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7FA105C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20807</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6E5E865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就业补助</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3B84A1D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0.77</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6117516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0.77</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68885D4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3DA3DE2F">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6594813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2080799</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13B330B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其他就业补助支出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587706A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0.77</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0443B40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0.77</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07F3216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6D59D158">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5F04368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210</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2AA8FDF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卫生健康支出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39389A9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1.00</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70B0360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1.00</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283DE24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76947939">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1B312BF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21004</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180F0E6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公共卫生</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476F375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1.00</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317ED6D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1.00</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16CB87E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20F64739">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32FDDBC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2100410</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429A25D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突发公共卫生事件应急处理</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4B78EBD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1.00</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4505499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1.00</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3422DD7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197571C7">
        <w:tblPrEx>
          <w:tblCellMar>
            <w:top w:w="0" w:type="dxa"/>
            <w:left w:w="108" w:type="dxa"/>
            <w:bottom w:w="0" w:type="dxa"/>
            <w:right w:w="108" w:type="dxa"/>
          </w:tblCellMar>
        </w:tblPrEx>
        <w:trPr>
          <w:trHeight w:val="90" w:hRule="atLeast"/>
          <w:jc w:val="center"/>
        </w:trPr>
        <w:tc>
          <w:tcPr>
            <w:tcW w:w="14219" w:type="dxa"/>
            <w:gridSpan w:val="5"/>
            <w:tcBorders>
              <w:top w:val="single" w:color="auto" w:sz="4" w:space="0"/>
              <w:left w:val="nil"/>
              <w:bottom w:val="nil"/>
              <w:right w:val="nil"/>
            </w:tcBorders>
            <w:shd w:val="clear" w:color="auto" w:fill="auto"/>
            <w:vAlign w:val="center"/>
          </w:tcPr>
          <w:p w14:paraId="142BB43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kern w:val="0"/>
                <w:szCs w:val="21"/>
              </w:rPr>
              <w:t>注：本表反映部门本年度一般公共预算财政拨款支出情况。</w:t>
            </w:r>
          </w:p>
        </w:tc>
      </w:tr>
    </w:tbl>
    <w:p w14:paraId="421EA361">
      <w:pPr>
        <w:widowControl/>
        <w:jc w:val="left"/>
        <w:rPr>
          <w:rFonts w:ascii="Times New Roman" w:hAnsi="Times New Roman" w:eastAsia="仿宋_GB2312" w:cs="Times New Roman"/>
          <w:bCs/>
          <w:kern w:val="0"/>
          <w:szCs w:val="21"/>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0" w:type="auto"/>
        <w:tblInd w:w="0" w:type="dxa"/>
        <w:tblLayout w:type="fixed"/>
        <w:tblCellMar>
          <w:top w:w="0" w:type="dxa"/>
          <w:left w:w="108" w:type="dxa"/>
          <w:bottom w:w="0" w:type="dxa"/>
          <w:right w:w="108" w:type="dxa"/>
        </w:tblCellMar>
      </w:tblPr>
      <w:tblGrid>
        <w:gridCol w:w="1068"/>
        <w:gridCol w:w="3153"/>
        <w:gridCol w:w="1260"/>
        <w:gridCol w:w="1220"/>
        <w:gridCol w:w="2920"/>
        <w:gridCol w:w="1180"/>
        <w:gridCol w:w="1180"/>
        <w:gridCol w:w="2520"/>
        <w:gridCol w:w="1300"/>
      </w:tblGrid>
      <w:tr w14:paraId="0081C8E3">
        <w:tblPrEx>
          <w:tblCellMar>
            <w:top w:w="0" w:type="dxa"/>
            <w:left w:w="108" w:type="dxa"/>
            <w:bottom w:w="0" w:type="dxa"/>
            <w:right w:w="108" w:type="dxa"/>
          </w:tblCellMar>
        </w:tblPrEx>
        <w:trPr>
          <w:trHeight w:val="113" w:hRule="atLeast"/>
        </w:trPr>
        <w:tc>
          <w:tcPr>
            <w:tcW w:w="15801" w:type="dxa"/>
            <w:gridSpan w:val="9"/>
            <w:tcBorders>
              <w:top w:val="nil"/>
              <w:left w:val="nil"/>
              <w:bottom w:val="nil"/>
              <w:right w:val="nil"/>
            </w:tcBorders>
            <w:shd w:val="clear" w:color="auto" w:fill="auto"/>
            <w:vAlign w:val="center"/>
          </w:tcPr>
          <w:p w14:paraId="1E4D61AF">
            <w:pPr>
              <w:widowControl/>
              <w:jc w:val="center"/>
              <w:rPr>
                <w:rFonts w:hint="eastAsia" w:ascii="仿宋" w:hAnsi="仿宋" w:eastAsia="仿宋" w:cs="仿宋"/>
                <w:color w:val="000000"/>
                <w:kern w:val="0"/>
                <w:szCs w:val="20"/>
              </w:rPr>
            </w:pPr>
            <w:bookmarkStart w:id="2" w:name="RANGE!A1:I34"/>
            <w:r>
              <w:rPr>
                <w:rFonts w:hint="eastAsia" w:ascii="仿宋" w:hAnsi="仿宋" w:eastAsia="仿宋" w:cs="仿宋"/>
                <w:b/>
                <w:bCs/>
                <w:kern w:val="0"/>
                <w:sz w:val="36"/>
                <w:szCs w:val="36"/>
              </w:rPr>
              <w:t>一般公共预算财政拨款基本支出决算表</w:t>
            </w:r>
            <w:bookmarkEnd w:id="2"/>
          </w:p>
        </w:tc>
      </w:tr>
      <w:tr w14:paraId="791225BA">
        <w:tblPrEx>
          <w:tblCellMar>
            <w:top w:w="0" w:type="dxa"/>
            <w:left w:w="108" w:type="dxa"/>
            <w:bottom w:w="0" w:type="dxa"/>
            <w:right w:w="108" w:type="dxa"/>
          </w:tblCellMar>
        </w:tblPrEx>
        <w:trPr>
          <w:trHeight w:val="90" w:hRule="atLeast"/>
        </w:trPr>
        <w:tc>
          <w:tcPr>
            <w:tcW w:w="15801" w:type="dxa"/>
            <w:gridSpan w:val="9"/>
            <w:tcBorders>
              <w:top w:val="nil"/>
              <w:left w:val="nil"/>
              <w:bottom w:val="nil"/>
              <w:right w:val="nil"/>
            </w:tcBorders>
            <w:shd w:val="clear" w:color="auto" w:fill="auto"/>
            <w:vAlign w:val="center"/>
          </w:tcPr>
          <w:p w14:paraId="02C2A18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1"/>
              </w:rPr>
              <w:t>公开06表</w:t>
            </w:r>
          </w:p>
        </w:tc>
      </w:tr>
      <w:tr w14:paraId="7A92C44D">
        <w:tblPrEx>
          <w:tblCellMar>
            <w:top w:w="0" w:type="dxa"/>
            <w:left w:w="108" w:type="dxa"/>
            <w:bottom w:w="0" w:type="dxa"/>
            <w:right w:w="108" w:type="dxa"/>
          </w:tblCellMar>
        </w:tblPrEx>
        <w:trPr>
          <w:trHeight w:val="113" w:hRule="atLeast"/>
        </w:trPr>
        <w:tc>
          <w:tcPr>
            <w:tcW w:w="11981" w:type="dxa"/>
            <w:gridSpan w:val="7"/>
            <w:tcBorders>
              <w:top w:val="nil"/>
              <w:left w:val="nil"/>
              <w:bottom w:val="single" w:color="auto" w:sz="4" w:space="0"/>
              <w:right w:val="nil"/>
            </w:tcBorders>
            <w:shd w:val="clear" w:color="auto" w:fill="auto"/>
            <w:vAlign w:val="center"/>
          </w:tcPr>
          <w:p w14:paraId="3979A84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中方县桐木镇中学</w:t>
            </w:r>
          </w:p>
        </w:tc>
        <w:tc>
          <w:tcPr>
            <w:tcW w:w="3820" w:type="dxa"/>
            <w:gridSpan w:val="2"/>
            <w:tcBorders>
              <w:top w:val="nil"/>
              <w:left w:val="nil"/>
              <w:bottom w:val="single" w:color="auto" w:sz="4" w:space="0"/>
              <w:right w:val="nil"/>
            </w:tcBorders>
            <w:shd w:val="clear" w:color="auto" w:fill="auto"/>
            <w:vAlign w:val="center"/>
          </w:tcPr>
          <w:p w14:paraId="0427A6F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1"/>
              </w:rPr>
              <w:t>单位：万元</w:t>
            </w:r>
          </w:p>
        </w:tc>
      </w:tr>
      <w:tr w14:paraId="27FF7BD5">
        <w:tblPrEx>
          <w:tblCellMar>
            <w:top w:w="0" w:type="dxa"/>
            <w:left w:w="108" w:type="dxa"/>
            <w:bottom w:w="0" w:type="dxa"/>
            <w:right w:w="108" w:type="dxa"/>
          </w:tblCellMar>
        </w:tblPrEx>
        <w:trPr>
          <w:trHeight w:val="113" w:hRule="atLeast"/>
        </w:trPr>
        <w:tc>
          <w:tcPr>
            <w:tcW w:w="548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C5471F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人员经费</w:t>
            </w:r>
          </w:p>
        </w:tc>
        <w:tc>
          <w:tcPr>
            <w:tcW w:w="10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733354A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公用经费</w:t>
            </w:r>
          </w:p>
        </w:tc>
      </w:tr>
      <w:tr w14:paraId="07FDAFE7">
        <w:tblPrEx>
          <w:tblCellMar>
            <w:top w:w="0" w:type="dxa"/>
            <w:left w:w="108" w:type="dxa"/>
            <w:bottom w:w="0" w:type="dxa"/>
            <w:right w:w="108" w:type="dxa"/>
          </w:tblCellMar>
        </w:tblPrEx>
        <w:trPr>
          <w:trHeight w:val="113" w:hRule="atLeast"/>
        </w:trPr>
        <w:tc>
          <w:tcPr>
            <w:tcW w:w="1068" w:type="dxa"/>
            <w:tcBorders>
              <w:top w:val="single" w:color="auto" w:sz="4" w:space="0"/>
              <w:left w:val="single" w:color="auto" w:sz="4" w:space="0"/>
              <w:bottom w:val="single" w:color="auto" w:sz="4" w:space="0"/>
              <w:right w:val="single" w:color="auto" w:sz="4" w:space="0"/>
            </w:tcBorders>
            <w:shd w:val="clear" w:color="auto" w:fill="auto"/>
            <w:vAlign w:val="center"/>
          </w:tcPr>
          <w:p w14:paraId="295A238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ascii="仿宋" w:hAnsi="仿宋" w:eastAsia="仿宋" w:cs="仿宋"/>
                <w:color w:val="000000"/>
                <w:sz w:val="20"/>
              </w:rPr>
              <w:t>经济分类科目编码</w:t>
            </w:r>
          </w:p>
        </w:tc>
        <w:tc>
          <w:tcPr>
            <w:tcW w:w="3153" w:type="dxa"/>
            <w:tcBorders>
              <w:top w:val="single" w:color="auto" w:sz="4" w:space="0"/>
              <w:left w:val="single" w:color="auto" w:sz="4" w:space="0"/>
              <w:bottom w:val="single" w:color="auto" w:sz="4" w:space="0"/>
              <w:right w:val="single" w:color="auto" w:sz="4" w:space="0"/>
            </w:tcBorders>
            <w:shd w:val="clear" w:color="auto" w:fill="auto"/>
            <w:vAlign w:val="center"/>
          </w:tcPr>
          <w:p w14:paraId="26CEDB9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16FEA21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决算数</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3CADA8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920" w:type="dxa"/>
            <w:tcBorders>
              <w:top w:val="single" w:color="auto" w:sz="4" w:space="0"/>
              <w:left w:val="single" w:color="auto" w:sz="4" w:space="0"/>
              <w:bottom w:val="single" w:color="auto" w:sz="4" w:space="0"/>
              <w:right w:val="single" w:color="auto" w:sz="4" w:space="0"/>
            </w:tcBorders>
            <w:shd w:val="clear" w:color="auto" w:fill="auto"/>
            <w:vAlign w:val="center"/>
          </w:tcPr>
          <w:p w14:paraId="098EC44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2FD4E9C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决算数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159EB95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520" w:type="dxa"/>
            <w:tcBorders>
              <w:top w:val="single" w:color="auto" w:sz="4" w:space="0"/>
              <w:left w:val="single" w:color="auto" w:sz="4" w:space="0"/>
              <w:bottom w:val="single" w:color="auto" w:sz="4" w:space="0"/>
              <w:right w:val="single" w:color="auto" w:sz="4" w:space="0"/>
            </w:tcBorders>
            <w:shd w:val="clear" w:color="auto" w:fill="auto"/>
            <w:vAlign w:val="center"/>
          </w:tcPr>
          <w:p w14:paraId="24699E8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192D5F7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决算数</w:t>
            </w:r>
          </w:p>
        </w:tc>
      </w:tr>
      <w:tr w14:paraId="796ABE70">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E13F5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D4F17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9A6A9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472.29</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58D3A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8EF9E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60FDD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33.30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29E33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81F32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债务利息及费用支出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0AE7D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051CA0C5">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68664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6DBB8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基本工资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47531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227.86</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941BA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84455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办公费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FD274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7.20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D8A65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30701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107C7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国内债务付息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8404B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5A9535B6">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B9BBA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D4F93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津贴补贴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1269C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152.40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146DB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F6E5A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印刷费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F02C8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2.52</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C84C9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30702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BA875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国外债务付息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4370C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0F813ED7">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8D4F6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2E78A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奖金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09744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8BAB1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D55B9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咨询费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78DCE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EE04B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500DE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B5B19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59C67964">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B27F7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14CC2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伙食补助费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5F6A6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D5FB8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900C5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手续费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37C4F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4243C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634B7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房屋建筑物购建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EE697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6B1D82C8">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AD2B7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AC2EC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绩效工资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93E6A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01694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D0864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水费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AB62F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1.32</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5DD29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35A24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办公设备购置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054FD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33CEF736">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4B77B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6033D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机关事业单位基本养老保险缴费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A9D82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51.33</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4E09C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45472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AB181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3.49</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BEC29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20874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专用设备购置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5EB1E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2BB6D479">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2B574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02127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职业年金缴费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33BD8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88BF5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04926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邮电费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EB2AE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5C297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31005</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44913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基础设施建设</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9E297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5AB9B243">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080EC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72DDE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职工基本医疗保险缴费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2BD00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27.85</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F70B9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7B444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取暖费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C92C6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9FE75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C51B2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大型修缮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620C4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4E34BEB4">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A4C56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0E50A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公务员医疗补助缴费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A592C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58137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92F9E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物业管理费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95F6F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80690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F0E77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信息网络及软件购置更新</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FE0BC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1526C84E">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B3793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95B0C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其他社会保障缴费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99E11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11.17</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38E14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E0135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差旅费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ABC0D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2.61</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80152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D6AA3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物资储备</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57B65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30B732FE">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F551A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B1F78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住房公积金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8DCAA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714E2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11A1C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因公出国（境）费用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B1921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2EC73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7BC44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土地补偿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90D89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7839A645">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C5BA4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007EA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医疗费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9632E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192BE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A33CA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维修（护）费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B6BAF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2.42</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D691C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243F7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安置补助</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6A264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5CD677BD">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6C9F0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1040F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5EDD4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1.68</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67543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D8112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租赁费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6D150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A3841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C1D27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地上附着物和青苗补偿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FD36A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60F8D5CF">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BF52E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A740E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29257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38.99</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3187C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9EB4C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会议费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86006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1.65</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43649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FF1E1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拆迁补偿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27153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0C46A598">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8A602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9BA37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离休费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63ED6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C289C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419E0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培训费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4847D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2.53</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88C91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ECEF3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公务用车购置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4AA54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2ED14BB3">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D5F82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C8DE9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退休费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A00C3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CC373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FF98C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公务接待费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55527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42FF6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E9F9A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其他交通工具购置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95786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37BE7D02">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35C96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0CE33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退职（役）费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53F62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82D86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FC002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专用材料费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2E4BA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1.25</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C1163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31021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80B9A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文物和陈列品购置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F8294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3D095DFD">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84666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39F39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抚恤金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5D725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1BEEC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B598A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被装购置费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77793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D8FB6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31022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CFC0B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无形资产购置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2C431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315C6883">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D8212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30305</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9DE74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生活补助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86EC8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6.47</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73CBF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13796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专用燃料费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D4507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B98CD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D580E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其他资本性支出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A154B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5A5F81D7">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138B0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0E757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救济费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ED670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88FCD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390FB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劳务费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93C27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CEEB4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FF630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4F435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198174C3">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2B4E0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7D944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医疗费补助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F0FC5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A72F5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1C346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委托业务费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857AF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58850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7FD59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赠与</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EC40F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4A612B52">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A58BD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FD7C2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助学金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D8273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31.03</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E7DBB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3D056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工会经费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30559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6.92</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92BC6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3DA74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国家赔偿费用支出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E8C69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2F9A503A">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317B0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F4F42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奖励金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70F53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0.72</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27445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74D02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福利费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2757F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82B34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6B21E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对民间非营利组织和群众性自治组织补贴</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4A39C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4E545542">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B2506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DF0C6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个人农业生产补贴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79812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0E008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30231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90C5A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公务用车运行维护费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3F0BC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00EB4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3EAB7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2A492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6A824703">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F822F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53882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代缴社会保险费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8515C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91F02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30239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0971B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其他交通费用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712DC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314D8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C59FD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06342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08971647">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6B8B1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BA499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AFDD5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0.77</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A6112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30240</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4BC94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税金及附加费用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C82D8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4F46B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5FB59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984D2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60A90D2F">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7D7FA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3ADA0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8447B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9A1B0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30299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B81F2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40FFD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1.39</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6B82C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1D28C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7F611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63751B11">
        <w:tblPrEx>
          <w:tblCellMar>
            <w:top w:w="0" w:type="dxa"/>
            <w:left w:w="108" w:type="dxa"/>
            <w:bottom w:w="0" w:type="dxa"/>
            <w:right w:w="108" w:type="dxa"/>
          </w:tblCellMar>
        </w:tblPrEx>
        <w:trPr>
          <w:trHeight w:val="403" w:hRule="exact"/>
        </w:trPr>
        <w:tc>
          <w:tcPr>
            <w:tcW w:w="422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C6C1E8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人员经费合计</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16415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511.27</w:t>
            </w:r>
          </w:p>
        </w:tc>
        <w:tc>
          <w:tcPr>
            <w:tcW w:w="9020"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0343F60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公用经费合计</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0AB32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18"/>
              </w:rPr>
            </w:pPr>
            <w:r>
              <w:rPr>
                <w:rFonts w:hint="eastAsia" w:ascii="仿宋" w:hAnsi="仿宋" w:eastAsia="仿宋" w:cs="仿宋"/>
                <w:color w:val="000000"/>
                <w:kern w:val="0"/>
                <w:szCs w:val="18"/>
              </w:rPr>
              <w:t>33.30</w:t>
            </w:r>
          </w:p>
        </w:tc>
      </w:tr>
      <w:tr w14:paraId="4AC6F68C">
        <w:tblPrEx>
          <w:tblCellMar>
            <w:top w:w="0" w:type="dxa"/>
            <w:left w:w="108" w:type="dxa"/>
            <w:bottom w:w="0" w:type="dxa"/>
            <w:right w:w="108" w:type="dxa"/>
          </w:tblCellMar>
        </w:tblPrEx>
        <w:trPr>
          <w:trHeight w:val="641" w:hRule="exact"/>
        </w:trPr>
        <w:tc>
          <w:tcPr>
            <w:tcW w:w="15801" w:type="dxa"/>
            <w:gridSpan w:val="9"/>
            <w:tcBorders>
              <w:top w:val="single" w:color="auto" w:sz="4" w:space="0"/>
              <w:left w:val="nil"/>
              <w:bottom w:val="nil"/>
              <w:right w:val="nil"/>
            </w:tcBorders>
            <w:shd w:val="clear" w:color="auto" w:fill="auto"/>
            <w:noWrap/>
            <w:vAlign w:val="center"/>
          </w:tcPr>
          <w:p w14:paraId="791B1D9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4"/>
              </w:rPr>
            </w:pPr>
            <w:r>
              <w:rPr>
                <w:rFonts w:hint="eastAsia" w:ascii="仿宋" w:hAnsi="仿宋" w:eastAsia="仿宋" w:cs="仿宋"/>
                <w:color w:val="000000"/>
                <w:kern w:val="0"/>
                <w:szCs w:val="24"/>
              </w:rPr>
              <w:t>注：本表反映部门本年度一般公共预算财政拨款基本支出明细情况。</w:t>
            </w:r>
          </w:p>
          <w:p w14:paraId="6D44A1A7">
            <w:pPr>
              <w:widowControl/>
              <w:jc w:val="left"/>
              <w:rPr>
                <w:rFonts w:hint="eastAsia" w:ascii="仿宋" w:hAnsi="仿宋" w:eastAsia="仿宋" w:cs="仿宋"/>
                <w:color w:val="000000"/>
                <w:kern w:val="0"/>
                <w:szCs w:val="24"/>
              </w:rPr>
            </w:pPr>
          </w:p>
          <w:p w14:paraId="4961EB4C">
            <w:pPr>
              <w:widowControl/>
              <w:jc w:val="left"/>
              <w:rPr>
                <w:rFonts w:hint="eastAsia" w:ascii="仿宋" w:hAnsi="仿宋" w:eastAsia="仿宋" w:cs="仿宋"/>
                <w:color w:val="000000"/>
                <w:kern w:val="0"/>
                <w:szCs w:val="24"/>
              </w:rPr>
            </w:pPr>
          </w:p>
        </w:tc>
      </w:tr>
    </w:tbl>
    <w:p w14:paraId="48167A8F">
      <w:pPr>
        <w:widowControl/>
        <w:jc w:val="center"/>
        <w:rPr>
          <w:rFonts w:hint="eastAsia" w:ascii="Times New Roman" w:hAnsi="Times New Roman" w:eastAsia="方正小标宋_GBK" w:cs="Times New Roman"/>
          <w:color w:val="000000"/>
          <w:kern w:val="0"/>
          <w:sz w:val="36"/>
          <w:szCs w:val="36"/>
        </w:rPr>
        <w:sectPr>
          <w:pgSz w:w="16838" w:h="11906" w:orient="landscape"/>
          <w:pgMar w:top="1582" w:right="567" w:bottom="771" w:left="567" w:header="851" w:footer="992" w:gutter="0"/>
          <w:pgNumType w:fmt="numberInDash"/>
          <w:cols w:space="0" w:num="1"/>
          <w:rtlGutter w:val="0"/>
          <w:docGrid w:type="lines" w:linePitch="319" w:charSpace="0"/>
        </w:sectPr>
      </w:pPr>
    </w:p>
    <w:tbl>
      <w:tblPr>
        <w:tblStyle w:val="6"/>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14:paraId="3D6F50E2">
        <w:tblPrEx>
          <w:tblCellMar>
            <w:top w:w="0" w:type="dxa"/>
            <w:left w:w="108" w:type="dxa"/>
            <w:bottom w:w="0" w:type="dxa"/>
            <w:right w:w="108" w:type="dxa"/>
          </w:tblCellMar>
        </w:tblPrEx>
        <w:trPr>
          <w:trHeight w:val="397" w:hRule="atLeast"/>
          <w:jc w:val="center"/>
        </w:trPr>
        <w:tc>
          <w:tcPr>
            <w:tcW w:w="14640" w:type="dxa"/>
            <w:gridSpan w:val="12"/>
            <w:tcBorders>
              <w:top w:val="nil"/>
              <w:left w:val="nil"/>
              <w:bottom w:val="nil"/>
              <w:right w:val="nil"/>
            </w:tcBorders>
            <w:shd w:val="clear" w:color="auto" w:fill="auto"/>
            <w:vAlign w:val="center"/>
          </w:tcPr>
          <w:p w14:paraId="52A7AD71">
            <w:pPr>
              <w:widowControl/>
              <w:jc w:val="center"/>
              <w:rPr>
                <w:rFonts w:hint="eastAsia" w:ascii="仿宋" w:hAnsi="仿宋" w:eastAsia="仿宋" w:cs="仿宋"/>
                <w:kern w:val="0"/>
                <w:szCs w:val="21"/>
              </w:rPr>
            </w:pPr>
            <w:r>
              <w:rPr>
                <w:rFonts w:hint="eastAsia" w:ascii="仿宋" w:hAnsi="仿宋" w:eastAsia="仿宋" w:cs="仿宋"/>
                <w:b/>
                <w:bCs/>
                <w:color w:val="000000"/>
                <w:kern w:val="0"/>
                <w:sz w:val="36"/>
                <w:szCs w:val="36"/>
              </w:rPr>
              <w:t>一般公共预算财政拨款“三公”经费支出决算表</w:t>
            </w:r>
          </w:p>
        </w:tc>
      </w:tr>
      <w:tr w14:paraId="45B1ADE2">
        <w:tblPrEx>
          <w:tblCellMar>
            <w:top w:w="0" w:type="dxa"/>
            <w:left w:w="108" w:type="dxa"/>
            <w:bottom w:w="0" w:type="dxa"/>
            <w:right w:w="108" w:type="dxa"/>
          </w:tblCellMar>
        </w:tblPrEx>
        <w:trPr>
          <w:trHeight w:val="157" w:hRule="atLeast"/>
          <w:jc w:val="center"/>
        </w:trPr>
        <w:tc>
          <w:tcPr>
            <w:tcW w:w="7320" w:type="dxa"/>
            <w:gridSpan w:val="6"/>
            <w:tcBorders>
              <w:top w:val="nil"/>
              <w:left w:val="nil"/>
              <w:bottom w:val="nil"/>
              <w:right w:val="nil"/>
            </w:tcBorders>
            <w:shd w:val="clear" w:color="auto" w:fill="auto"/>
            <w:vAlign w:val="center"/>
          </w:tcPr>
          <w:p w14:paraId="2EF8A75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p>
        </w:tc>
        <w:tc>
          <w:tcPr>
            <w:tcW w:w="7320" w:type="dxa"/>
            <w:gridSpan w:val="6"/>
            <w:tcBorders>
              <w:top w:val="nil"/>
              <w:left w:val="nil"/>
              <w:bottom w:val="nil"/>
              <w:right w:val="nil"/>
            </w:tcBorders>
            <w:shd w:val="clear" w:color="auto" w:fill="auto"/>
            <w:vAlign w:val="center"/>
          </w:tcPr>
          <w:p w14:paraId="23B6527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color w:val="000000"/>
                <w:kern w:val="0"/>
                <w:szCs w:val="21"/>
              </w:rPr>
              <w:t>公开07表</w:t>
            </w:r>
          </w:p>
        </w:tc>
      </w:tr>
      <w:tr w14:paraId="76FA0807">
        <w:tblPrEx>
          <w:tblCellMar>
            <w:top w:w="0" w:type="dxa"/>
            <w:left w:w="108" w:type="dxa"/>
            <w:bottom w:w="0" w:type="dxa"/>
            <w:right w:w="108" w:type="dxa"/>
          </w:tblCellMar>
        </w:tblPrEx>
        <w:trPr>
          <w:trHeight w:val="90" w:hRule="atLeast"/>
          <w:jc w:val="center"/>
        </w:trPr>
        <w:tc>
          <w:tcPr>
            <w:tcW w:w="7320" w:type="dxa"/>
            <w:gridSpan w:val="6"/>
            <w:tcBorders>
              <w:top w:val="nil"/>
              <w:left w:val="nil"/>
              <w:bottom w:val="single" w:color="auto" w:sz="4" w:space="0"/>
              <w:right w:val="nil"/>
            </w:tcBorders>
            <w:shd w:val="clear" w:color="auto" w:fill="auto"/>
            <w:vAlign w:val="center"/>
          </w:tcPr>
          <w:p w14:paraId="3F4876E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中方县桐木镇中学</w:t>
            </w:r>
          </w:p>
        </w:tc>
        <w:tc>
          <w:tcPr>
            <w:tcW w:w="7320" w:type="dxa"/>
            <w:gridSpan w:val="6"/>
            <w:tcBorders>
              <w:top w:val="nil"/>
              <w:left w:val="nil"/>
              <w:bottom w:val="single" w:color="auto" w:sz="4" w:space="0"/>
              <w:right w:val="nil"/>
            </w:tcBorders>
            <w:shd w:val="clear" w:color="auto" w:fill="auto"/>
            <w:vAlign w:val="center"/>
          </w:tcPr>
          <w:p w14:paraId="306CF15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color w:val="000000"/>
                <w:kern w:val="0"/>
                <w:szCs w:val="21"/>
              </w:rPr>
              <w:t>单位：万元</w:t>
            </w:r>
          </w:p>
        </w:tc>
      </w:tr>
      <w:tr w14:paraId="0DD38909">
        <w:tblPrEx>
          <w:tblCellMar>
            <w:top w:w="0" w:type="dxa"/>
            <w:left w:w="108" w:type="dxa"/>
            <w:bottom w:w="0" w:type="dxa"/>
            <w:right w:w="108" w:type="dxa"/>
          </w:tblCellMar>
        </w:tblPrEx>
        <w:trPr>
          <w:trHeight w:val="397" w:hRule="atLeast"/>
          <w:jc w:val="center"/>
        </w:trPr>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3CBEF3A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预算数</w:t>
            </w:r>
          </w:p>
        </w:tc>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0409D7C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决算数</w:t>
            </w:r>
          </w:p>
        </w:tc>
      </w:tr>
      <w:tr w14:paraId="0A452CE2">
        <w:tblPrEx>
          <w:tblCellMar>
            <w:top w:w="0" w:type="dxa"/>
            <w:left w:w="108" w:type="dxa"/>
            <w:bottom w:w="0" w:type="dxa"/>
            <w:right w:w="108" w:type="dxa"/>
          </w:tblCellMar>
        </w:tblPrEx>
        <w:trPr>
          <w:trHeight w:val="397" w:hRule="atLeast"/>
          <w:jc w:val="center"/>
        </w:trPr>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7FCD7E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638009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4B56C2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A5207F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w:t>
            </w:r>
          </w:p>
          <w:p w14:paraId="1B5CB77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接待费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A5841F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3C126B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5A6A97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CEF466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w:t>
            </w:r>
          </w:p>
          <w:p w14:paraId="284A69E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接待费</w:t>
            </w:r>
          </w:p>
        </w:tc>
      </w:tr>
      <w:tr w14:paraId="277878B3">
        <w:tblPrEx>
          <w:tblCellMar>
            <w:top w:w="0" w:type="dxa"/>
            <w:left w:w="108" w:type="dxa"/>
            <w:bottom w:w="0" w:type="dxa"/>
            <w:right w:w="108" w:type="dxa"/>
          </w:tblCellMar>
        </w:tblPrEx>
        <w:trPr>
          <w:trHeight w:val="397" w:hRule="atLeast"/>
          <w:jc w:val="center"/>
        </w:trPr>
        <w:tc>
          <w:tcPr>
            <w:tcW w:w="1220" w:type="dxa"/>
            <w:vMerge w:val="continue"/>
            <w:tcBorders>
              <w:top w:val="single" w:color="auto" w:sz="4" w:space="0"/>
              <w:left w:val="single" w:color="auto" w:sz="4" w:space="0"/>
              <w:bottom w:val="single" w:color="auto" w:sz="4" w:space="0"/>
              <w:right w:val="single" w:color="auto" w:sz="4" w:space="0"/>
            </w:tcBorders>
            <w:vAlign w:val="center"/>
          </w:tcPr>
          <w:p w14:paraId="7159290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5D6224C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63750F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DBD858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A93311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5650A6C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51C1D45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33100EF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BAE18C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462CEE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7739B4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5AD54DE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7EE17E53">
        <w:tblPrEx>
          <w:tblCellMar>
            <w:top w:w="0" w:type="dxa"/>
            <w:left w:w="108" w:type="dxa"/>
            <w:bottom w:w="0" w:type="dxa"/>
            <w:right w:w="108" w:type="dxa"/>
          </w:tblCellMar>
        </w:tblPrEx>
        <w:trPr>
          <w:trHeight w:val="112"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394D52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D72DF1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2</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BBECAA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3</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2FBAF8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4</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5F0984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5</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F352D4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6</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D2BBE7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7</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30D75D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8</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797924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9</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4B1B59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10</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74C8F9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11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853EA5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12</w:t>
            </w:r>
          </w:p>
        </w:tc>
      </w:tr>
      <w:tr w14:paraId="599709DC">
        <w:tblPrEx>
          <w:tblCellMar>
            <w:top w:w="0" w:type="dxa"/>
            <w:left w:w="108" w:type="dxa"/>
            <w:bottom w:w="0" w:type="dxa"/>
            <w:right w:w="108" w:type="dxa"/>
          </w:tblCellMar>
        </w:tblPrEx>
        <w:trPr>
          <w:trHeight w:val="397"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F3F143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E868D5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C16A0B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AE19B7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EB0021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D6C2A0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A90326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7B78FC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63DB71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5550E4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8C20AA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04FB9B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bl>
    <w:p w14:paraId="228503F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三公”经费支出预决算情况。其中，预算数为“三公”经费全年预算数，反映按规定程序调整后的预算数；决算数是包括当年一般公共预算财政拨款和以前年度结转资金安排的实际支出。</w:t>
      </w:r>
    </w:p>
    <w:p w14:paraId="569C933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ascii="仿宋" w:hAnsi="仿宋" w:eastAsia="仿宋" w:cs="仿宋"/>
        </w:rPr>
        <w:t>中方县桐木镇中学</w:t>
      </w:r>
      <w:r>
        <w:rPr>
          <w:rFonts w:hint="eastAsia" w:ascii="仿宋" w:hAnsi="仿宋" w:eastAsia="仿宋" w:cs="仿宋"/>
          <w:kern w:val="0"/>
          <w:sz w:val="21"/>
          <w:szCs w:val="21"/>
          <w:lang w:val="en-US" w:eastAsia="zh-CN"/>
        </w:rPr>
        <w:t>没有</w:t>
      </w:r>
      <w:r>
        <w:rPr>
          <w:rFonts w:hint="eastAsia" w:ascii="仿宋" w:hAnsi="仿宋" w:eastAsia="仿宋" w:cs="仿宋"/>
          <w:kern w:val="0"/>
          <w:sz w:val="21"/>
          <w:szCs w:val="21"/>
        </w:rPr>
        <w:t>一般公共预算财政拨款“三公”经费支出，故本表无数据。</w:t>
      </w:r>
    </w:p>
    <w:p w14:paraId="5C6C4ECE">
      <w:pPr>
        <w:widowControl/>
        <w:jc w:val="left"/>
        <w:rPr>
          <w:rFonts w:hint="eastAsia" w:ascii="仿宋" w:hAnsi="仿宋" w:eastAsia="仿宋" w:cs="仿宋"/>
          <w:kern w:val="0"/>
          <w:szCs w:val="21"/>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563"/>
        <w:gridCol w:w="4063"/>
        <w:gridCol w:w="1765"/>
        <w:gridCol w:w="1680"/>
        <w:gridCol w:w="1470"/>
        <w:gridCol w:w="1320"/>
        <w:gridCol w:w="1240"/>
        <w:gridCol w:w="1339"/>
      </w:tblGrid>
      <w:tr w14:paraId="28EA95F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4440" w:type="dxa"/>
            <w:gridSpan w:val="8"/>
            <w:tcBorders>
              <w:top w:val="nil"/>
              <w:left w:val="nil"/>
              <w:bottom w:val="nil"/>
              <w:right w:val="nil"/>
            </w:tcBorders>
            <w:shd w:val="clear" w:color="auto" w:fill="auto"/>
            <w:vAlign w:val="center"/>
          </w:tcPr>
          <w:p w14:paraId="798E5B33">
            <w:pPr>
              <w:widowControl/>
              <w:jc w:val="center"/>
              <w:rPr>
                <w:rFonts w:hint="eastAsia" w:ascii="仿宋" w:hAnsi="仿宋" w:eastAsia="仿宋" w:cs="仿宋"/>
                <w:b/>
                <w:kern w:val="0"/>
                <w:szCs w:val="21"/>
              </w:rPr>
            </w:pPr>
            <w:r>
              <w:rPr>
                <w:rFonts w:hint="eastAsia" w:ascii="仿宋" w:hAnsi="仿宋" w:eastAsia="仿宋" w:cs="仿宋"/>
                <w:b/>
                <w:bCs/>
                <w:kern w:val="0"/>
                <w:sz w:val="36"/>
                <w:szCs w:val="36"/>
              </w:rPr>
              <w:t>政府性基金预算财政拨款收入支出决算表</w:t>
            </w:r>
          </w:p>
        </w:tc>
      </w:tr>
      <w:tr w14:paraId="5A79BF9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4440" w:type="dxa"/>
            <w:gridSpan w:val="8"/>
            <w:tcBorders>
              <w:top w:val="nil"/>
              <w:left w:val="nil"/>
              <w:bottom w:val="nil"/>
              <w:right w:val="nil"/>
            </w:tcBorders>
            <w:shd w:val="clear" w:color="auto" w:fill="auto"/>
            <w:vAlign w:val="center"/>
          </w:tcPr>
          <w:p w14:paraId="4CD85CE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公开08表</w:t>
            </w:r>
          </w:p>
        </w:tc>
      </w:tr>
      <w:tr w14:paraId="3567E4F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1" w:hRule="atLeast"/>
          <w:jc w:val="center"/>
        </w:trPr>
        <w:tc>
          <w:tcPr>
            <w:tcW w:w="13101" w:type="dxa"/>
            <w:gridSpan w:val="7"/>
            <w:tcBorders>
              <w:top w:val="nil"/>
              <w:left w:val="nil"/>
              <w:bottom w:val="single" w:color="auto" w:sz="4" w:space="0"/>
              <w:right w:val="nil"/>
            </w:tcBorders>
            <w:shd w:val="clear" w:color="auto" w:fill="auto"/>
            <w:vAlign w:val="center"/>
          </w:tcPr>
          <w:p w14:paraId="2C2CB4C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b/>
                <w:kern w:val="0"/>
                <w:szCs w:val="21"/>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中方县桐木镇中学</w:t>
            </w:r>
          </w:p>
        </w:tc>
        <w:tc>
          <w:tcPr>
            <w:tcW w:w="1339" w:type="dxa"/>
            <w:tcBorders>
              <w:top w:val="nil"/>
              <w:left w:val="nil"/>
              <w:bottom w:val="single" w:color="auto" w:sz="4" w:space="0"/>
              <w:right w:val="nil"/>
            </w:tcBorders>
            <w:shd w:val="clear" w:color="auto" w:fill="auto"/>
            <w:vAlign w:val="center"/>
          </w:tcPr>
          <w:p w14:paraId="7CC72FF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单位：万元</w:t>
            </w:r>
          </w:p>
        </w:tc>
      </w:tr>
      <w:tr w14:paraId="6CE5A62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0C8BD0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    目</w:t>
            </w:r>
          </w:p>
        </w:tc>
        <w:tc>
          <w:tcPr>
            <w:tcW w:w="17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2F11EC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年初结转和结余</w:t>
            </w:r>
          </w:p>
        </w:tc>
        <w:tc>
          <w:tcPr>
            <w:tcW w:w="16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A6687B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本年收入</w:t>
            </w:r>
          </w:p>
        </w:tc>
        <w:tc>
          <w:tcPr>
            <w:tcW w:w="403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94CD96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本年支出</w:t>
            </w:r>
          </w:p>
        </w:tc>
        <w:tc>
          <w:tcPr>
            <w:tcW w:w="13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FFCAA4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年末结转</w:t>
            </w:r>
          </w:p>
          <w:p w14:paraId="45E6141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和结余</w:t>
            </w:r>
          </w:p>
        </w:tc>
      </w:tr>
      <w:tr w14:paraId="54AC426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2D40C4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功能分类</w:t>
            </w:r>
          </w:p>
          <w:p w14:paraId="1BE2302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科目编码</w:t>
            </w:r>
          </w:p>
        </w:tc>
        <w:tc>
          <w:tcPr>
            <w:tcW w:w="40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EAAFA3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科目名称</w:t>
            </w: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6DA2EFC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1A4D939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p>
        </w:tc>
        <w:tc>
          <w:tcPr>
            <w:tcW w:w="14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145FBD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小计</w:t>
            </w:r>
          </w:p>
        </w:tc>
        <w:tc>
          <w:tcPr>
            <w:tcW w:w="13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A3B32D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基本支出</w:t>
            </w:r>
          </w:p>
        </w:tc>
        <w:tc>
          <w:tcPr>
            <w:tcW w:w="12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564BA8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项目支出</w:t>
            </w: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3FF23CD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p>
        </w:tc>
      </w:tr>
      <w:tr w14:paraId="44BA480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14:paraId="755C836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14:paraId="31B37DB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526D724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4320680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735F782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06BE012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14:paraId="379F5CA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55586B5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3C1F13D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2"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14:paraId="65DE990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14:paraId="48D214A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64CB98D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4C87E8E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2F2CB9D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1B14C9A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14:paraId="32034C0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1906EF8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23FBEEB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7BD50E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栏次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1F9AF8B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1</w:t>
            </w: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4C76D0B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2</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52F65EB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3</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7520F7D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4</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0631631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5</w:t>
            </w: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201B4CD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6</w:t>
            </w:r>
          </w:p>
        </w:tc>
      </w:tr>
      <w:tr w14:paraId="5A090BB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1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71FF86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ascii="仿宋" w:hAnsi="仿宋" w:eastAsia="仿宋" w:cs="仿宋"/>
              </w:rPr>
              <w:t>合计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29CF230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1705F69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0BB4B70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0DB2029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02C9080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74ACA81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bl>
    <w:p w14:paraId="6BBD39F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kern w:val="0"/>
          <w:szCs w:val="21"/>
        </w:rPr>
        <w:t>注：本表反映部门本年度政府性基金预算财政拨款收入、支出及结转和结余情况</w:t>
      </w:r>
    </w:p>
    <w:p w14:paraId="6AABC0C0">
      <w:pPr>
        <w:widowControl/>
        <w:jc w:val="left"/>
        <w:rPr>
          <w:rFonts w:ascii="黑体" w:hAnsi="黑体" w:eastAsia="黑体"/>
          <w:szCs w:val="21"/>
        </w:rPr>
      </w:pPr>
      <w:r>
        <w:rPr>
          <w:rFonts w:ascii="黑体" w:hAnsi="黑体" w:eastAsia="黑体"/>
          <w:szCs w:val="21"/>
        </w:rPr>
        <w:br w:type="page"/>
      </w:r>
    </w:p>
    <w:tbl>
      <w:tblPr>
        <w:tblStyle w:val="6"/>
        <w:tblW w:w="14190" w:type="dxa"/>
        <w:tblInd w:w="91" w:type="dxa"/>
        <w:tblLayout w:type="fixed"/>
        <w:tblCellMar>
          <w:top w:w="0" w:type="dxa"/>
          <w:left w:w="108" w:type="dxa"/>
          <w:bottom w:w="0" w:type="dxa"/>
          <w:right w:w="108" w:type="dxa"/>
        </w:tblCellMar>
      </w:tblPr>
      <w:tblGrid>
        <w:gridCol w:w="1535"/>
        <w:gridCol w:w="4780"/>
        <w:gridCol w:w="2660"/>
        <w:gridCol w:w="2540"/>
        <w:gridCol w:w="2675"/>
      </w:tblGrid>
      <w:tr w14:paraId="3371FA8F">
        <w:tblPrEx>
          <w:tblCellMar>
            <w:top w:w="0" w:type="dxa"/>
            <w:left w:w="108" w:type="dxa"/>
            <w:bottom w:w="0" w:type="dxa"/>
            <w:right w:w="108" w:type="dxa"/>
          </w:tblCellMar>
        </w:tblPrEx>
        <w:trPr>
          <w:trHeight w:val="720" w:hRule="atLeast"/>
        </w:trPr>
        <w:tc>
          <w:tcPr>
            <w:tcW w:w="14190" w:type="dxa"/>
            <w:gridSpan w:val="5"/>
            <w:tcBorders>
              <w:top w:val="nil"/>
              <w:left w:val="nil"/>
              <w:bottom w:val="nil"/>
              <w:right w:val="nil"/>
            </w:tcBorders>
            <w:shd w:val="clear" w:color="000000" w:fill="FFFFFF"/>
            <w:vAlign w:val="center"/>
          </w:tcPr>
          <w:p w14:paraId="64F5C444">
            <w:pPr>
              <w:widowControl/>
              <w:jc w:val="center"/>
              <w:rPr>
                <w:rFonts w:hint="eastAsia" w:ascii="仿宋" w:hAnsi="仿宋" w:eastAsia="仿宋" w:cs="仿宋"/>
                <w:kern w:val="0"/>
                <w:sz w:val="32"/>
                <w:szCs w:val="32"/>
              </w:rPr>
            </w:pPr>
            <w:r>
              <w:rPr>
                <w:rFonts w:hint="eastAsia" w:ascii="仿宋" w:hAnsi="仿宋" w:eastAsia="仿宋" w:cs="仿宋"/>
                <w:b/>
                <w:bCs/>
                <w:kern w:val="0"/>
                <w:sz w:val="36"/>
                <w:szCs w:val="36"/>
              </w:rPr>
              <w:t>国有资本经营预算财政拨款支出决算表</w:t>
            </w:r>
          </w:p>
        </w:tc>
      </w:tr>
      <w:tr w14:paraId="2F8BFFC0">
        <w:tblPrEx>
          <w:tblCellMar>
            <w:top w:w="0" w:type="dxa"/>
            <w:left w:w="108" w:type="dxa"/>
            <w:bottom w:w="0" w:type="dxa"/>
            <w:right w:w="108" w:type="dxa"/>
          </w:tblCellMar>
        </w:tblPrEx>
        <w:trPr>
          <w:trHeight w:val="285" w:hRule="atLeast"/>
        </w:trPr>
        <w:tc>
          <w:tcPr>
            <w:tcW w:w="14190" w:type="dxa"/>
            <w:gridSpan w:val="5"/>
            <w:tcBorders>
              <w:top w:val="nil"/>
              <w:left w:val="nil"/>
              <w:bottom w:val="nil"/>
              <w:right w:val="nil"/>
            </w:tcBorders>
            <w:shd w:val="clear" w:color="000000" w:fill="FFFFFF"/>
            <w:vAlign w:val="center"/>
          </w:tcPr>
          <w:p w14:paraId="209EEEC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公开09表</w:t>
            </w:r>
          </w:p>
        </w:tc>
      </w:tr>
      <w:tr w14:paraId="72188BA7">
        <w:tblPrEx>
          <w:tblCellMar>
            <w:top w:w="0" w:type="dxa"/>
            <w:left w:w="108" w:type="dxa"/>
            <w:bottom w:w="0" w:type="dxa"/>
            <w:right w:w="108" w:type="dxa"/>
          </w:tblCellMar>
        </w:tblPrEx>
        <w:trPr>
          <w:trHeight w:val="285" w:hRule="atLeast"/>
        </w:trPr>
        <w:tc>
          <w:tcPr>
            <w:tcW w:w="6315" w:type="dxa"/>
            <w:gridSpan w:val="2"/>
            <w:tcBorders>
              <w:top w:val="nil"/>
              <w:left w:val="nil"/>
              <w:bottom w:val="single" w:color="auto" w:sz="4" w:space="0"/>
              <w:right w:val="nil"/>
            </w:tcBorders>
            <w:shd w:val="clear" w:color="000000" w:fill="FFFFFF"/>
            <w:noWrap/>
            <w:vAlign w:val="center"/>
          </w:tcPr>
          <w:p w14:paraId="66F368A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0"/>
                <w:szCs w:val="20"/>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中方县桐木镇中学</w:t>
            </w:r>
          </w:p>
        </w:tc>
        <w:tc>
          <w:tcPr>
            <w:tcW w:w="7875" w:type="dxa"/>
            <w:gridSpan w:val="3"/>
            <w:tcBorders>
              <w:top w:val="nil"/>
              <w:left w:val="nil"/>
              <w:bottom w:val="single" w:color="auto" w:sz="4" w:space="0"/>
              <w:right w:val="nil"/>
            </w:tcBorders>
            <w:shd w:val="clear" w:color="000000" w:fill="FFFFFF"/>
            <w:vAlign w:val="center"/>
          </w:tcPr>
          <w:p w14:paraId="48EC9E8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2029EA98">
        <w:tblPrEx>
          <w:tblCellMar>
            <w:top w:w="0" w:type="dxa"/>
            <w:left w:w="108" w:type="dxa"/>
            <w:bottom w:w="0" w:type="dxa"/>
            <w:right w:w="108" w:type="dxa"/>
          </w:tblCellMar>
        </w:tblPrEx>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062972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 xml:space="preserve">项 </w:t>
            </w:r>
            <w:r>
              <w:rPr>
                <w:rFonts w:hint="eastAsia" w:ascii="仿宋" w:hAnsi="仿宋" w:eastAsia="仿宋" w:cs="仿宋"/>
                <w:color w:val="000000"/>
                <w:kern w:val="0"/>
                <w:sz w:val="22"/>
              </w:rPr>
              <w:t xml:space="preserve">   </w:t>
            </w:r>
            <w:r>
              <w:rPr>
                <w:rFonts w:hint="eastAsia" w:ascii="仿宋" w:hAnsi="仿宋" w:eastAsia="仿宋" w:cs="仿宋"/>
                <w:kern w:val="0"/>
                <w:sz w:val="24"/>
                <w:szCs w:val="24"/>
              </w:rPr>
              <w:t>目</w:t>
            </w:r>
          </w:p>
        </w:tc>
        <w:tc>
          <w:tcPr>
            <w:tcW w:w="787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ECE181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本年支出</w:t>
            </w:r>
          </w:p>
        </w:tc>
      </w:tr>
      <w:tr w14:paraId="16101BEF">
        <w:tblPrEx>
          <w:tblCellMar>
            <w:top w:w="0" w:type="dxa"/>
            <w:left w:w="108" w:type="dxa"/>
            <w:bottom w:w="0" w:type="dxa"/>
            <w:right w:w="108" w:type="dxa"/>
          </w:tblCellMar>
        </w:tblPrEx>
        <w:trPr>
          <w:trHeight w:val="402" w:hRule="atLeast"/>
        </w:trPr>
        <w:tc>
          <w:tcPr>
            <w:tcW w:w="15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06639C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功能分类</w:t>
            </w:r>
          </w:p>
          <w:p w14:paraId="7A52F41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科目编码</w:t>
            </w:r>
          </w:p>
        </w:tc>
        <w:tc>
          <w:tcPr>
            <w:tcW w:w="47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14C45C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科目名称</w:t>
            </w:r>
          </w:p>
        </w:tc>
        <w:tc>
          <w:tcPr>
            <w:tcW w:w="26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AEC88C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25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82F4AA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 xml:space="preserve">基本支出  </w:t>
            </w:r>
          </w:p>
        </w:tc>
        <w:tc>
          <w:tcPr>
            <w:tcW w:w="26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A36CAB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项目支出</w:t>
            </w:r>
          </w:p>
        </w:tc>
      </w:tr>
      <w:tr w14:paraId="5E3E0062">
        <w:tblPrEx>
          <w:tblCellMar>
            <w:top w:w="0" w:type="dxa"/>
            <w:left w:w="108" w:type="dxa"/>
            <w:bottom w:w="0" w:type="dxa"/>
            <w:right w:w="108" w:type="dxa"/>
          </w:tblCellMar>
        </w:tblPrEx>
        <w:trPr>
          <w:trHeight w:val="402"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14:paraId="5E402DA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14:paraId="5FB2FB3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14:paraId="3AB5820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14:paraId="08A43E7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14:paraId="342897D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14:paraId="7123EA32">
        <w:tblPrEx>
          <w:tblCellMar>
            <w:top w:w="0" w:type="dxa"/>
            <w:left w:w="108" w:type="dxa"/>
            <w:bottom w:w="0" w:type="dxa"/>
            <w:right w:w="108" w:type="dxa"/>
          </w:tblCellMar>
        </w:tblPrEx>
        <w:trPr>
          <w:trHeight w:val="312"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14:paraId="7DD2640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14:paraId="5666BCD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14:paraId="2883433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14:paraId="538EFA0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14:paraId="444F47F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14:paraId="6A0D858E">
        <w:tblPrEx>
          <w:tblCellMar>
            <w:top w:w="0" w:type="dxa"/>
            <w:left w:w="108" w:type="dxa"/>
            <w:bottom w:w="0" w:type="dxa"/>
            <w:right w:w="108" w:type="dxa"/>
          </w:tblCellMar>
        </w:tblPrEx>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AC3BA0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14:paraId="384EEAD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14:paraId="39AFC50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14:paraId="7CDD28B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3</w:t>
            </w:r>
          </w:p>
        </w:tc>
      </w:tr>
      <w:tr w14:paraId="34F3F2FF">
        <w:tblPrEx>
          <w:tblCellMar>
            <w:top w:w="0" w:type="dxa"/>
            <w:left w:w="108" w:type="dxa"/>
            <w:bottom w:w="0" w:type="dxa"/>
            <w:right w:w="108" w:type="dxa"/>
          </w:tblCellMar>
        </w:tblPrEx>
        <w:trPr>
          <w:trHeight w:val="148"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0094CF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14:paraId="25B60F5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14:paraId="4EA9611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14:paraId="1D11D55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394B69BD">
        <w:tblPrEx>
          <w:tblCellMar>
            <w:top w:w="0" w:type="dxa"/>
            <w:left w:w="108" w:type="dxa"/>
            <w:bottom w:w="0" w:type="dxa"/>
            <w:right w:w="108" w:type="dxa"/>
          </w:tblCellMar>
        </w:tblPrEx>
        <w:trPr>
          <w:trHeight w:val="309" w:hRule="atLeast"/>
        </w:trPr>
        <w:tc>
          <w:tcPr>
            <w:tcW w:w="14190" w:type="dxa"/>
            <w:gridSpan w:val="5"/>
            <w:tcBorders>
              <w:top w:val="single" w:color="auto" w:sz="4" w:space="0"/>
              <w:left w:val="nil"/>
              <w:bottom w:val="nil"/>
              <w:right w:val="nil"/>
            </w:tcBorders>
            <w:shd w:val="clear" w:color="auto" w:fill="auto"/>
            <w:vAlign w:val="center"/>
          </w:tcPr>
          <w:p w14:paraId="2816F8A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注：本表反映部门本年度国有资本经营预算财政拨款支出情况。</w:t>
            </w:r>
          </w:p>
          <w:p w14:paraId="12E1D89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ascii="仿宋" w:hAnsi="仿宋" w:eastAsia="仿宋" w:cs="仿宋"/>
              </w:rPr>
              <w:t>中方县桐木镇中学</w:t>
            </w:r>
            <w:r>
              <w:rPr>
                <w:rFonts w:hint="eastAsia" w:ascii="仿宋" w:hAnsi="仿宋" w:eastAsia="仿宋" w:cs="仿宋"/>
                <w:kern w:val="0"/>
                <w:sz w:val="21"/>
                <w:szCs w:val="21"/>
                <w:lang w:val="en-US" w:eastAsia="zh-CN"/>
              </w:rPr>
              <w:t>没有</w:t>
            </w:r>
            <w:r>
              <w:rPr>
                <w:rFonts w:hint="eastAsia" w:ascii="仿宋" w:hAnsi="仿宋" w:eastAsia="仿宋" w:cs="仿宋"/>
                <w:kern w:val="0"/>
                <w:sz w:val="21"/>
                <w:szCs w:val="21"/>
              </w:rPr>
              <w:t>国有资本经营预算财政拨款支出，故本表无数据。</w:t>
            </w:r>
          </w:p>
        </w:tc>
      </w:tr>
    </w:tbl>
    <w:p w14:paraId="2A13B395">
      <w:pPr>
        <w:pStyle w:val="9"/>
        <w:rPr>
          <w:sz w:val="72"/>
          <w:szCs w:val="72"/>
        </w:rPr>
        <w:sectPr>
          <w:pgSz w:w="16838" w:h="11906" w:orient="landscape"/>
          <w:pgMar w:top="1803" w:right="1440" w:bottom="1803" w:left="1440" w:header="851" w:footer="992" w:gutter="0"/>
          <w:pgNumType w:fmt="numberInDash"/>
          <w:cols w:space="0" w:num="1"/>
          <w:rtlGutter w:val="0"/>
          <w:docGrid w:type="lines" w:linePitch="319" w:charSpace="0"/>
        </w:sectPr>
      </w:pPr>
    </w:p>
    <w:p w14:paraId="5339590D">
      <w:pPr>
        <w:pStyle w:val="9"/>
        <w:rPr>
          <w:sz w:val="72"/>
          <w:szCs w:val="72"/>
        </w:rPr>
      </w:pPr>
    </w:p>
    <w:p w14:paraId="175E61DC">
      <w:pPr>
        <w:pStyle w:val="9"/>
        <w:rPr>
          <w:sz w:val="72"/>
          <w:szCs w:val="72"/>
        </w:rPr>
      </w:pPr>
    </w:p>
    <w:p w14:paraId="0A9419E2">
      <w:pPr>
        <w:pStyle w:val="9"/>
        <w:rPr>
          <w:sz w:val="72"/>
          <w:szCs w:val="72"/>
        </w:rPr>
      </w:pPr>
    </w:p>
    <w:p w14:paraId="702FB829">
      <w:pPr>
        <w:pStyle w:val="9"/>
        <w:rPr>
          <w:sz w:val="72"/>
          <w:szCs w:val="72"/>
        </w:rPr>
      </w:pPr>
    </w:p>
    <w:p w14:paraId="0BB8B864">
      <w:pPr>
        <w:pStyle w:val="9"/>
        <w:jc w:val="center"/>
        <w:rPr>
          <w:sz w:val="72"/>
          <w:szCs w:val="72"/>
        </w:rPr>
      </w:pPr>
    </w:p>
    <w:p w14:paraId="4A7D26B1">
      <w:pPr>
        <w:pStyle w:val="9"/>
        <w:jc w:val="center"/>
        <w:rPr>
          <w:rFonts w:hint="eastAsia" w:ascii="仿宋" w:hAnsi="仿宋" w:eastAsia="仿宋" w:cs="仿宋"/>
          <w:b/>
          <w:bCs/>
          <w:sz w:val="72"/>
          <w:szCs w:val="72"/>
        </w:rPr>
      </w:pPr>
    </w:p>
    <w:p w14:paraId="2C38A28B">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第三部分</w:t>
      </w:r>
    </w:p>
    <w:p w14:paraId="1906DDCB">
      <w:pPr>
        <w:pStyle w:val="9"/>
        <w:jc w:val="center"/>
        <w:rPr>
          <w:rFonts w:hint="eastAsia" w:ascii="仿宋" w:hAnsi="仿宋" w:eastAsia="仿宋" w:cs="仿宋"/>
          <w:b/>
          <w:bCs/>
          <w:sz w:val="52"/>
          <w:szCs w:val="52"/>
        </w:rPr>
      </w:pPr>
    </w:p>
    <w:p w14:paraId="1A37F64E">
      <w:pPr>
        <w:pStyle w:val="9"/>
        <w:jc w:val="center"/>
        <w:rPr>
          <w:rFonts w:hint="eastAsia" w:ascii="仿宋" w:hAnsi="仿宋" w:eastAsia="仿宋" w:cs="仿宋"/>
          <w:b/>
          <w:bCs/>
          <w:sz w:val="52"/>
          <w:szCs w:val="52"/>
        </w:rPr>
      </w:pPr>
      <w:r>
        <w:rPr>
          <w:rFonts w:hint="eastAsia" w:ascii="仿宋" w:hAnsi="仿宋" w:eastAsia="仿宋" w:cs="仿宋"/>
          <w:b/>
          <w:bCs/>
          <w:sz w:val="52"/>
          <w:szCs w:val="52"/>
        </w:rPr>
        <w:t>2020年度</w:t>
      </w:r>
      <w:r>
        <w:rPr>
          <w:rFonts w:hint="eastAsia" w:ascii="仿宋" w:hAnsi="仿宋" w:eastAsia="仿宋" w:cs="仿宋"/>
          <w:b/>
          <w:bCs/>
          <w:sz w:val="52"/>
          <w:szCs w:val="52"/>
          <w:lang w:eastAsia="zh-CN"/>
        </w:rPr>
        <w:t>单位</w:t>
      </w:r>
      <w:r>
        <w:rPr>
          <w:rFonts w:hint="eastAsia" w:ascii="仿宋" w:hAnsi="仿宋" w:eastAsia="仿宋" w:cs="仿宋"/>
          <w:b/>
          <w:bCs/>
          <w:sz w:val="52"/>
          <w:szCs w:val="52"/>
        </w:rPr>
        <w:t>决算情况说明</w:t>
      </w:r>
    </w:p>
    <w:p w14:paraId="1F626822">
      <w:pPr>
        <w:widowControl/>
        <w:jc w:val="left"/>
        <w:rPr>
          <w:rFonts w:ascii="黑体" w:eastAsia="黑体" w:cs="黑体"/>
          <w:color w:val="000000"/>
          <w:kern w:val="0"/>
          <w:sz w:val="70"/>
          <w:szCs w:val="70"/>
        </w:rPr>
      </w:pPr>
      <w:r>
        <w:rPr>
          <w:sz w:val="70"/>
          <w:szCs w:val="70"/>
        </w:rPr>
        <w:br w:type="page"/>
      </w:r>
    </w:p>
    <w:p w14:paraId="62A59780">
      <w:pPr>
        <w:pStyle w:val="9"/>
        <w:rPr>
          <w:rFonts w:asciiTheme="minorEastAsia" w:hAnsiTheme="minorEastAsia" w:eastAsiaTheme="minorEastAsia"/>
          <w:sz w:val="32"/>
          <w:szCs w:val="32"/>
        </w:rPr>
      </w:pPr>
    </w:p>
    <w:p w14:paraId="57BEDCA1">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eastAsia="zh-CN"/>
        </w:rPr>
      </w:pPr>
      <w:r>
        <w:rPr>
          <w:rFonts w:ascii="仿宋" w:hAnsi="仿宋" w:eastAsia="仿宋" w:cs="仿宋"/>
          <w:b/>
        </w:rPr>
        <w:t>一、收入支出决算总体情况说明</w:t>
      </w:r>
    </w:p>
    <w:p w14:paraId="505CCFB0">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default" w:ascii="仿宋" w:hAnsi="仿宋" w:eastAsia="仿宋" w:cs="仿宋"/>
          <w:lang w:val="en-US" w:eastAsia="zh-CN"/>
        </w:rPr>
      </w:pPr>
      <w:r>
        <w:rPr>
          <w:rFonts w:ascii="仿宋" w:hAnsi="仿宋" w:eastAsia="仿宋" w:cs="仿宋"/>
        </w:rPr>
        <w:t>2020年度收入总计544.58万元，与上年相比</w:t>
      </w:r>
      <w:r>
        <w:rPr>
          <w:rFonts w:hint="eastAsia" w:ascii="仿宋" w:hAnsi="仿宋" w:eastAsia="仿宋" w:cs="仿宋"/>
          <w:lang w:eastAsia="zh-CN"/>
        </w:rPr>
        <w:t>减少</w:t>
      </w:r>
      <w:r>
        <w:rPr>
          <w:rFonts w:hint="eastAsia" w:ascii="仿宋" w:hAnsi="仿宋" w:eastAsia="仿宋" w:cs="仿宋"/>
          <w:lang w:val="en-US" w:eastAsia="zh-CN"/>
        </w:rPr>
        <w:t>68.52</w:t>
      </w:r>
      <w:r>
        <w:rPr>
          <w:rFonts w:ascii="仿宋" w:hAnsi="仿宋" w:eastAsia="仿宋" w:cs="仿宋"/>
        </w:rPr>
        <w:t>万元</w:t>
      </w:r>
      <w:r>
        <w:rPr>
          <w:rFonts w:hint="eastAsia" w:ascii="仿宋" w:hAnsi="仿宋" w:eastAsia="仿宋" w:cs="仿宋"/>
          <w:lang w:eastAsia="zh-CN"/>
        </w:rPr>
        <w:t>，减少比率</w:t>
      </w:r>
      <w:r>
        <w:rPr>
          <w:rFonts w:hint="eastAsia" w:ascii="仿宋" w:hAnsi="仿宋" w:eastAsia="仿宋" w:cs="仿宋"/>
          <w:lang w:val="en-US" w:eastAsia="zh-CN"/>
        </w:rPr>
        <w:t>11.18%</w:t>
      </w:r>
      <w:r>
        <w:rPr>
          <w:rFonts w:ascii="仿宋" w:hAnsi="仿宋" w:eastAsia="仿宋" w:cs="仿宋"/>
        </w:rPr>
        <w:t>，主要</w:t>
      </w:r>
      <w:r>
        <w:rPr>
          <w:rFonts w:hint="eastAsia" w:ascii="仿宋" w:hAnsi="仿宋" w:eastAsia="仿宋" w:cs="仿宋"/>
          <w:lang w:eastAsia="zh-CN"/>
        </w:rPr>
        <w:t>是因为县管校聘人员减少，</w:t>
      </w:r>
      <w:r>
        <w:rPr>
          <w:rFonts w:hint="eastAsia" w:ascii="仿宋" w:hAnsi="仿宋" w:eastAsia="仿宋" w:cs="仿宋"/>
          <w:lang w:val="en-US" w:eastAsia="zh-CN"/>
        </w:rPr>
        <w:t>预算经费收入减少，</w:t>
      </w:r>
      <w:r>
        <w:rPr>
          <w:rFonts w:ascii="仿宋" w:hAnsi="仿宋" w:eastAsia="仿宋" w:cs="仿宋"/>
        </w:rPr>
        <w:t>支出总计544.58万元，与上年相比</w:t>
      </w:r>
      <w:r>
        <w:rPr>
          <w:rFonts w:hint="eastAsia" w:ascii="仿宋" w:hAnsi="仿宋" w:eastAsia="仿宋" w:cs="仿宋"/>
          <w:lang w:eastAsia="zh-CN"/>
        </w:rPr>
        <w:t>减少</w:t>
      </w:r>
      <w:r>
        <w:rPr>
          <w:rFonts w:hint="eastAsia" w:ascii="仿宋" w:hAnsi="仿宋" w:eastAsia="仿宋" w:cs="仿宋"/>
          <w:lang w:val="en-US" w:eastAsia="zh-CN"/>
        </w:rPr>
        <w:t>68.52</w:t>
      </w:r>
      <w:r>
        <w:rPr>
          <w:rFonts w:ascii="仿宋" w:hAnsi="仿宋" w:eastAsia="仿宋" w:cs="仿宋"/>
        </w:rPr>
        <w:t>万元</w:t>
      </w:r>
      <w:r>
        <w:rPr>
          <w:rFonts w:hint="eastAsia" w:ascii="仿宋" w:hAnsi="仿宋" w:eastAsia="仿宋" w:cs="仿宋"/>
          <w:lang w:eastAsia="zh-CN"/>
        </w:rPr>
        <w:t>，减少比率</w:t>
      </w:r>
      <w:r>
        <w:rPr>
          <w:rFonts w:hint="eastAsia" w:ascii="仿宋" w:hAnsi="仿宋" w:eastAsia="仿宋" w:cs="仿宋"/>
          <w:lang w:val="en-US" w:eastAsia="zh-CN"/>
        </w:rPr>
        <w:t>11.18%</w:t>
      </w:r>
      <w:r>
        <w:rPr>
          <w:rFonts w:ascii="仿宋" w:hAnsi="仿宋" w:eastAsia="仿宋" w:cs="仿宋"/>
        </w:rPr>
        <w:t>，主要</w:t>
      </w:r>
      <w:r>
        <w:rPr>
          <w:rFonts w:hint="eastAsia" w:ascii="仿宋" w:hAnsi="仿宋" w:eastAsia="仿宋" w:cs="仿宋"/>
          <w:lang w:eastAsia="zh-CN"/>
        </w:rPr>
        <w:t>是因为县管校聘人员减少，</w:t>
      </w:r>
      <w:r>
        <w:rPr>
          <w:rFonts w:hint="eastAsia" w:ascii="仿宋" w:hAnsi="仿宋" w:eastAsia="仿宋" w:cs="仿宋"/>
          <w:lang w:val="en-US" w:eastAsia="zh-CN"/>
        </w:rPr>
        <w:t>经费支出减少。</w:t>
      </w:r>
    </w:p>
    <w:p w14:paraId="38AF0C46">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二、收入决算情况说明</w:t>
      </w:r>
    </w:p>
    <w:p w14:paraId="77A55AF5">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本年收入合计544.58万元，其中：财政拨款收入544.58万元，占100%；上级补助收入0万元，占0%；事业收入0万元，占0%；经营收入0万元，占0%；附属单位上缴收入0万元，占0%；其他收入0万元，占0%。</w:t>
      </w:r>
    </w:p>
    <w:p w14:paraId="48060CB3">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0" w:leftChars="0" w:right="420" w:firstLine="0" w:firstLineChars="0"/>
        <w:jc w:val="center"/>
        <w:textAlignment w:val="auto"/>
        <w:rPr>
          <w:rFonts w:hint="eastAsia" w:ascii="仿宋" w:hAnsi="仿宋" w:eastAsia="仿宋" w:cs="仿宋"/>
          <w:lang w:val="en-US" w:eastAsia="zh-CN"/>
        </w:rPr>
      </w:pPr>
      <w:r>
        <w:rPr>
          <w:rFonts w:hint="eastAsia" w:ascii="仿宋" w:hAnsi="仿宋" w:eastAsia="仿宋" w:cs="仿宋"/>
          <w:lang w:val="en-US" w:eastAsia="zh-CN"/>
        </w:rPr>
        <w:drawing>
          <wp:inline distT="0" distB="0" distL="0" distR="0">
            <wp:extent cx="6143625" cy="3429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8"/>
                    <a:stretch>
                      <a:fillRect/>
                    </a:stretch>
                  </pic:blipFill>
                  <pic:spPr>
                    <a:xfrm>
                      <a:off x="0" y="0"/>
                      <a:ext cx="6143625" cy="3429000"/>
                    </a:xfrm>
                    <a:prstGeom prst="rect">
                      <a:avLst/>
                    </a:prstGeom>
                  </pic:spPr>
                </pic:pic>
              </a:graphicData>
            </a:graphic>
          </wp:inline>
        </w:drawing>
      </w:r>
    </w:p>
    <w:p w14:paraId="21906914">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三、支出决算情况说明</w:t>
      </w:r>
    </w:p>
    <w:p w14:paraId="6EE721EB">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本年支出合计544.58万元，其中：基本支出544.58万元，占100%；项目支出0万元，占0%；上缴上级支出0万元，占0%；经营支出0万元，占0%；对附属单位补助支出0万元，占0%。</w:t>
      </w:r>
    </w:p>
    <w:p w14:paraId="7812424B">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right="420"/>
        <w:jc w:val="center"/>
        <w:textAlignment w:val="auto"/>
        <w:rPr>
          <w:rFonts w:hint="eastAsia" w:ascii="仿宋" w:hAnsi="仿宋" w:eastAsia="仿宋" w:cs="仿宋"/>
        </w:rPr>
      </w:pPr>
      <w:r>
        <w:rPr>
          <w:rFonts w:hint="eastAsia" w:ascii="仿宋" w:hAnsi="仿宋" w:eastAsia="仿宋" w:cs="仿宋"/>
          <w:lang w:val="en-US" w:eastAsia="zh-CN"/>
        </w:rPr>
        <w:drawing>
          <wp:inline distT="0" distB="0" distL="0" distR="0">
            <wp:extent cx="6143625" cy="3429000"/>
            <wp:effectExtent l="0" t="0" r="0" b="0"/>
            <wp:docPr id="4" name="Drawing 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awing 4" descr="Generated"/>
                    <pic:cNvPicPr>
                      <a:picLocks noChangeAspect="1"/>
                    </pic:cNvPicPr>
                  </pic:nvPicPr>
                  <pic:blipFill>
                    <a:blip r:embed="rId9"/>
                    <a:stretch>
                      <a:fillRect/>
                    </a:stretch>
                  </pic:blipFill>
                  <pic:spPr>
                    <a:xfrm>
                      <a:off x="0" y="0"/>
                      <a:ext cx="6143625" cy="3429000"/>
                    </a:xfrm>
                    <a:prstGeom prst="rect">
                      <a:avLst/>
                    </a:prstGeom>
                  </pic:spPr>
                </pic:pic>
              </a:graphicData>
            </a:graphic>
          </wp:inline>
        </w:drawing>
      </w:r>
    </w:p>
    <w:p w14:paraId="300D56FC">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四、财政拨款收入支出决算总体情况说明</w:t>
      </w:r>
    </w:p>
    <w:p w14:paraId="696850AA">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default" w:ascii="仿宋" w:hAnsi="仿宋" w:eastAsia="仿宋" w:cs="仿宋"/>
          <w:lang w:val="en-US" w:eastAsia="zh-CN"/>
        </w:rPr>
      </w:pPr>
      <w:r>
        <w:rPr>
          <w:rFonts w:ascii="仿宋" w:hAnsi="仿宋" w:eastAsia="仿宋" w:cs="仿宋"/>
        </w:rPr>
        <w:t>2020年度财政拨款收</w:t>
      </w:r>
      <w:r>
        <w:rPr>
          <w:rFonts w:hint="eastAsia" w:ascii="仿宋" w:hAnsi="仿宋" w:eastAsia="仿宋" w:cs="仿宋"/>
          <w:lang w:val="en-US" w:eastAsia="zh-CN"/>
        </w:rPr>
        <w:t>入</w:t>
      </w:r>
      <w:r>
        <w:rPr>
          <w:rFonts w:ascii="仿宋" w:hAnsi="仿宋" w:eastAsia="仿宋" w:cs="仿宋"/>
        </w:rPr>
        <w:t>总计544.58万元，与上年相比</w:t>
      </w:r>
      <w:r>
        <w:rPr>
          <w:rFonts w:hint="eastAsia" w:ascii="仿宋" w:hAnsi="仿宋" w:eastAsia="仿宋" w:cs="仿宋"/>
          <w:lang w:eastAsia="zh-CN"/>
        </w:rPr>
        <w:t>减少</w:t>
      </w:r>
      <w:r>
        <w:rPr>
          <w:rFonts w:hint="eastAsia" w:ascii="仿宋" w:hAnsi="仿宋" w:eastAsia="仿宋" w:cs="仿宋"/>
          <w:lang w:val="en-US" w:eastAsia="zh-CN"/>
        </w:rPr>
        <w:t>68.52</w:t>
      </w:r>
      <w:r>
        <w:rPr>
          <w:rFonts w:ascii="仿宋" w:hAnsi="仿宋" w:eastAsia="仿宋" w:cs="仿宋"/>
        </w:rPr>
        <w:t>万元</w:t>
      </w:r>
      <w:r>
        <w:rPr>
          <w:rFonts w:hint="eastAsia" w:ascii="仿宋" w:hAnsi="仿宋" w:eastAsia="仿宋" w:cs="仿宋"/>
          <w:lang w:eastAsia="zh-CN"/>
        </w:rPr>
        <w:t>，减少比率</w:t>
      </w:r>
      <w:r>
        <w:rPr>
          <w:rFonts w:hint="eastAsia" w:ascii="仿宋" w:hAnsi="仿宋" w:eastAsia="仿宋" w:cs="仿宋"/>
          <w:lang w:val="en-US" w:eastAsia="zh-CN"/>
        </w:rPr>
        <w:t>11.18%</w:t>
      </w:r>
      <w:r>
        <w:rPr>
          <w:rFonts w:ascii="仿宋" w:hAnsi="仿宋" w:eastAsia="仿宋" w:cs="仿宋"/>
        </w:rPr>
        <w:t>，主要</w:t>
      </w:r>
      <w:r>
        <w:rPr>
          <w:rFonts w:hint="eastAsia" w:ascii="仿宋" w:hAnsi="仿宋" w:eastAsia="仿宋" w:cs="仿宋"/>
          <w:lang w:eastAsia="zh-CN"/>
        </w:rPr>
        <w:t>是因为县管校聘人员减少，</w:t>
      </w:r>
      <w:r>
        <w:rPr>
          <w:rFonts w:hint="eastAsia" w:ascii="仿宋" w:hAnsi="仿宋" w:eastAsia="仿宋" w:cs="仿宋"/>
          <w:lang w:val="en-US" w:eastAsia="zh-CN"/>
        </w:rPr>
        <w:t>预算经费收入减少，</w:t>
      </w:r>
      <w:r>
        <w:rPr>
          <w:rFonts w:ascii="仿宋" w:hAnsi="仿宋" w:eastAsia="仿宋" w:cs="仿宋"/>
        </w:rPr>
        <w:t>支出总计544.58万元，与上年相比</w:t>
      </w:r>
      <w:r>
        <w:rPr>
          <w:rFonts w:hint="eastAsia" w:ascii="仿宋" w:hAnsi="仿宋" w:eastAsia="仿宋" w:cs="仿宋"/>
          <w:lang w:eastAsia="zh-CN"/>
        </w:rPr>
        <w:t>减少</w:t>
      </w:r>
      <w:r>
        <w:rPr>
          <w:rFonts w:hint="eastAsia" w:ascii="仿宋" w:hAnsi="仿宋" w:eastAsia="仿宋" w:cs="仿宋"/>
          <w:lang w:val="en-US" w:eastAsia="zh-CN"/>
        </w:rPr>
        <w:t>68.52</w:t>
      </w:r>
      <w:r>
        <w:rPr>
          <w:rFonts w:ascii="仿宋" w:hAnsi="仿宋" w:eastAsia="仿宋" w:cs="仿宋"/>
        </w:rPr>
        <w:t>万元</w:t>
      </w:r>
      <w:r>
        <w:rPr>
          <w:rFonts w:hint="eastAsia" w:ascii="仿宋" w:hAnsi="仿宋" w:eastAsia="仿宋" w:cs="仿宋"/>
          <w:lang w:eastAsia="zh-CN"/>
        </w:rPr>
        <w:t>，减少比率</w:t>
      </w:r>
      <w:r>
        <w:rPr>
          <w:rFonts w:hint="eastAsia" w:ascii="仿宋" w:hAnsi="仿宋" w:eastAsia="仿宋" w:cs="仿宋"/>
          <w:lang w:val="en-US" w:eastAsia="zh-CN"/>
        </w:rPr>
        <w:t>11.18%</w:t>
      </w:r>
      <w:r>
        <w:rPr>
          <w:rFonts w:ascii="仿宋" w:hAnsi="仿宋" w:eastAsia="仿宋" w:cs="仿宋"/>
        </w:rPr>
        <w:t>，主要</w:t>
      </w:r>
      <w:r>
        <w:rPr>
          <w:rFonts w:hint="eastAsia" w:ascii="仿宋" w:hAnsi="仿宋" w:eastAsia="仿宋" w:cs="仿宋"/>
          <w:lang w:eastAsia="zh-CN"/>
        </w:rPr>
        <w:t>是因为县管校聘人员减少，</w:t>
      </w:r>
      <w:r>
        <w:rPr>
          <w:rFonts w:hint="eastAsia" w:ascii="仿宋" w:hAnsi="仿宋" w:eastAsia="仿宋" w:cs="仿宋"/>
          <w:lang w:val="en-US" w:eastAsia="zh-CN"/>
        </w:rPr>
        <w:t>经费支出减少。</w:t>
      </w:r>
    </w:p>
    <w:p w14:paraId="7137D746">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p>
    <w:p w14:paraId="38314728">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五、一般公共预算财政拨款支出决算情况说明</w:t>
      </w:r>
    </w:p>
    <w:p w14:paraId="6EAD79FF">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（一）财政拨款支出决算总体情况</w:t>
      </w:r>
    </w:p>
    <w:p w14:paraId="6FCA6FC0">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2020年度财政拨款支出544.58万元，占本年支出合计的100%，与上年相比</w:t>
      </w:r>
      <w:r>
        <w:rPr>
          <w:rFonts w:hint="eastAsia" w:ascii="仿宋" w:hAnsi="仿宋" w:eastAsia="仿宋" w:cs="仿宋"/>
          <w:lang w:eastAsia="zh-CN"/>
        </w:rPr>
        <w:t>减少</w:t>
      </w:r>
      <w:r>
        <w:rPr>
          <w:rFonts w:hint="eastAsia" w:ascii="仿宋" w:hAnsi="仿宋" w:eastAsia="仿宋" w:cs="仿宋"/>
          <w:lang w:val="en-US" w:eastAsia="zh-CN"/>
        </w:rPr>
        <w:t>68.52</w:t>
      </w:r>
      <w:r>
        <w:rPr>
          <w:rFonts w:ascii="仿宋" w:hAnsi="仿宋" w:eastAsia="仿宋" w:cs="仿宋"/>
        </w:rPr>
        <w:t>万元</w:t>
      </w:r>
      <w:r>
        <w:rPr>
          <w:rFonts w:hint="eastAsia" w:ascii="仿宋" w:hAnsi="仿宋" w:eastAsia="仿宋" w:cs="仿宋"/>
          <w:lang w:eastAsia="zh-CN"/>
        </w:rPr>
        <w:t>，减少比率</w:t>
      </w:r>
      <w:r>
        <w:rPr>
          <w:rFonts w:hint="eastAsia" w:ascii="仿宋" w:hAnsi="仿宋" w:eastAsia="仿宋" w:cs="仿宋"/>
          <w:lang w:val="en-US" w:eastAsia="zh-CN"/>
        </w:rPr>
        <w:t>11.18%</w:t>
      </w:r>
      <w:r>
        <w:rPr>
          <w:rFonts w:ascii="仿宋" w:hAnsi="仿宋" w:eastAsia="仿宋" w:cs="仿宋"/>
        </w:rPr>
        <w:t>（去年决算数为</w:t>
      </w:r>
      <w:r>
        <w:rPr>
          <w:rFonts w:hint="eastAsia" w:ascii="仿宋" w:hAnsi="仿宋" w:eastAsia="仿宋" w:cs="仿宋"/>
          <w:lang w:val="en-US" w:eastAsia="zh-CN"/>
        </w:rPr>
        <w:t>613.1</w:t>
      </w:r>
      <w:r>
        <w:rPr>
          <w:rFonts w:ascii="仿宋" w:hAnsi="仿宋" w:eastAsia="仿宋" w:cs="仿宋"/>
        </w:rPr>
        <w:t>万元），主要</w:t>
      </w:r>
      <w:r>
        <w:rPr>
          <w:rFonts w:hint="eastAsia" w:ascii="仿宋" w:hAnsi="仿宋" w:eastAsia="仿宋" w:cs="仿宋"/>
          <w:lang w:eastAsia="zh-CN"/>
        </w:rPr>
        <w:t>是因为县管校聘人员减少</w:t>
      </w:r>
      <w:r>
        <w:rPr>
          <w:rFonts w:ascii="仿宋" w:hAnsi="仿宋" w:eastAsia="仿宋" w:cs="仿宋"/>
        </w:rPr>
        <w:t>。</w:t>
      </w:r>
    </w:p>
    <w:p w14:paraId="7EE0D60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（二）财政拨款支出决算结构情况</w:t>
      </w:r>
    </w:p>
    <w:p w14:paraId="0EDBE4E9">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2020年度财政拨款支出544.58万元，主要用于以下方面：教育支出（类）542.81万元，占99.68%；社会保障和就业支出（类）0.77万元，占0.14%；卫生健康支出（类）1万元，占0.18%。</w:t>
      </w:r>
    </w:p>
    <w:p w14:paraId="610E47B7">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（三）财政拨款支出决算具体情况</w:t>
      </w:r>
    </w:p>
    <w:p w14:paraId="34132496">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2020年度财政拨款支出年初预算数为524.17万元，支出决算数为544.58万元，完成年初预算的103.89%，其中：</w:t>
      </w:r>
    </w:p>
    <w:p w14:paraId="4CADDE8F">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1、教育支出（类）普通教育（款）小学教育（项）。</w:t>
      </w:r>
    </w:p>
    <w:p w14:paraId="388F2153">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年初预算为0万元，支出决算为61.06万元，年初预算数为0万元，无法计算完成比率，决算数大于预算数的主要原因是：本年度单位部门经济科目区分有误，实为初中教育。</w:t>
      </w:r>
    </w:p>
    <w:p w14:paraId="04A63690">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2、教育支出（类）普通教育（款）初中教育（项）。</w:t>
      </w:r>
    </w:p>
    <w:p w14:paraId="5291696B">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年初预算为483.3万元，支出决算为481.5万元，完成年初预算的99.63%，决算数小于预算数的主要原因是：本年度单位部门经济科目区分有误，实为初中教育，且本年度人员经费薪级工资增加。</w:t>
      </w:r>
    </w:p>
    <w:p w14:paraId="3EB1A1A3">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3、教育支出（类）普通教育（款）其他普通教育支出（项）。</w:t>
      </w:r>
    </w:p>
    <w:p w14:paraId="6CB0E4F9">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年初预算为0万元，支出决算为0.25万元，年初预算数为0万元，无法计算完成比率，决算数大于预算数的主要原因是：本年度单位部门经济科目区分有误，实为初中教育。</w:t>
      </w:r>
    </w:p>
    <w:p w14:paraId="6CDB93E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4、社会保障和就业支出（类）就业补助（款）其他就业补助支出（项）。</w:t>
      </w:r>
    </w:p>
    <w:p w14:paraId="7BD49528">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年初预算为0万元，支出决算为0.77万元，年初预算数为0万元，无法计算完成比率，决算数大于预算数的主要原因是：本年度有人员异动，社保经费预算不足。</w:t>
      </w:r>
    </w:p>
    <w:p w14:paraId="6A19145B">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5、卫生健康支出（类）公共卫生（款）突发公共卫生事件应急处理（项）。</w:t>
      </w:r>
    </w:p>
    <w:p w14:paraId="2DA8DB61">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年初预算为0万元，支出决算为1万元，年初预算数为0万元，无法计算完成比率，决算数大于预算数的主要原因是：本年度突发疫情，财政拨疫情防控专项经费。</w:t>
      </w:r>
    </w:p>
    <w:p w14:paraId="7FB2BA07">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六、财政拨款基本支出决算情况说明</w:t>
      </w:r>
    </w:p>
    <w:p w14:paraId="0BD8CEA8">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基本支出544.57万元（金额转换为万元时，因四舍五入存在尾差），其中：人员经费511.27万元，占基本支出的93.89%，主要包括：基本工资、津贴补贴、机关事业单位基本养老保险缴费、职工基本医疗保险缴费、其他社会保障缴费、其他工资福利支出、生活补助、助学金、奖励金、其他对个人和家庭的补助；公用经费33.3万元，占基本支出的6.11%，主要包括：办公费、印刷费、水费、电费、差旅费、维修（护）费、会议费、培训费、专用材料费、工会经费、其他商品和服务支出。</w:t>
      </w:r>
    </w:p>
    <w:p w14:paraId="19C712F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七、一般公共预算财政拨款三公经费支出决算情况说明</w:t>
      </w:r>
    </w:p>
    <w:p w14:paraId="25F2731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（一）“三公”经费财政拨款支出决算总体情况说明</w:t>
      </w:r>
    </w:p>
    <w:p w14:paraId="1F6436F2">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三公”经费财政拨款支出预算为0万元，支出决算为0万元，“三公”经费财政拨款支出预算为0万元，无法计算完成比率，其中：因公出国（境）费支出预算为0万元，支出决算为0万元，与本年预算数相同，与上年决算数相同。</w:t>
      </w:r>
    </w:p>
    <w:p w14:paraId="478E9423">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公务接待费支出预算为0万元，支出决算为0万元，与本年预算数相同，与上年决算数相同。</w:t>
      </w:r>
    </w:p>
    <w:p w14:paraId="31747C9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公务用车购置费及运行维护费支出预算为0万元，支出决算为0万元，与本年预算数相同，与上年预算数相同。</w:t>
      </w:r>
    </w:p>
    <w:p w14:paraId="10A001AF">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（二）“三公”经费财政拨款支出决算具体情况说明</w:t>
      </w:r>
    </w:p>
    <w:p w14:paraId="139192FA">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2020年度“三公”经费财政拨款支出决算中，公务接待费支出决算0万元，占0%，因公出国（境）费支出决算0万元，占0%，公务用车购置费及运行维护费支出决算0万元，占0%。其中：</w:t>
      </w:r>
    </w:p>
    <w:p w14:paraId="23C1D603">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1、因公出国（境）费支出决算为0万元，全年安排因公出国（境）团组0个，累计0人次。</w:t>
      </w:r>
    </w:p>
    <w:p w14:paraId="29DD6731">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2、公务接待费支出决算为0万元，全年共接待来访团组0个，来宾0人次。</w:t>
      </w:r>
    </w:p>
    <w:p w14:paraId="5DA0FBE7">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3、公务用车购置费及运行维护费支出决算为0万元。截止2020年12月31日，我单位开支财政拨款的公务用车保有量为0辆。</w:t>
      </w:r>
    </w:p>
    <w:p w14:paraId="60DAFE9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八、政府性基金预算收入支出决算情况</w:t>
      </w:r>
    </w:p>
    <w:p w14:paraId="43E1BC8D">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本单位无政府性基金收支。</w:t>
      </w:r>
    </w:p>
    <w:p w14:paraId="4AA9AF1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九、关于机关运行经费支出说明</w:t>
      </w:r>
    </w:p>
    <w:p w14:paraId="5E1F6983">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本部门2020年度机关运行经费支出0万元，与年初预算数相同。</w:t>
      </w:r>
    </w:p>
    <w:p w14:paraId="2A06D723">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十、一般性支出情况</w:t>
      </w:r>
    </w:p>
    <w:p w14:paraId="61CEA454">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2020年本部门开支会议费0万元。开支培训费2.53万元，用于开展教育教学教研培训，人数42人，内容为各科教师教学研讨培训、参加“国培”培训、教师信息技术提升集中培训、参加项目县“送教下乡”培训、党员培训等；举办0等节庆、晚会、论坛、赛事活动，开支0万元，主要是无。</w:t>
      </w:r>
    </w:p>
    <w:p w14:paraId="5C177359">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十一、关于政府采购支出说明</w:t>
      </w:r>
    </w:p>
    <w:p w14:paraId="2C51E3C2">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本部门2020年度政府采购支出总额0万元，其中：政府采购货物支出0万元、政府采购工程支出0万元、政府采购服务支出0万元。授予中小企业合同金额0万元，其中：授予小微企业合同金额0万元，</w:t>
      </w:r>
    </w:p>
    <w:p w14:paraId="0D43D0D1">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十二、国有资产占用情况说明</w:t>
      </w:r>
    </w:p>
    <w:p w14:paraId="2722D66D">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截至2020年12月31日，本单位共有车辆0辆，其中，主要领导干部用车0辆、机要通信用车0辆、应急保障用车0辆、执法执勤用车0辆、特种专业技术用车0辆、其他用车0辆。单位价值50万元以上通用设备0台（套），单位价值100万元以上专用设备0台（套）。</w:t>
      </w:r>
    </w:p>
    <w:p w14:paraId="199AC3A3">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十三、预算绩效评价工作开展情况</w:t>
      </w:r>
    </w:p>
    <w:p w14:paraId="71DB99D7">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eastAsia="黑体"/>
          <w:sz w:val="72"/>
          <w:szCs w:val="72"/>
          <w:lang w:eastAsia="zh-CN"/>
        </w:rPr>
        <w:sectPr>
          <w:footerReference r:id="rId6" w:type="default"/>
          <w:pgSz w:w="11906" w:h="16838"/>
          <w:pgMar w:top="720" w:right="720" w:bottom="720" w:left="720" w:header="851" w:footer="992" w:gutter="0"/>
          <w:pgNumType w:fmt="numberInDash"/>
          <w:cols w:space="0" w:num="1"/>
          <w:rtlGutter w:val="0"/>
          <w:docGrid w:type="lines" w:linePitch="319" w:charSpace="0"/>
        </w:sectPr>
      </w:pPr>
      <w:r>
        <w:rPr>
          <w:rFonts w:ascii="仿宋" w:hAnsi="仿宋" w:eastAsia="仿宋" w:cs="仿宋"/>
        </w:rPr>
        <w:t>本部门</w:t>
      </w:r>
      <w:r>
        <w:rPr>
          <w:rFonts w:hint="eastAsia" w:ascii="仿宋" w:hAnsi="仿宋" w:eastAsia="仿宋" w:cs="仿宋"/>
          <w:lang w:val="en-US" w:eastAsia="zh-CN"/>
        </w:rPr>
        <w:t>未开展</w:t>
      </w:r>
      <w:r>
        <w:rPr>
          <w:rFonts w:ascii="仿宋" w:hAnsi="仿宋" w:eastAsia="仿宋" w:cs="仿宋"/>
        </w:rPr>
        <w:t>预算绩效</w:t>
      </w:r>
      <w:r>
        <w:rPr>
          <w:rFonts w:hint="eastAsia" w:ascii="仿宋" w:hAnsi="仿宋" w:eastAsia="仿宋" w:cs="仿宋"/>
          <w:lang w:val="en-US" w:eastAsia="zh-CN"/>
        </w:rPr>
        <w:t>评价工作</w:t>
      </w:r>
    </w:p>
    <w:p w14:paraId="7406BAB7">
      <w:pPr>
        <w:pStyle w:val="9"/>
        <w:jc w:val="both"/>
        <w:rPr>
          <w:sz w:val="72"/>
          <w:szCs w:val="72"/>
        </w:rPr>
      </w:pPr>
    </w:p>
    <w:p w14:paraId="0C8DE1AE">
      <w:pPr>
        <w:pStyle w:val="9"/>
        <w:jc w:val="both"/>
        <w:rPr>
          <w:sz w:val="72"/>
          <w:szCs w:val="72"/>
        </w:rPr>
      </w:pPr>
    </w:p>
    <w:p w14:paraId="56B3BC5B">
      <w:pPr>
        <w:pStyle w:val="9"/>
        <w:jc w:val="center"/>
        <w:rPr>
          <w:rFonts w:hint="eastAsia" w:ascii="仿宋" w:hAnsi="仿宋" w:eastAsia="仿宋" w:cs="仿宋"/>
          <w:b/>
          <w:bCs/>
          <w:sz w:val="72"/>
          <w:szCs w:val="72"/>
        </w:rPr>
      </w:pPr>
    </w:p>
    <w:p w14:paraId="4D1A9872">
      <w:pPr>
        <w:pStyle w:val="9"/>
        <w:jc w:val="center"/>
        <w:rPr>
          <w:rFonts w:hint="eastAsia" w:ascii="仿宋" w:hAnsi="仿宋" w:eastAsia="仿宋" w:cs="仿宋"/>
          <w:b/>
          <w:bCs/>
          <w:sz w:val="72"/>
          <w:szCs w:val="72"/>
        </w:rPr>
      </w:pPr>
    </w:p>
    <w:p w14:paraId="2737A92C">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第四部分</w:t>
      </w:r>
    </w:p>
    <w:p w14:paraId="3AFAEED1">
      <w:pPr>
        <w:jc w:val="center"/>
        <w:rPr>
          <w:rFonts w:hint="eastAsia" w:ascii="仿宋" w:hAnsi="仿宋" w:eastAsia="仿宋" w:cs="仿宋"/>
          <w:b/>
          <w:bCs/>
          <w:color w:val="000000"/>
          <w:kern w:val="0"/>
          <w:sz w:val="52"/>
          <w:szCs w:val="52"/>
        </w:rPr>
      </w:pPr>
    </w:p>
    <w:p w14:paraId="0154424D">
      <w:pPr>
        <w:jc w:val="center"/>
        <w:rPr>
          <w:rFonts w:hint="eastAsia" w:ascii="仿宋" w:hAnsi="仿宋" w:eastAsia="仿宋" w:cs="仿宋"/>
          <w:b/>
          <w:bCs/>
          <w:color w:val="000000"/>
          <w:kern w:val="0"/>
          <w:sz w:val="52"/>
          <w:szCs w:val="52"/>
        </w:rPr>
      </w:pPr>
      <w:r>
        <w:rPr>
          <w:rFonts w:hint="eastAsia" w:ascii="仿宋" w:hAnsi="仿宋" w:eastAsia="仿宋" w:cs="仿宋"/>
          <w:b/>
          <w:bCs/>
          <w:color w:val="000000"/>
          <w:kern w:val="0"/>
          <w:sz w:val="52"/>
          <w:szCs w:val="52"/>
        </w:rPr>
        <w:t>名词解释</w:t>
      </w:r>
    </w:p>
    <w:p w14:paraId="501CA8B3">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14:paraId="24B11F2C">
      <w:pPr>
        <w:ind w:firstLine="640" w:firstLineChars="200"/>
        <w:jc w:val="left"/>
        <w:rPr>
          <w:rFonts w:cs="黑体" w:asciiTheme="minorEastAsia" w:hAnsiTheme="minorEastAsia"/>
          <w:color w:val="000000"/>
          <w:kern w:val="0"/>
          <w:sz w:val="32"/>
          <w:szCs w:val="32"/>
        </w:rPr>
      </w:pPr>
    </w:p>
    <w:p w14:paraId="4DD3A0DB">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一、财政拨款收入</w:t>
      </w:r>
      <w:r>
        <w:rPr>
          <w:rFonts w:ascii="仿宋" w:hAnsi="仿宋" w:eastAsia="仿宋" w:cs="仿宋"/>
          <w:b/>
          <w:color w:val="000000"/>
          <w:sz w:val="32"/>
        </w:rPr>
        <w:t>：</w:t>
      </w:r>
      <w:r>
        <w:rPr>
          <w:rFonts w:hint="eastAsia" w:ascii="仿宋" w:hAnsi="仿宋" w:eastAsia="仿宋" w:cs="仿宋"/>
          <w:color w:val="000000"/>
          <w:kern w:val="0"/>
          <w:sz w:val="32"/>
          <w:szCs w:val="32"/>
        </w:rPr>
        <w:t>指单位本年度从同级财政部门取得的各类财政拨款。</w:t>
      </w:r>
    </w:p>
    <w:p w14:paraId="63B467EB">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二、上级补助收入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指事业单位从主管部门和上级单位取得的非财政补助收入。</w:t>
      </w:r>
    </w:p>
    <w:p w14:paraId="403DF1E0">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三、事业收入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指事业单位开展专业业务活动及其辅助活动取得的收入，事业单位收到的财政专户实际核拨的教育收费等资金在此反映。</w:t>
      </w:r>
    </w:p>
    <w:p w14:paraId="5986A46F">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四、经营收入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指事业单位在专业业务活动及其辅助活动之外开展非独立核算经营活动取得的收入。</w:t>
      </w:r>
    </w:p>
    <w:p w14:paraId="477D2315">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五、附属单位上缴收入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指事业单位附属独立核算单位按照有关规定上缴的收入。</w:t>
      </w:r>
    </w:p>
    <w:p w14:paraId="689DE3D9">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六、其他收入</w:t>
      </w:r>
      <w:r>
        <w:rPr>
          <w:rFonts w:ascii="仿宋" w:hAnsi="仿宋" w:eastAsia="仿宋" w:cs="仿宋"/>
          <w:b/>
          <w:color w:val="000000"/>
          <w:sz w:val="32"/>
        </w:rPr>
        <w:t>：</w:t>
      </w:r>
      <w:r>
        <w:rPr>
          <w:rFonts w:hint="eastAsia" w:ascii="仿宋" w:hAnsi="仿宋" w:eastAsia="仿宋" w:cs="仿宋"/>
          <w:color w:val="000000"/>
          <w:kern w:val="0"/>
          <w:sz w:val="32"/>
          <w:szCs w:val="32"/>
        </w:rPr>
        <w:t>指单位取得的除上述“财政拨款收入”、“事业收入”、“经营收入”等以外的各项收入。</w:t>
      </w:r>
    </w:p>
    <w:p w14:paraId="60E78DD7">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七、使用非财政拨款结余</w:t>
      </w:r>
      <w:r>
        <w:rPr>
          <w:rFonts w:ascii="仿宋" w:hAnsi="仿宋" w:eastAsia="仿宋" w:cs="仿宋"/>
          <w:b/>
          <w:color w:val="000000"/>
          <w:sz w:val="32"/>
        </w:rPr>
        <w:t>：</w:t>
      </w:r>
      <w:r>
        <w:rPr>
          <w:rFonts w:hint="eastAsia" w:ascii="仿宋" w:hAnsi="仿宋" w:eastAsia="仿宋" w:cs="仿宋"/>
          <w:color w:val="000000"/>
          <w:kern w:val="0"/>
          <w:sz w:val="32"/>
          <w:szCs w:val="32"/>
        </w:rPr>
        <w:t>指事业单位使用非财政拨款结余（原事业基金）弥补当年收支差额的数额。</w:t>
      </w:r>
    </w:p>
    <w:p w14:paraId="6437FAE3">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八、年初结转和结余</w:t>
      </w:r>
      <w:r>
        <w:rPr>
          <w:rFonts w:ascii="仿宋" w:hAnsi="仿宋" w:eastAsia="仿宋" w:cs="仿宋"/>
          <w:b/>
          <w:color w:val="000000"/>
          <w:sz w:val="32"/>
        </w:rPr>
        <w:t>：</w:t>
      </w:r>
      <w:r>
        <w:rPr>
          <w:rFonts w:hint="eastAsia" w:ascii="仿宋" w:hAnsi="仿宋" w:eastAsia="仿宋" w:cs="仿宋"/>
          <w:color w:val="000000"/>
          <w:kern w:val="0"/>
          <w:sz w:val="32"/>
          <w:szCs w:val="32"/>
        </w:rPr>
        <w:t>指单位上年结转本年使用的基本支出结转、项目支出结转和结余和经营结余。</w:t>
      </w:r>
    </w:p>
    <w:p w14:paraId="00415481">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九、结余分配</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指事业单位按规定对非财政拨款结余资金提取的专用基金、缴纳的所得税和转入非财政拨款结余等。</w:t>
      </w:r>
    </w:p>
    <w:p w14:paraId="5177331A">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十、年末结转和结余资金</w:t>
      </w:r>
      <w:r>
        <w:rPr>
          <w:rFonts w:ascii="仿宋" w:hAnsi="仿宋" w:eastAsia="仿宋" w:cs="仿宋"/>
          <w:b/>
          <w:color w:val="000000"/>
          <w:sz w:val="32"/>
        </w:rPr>
        <w:t>：</w:t>
      </w:r>
      <w:r>
        <w:rPr>
          <w:rFonts w:hint="eastAsia" w:ascii="仿宋" w:hAnsi="仿宋" w:eastAsia="仿宋" w:cs="仿宋"/>
          <w:color w:val="000000"/>
          <w:kern w:val="0"/>
          <w:sz w:val="32"/>
          <w:szCs w:val="32"/>
        </w:rPr>
        <w:t>指本年度或以前年度预算安排、因客观条件发生变化无法按原计划实施，需要延迟到以后年度按有关规定继续使用的资金。</w:t>
      </w:r>
    </w:p>
    <w:p w14:paraId="2C7C9B2D">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十一、基本支出</w:t>
      </w:r>
      <w:r>
        <w:rPr>
          <w:rFonts w:ascii="仿宋" w:hAnsi="仿宋" w:eastAsia="仿宋" w:cs="仿宋"/>
          <w:b/>
          <w:color w:val="000000"/>
          <w:sz w:val="32"/>
        </w:rPr>
        <w:t>：</w:t>
      </w:r>
      <w:r>
        <w:rPr>
          <w:rFonts w:hint="eastAsia" w:ascii="仿宋" w:hAnsi="仿宋" w:eastAsia="仿宋" w:cs="仿宋"/>
          <w:color w:val="000000"/>
          <w:kern w:val="0"/>
          <w:sz w:val="32"/>
          <w:szCs w:val="32"/>
        </w:rPr>
        <w:t>指为保障机构正常运转、完成日常工作任务而发生的支出，包括人员经费和公用经费。</w:t>
      </w:r>
    </w:p>
    <w:p w14:paraId="4FF1717D">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十二、项目支出</w:t>
      </w:r>
      <w:r>
        <w:rPr>
          <w:rFonts w:ascii="仿宋" w:hAnsi="仿宋" w:eastAsia="仿宋" w:cs="仿宋"/>
          <w:b/>
          <w:color w:val="000000"/>
          <w:sz w:val="32"/>
        </w:rPr>
        <w:t>：</w:t>
      </w:r>
      <w:r>
        <w:rPr>
          <w:rFonts w:hint="eastAsia" w:ascii="仿宋" w:hAnsi="仿宋" w:eastAsia="仿宋" w:cs="仿宋"/>
          <w:color w:val="000000"/>
          <w:kern w:val="0"/>
          <w:sz w:val="32"/>
          <w:szCs w:val="32"/>
        </w:rPr>
        <w:t>指在为完成特定的工作任务和事业发展目标所发生的支出。</w:t>
      </w:r>
    </w:p>
    <w:p w14:paraId="092F5D12">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十三、上缴上级支出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指事业单位按照财政部门和主管部门的规定上缴上级单位的支出。</w:t>
      </w:r>
    </w:p>
    <w:p w14:paraId="01E2E48F">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十四、经营支出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指事业单位在专业业务活动及其辅助活动之外开展非独立核算经营活动发生的支出。</w:t>
      </w:r>
    </w:p>
    <w:p w14:paraId="1C59A81B">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十五、对附属单位补助支出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指事业单位用财政拨款收入之外的收入对附属单位补助发生的支出。</w:t>
      </w:r>
    </w:p>
    <w:p w14:paraId="589EA25D">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十六、“三公”经费</w:t>
      </w:r>
      <w:r>
        <w:rPr>
          <w:rFonts w:ascii="仿宋" w:hAnsi="仿宋" w:eastAsia="仿宋" w:cs="仿宋"/>
          <w:b/>
          <w:color w:val="000000"/>
          <w:sz w:val="32"/>
        </w:rPr>
        <w:t>：</w:t>
      </w:r>
      <w:r>
        <w:rPr>
          <w:rFonts w:hint="eastAsia" w:ascii="仿宋" w:hAnsi="仿宋" w:eastAsia="仿宋" w:cs="仿宋"/>
          <w:color w:val="000000"/>
          <w:kern w:val="0"/>
          <w:sz w:val="32"/>
          <w:szCs w:val="32"/>
        </w:rPr>
        <w:t>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306FD9AA">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十七、机关运行经费</w:t>
      </w:r>
      <w:r>
        <w:rPr>
          <w:rFonts w:ascii="仿宋" w:hAnsi="仿宋" w:eastAsia="仿宋" w:cs="仿宋"/>
          <w:b/>
          <w:color w:val="000000"/>
          <w:sz w:val="32"/>
        </w:rPr>
        <w:t>：</w:t>
      </w:r>
      <w:r>
        <w:rPr>
          <w:rFonts w:hint="eastAsia" w:ascii="仿宋" w:hAnsi="仿宋" w:eastAsia="仿宋" w:cs="仿宋"/>
          <w:color w:val="000000"/>
          <w:kern w:val="0"/>
          <w:sz w:val="32"/>
          <w:szCs w:val="32"/>
        </w:rPr>
        <w:t>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1EEBEAAA">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十八、教育支出(类)普通教育(款)小学教育(项)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反映各部门举办的小学教育支出。政府各部门对社会中介组织等举办的小学的资助，如各类捐赠、补贴等，也在本科目中反映。</w:t>
      </w:r>
    </w:p>
    <w:p w14:paraId="70E22DB3">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十九、教育支出(类)普通教育(款)初中教育(项)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反映各部门举办的初中教育支出。政府各部门对社会中介组织等举办的初中教育的资助，如捐赠、补贴等，也在本科目中反映。</w:t>
      </w:r>
    </w:p>
    <w:p w14:paraId="7FEBE483">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二十、教育支出(类)普通教育(款)其他普通教育支出(项)</w:t>
      </w:r>
      <w:r>
        <w:rPr>
          <w:rFonts w:ascii="仿宋" w:hAnsi="仿宋" w:eastAsia="仿宋" w:cs="仿宋"/>
          <w:b/>
          <w:color w:val="000000"/>
          <w:sz w:val="32"/>
        </w:rPr>
        <w:t>：</w:t>
      </w:r>
      <w:r>
        <w:rPr>
          <w:rFonts w:hint="eastAsia" w:ascii="仿宋" w:hAnsi="仿宋" w:eastAsia="仿宋" w:cs="仿宋"/>
          <w:color w:val="000000"/>
          <w:kern w:val="0"/>
          <w:sz w:val="32"/>
          <w:szCs w:val="32"/>
        </w:rPr>
        <w:t>反映除上述项目以外其他用于普通教育方面的支出。</w:t>
      </w:r>
    </w:p>
    <w:p w14:paraId="57B77878">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二十一、社会保障和就业支出(类)就业补助(款)其他就业补助支出(项)</w:t>
      </w:r>
      <w:r>
        <w:rPr>
          <w:rFonts w:ascii="仿宋" w:hAnsi="仿宋" w:eastAsia="仿宋" w:cs="仿宋"/>
          <w:b/>
          <w:color w:val="000000"/>
          <w:sz w:val="32"/>
        </w:rPr>
        <w:t>：</w:t>
      </w:r>
      <w:r>
        <w:rPr>
          <w:rFonts w:hint="eastAsia" w:ascii="仿宋" w:hAnsi="仿宋" w:eastAsia="仿宋" w:cs="仿宋"/>
          <w:color w:val="000000"/>
          <w:kern w:val="0"/>
          <w:sz w:val="32"/>
          <w:szCs w:val="32"/>
        </w:rPr>
        <w:t>反映除上述项目以外按规定确定的其他用于促进就业的补助支出。</w:t>
      </w:r>
    </w:p>
    <w:p w14:paraId="2EE95799">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二十二、卫生健康支出(类)公共卫生(款)突发公共卫生事件应急处理(项)</w:t>
      </w:r>
      <w:r>
        <w:rPr>
          <w:rFonts w:ascii="仿宋" w:hAnsi="仿宋" w:eastAsia="仿宋" w:cs="仿宋"/>
          <w:b/>
          <w:color w:val="000000"/>
          <w:sz w:val="32"/>
        </w:rPr>
        <w:t>：</w:t>
      </w:r>
      <w:r>
        <w:rPr>
          <w:rFonts w:hint="eastAsia" w:ascii="仿宋" w:hAnsi="仿宋" w:eastAsia="仿宋" w:cs="仿宋"/>
          <w:color w:val="000000"/>
          <w:kern w:val="0"/>
          <w:sz w:val="32"/>
          <w:szCs w:val="32"/>
        </w:rPr>
        <w:t>反映用于突发公共卫生事件应急处理的支出。</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6"/>
      </w:tblGrid>
      <w:tr w14:paraId="0233E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83" w:hRule="atLeast"/>
        </w:trPr>
        <w:tc>
          <w:tcPr>
            <w:tcW w:w="8516" w:type="dxa"/>
            <w:tcBorders>
              <w:top w:val="nil"/>
              <w:left w:val="nil"/>
              <w:bottom w:val="nil"/>
              <w:right w:val="nil"/>
            </w:tcBorders>
            <w:vAlign w:val="center"/>
          </w:tcPr>
          <w:p w14:paraId="2390C86D">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w:t>
            </w:r>
            <w:r>
              <w:rPr>
                <w:rFonts w:hint="eastAsia" w:ascii="仿宋" w:hAnsi="仿宋" w:eastAsia="仿宋" w:cs="仿宋"/>
                <w:b/>
                <w:bCs/>
                <w:sz w:val="52"/>
                <w:szCs w:val="52"/>
                <w:lang w:val="en-US" w:eastAsia="zh-CN"/>
              </w:rPr>
              <w:t>五</w:t>
            </w:r>
            <w:r>
              <w:rPr>
                <w:rFonts w:hint="eastAsia" w:ascii="仿宋" w:hAnsi="仿宋" w:eastAsia="仿宋" w:cs="仿宋"/>
                <w:b/>
                <w:bCs/>
                <w:sz w:val="52"/>
                <w:szCs w:val="52"/>
              </w:rPr>
              <w:t>部分</w:t>
            </w:r>
          </w:p>
          <w:p w14:paraId="64724790">
            <w:pPr>
              <w:pStyle w:val="9"/>
              <w:jc w:val="center"/>
              <w:rPr>
                <w:rFonts w:hint="eastAsia" w:ascii="仿宋" w:hAnsi="仿宋" w:eastAsia="仿宋" w:cs="仿宋"/>
                <w:b/>
                <w:bCs/>
                <w:sz w:val="52"/>
                <w:szCs w:val="52"/>
              </w:rPr>
            </w:pPr>
          </w:p>
          <w:p w14:paraId="66320383">
            <w:pPr>
              <w:pStyle w:val="9"/>
              <w:jc w:val="center"/>
              <w:rPr>
                <w:rFonts w:hint="default" w:ascii="仿宋" w:hAnsi="仿宋" w:eastAsia="仿宋" w:cs="仿宋"/>
                <w:b/>
                <w:bCs/>
                <w:sz w:val="52"/>
                <w:szCs w:val="52"/>
                <w:lang w:val="en-US"/>
              </w:rPr>
            </w:pPr>
            <w:r>
              <w:rPr>
                <w:rFonts w:hint="eastAsia" w:ascii="仿宋" w:hAnsi="仿宋" w:eastAsia="仿宋" w:cs="仿宋"/>
                <w:b/>
                <w:bCs/>
                <w:color w:val="000000"/>
                <w:kern w:val="0"/>
                <w:sz w:val="52"/>
                <w:szCs w:val="52"/>
                <w:lang w:val="en-US" w:eastAsia="zh-CN"/>
              </w:rPr>
              <w:t>附件（无）</w:t>
            </w:r>
          </w:p>
        </w:tc>
      </w:tr>
    </w:tbl>
    <w:p w14:paraId="21D3E3FA"/>
    <w:sectPr>
      <w:pgSz w:w="11906" w:h="16838"/>
      <w:pgMar w:top="1440" w:right="1803" w:bottom="1440" w:left="1803" w:header="851" w:footer="992" w:gutter="0"/>
      <w:pgNumType w:fmt="numberInDash"/>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Arial Unicode MS">
    <w:altName w:val="DejaVu Sans"/>
    <w:panose1 w:val="020B0604020202020204"/>
    <w:charset w:val="86"/>
    <w:family w:val="roman"/>
    <w:pitch w:val="default"/>
    <w:sig w:usb0="00000000" w:usb1="00000000" w:usb2="0000003F" w:usb3="00000000" w:csb0="603F01FF" w:csb1="FFFF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8CCBDE">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1E3D20">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256E32">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0256E32">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5FDCEC">
    <w:pPr>
      <w:pStyle w:val="4"/>
      <w:jc w:val="center"/>
      <w:rPr>
        <w:rFonts w:hint="eastAsia" w:ascii="黑体" w:hAnsi="黑体" w:eastAsia="黑体" w:cs="黑体"/>
      </w:rPr>
    </w:pPr>
    <w:r>
      <w:rPr>
        <w:rFonts w:hint="eastAsia" w:ascii="黑体" w:hAnsi="黑体" w:eastAsia="黑体" w:cs="黑体"/>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73E7DFA">
                          <w:pPr>
                            <w:pStyle w:val="4"/>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673E7DFA">
                    <w:pPr>
                      <w:pStyle w:val="4"/>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582FA2">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zMGRlNjViMzdkNzg4ODhmMTQ5NTk2YWFhMDY5ODkifQ=="/>
  </w:docVars>
  <w:rsids>
    <w:rsidRoot w:val="73D72D54"/>
    <w:rsid w:val="00034B45"/>
    <w:rsid w:val="000A4A40"/>
    <w:rsid w:val="00112995"/>
    <w:rsid w:val="00A57004"/>
    <w:rsid w:val="00EF3870"/>
    <w:rsid w:val="01276120"/>
    <w:rsid w:val="01292E6B"/>
    <w:rsid w:val="014F7B6E"/>
    <w:rsid w:val="01511258"/>
    <w:rsid w:val="015967FE"/>
    <w:rsid w:val="019E11B3"/>
    <w:rsid w:val="01A42E7E"/>
    <w:rsid w:val="01A775D9"/>
    <w:rsid w:val="01B60941"/>
    <w:rsid w:val="02701F7E"/>
    <w:rsid w:val="02721624"/>
    <w:rsid w:val="02B21423"/>
    <w:rsid w:val="02E608A0"/>
    <w:rsid w:val="02EF2D79"/>
    <w:rsid w:val="03147B85"/>
    <w:rsid w:val="033D7DA6"/>
    <w:rsid w:val="03562E2F"/>
    <w:rsid w:val="03E42784"/>
    <w:rsid w:val="04026EE9"/>
    <w:rsid w:val="04067B8D"/>
    <w:rsid w:val="040E2250"/>
    <w:rsid w:val="0414592F"/>
    <w:rsid w:val="04373E00"/>
    <w:rsid w:val="04491887"/>
    <w:rsid w:val="047F291F"/>
    <w:rsid w:val="047F40D0"/>
    <w:rsid w:val="04A95710"/>
    <w:rsid w:val="04C96E18"/>
    <w:rsid w:val="04CF483B"/>
    <w:rsid w:val="05283F7F"/>
    <w:rsid w:val="05501AD7"/>
    <w:rsid w:val="05721CEA"/>
    <w:rsid w:val="05877611"/>
    <w:rsid w:val="05AC71A4"/>
    <w:rsid w:val="05BB5E49"/>
    <w:rsid w:val="05E84904"/>
    <w:rsid w:val="060A158E"/>
    <w:rsid w:val="060B4F09"/>
    <w:rsid w:val="060D24D3"/>
    <w:rsid w:val="066E7586"/>
    <w:rsid w:val="06735460"/>
    <w:rsid w:val="06876935"/>
    <w:rsid w:val="06924863"/>
    <w:rsid w:val="06C11D6A"/>
    <w:rsid w:val="06C92B89"/>
    <w:rsid w:val="07016659"/>
    <w:rsid w:val="07413E1B"/>
    <w:rsid w:val="076169E4"/>
    <w:rsid w:val="076E3F15"/>
    <w:rsid w:val="07A03FF7"/>
    <w:rsid w:val="07D03716"/>
    <w:rsid w:val="07DC3A34"/>
    <w:rsid w:val="07E245DA"/>
    <w:rsid w:val="083948C9"/>
    <w:rsid w:val="08435B69"/>
    <w:rsid w:val="08443FC4"/>
    <w:rsid w:val="085D0F3E"/>
    <w:rsid w:val="08703DDB"/>
    <w:rsid w:val="08911752"/>
    <w:rsid w:val="08A67EB6"/>
    <w:rsid w:val="08AD675E"/>
    <w:rsid w:val="08B33244"/>
    <w:rsid w:val="08D162B6"/>
    <w:rsid w:val="08F06986"/>
    <w:rsid w:val="08F75E31"/>
    <w:rsid w:val="092E090E"/>
    <w:rsid w:val="096020E4"/>
    <w:rsid w:val="09743548"/>
    <w:rsid w:val="09940B5A"/>
    <w:rsid w:val="0996686E"/>
    <w:rsid w:val="0A016DB1"/>
    <w:rsid w:val="0A190C1A"/>
    <w:rsid w:val="0A1D43DC"/>
    <w:rsid w:val="0A4E5CBB"/>
    <w:rsid w:val="0A843DA6"/>
    <w:rsid w:val="0AC23008"/>
    <w:rsid w:val="0ACA6C76"/>
    <w:rsid w:val="0ACB336B"/>
    <w:rsid w:val="0AF52874"/>
    <w:rsid w:val="0B0F21C0"/>
    <w:rsid w:val="0B1A005C"/>
    <w:rsid w:val="0B5078D7"/>
    <w:rsid w:val="0B550C44"/>
    <w:rsid w:val="0B772BDC"/>
    <w:rsid w:val="0B8E2066"/>
    <w:rsid w:val="0BA35478"/>
    <w:rsid w:val="0BC04806"/>
    <w:rsid w:val="0BD65627"/>
    <w:rsid w:val="0C0F44E0"/>
    <w:rsid w:val="0CA1448F"/>
    <w:rsid w:val="0CA32AA8"/>
    <w:rsid w:val="0D2F20B4"/>
    <w:rsid w:val="0D452501"/>
    <w:rsid w:val="0D65075F"/>
    <w:rsid w:val="0D665132"/>
    <w:rsid w:val="0DBB6B0A"/>
    <w:rsid w:val="0DBC1A23"/>
    <w:rsid w:val="0DDC135D"/>
    <w:rsid w:val="0E1C1CBD"/>
    <w:rsid w:val="0E7552DD"/>
    <w:rsid w:val="0E79533D"/>
    <w:rsid w:val="0E7D57CF"/>
    <w:rsid w:val="0ECC3BEA"/>
    <w:rsid w:val="0F144184"/>
    <w:rsid w:val="0F1C62C7"/>
    <w:rsid w:val="0F2E1F67"/>
    <w:rsid w:val="0F3D5BBA"/>
    <w:rsid w:val="0F3F019D"/>
    <w:rsid w:val="0F3F0C21"/>
    <w:rsid w:val="0F447448"/>
    <w:rsid w:val="0F800099"/>
    <w:rsid w:val="0F921EF8"/>
    <w:rsid w:val="0FC26152"/>
    <w:rsid w:val="0FC601BF"/>
    <w:rsid w:val="10060226"/>
    <w:rsid w:val="1021781E"/>
    <w:rsid w:val="109244B4"/>
    <w:rsid w:val="10E67F73"/>
    <w:rsid w:val="11350FC3"/>
    <w:rsid w:val="11403931"/>
    <w:rsid w:val="11427235"/>
    <w:rsid w:val="1160207C"/>
    <w:rsid w:val="11691213"/>
    <w:rsid w:val="11A678F3"/>
    <w:rsid w:val="11B2477D"/>
    <w:rsid w:val="120A0B74"/>
    <w:rsid w:val="1225480C"/>
    <w:rsid w:val="12305B44"/>
    <w:rsid w:val="12395882"/>
    <w:rsid w:val="12572C62"/>
    <w:rsid w:val="12832B16"/>
    <w:rsid w:val="12963B61"/>
    <w:rsid w:val="12A001D8"/>
    <w:rsid w:val="12A03FDD"/>
    <w:rsid w:val="12EB14A5"/>
    <w:rsid w:val="132B2CAB"/>
    <w:rsid w:val="13426212"/>
    <w:rsid w:val="13511047"/>
    <w:rsid w:val="13530689"/>
    <w:rsid w:val="13571F03"/>
    <w:rsid w:val="13584546"/>
    <w:rsid w:val="138132DE"/>
    <w:rsid w:val="138662BF"/>
    <w:rsid w:val="139B183B"/>
    <w:rsid w:val="13CD7E8D"/>
    <w:rsid w:val="141459E2"/>
    <w:rsid w:val="14295BBE"/>
    <w:rsid w:val="143746C5"/>
    <w:rsid w:val="14501E36"/>
    <w:rsid w:val="145B604C"/>
    <w:rsid w:val="15037188"/>
    <w:rsid w:val="15153CFF"/>
    <w:rsid w:val="154C316F"/>
    <w:rsid w:val="154E64F6"/>
    <w:rsid w:val="15BF24D2"/>
    <w:rsid w:val="16174016"/>
    <w:rsid w:val="16366EA1"/>
    <w:rsid w:val="16517A95"/>
    <w:rsid w:val="16A059C5"/>
    <w:rsid w:val="16C455F3"/>
    <w:rsid w:val="16F23847"/>
    <w:rsid w:val="176D5AE5"/>
    <w:rsid w:val="176F3CF4"/>
    <w:rsid w:val="177B4445"/>
    <w:rsid w:val="178C1D8E"/>
    <w:rsid w:val="17931257"/>
    <w:rsid w:val="17B07FD2"/>
    <w:rsid w:val="17B52230"/>
    <w:rsid w:val="17D226D1"/>
    <w:rsid w:val="17F03885"/>
    <w:rsid w:val="18152DA2"/>
    <w:rsid w:val="1816118F"/>
    <w:rsid w:val="182F4A44"/>
    <w:rsid w:val="18395CC2"/>
    <w:rsid w:val="183E0B42"/>
    <w:rsid w:val="18541566"/>
    <w:rsid w:val="186B1DF6"/>
    <w:rsid w:val="186F101A"/>
    <w:rsid w:val="18B75606"/>
    <w:rsid w:val="18D511E5"/>
    <w:rsid w:val="19642C59"/>
    <w:rsid w:val="197C2BAB"/>
    <w:rsid w:val="19934B8F"/>
    <w:rsid w:val="19C00F4B"/>
    <w:rsid w:val="19D421B6"/>
    <w:rsid w:val="1A2154AB"/>
    <w:rsid w:val="1A2D6009"/>
    <w:rsid w:val="1A365AD9"/>
    <w:rsid w:val="1A384EDA"/>
    <w:rsid w:val="1A3A7A46"/>
    <w:rsid w:val="1A4B3825"/>
    <w:rsid w:val="1A5214C4"/>
    <w:rsid w:val="1A604A6E"/>
    <w:rsid w:val="1A622F58"/>
    <w:rsid w:val="1AAE251F"/>
    <w:rsid w:val="1AB77BA8"/>
    <w:rsid w:val="1ABA1A9B"/>
    <w:rsid w:val="1AD210BC"/>
    <w:rsid w:val="1ADA5355"/>
    <w:rsid w:val="1AEB4A6C"/>
    <w:rsid w:val="1B113722"/>
    <w:rsid w:val="1BA34EBE"/>
    <w:rsid w:val="1BA64A02"/>
    <w:rsid w:val="1BBE4C21"/>
    <w:rsid w:val="1BCC526D"/>
    <w:rsid w:val="1C0F7370"/>
    <w:rsid w:val="1C1845D0"/>
    <w:rsid w:val="1C1C1C79"/>
    <w:rsid w:val="1C285793"/>
    <w:rsid w:val="1C38750B"/>
    <w:rsid w:val="1C432267"/>
    <w:rsid w:val="1C550A94"/>
    <w:rsid w:val="1C682658"/>
    <w:rsid w:val="1C731FF7"/>
    <w:rsid w:val="1C7F7769"/>
    <w:rsid w:val="1CB02F77"/>
    <w:rsid w:val="1CBB3285"/>
    <w:rsid w:val="1CC175BC"/>
    <w:rsid w:val="1CE53BF5"/>
    <w:rsid w:val="1D3B4CED"/>
    <w:rsid w:val="1D61464A"/>
    <w:rsid w:val="1D8231E6"/>
    <w:rsid w:val="1D901010"/>
    <w:rsid w:val="1DAA11E9"/>
    <w:rsid w:val="1DBE404A"/>
    <w:rsid w:val="1E16693C"/>
    <w:rsid w:val="1E2E1C47"/>
    <w:rsid w:val="1E5309C4"/>
    <w:rsid w:val="1E554167"/>
    <w:rsid w:val="1E783066"/>
    <w:rsid w:val="1E7D61A5"/>
    <w:rsid w:val="1E924A94"/>
    <w:rsid w:val="1EB41A4F"/>
    <w:rsid w:val="1ECB2665"/>
    <w:rsid w:val="1EDB0670"/>
    <w:rsid w:val="1F1A67CD"/>
    <w:rsid w:val="1F2406C6"/>
    <w:rsid w:val="1F6163BF"/>
    <w:rsid w:val="1F6278C1"/>
    <w:rsid w:val="1F8B5BAF"/>
    <w:rsid w:val="1F8F6EC3"/>
    <w:rsid w:val="1FA94F16"/>
    <w:rsid w:val="20255F25"/>
    <w:rsid w:val="20291CB3"/>
    <w:rsid w:val="202F73AB"/>
    <w:rsid w:val="2049150E"/>
    <w:rsid w:val="20540D0F"/>
    <w:rsid w:val="205913A2"/>
    <w:rsid w:val="20707F7E"/>
    <w:rsid w:val="20824933"/>
    <w:rsid w:val="20842F75"/>
    <w:rsid w:val="20844EDC"/>
    <w:rsid w:val="20853A42"/>
    <w:rsid w:val="20C80A9F"/>
    <w:rsid w:val="20CB3580"/>
    <w:rsid w:val="20CC6679"/>
    <w:rsid w:val="20D12D62"/>
    <w:rsid w:val="20D24D60"/>
    <w:rsid w:val="20EF11BB"/>
    <w:rsid w:val="20FE693B"/>
    <w:rsid w:val="2111037C"/>
    <w:rsid w:val="21210B07"/>
    <w:rsid w:val="213C39F7"/>
    <w:rsid w:val="21444B43"/>
    <w:rsid w:val="21486C01"/>
    <w:rsid w:val="214E64EB"/>
    <w:rsid w:val="215E2854"/>
    <w:rsid w:val="21665038"/>
    <w:rsid w:val="216820ED"/>
    <w:rsid w:val="219D0A68"/>
    <w:rsid w:val="21A66555"/>
    <w:rsid w:val="21AC0CB6"/>
    <w:rsid w:val="21C806DD"/>
    <w:rsid w:val="21C84029"/>
    <w:rsid w:val="2254336E"/>
    <w:rsid w:val="22BF5F1A"/>
    <w:rsid w:val="22F87C27"/>
    <w:rsid w:val="230D6FA9"/>
    <w:rsid w:val="235D5957"/>
    <w:rsid w:val="23866A70"/>
    <w:rsid w:val="23E8231D"/>
    <w:rsid w:val="23EA2D8E"/>
    <w:rsid w:val="23F16DBD"/>
    <w:rsid w:val="247728AF"/>
    <w:rsid w:val="24AD00E2"/>
    <w:rsid w:val="24B74192"/>
    <w:rsid w:val="24D85F11"/>
    <w:rsid w:val="2523105C"/>
    <w:rsid w:val="25242F6B"/>
    <w:rsid w:val="25261089"/>
    <w:rsid w:val="25365CD1"/>
    <w:rsid w:val="258861EB"/>
    <w:rsid w:val="2591552F"/>
    <w:rsid w:val="25A13587"/>
    <w:rsid w:val="25A36332"/>
    <w:rsid w:val="25C46206"/>
    <w:rsid w:val="25D20556"/>
    <w:rsid w:val="26153E79"/>
    <w:rsid w:val="26285F08"/>
    <w:rsid w:val="264C0E1C"/>
    <w:rsid w:val="26622DB4"/>
    <w:rsid w:val="26650EB8"/>
    <w:rsid w:val="26731BEC"/>
    <w:rsid w:val="26991832"/>
    <w:rsid w:val="26CD0188"/>
    <w:rsid w:val="27394F8E"/>
    <w:rsid w:val="27523E2B"/>
    <w:rsid w:val="280930C2"/>
    <w:rsid w:val="28234FB2"/>
    <w:rsid w:val="28353550"/>
    <w:rsid w:val="28373F3E"/>
    <w:rsid w:val="28905184"/>
    <w:rsid w:val="28A2570F"/>
    <w:rsid w:val="28D43AA3"/>
    <w:rsid w:val="28D91A73"/>
    <w:rsid w:val="292F7AB5"/>
    <w:rsid w:val="29391735"/>
    <w:rsid w:val="296E6EA5"/>
    <w:rsid w:val="29976D19"/>
    <w:rsid w:val="29B04233"/>
    <w:rsid w:val="29B409F0"/>
    <w:rsid w:val="29DC5911"/>
    <w:rsid w:val="2A717FA2"/>
    <w:rsid w:val="2A9F5D13"/>
    <w:rsid w:val="2ABF6C24"/>
    <w:rsid w:val="2ADD3382"/>
    <w:rsid w:val="2AE8452D"/>
    <w:rsid w:val="2B252CD9"/>
    <w:rsid w:val="2B3E1800"/>
    <w:rsid w:val="2B4F1786"/>
    <w:rsid w:val="2B856DA1"/>
    <w:rsid w:val="2BCA702D"/>
    <w:rsid w:val="2C06344A"/>
    <w:rsid w:val="2C0C5168"/>
    <w:rsid w:val="2C1B6AEB"/>
    <w:rsid w:val="2C317416"/>
    <w:rsid w:val="2C85031F"/>
    <w:rsid w:val="2C9C05BB"/>
    <w:rsid w:val="2CA11E70"/>
    <w:rsid w:val="2CC953AF"/>
    <w:rsid w:val="2D065459"/>
    <w:rsid w:val="2D3C0815"/>
    <w:rsid w:val="2D551503"/>
    <w:rsid w:val="2D7633A7"/>
    <w:rsid w:val="2D8D6A47"/>
    <w:rsid w:val="2DD14B22"/>
    <w:rsid w:val="2DDD3980"/>
    <w:rsid w:val="2DDF0704"/>
    <w:rsid w:val="2DE5291B"/>
    <w:rsid w:val="2E0F3A3E"/>
    <w:rsid w:val="2E162F19"/>
    <w:rsid w:val="2E504D30"/>
    <w:rsid w:val="2E7C7ED0"/>
    <w:rsid w:val="2EBF1B8D"/>
    <w:rsid w:val="2EC01172"/>
    <w:rsid w:val="2EE27F02"/>
    <w:rsid w:val="2F1560C0"/>
    <w:rsid w:val="2F412AFA"/>
    <w:rsid w:val="2F716956"/>
    <w:rsid w:val="2F7572F7"/>
    <w:rsid w:val="2F827763"/>
    <w:rsid w:val="2FA757D8"/>
    <w:rsid w:val="2FEE69A6"/>
    <w:rsid w:val="306200F0"/>
    <w:rsid w:val="30705EF8"/>
    <w:rsid w:val="30986BE7"/>
    <w:rsid w:val="30B44244"/>
    <w:rsid w:val="30B7715D"/>
    <w:rsid w:val="30C24F02"/>
    <w:rsid w:val="30D63CF2"/>
    <w:rsid w:val="310D7CC9"/>
    <w:rsid w:val="3172637E"/>
    <w:rsid w:val="317F3D67"/>
    <w:rsid w:val="31A35982"/>
    <w:rsid w:val="31A47F94"/>
    <w:rsid w:val="31B72549"/>
    <w:rsid w:val="31F571E6"/>
    <w:rsid w:val="323F0E05"/>
    <w:rsid w:val="32646CEC"/>
    <w:rsid w:val="327379FA"/>
    <w:rsid w:val="32926FEA"/>
    <w:rsid w:val="32EF625F"/>
    <w:rsid w:val="32F77F3F"/>
    <w:rsid w:val="33285B6D"/>
    <w:rsid w:val="333618F4"/>
    <w:rsid w:val="333B15CC"/>
    <w:rsid w:val="334C5141"/>
    <w:rsid w:val="33793E0E"/>
    <w:rsid w:val="338836F4"/>
    <w:rsid w:val="33AF6BEE"/>
    <w:rsid w:val="34296063"/>
    <w:rsid w:val="34386AD2"/>
    <w:rsid w:val="349B6A4B"/>
    <w:rsid w:val="34D921AF"/>
    <w:rsid w:val="34E40B9E"/>
    <w:rsid w:val="34FE3DB4"/>
    <w:rsid w:val="351500C6"/>
    <w:rsid w:val="35335C9B"/>
    <w:rsid w:val="35386F12"/>
    <w:rsid w:val="35627325"/>
    <w:rsid w:val="357F7A7E"/>
    <w:rsid w:val="359A4299"/>
    <w:rsid w:val="35AA1B77"/>
    <w:rsid w:val="35BB146A"/>
    <w:rsid w:val="3619331F"/>
    <w:rsid w:val="364D5677"/>
    <w:rsid w:val="365E6403"/>
    <w:rsid w:val="368C4536"/>
    <w:rsid w:val="36EF53F3"/>
    <w:rsid w:val="37282DBC"/>
    <w:rsid w:val="37502E47"/>
    <w:rsid w:val="375C6F10"/>
    <w:rsid w:val="37604A3D"/>
    <w:rsid w:val="3763046F"/>
    <w:rsid w:val="37667412"/>
    <w:rsid w:val="379A48E2"/>
    <w:rsid w:val="379C3BB7"/>
    <w:rsid w:val="37AB117E"/>
    <w:rsid w:val="37D61961"/>
    <w:rsid w:val="37E41E16"/>
    <w:rsid w:val="37E707E9"/>
    <w:rsid w:val="37EB4486"/>
    <w:rsid w:val="37F74C52"/>
    <w:rsid w:val="38145E69"/>
    <w:rsid w:val="3822751A"/>
    <w:rsid w:val="382D0B30"/>
    <w:rsid w:val="38694446"/>
    <w:rsid w:val="387265D1"/>
    <w:rsid w:val="389568AD"/>
    <w:rsid w:val="38B874C5"/>
    <w:rsid w:val="38F34CAE"/>
    <w:rsid w:val="39137081"/>
    <w:rsid w:val="393A0F87"/>
    <w:rsid w:val="393F6B8C"/>
    <w:rsid w:val="394B5B7A"/>
    <w:rsid w:val="394F0762"/>
    <w:rsid w:val="397618E6"/>
    <w:rsid w:val="398334A6"/>
    <w:rsid w:val="399143ED"/>
    <w:rsid w:val="399C6D06"/>
    <w:rsid w:val="39F523D9"/>
    <w:rsid w:val="3A0305F4"/>
    <w:rsid w:val="3A3F393A"/>
    <w:rsid w:val="3A764397"/>
    <w:rsid w:val="3A8E08AB"/>
    <w:rsid w:val="3AF32055"/>
    <w:rsid w:val="3AF745B2"/>
    <w:rsid w:val="3B0D06CA"/>
    <w:rsid w:val="3B0E1523"/>
    <w:rsid w:val="3B0E2BC1"/>
    <w:rsid w:val="3B10150F"/>
    <w:rsid w:val="3B1913B0"/>
    <w:rsid w:val="3B217121"/>
    <w:rsid w:val="3B4D746D"/>
    <w:rsid w:val="3B64507A"/>
    <w:rsid w:val="3B7539D5"/>
    <w:rsid w:val="3B95631A"/>
    <w:rsid w:val="3BAD7452"/>
    <w:rsid w:val="3BBA67C9"/>
    <w:rsid w:val="3BC5789D"/>
    <w:rsid w:val="3BDD31CE"/>
    <w:rsid w:val="3C36709E"/>
    <w:rsid w:val="3C3E3DD1"/>
    <w:rsid w:val="3C576B6D"/>
    <w:rsid w:val="3CC80866"/>
    <w:rsid w:val="3CCF2D44"/>
    <w:rsid w:val="3CEA2C1F"/>
    <w:rsid w:val="3D2B255F"/>
    <w:rsid w:val="3D2C1495"/>
    <w:rsid w:val="3D6400D0"/>
    <w:rsid w:val="3D696032"/>
    <w:rsid w:val="3D873FA7"/>
    <w:rsid w:val="3DCA60E8"/>
    <w:rsid w:val="3DD370DA"/>
    <w:rsid w:val="3DF57EB8"/>
    <w:rsid w:val="3E001606"/>
    <w:rsid w:val="3E1A5F4B"/>
    <w:rsid w:val="3E200EA3"/>
    <w:rsid w:val="3E822E90"/>
    <w:rsid w:val="3EF97CBD"/>
    <w:rsid w:val="3F01066C"/>
    <w:rsid w:val="3FA230F2"/>
    <w:rsid w:val="3FA7678B"/>
    <w:rsid w:val="3FA8340E"/>
    <w:rsid w:val="401175F4"/>
    <w:rsid w:val="402A0417"/>
    <w:rsid w:val="403F3341"/>
    <w:rsid w:val="4058716E"/>
    <w:rsid w:val="40705F35"/>
    <w:rsid w:val="40784FAD"/>
    <w:rsid w:val="407F750C"/>
    <w:rsid w:val="40963113"/>
    <w:rsid w:val="40A32BFA"/>
    <w:rsid w:val="40D14984"/>
    <w:rsid w:val="40EA444A"/>
    <w:rsid w:val="412B66CE"/>
    <w:rsid w:val="41512A26"/>
    <w:rsid w:val="41812FA9"/>
    <w:rsid w:val="4182142E"/>
    <w:rsid w:val="418336EA"/>
    <w:rsid w:val="41C05247"/>
    <w:rsid w:val="42070F29"/>
    <w:rsid w:val="420D1B91"/>
    <w:rsid w:val="426D6567"/>
    <w:rsid w:val="429C67A7"/>
    <w:rsid w:val="42AD2D65"/>
    <w:rsid w:val="42C271BA"/>
    <w:rsid w:val="42CF7C1D"/>
    <w:rsid w:val="42DB6E6D"/>
    <w:rsid w:val="42EA6946"/>
    <w:rsid w:val="434468E3"/>
    <w:rsid w:val="434740DF"/>
    <w:rsid w:val="43702F93"/>
    <w:rsid w:val="43A50C96"/>
    <w:rsid w:val="44324618"/>
    <w:rsid w:val="4482594F"/>
    <w:rsid w:val="44994F4D"/>
    <w:rsid w:val="44A31ACC"/>
    <w:rsid w:val="44A51573"/>
    <w:rsid w:val="44D26B54"/>
    <w:rsid w:val="453916BC"/>
    <w:rsid w:val="45CE7C4C"/>
    <w:rsid w:val="45EC5FEB"/>
    <w:rsid w:val="45F736A5"/>
    <w:rsid w:val="4633099A"/>
    <w:rsid w:val="464C751F"/>
    <w:rsid w:val="468F7DA0"/>
    <w:rsid w:val="469B3F7E"/>
    <w:rsid w:val="46B03499"/>
    <w:rsid w:val="4700503B"/>
    <w:rsid w:val="4706696D"/>
    <w:rsid w:val="47113037"/>
    <w:rsid w:val="47382FD8"/>
    <w:rsid w:val="47580E71"/>
    <w:rsid w:val="475A1B60"/>
    <w:rsid w:val="47601C7A"/>
    <w:rsid w:val="477F7281"/>
    <w:rsid w:val="47860733"/>
    <w:rsid w:val="47AC6AEF"/>
    <w:rsid w:val="47AD3A66"/>
    <w:rsid w:val="47DB462B"/>
    <w:rsid w:val="47DF64A0"/>
    <w:rsid w:val="484D49E3"/>
    <w:rsid w:val="486855A2"/>
    <w:rsid w:val="488E614C"/>
    <w:rsid w:val="48D272BD"/>
    <w:rsid w:val="48D84475"/>
    <w:rsid w:val="48DC2D1A"/>
    <w:rsid w:val="49105682"/>
    <w:rsid w:val="49241999"/>
    <w:rsid w:val="492B1DFC"/>
    <w:rsid w:val="494E1741"/>
    <w:rsid w:val="49553D12"/>
    <w:rsid w:val="49812CF9"/>
    <w:rsid w:val="49BD27D9"/>
    <w:rsid w:val="49C32606"/>
    <w:rsid w:val="49E015C9"/>
    <w:rsid w:val="49FF228D"/>
    <w:rsid w:val="4A130A8B"/>
    <w:rsid w:val="4A3272C2"/>
    <w:rsid w:val="4A483989"/>
    <w:rsid w:val="4A64250C"/>
    <w:rsid w:val="4A842482"/>
    <w:rsid w:val="4A8516D8"/>
    <w:rsid w:val="4AA738E0"/>
    <w:rsid w:val="4AAD6B93"/>
    <w:rsid w:val="4AD01E1A"/>
    <w:rsid w:val="4AE471B2"/>
    <w:rsid w:val="4AFC3E8E"/>
    <w:rsid w:val="4B104096"/>
    <w:rsid w:val="4B4B7FC2"/>
    <w:rsid w:val="4B5E26CE"/>
    <w:rsid w:val="4B7029A1"/>
    <w:rsid w:val="4B76791F"/>
    <w:rsid w:val="4B790541"/>
    <w:rsid w:val="4BAB5143"/>
    <w:rsid w:val="4BD14024"/>
    <w:rsid w:val="4BE25377"/>
    <w:rsid w:val="4BE531E0"/>
    <w:rsid w:val="4BF90FA4"/>
    <w:rsid w:val="4C017A1F"/>
    <w:rsid w:val="4C153395"/>
    <w:rsid w:val="4C5207AE"/>
    <w:rsid w:val="4C673746"/>
    <w:rsid w:val="4C8A628E"/>
    <w:rsid w:val="4C9832A8"/>
    <w:rsid w:val="4C9E7A67"/>
    <w:rsid w:val="4CA76709"/>
    <w:rsid w:val="4CAC7D76"/>
    <w:rsid w:val="4CBD53AE"/>
    <w:rsid w:val="4CC1763A"/>
    <w:rsid w:val="4CDE6559"/>
    <w:rsid w:val="4D046728"/>
    <w:rsid w:val="4D1206BF"/>
    <w:rsid w:val="4D241E6C"/>
    <w:rsid w:val="4D6F3BD9"/>
    <w:rsid w:val="4DB42D30"/>
    <w:rsid w:val="4DD25292"/>
    <w:rsid w:val="4DD80D90"/>
    <w:rsid w:val="4E042104"/>
    <w:rsid w:val="4E347E75"/>
    <w:rsid w:val="4E4933C2"/>
    <w:rsid w:val="4E732275"/>
    <w:rsid w:val="4E8107AF"/>
    <w:rsid w:val="4EAB6BC8"/>
    <w:rsid w:val="4EB421C5"/>
    <w:rsid w:val="4EE26404"/>
    <w:rsid w:val="4F673EE8"/>
    <w:rsid w:val="4F9A5001"/>
    <w:rsid w:val="4FB71475"/>
    <w:rsid w:val="4FF02F67"/>
    <w:rsid w:val="500E5EDD"/>
    <w:rsid w:val="501F49B5"/>
    <w:rsid w:val="50646D64"/>
    <w:rsid w:val="50880CED"/>
    <w:rsid w:val="50BA3053"/>
    <w:rsid w:val="50FB4DD1"/>
    <w:rsid w:val="5100469E"/>
    <w:rsid w:val="512B7592"/>
    <w:rsid w:val="51846EA7"/>
    <w:rsid w:val="51D97A8B"/>
    <w:rsid w:val="51E34EB8"/>
    <w:rsid w:val="51EA4CB7"/>
    <w:rsid w:val="51F80C95"/>
    <w:rsid w:val="521A20C4"/>
    <w:rsid w:val="52210A86"/>
    <w:rsid w:val="522B6251"/>
    <w:rsid w:val="52496310"/>
    <w:rsid w:val="526007CC"/>
    <w:rsid w:val="52867736"/>
    <w:rsid w:val="52BE76AE"/>
    <w:rsid w:val="52CE5E95"/>
    <w:rsid w:val="52CF4419"/>
    <w:rsid w:val="530653DD"/>
    <w:rsid w:val="53124DA1"/>
    <w:rsid w:val="53396C24"/>
    <w:rsid w:val="535F6287"/>
    <w:rsid w:val="536153F0"/>
    <w:rsid w:val="53A10A0B"/>
    <w:rsid w:val="53F378D8"/>
    <w:rsid w:val="540F129D"/>
    <w:rsid w:val="543742FB"/>
    <w:rsid w:val="543E2E38"/>
    <w:rsid w:val="54A46F6D"/>
    <w:rsid w:val="54D96004"/>
    <w:rsid w:val="55070ABE"/>
    <w:rsid w:val="557634E1"/>
    <w:rsid w:val="55A434E9"/>
    <w:rsid w:val="55D26BC3"/>
    <w:rsid w:val="55D62BEA"/>
    <w:rsid w:val="55E768BD"/>
    <w:rsid w:val="55EB37A1"/>
    <w:rsid w:val="55F5392F"/>
    <w:rsid w:val="55F932BC"/>
    <w:rsid w:val="5675402A"/>
    <w:rsid w:val="56827C3F"/>
    <w:rsid w:val="56B224C0"/>
    <w:rsid w:val="56CF6ACB"/>
    <w:rsid w:val="56EE42B6"/>
    <w:rsid w:val="5708400C"/>
    <w:rsid w:val="57183A74"/>
    <w:rsid w:val="573568EA"/>
    <w:rsid w:val="57773C92"/>
    <w:rsid w:val="57D1293C"/>
    <w:rsid w:val="57F95C2A"/>
    <w:rsid w:val="580C1DB1"/>
    <w:rsid w:val="582820C3"/>
    <w:rsid w:val="582A6D65"/>
    <w:rsid w:val="585C558C"/>
    <w:rsid w:val="587956F9"/>
    <w:rsid w:val="58A73AA6"/>
    <w:rsid w:val="58B05894"/>
    <w:rsid w:val="58B23052"/>
    <w:rsid w:val="58B81054"/>
    <w:rsid w:val="58BD53FE"/>
    <w:rsid w:val="58BF4FB7"/>
    <w:rsid w:val="58DD0CFA"/>
    <w:rsid w:val="58F4663F"/>
    <w:rsid w:val="58F97626"/>
    <w:rsid w:val="590C3076"/>
    <w:rsid w:val="59160132"/>
    <w:rsid w:val="59D85F30"/>
    <w:rsid w:val="59DD0C9A"/>
    <w:rsid w:val="59E74A49"/>
    <w:rsid w:val="59F34B37"/>
    <w:rsid w:val="59F55317"/>
    <w:rsid w:val="5A075E63"/>
    <w:rsid w:val="5A27573A"/>
    <w:rsid w:val="5A3E0EA1"/>
    <w:rsid w:val="5A4859E7"/>
    <w:rsid w:val="5A626EC9"/>
    <w:rsid w:val="5A8A1B4A"/>
    <w:rsid w:val="5AB61869"/>
    <w:rsid w:val="5ACF7E5C"/>
    <w:rsid w:val="5AF412E4"/>
    <w:rsid w:val="5B070BCF"/>
    <w:rsid w:val="5B203A22"/>
    <w:rsid w:val="5B527993"/>
    <w:rsid w:val="5B5C27B8"/>
    <w:rsid w:val="5B6670B3"/>
    <w:rsid w:val="5B693B9A"/>
    <w:rsid w:val="5B6B11E9"/>
    <w:rsid w:val="5B836D4E"/>
    <w:rsid w:val="5B8B6370"/>
    <w:rsid w:val="5B936B97"/>
    <w:rsid w:val="5B991D26"/>
    <w:rsid w:val="5BB115A2"/>
    <w:rsid w:val="5C1215B5"/>
    <w:rsid w:val="5C244D6B"/>
    <w:rsid w:val="5C290845"/>
    <w:rsid w:val="5C5950DF"/>
    <w:rsid w:val="5C5B3977"/>
    <w:rsid w:val="5C6717BA"/>
    <w:rsid w:val="5C746B0B"/>
    <w:rsid w:val="5CD61CA4"/>
    <w:rsid w:val="5CD83630"/>
    <w:rsid w:val="5CE94DC2"/>
    <w:rsid w:val="5CFC3977"/>
    <w:rsid w:val="5D0B50EF"/>
    <w:rsid w:val="5D337CB5"/>
    <w:rsid w:val="5D853F16"/>
    <w:rsid w:val="5DBB5C9E"/>
    <w:rsid w:val="5DBC2570"/>
    <w:rsid w:val="5E136AA0"/>
    <w:rsid w:val="5E2B2E38"/>
    <w:rsid w:val="5E2C3333"/>
    <w:rsid w:val="5E493798"/>
    <w:rsid w:val="5E586243"/>
    <w:rsid w:val="5E857D72"/>
    <w:rsid w:val="5E9B6FE6"/>
    <w:rsid w:val="5EB10408"/>
    <w:rsid w:val="5EC05A92"/>
    <w:rsid w:val="5EFD0E59"/>
    <w:rsid w:val="5F6931E6"/>
    <w:rsid w:val="5F7F1EE1"/>
    <w:rsid w:val="5F8C37BC"/>
    <w:rsid w:val="5FBB25F2"/>
    <w:rsid w:val="5FD92ADA"/>
    <w:rsid w:val="5FFB0B07"/>
    <w:rsid w:val="5FFE4F54"/>
    <w:rsid w:val="60560594"/>
    <w:rsid w:val="60611414"/>
    <w:rsid w:val="606176D2"/>
    <w:rsid w:val="60675F17"/>
    <w:rsid w:val="609A4B7B"/>
    <w:rsid w:val="61073138"/>
    <w:rsid w:val="61123463"/>
    <w:rsid w:val="618E1A80"/>
    <w:rsid w:val="61BF5B31"/>
    <w:rsid w:val="61F558B8"/>
    <w:rsid w:val="622D3443"/>
    <w:rsid w:val="62552982"/>
    <w:rsid w:val="62B123E4"/>
    <w:rsid w:val="62CD5C45"/>
    <w:rsid w:val="62D77A7F"/>
    <w:rsid w:val="62D850B9"/>
    <w:rsid w:val="630729D5"/>
    <w:rsid w:val="630D32AE"/>
    <w:rsid w:val="63A26CEB"/>
    <w:rsid w:val="63C56A23"/>
    <w:rsid w:val="63D76A9D"/>
    <w:rsid w:val="63F754F8"/>
    <w:rsid w:val="6474067C"/>
    <w:rsid w:val="649A7FE9"/>
    <w:rsid w:val="64CC496B"/>
    <w:rsid w:val="65174E17"/>
    <w:rsid w:val="651F09DF"/>
    <w:rsid w:val="652210EB"/>
    <w:rsid w:val="65794350"/>
    <w:rsid w:val="657D6472"/>
    <w:rsid w:val="659B6673"/>
    <w:rsid w:val="65C64580"/>
    <w:rsid w:val="66525880"/>
    <w:rsid w:val="66765696"/>
    <w:rsid w:val="669E66EB"/>
    <w:rsid w:val="66C95744"/>
    <w:rsid w:val="66E41FBE"/>
    <w:rsid w:val="66FB57CC"/>
    <w:rsid w:val="67090F98"/>
    <w:rsid w:val="673E4D9C"/>
    <w:rsid w:val="6740356B"/>
    <w:rsid w:val="67476CC8"/>
    <w:rsid w:val="675B2A11"/>
    <w:rsid w:val="67757E4A"/>
    <w:rsid w:val="679A5C28"/>
    <w:rsid w:val="67BA4A3A"/>
    <w:rsid w:val="67CF2170"/>
    <w:rsid w:val="67EC7A26"/>
    <w:rsid w:val="68143F2C"/>
    <w:rsid w:val="681F7678"/>
    <w:rsid w:val="68623565"/>
    <w:rsid w:val="686F3462"/>
    <w:rsid w:val="687A5204"/>
    <w:rsid w:val="687C48AE"/>
    <w:rsid w:val="68A74C99"/>
    <w:rsid w:val="68DB777F"/>
    <w:rsid w:val="68FD4E3A"/>
    <w:rsid w:val="6949590D"/>
    <w:rsid w:val="699026AD"/>
    <w:rsid w:val="69C26914"/>
    <w:rsid w:val="69CF6211"/>
    <w:rsid w:val="69E37B94"/>
    <w:rsid w:val="69E67729"/>
    <w:rsid w:val="6A4E42A1"/>
    <w:rsid w:val="6A632AD3"/>
    <w:rsid w:val="6A84509B"/>
    <w:rsid w:val="6A9816E9"/>
    <w:rsid w:val="6AA354C6"/>
    <w:rsid w:val="6ACC5319"/>
    <w:rsid w:val="6AD4151A"/>
    <w:rsid w:val="6ADD6771"/>
    <w:rsid w:val="6B083E55"/>
    <w:rsid w:val="6B57005C"/>
    <w:rsid w:val="6B8D3927"/>
    <w:rsid w:val="6B9B0681"/>
    <w:rsid w:val="6BB97111"/>
    <w:rsid w:val="6BCA6B66"/>
    <w:rsid w:val="6BD10292"/>
    <w:rsid w:val="6BD65086"/>
    <w:rsid w:val="6BDF6D43"/>
    <w:rsid w:val="6BE94CB0"/>
    <w:rsid w:val="6C247E67"/>
    <w:rsid w:val="6C427A82"/>
    <w:rsid w:val="6C595E57"/>
    <w:rsid w:val="6C630F37"/>
    <w:rsid w:val="6CA9025A"/>
    <w:rsid w:val="6CB564E8"/>
    <w:rsid w:val="6CB75BD6"/>
    <w:rsid w:val="6D045E4A"/>
    <w:rsid w:val="6D2E2594"/>
    <w:rsid w:val="6D2E55EA"/>
    <w:rsid w:val="6D364A56"/>
    <w:rsid w:val="6D507883"/>
    <w:rsid w:val="6DA901DD"/>
    <w:rsid w:val="6DAC3F16"/>
    <w:rsid w:val="6DC7239F"/>
    <w:rsid w:val="6DCF1523"/>
    <w:rsid w:val="6DE53954"/>
    <w:rsid w:val="6E2D7AEA"/>
    <w:rsid w:val="6E3B732E"/>
    <w:rsid w:val="6E437F85"/>
    <w:rsid w:val="6E4A2FA7"/>
    <w:rsid w:val="6E960A18"/>
    <w:rsid w:val="6ED07527"/>
    <w:rsid w:val="6F2F3B72"/>
    <w:rsid w:val="6F9C7DC6"/>
    <w:rsid w:val="6F9E17FF"/>
    <w:rsid w:val="6FA04405"/>
    <w:rsid w:val="6FC43F1A"/>
    <w:rsid w:val="6FEE3B27"/>
    <w:rsid w:val="6FFB4E81"/>
    <w:rsid w:val="70095140"/>
    <w:rsid w:val="701B26B0"/>
    <w:rsid w:val="701E56C1"/>
    <w:rsid w:val="70457740"/>
    <w:rsid w:val="70505934"/>
    <w:rsid w:val="706636AD"/>
    <w:rsid w:val="708320B8"/>
    <w:rsid w:val="70A52F0F"/>
    <w:rsid w:val="70BF6EAC"/>
    <w:rsid w:val="715B6DF0"/>
    <w:rsid w:val="716A74FE"/>
    <w:rsid w:val="71983FCC"/>
    <w:rsid w:val="71BE2868"/>
    <w:rsid w:val="71C70D0F"/>
    <w:rsid w:val="71C77393"/>
    <w:rsid w:val="71DA62D5"/>
    <w:rsid w:val="72544AD5"/>
    <w:rsid w:val="72834686"/>
    <w:rsid w:val="72BA37D1"/>
    <w:rsid w:val="72F04A82"/>
    <w:rsid w:val="72F6284E"/>
    <w:rsid w:val="73111840"/>
    <w:rsid w:val="732F5CE0"/>
    <w:rsid w:val="735F7A76"/>
    <w:rsid w:val="737C5636"/>
    <w:rsid w:val="73A020F1"/>
    <w:rsid w:val="73AB3864"/>
    <w:rsid w:val="73C734EC"/>
    <w:rsid w:val="73D72D54"/>
    <w:rsid w:val="749C342F"/>
    <w:rsid w:val="74A32466"/>
    <w:rsid w:val="74C20CC9"/>
    <w:rsid w:val="74D55F45"/>
    <w:rsid w:val="75213D60"/>
    <w:rsid w:val="75267B08"/>
    <w:rsid w:val="755406ED"/>
    <w:rsid w:val="756A1ED5"/>
    <w:rsid w:val="762B3711"/>
    <w:rsid w:val="763E33FE"/>
    <w:rsid w:val="765366C0"/>
    <w:rsid w:val="766C579E"/>
    <w:rsid w:val="76742C90"/>
    <w:rsid w:val="76820CCA"/>
    <w:rsid w:val="76A6708F"/>
    <w:rsid w:val="76C94304"/>
    <w:rsid w:val="76E01314"/>
    <w:rsid w:val="76F07D7C"/>
    <w:rsid w:val="77083036"/>
    <w:rsid w:val="77107791"/>
    <w:rsid w:val="7717199B"/>
    <w:rsid w:val="771A59E0"/>
    <w:rsid w:val="77262FA1"/>
    <w:rsid w:val="77AB5277"/>
    <w:rsid w:val="77D2588A"/>
    <w:rsid w:val="77FE601B"/>
    <w:rsid w:val="780073C7"/>
    <w:rsid w:val="781D210F"/>
    <w:rsid w:val="783F6CF0"/>
    <w:rsid w:val="784B0D1B"/>
    <w:rsid w:val="788F230F"/>
    <w:rsid w:val="78E44E0B"/>
    <w:rsid w:val="78EA2843"/>
    <w:rsid w:val="79170E28"/>
    <w:rsid w:val="795C052D"/>
    <w:rsid w:val="796E5DDD"/>
    <w:rsid w:val="798551A7"/>
    <w:rsid w:val="79A00331"/>
    <w:rsid w:val="79B867A5"/>
    <w:rsid w:val="79BC6710"/>
    <w:rsid w:val="79D9246E"/>
    <w:rsid w:val="79F958D3"/>
    <w:rsid w:val="7A092DFE"/>
    <w:rsid w:val="7A4C292E"/>
    <w:rsid w:val="7AB76F30"/>
    <w:rsid w:val="7ABD2964"/>
    <w:rsid w:val="7AD83B23"/>
    <w:rsid w:val="7B092A56"/>
    <w:rsid w:val="7B1866B0"/>
    <w:rsid w:val="7B26545E"/>
    <w:rsid w:val="7B3576ED"/>
    <w:rsid w:val="7B3C0F81"/>
    <w:rsid w:val="7B5E07DF"/>
    <w:rsid w:val="7BB267C4"/>
    <w:rsid w:val="7C260C58"/>
    <w:rsid w:val="7C381B91"/>
    <w:rsid w:val="7C6F6035"/>
    <w:rsid w:val="7D0A4DD0"/>
    <w:rsid w:val="7D29035F"/>
    <w:rsid w:val="7DC20FD0"/>
    <w:rsid w:val="7DD97376"/>
    <w:rsid w:val="7DDA3C6D"/>
    <w:rsid w:val="7DDD3DB1"/>
    <w:rsid w:val="7E2F79DD"/>
    <w:rsid w:val="7E4B6D51"/>
    <w:rsid w:val="7E897169"/>
    <w:rsid w:val="7F04182C"/>
    <w:rsid w:val="7F0471AE"/>
    <w:rsid w:val="7F3B2034"/>
    <w:rsid w:val="7F435AE3"/>
    <w:rsid w:val="7F49525D"/>
    <w:rsid w:val="7F6902E1"/>
    <w:rsid w:val="7F697FDE"/>
    <w:rsid w:val="7F716C7F"/>
    <w:rsid w:val="7FA32FAB"/>
    <w:rsid w:val="7FB46227"/>
    <w:rsid w:val="7FC43A73"/>
    <w:rsid w:val="7FE172A2"/>
    <w:rsid w:val="B6EED05B"/>
    <w:rsid w:val="ED5CF7A1"/>
    <w:rsid w:val="FAAFBF60"/>
    <w:rsid w:val="FBF647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rPr>
      <w:sz w:val="32"/>
      <w:szCs w:val="32"/>
    </w:rPr>
  </w:style>
  <w:style w:type="paragraph" w:styleId="4">
    <w:name w:val="footer"/>
    <w:basedOn w:val="1"/>
    <w:qFormat/>
    <w:uiPriority w:val="0"/>
    <w:pPr>
      <w:tabs>
        <w:tab w:val="center" w:pos="4153"/>
        <w:tab w:val="right" w:pos="8306"/>
      </w:tabs>
      <w:snapToGrid w:val="0"/>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0">
    <w:name w:val="List Paragraph"/>
    <w:basedOn w:val="1"/>
    <w:qFormat/>
    <w:uiPriority w:val="34"/>
    <w:pPr>
      <w:ind w:firstLine="420" w:firstLineChars="200"/>
    </w:pPr>
  </w:style>
  <w:style w:type="character" w:customStyle="1" w:styleId="11">
    <w:name w:val="页脚 字符"/>
    <w:basedOn w:val="8"/>
    <w:qFormat/>
    <w:uiPriority w:val="0"/>
    <w:rPr>
      <w:rFonts w:ascii="Arial Unicode MS" w:hAnsi="Arial Unicode MS" w:eastAsia="Arial Unicode MS" w:cs="Arial Unicode MS"/>
      <w:sz w:val="18"/>
      <w:szCs w:val="18"/>
      <w:lang w:val="zh-CN" w:bidi="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33</Pages>
  <Words>7320</Words>
  <Characters>8645</Characters>
  <Lines>0</Lines>
  <Paragraphs>0</Paragraphs>
  <TotalTime>1</TotalTime>
  <ScaleCrop>false</ScaleCrop>
  <LinksUpToDate>false</LinksUpToDate>
  <CharactersWithSpaces>8933</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2021-08-31T09:09:00Z</dcterms:created>
  <dc:creator>Administrator</dc:creator>
  <cp:lastModifiedBy>lenovo</cp:lastModifiedBy>
  <dcterms:modified xsi:type="dcterms:W3CDTF">2026-07-08T10:00:59Z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678D41E0682E48ACA4CA9D513D25EC64</vt:lpwstr>
  </property>
</Properties>
</file>