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5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5" w:hRule="atLeast"/>
        </w:trPr>
        <w:tc>
          <w:tcPr>
            <w:tcW w:w="8522" w:type="dxa"/>
          </w:tcPr>
          <w:p>
            <w:pPr>
              <w:pStyle w:val="3"/>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b/>
                <w:bCs/>
                <w:color w:val="FF0000"/>
                <w:sz w:val="22"/>
                <w:szCs w:val="22"/>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2" w:hRule="atLeast"/>
        </w:trPr>
        <w:tc>
          <w:tcPr>
            <w:tcW w:w="8522" w:type="dxa"/>
          </w:tcPr>
          <w:p>
            <w:pPr>
              <w:pStyle w:val="9"/>
              <w:jc w:val="center"/>
              <w:rPr>
                <w:rFonts w:hint="eastAsia" w:ascii="宋体" w:hAnsi="宋体" w:eastAsia="宋体" w:cs="宋体"/>
                <w:b/>
                <w:bCs/>
                <w:sz w:val="52"/>
                <w:szCs w:val="52"/>
                <w:lang w:val="en-US" w:eastAsia="zh-CN"/>
              </w:rPr>
            </w:pPr>
            <w:r>
              <w:rPr>
                <w:rFonts w:hint="eastAsia" w:ascii="宋体" w:hAnsi="宋体" w:eastAsia="宋体" w:cs="宋体"/>
                <w:b/>
                <w:bCs/>
                <w:sz w:val="52"/>
                <w:szCs w:val="52"/>
                <w:lang w:val="en-US" w:eastAsia="zh-CN"/>
              </w:rPr>
              <w:t>2020年度</w:t>
            </w:r>
          </w:p>
          <w:p>
            <w:pPr>
              <w:pStyle w:val="9"/>
              <w:jc w:val="center"/>
              <w:rPr>
                <w:rFonts w:hint="default" w:ascii="宋体" w:hAnsi="宋体" w:eastAsia="宋体" w:cs="宋体"/>
                <w:b/>
                <w:bCs/>
                <w:sz w:val="52"/>
                <w:szCs w:val="52"/>
                <w:lang w:val="en-US" w:eastAsia="zh-CN"/>
              </w:rPr>
            </w:pPr>
            <w:r>
              <w:rPr>
                <w:rFonts w:hint="default" w:ascii="宋体" w:hAnsi="宋体" w:eastAsia="宋体" w:cs="宋体"/>
                <w:b/>
                <w:bCs/>
                <w:sz w:val="52"/>
                <w:szCs w:val="52"/>
                <w:lang w:val="en-US" w:eastAsia="zh-CN"/>
              </w:rPr>
              <w:t>中方县桐木镇中学</w:t>
            </w:r>
            <w:r>
              <w:rPr>
                <w:rFonts w:ascii="宋体" w:hAnsi="宋体" w:eastAsia="宋体" w:cs="宋体"/>
                <w:b/>
                <w:sz w:val="52"/>
              </w:rPr>
              <w:t>单位</w:t>
            </w:r>
            <w:r>
              <w:rPr>
                <w:rFonts w:hint="eastAsia" w:ascii="宋体" w:hAnsi="宋体" w:eastAsia="宋体" w:cs="宋体"/>
                <w:b/>
                <w:bCs/>
                <w:sz w:val="52"/>
                <w:szCs w:val="52"/>
                <w:lang w:val="en-US" w:eastAsia="zh-CN"/>
              </w:rPr>
              <w:t>决算</w:t>
            </w:r>
          </w:p>
          <w:p>
            <w:pPr>
              <w:pStyle w:val="9"/>
              <w:jc w:val="center"/>
              <w:rPr>
                <w:rFonts w:hint="default" w:ascii="宋体" w:hAnsi="宋体" w:eastAsia="宋体" w:cs="宋体"/>
                <w:b/>
                <w:bCs/>
                <w:sz w:val="52"/>
                <w:szCs w:val="52"/>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32" w:hRule="atLeast"/>
        </w:trPr>
        <w:tc>
          <w:tcPr>
            <w:tcW w:w="8522" w:type="dxa"/>
          </w:tcPr>
          <w:p>
            <w:pPr>
              <w:pStyle w:val="9"/>
              <w:jc w:val="both"/>
              <w:rPr>
                <w:rFonts w:hint="eastAsia"/>
                <w:sz w:val="44"/>
                <w:szCs w:val="44"/>
                <w:vertAlign w:val="baseline"/>
                <w:lang w:val="en-US" w:eastAsia="zh-CN"/>
              </w:rPr>
            </w:pPr>
          </w:p>
        </w:tc>
      </w:tr>
    </w:tbl>
    <w:p>
      <w:pPr>
        <w:pStyle w:val="9"/>
        <w:rPr>
          <w:rFonts w:hint="eastAsia"/>
          <w:sz w:val="32"/>
          <w:szCs w:val="32"/>
        </w:rPr>
        <w:sectPr>
          <w:headerReference r:id="rId3" w:type="default"/>
          <w:footerReference r:id="rId4" w:type="default"/>
          <w:pgSz w:w="11906" w:h="16838"/>
          <w:pgMar w:top="1440" w:right="1800" w:bottom="1440" w:left="1800" w:header="851" w:footer="992" w:gutter="0"/>
          <w:pgNumType w:fmt="numberInDash"/>
          <w:cols w:space="425" w:num="1"/>
          <w:docGrid w:type="lines" w:linePitch="312" w:charSpace="0"/>
        </w:sectPr>
      </w:pPr>
    </w:p>
    <w:p>
      <w:pPr>
        <w:pStyle w:val="9"/>
        <w:spacing w:line="500" w:lineRule="exact"/>
        <w:jc w:val="center"/>
        <w:rPr>
          <w:rFonts w:hint="eastAsia" w:ascii="仿宋" w:hAnsi="仿宋" w:eastAsia="仿宋" w:cs="仿宋"/>
          <w:b/>
          <w:sz w:val="32"/>
          <w:szCs w:val="32"/>
        </w:rPr>
      </w:pPr>
      <w:r>
        <w:rPr>
          <w:rFonts w:hint="eastAsia" w:ascii="仿宋" w:hAnsi="仿宋" w:eastAsia="仿宋" w:cs="仿宋"/>
          <w:b/>
          <w:sz w:val="32"/>
          <w:szCs w:val="32"/>
        </w:rPr>
        <w:t>目录</w:t>
      </w:r>
    </w:p>
    <w:p>
      <w:pPr>
        <w:pStyle w:val="9"/>
        <w:keepNext w:val="0"/>
        <w:keepLines w:val="0"/>
        <w:pageBreakBefore w:val="0"/>
        <w:widowControl w:val="0"/>
        <w:kinsoku/>
        <w:wordWrap/>
        <w:overflowPunct/>
        <w:topLinePunct w:val="0"/>
        <w:bidi w:val="0"/>
        <w:adjustRightInd/>
        <w:snapToGrid/>
        <w:spacing w:line="440" w:lineRule="exact"/>
        <w:textAlignment w:val="auto"/>
        <w:rPr>
          <w:rFonts w:hint="eastAsia" w:ascii="仿宋" w:hAnsi="仿宋" w:eastAsia="仿宋" w:cs="仿宋"/>
          <w:b/>
          <w:sz w:val="28"/>
          <w:szCs w:val="28"/>
        </w:rPr>
      </w:pPr>
      <w:r>
        <w:rPr>
          <w:rFonts w:hint="eastAsia" w:ascii="仿宋" w:hAnsi="仿宋" w:eastAsia="仿宋" w:cs="仿宋"/>
          <w:b/>
          <w:sz w:val="28"/>
          <w:szCs w:val="28"/>
        </w:rPr>
        <w:t>第一部分</w:t>
      </w:r>
      <w:r>
        <w:rPr>
          <w:rFonts w:ascii="仿宋" w:hAnsi="仿宋" w:eastAsia="仿宋" w:cs="仿宋"/>
          <w:b/>
          <w:sz w:val="28"/>
        </w:rPr>
        <w:t>中方县桐木镇中学单位概况</w:t>
      </w:r>
    </w:p>
    <w:p>
      <w:pPr>
        <w:pStyle w:val="9"/>
        <w:keepNext w:val="0"/>
        <w:keepLines w:val="0"/>
        <w:pageBreakBefore w:val="0"/>
        <w:widowControl w:val="0"/>
        <w:kinsoku/>
        <w:wordWrap/>
        <w:overflowPunct/>
        <w:topLinePunct w:val="0"/>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一、</w:t>
      </w:r>
      <w:r>
        <w:rPr>
          <w:rFonts w:ascii="仿宋" w:hAnsi="仿宋" w:eastAsia="仿宋" w:cs="仿宋"/>
          <w:sz w:val="28"/>
        </w:rPr>
        <w:t>单位职责</w:t>
      </w:r>
    </w:p>
    <w:p>
      <w:pPr>
        <w:pStyle w:val="9"/>
        <w:keepNext w:val="0"/>
        <w:keepLines w:val="0"/>
        <w:pageBreakBefore w:val="0"/>
        <w:widowControl w:val="0"/>
        <w:kinsoku/>
        <w:wordWrap/>
        <w:overflowPunct/>
        <w:topLinePunct w:val="0"/>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二、机构设置</w:t>
      </w:r>
    </w:p>
    <w:p>
      <w:pPr>
        <w:pStyle w:val="9"/>
        <w:keepNext w:val="0"/>
        <w:keepLines w:val="0"/>
        <w:pageBreakBefore w:val="0"/>
        <w:widowControl w:val="0"/>
        <w:kinsoku/>
        <w:wordWrap/>
        <w:overflowPunct/>
        <w:topLinePunct w:val="0"/>
        <w:bidi w:val="0"/>
        <w:adjustRightInd/>
        <w:snapToGrid/>
        <w:spacing w:line="440" w:lineRule="exact"/>
        <w:textAlignment w:val="auto"/>
        <w:rPr>
          <w:rFonts w:hint="eastAsia" w:ascii="仿宋" w:hAnsi="仿宋" w:eastAsia="仿宋" w:cs="仿宋"/>
          <w:b/>
          <w:sz w:val="28"/>
          <w:szCs w:val="28"/>
        </w:rPr>
      </w:pPr>
      <w:r>
        <w:rPr>
          <w:rFonts w:hint="eastAsia" w:ascii="仿宋" w:hAnsi="仿宋" w:eastAsia="仿宋" w:cs="仿宋"/>
          <w:b/>
          <w:sz w:val="28"/>
          <w:szCs w:val="28"/>
        </w:rPr>
        <w:t>第二部分2020年度部门决算表</w:t>
      </w:r>
    </w:p>
    <w:p>
      <w:pPr>
        <w:pStyle w:val="9"/>
        <w:keepNext w:val="0"/>
        <w:keepLines w:val="0"/>
        <w:pageBreakBefore w:val="0"/>
        <w:widowControl w:val="0"/>
        <w:kinsoku/>
        <w:wordWrap/>
        <w:overflowPunct/>
        <w:topLinePunct w:val="0"/>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一、收入支出决算总表</w:t>
      </w:r>
    </w:p>
    <w:p>
      <w:pPr>
        <w:pStyle w:val="9"/>
        <w:keepNext w:val="0"/>
        <w:keepLines w:val="0"/>
        <w:pageBreakBefore w:val="0"/>
        <w:widowControl w:val="0"/>
        <w:kinsoku/>
        <w:wordWrap/>
        <w:overflowPunct/>
        <w:topLinePunct w:val="0"/>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二、收入决算表</w:t>
      </w:r>
    </w:p>
    <w:p>
      <w:pPr>
        <w:pStyle w:val="9"/>
        <w:keepNext w:val="0"/>
        <w:keepLines w:val="0"/>
        <w:pageBreakBefore w:val="0"/>
        <w:widowControl w:val="0"/>
        <w:kinsoku/>
        <w:wordWrap/>
        <w:overflowPunct/>
        <w:topLinePunct w:val="0"/>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三、支出决算表</w:t>
      </w:r>
    </w:p>
    <w:p>
      <w:pPr>
        <w:pStyle w:val="9"/>
        <w:keepNext w:val="0"/>
        <w:keepLines w:val="0"/>
        <w:pageBreakBefore w:val="0"/>
        <w:widowControl w:val="0"/>
        <w:kinsoku/>
        <w:wordWrap/>
        <w:overflowPunct/>
        <w:topLinePunct w:val="0"/>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四、财政拨款收入支出决算总表</w:t>
      </w:r>
    </w:p>
    <w:p>
      <w:pPr>
        <w:pStyle w:val="9"/>
        <w:keepNext w:val="0"/>
        <w:keepLines w:val="0"/>
        <w:pageBreakBefore w:val="0"/>
        <w:widowControl w:val="0"/>
        <w:kinsoku/>
        <w:wordWrap/>
        <w:overflowPunct/>
        <w:topLinePunct w:val="0"/>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五、一般公共预算财政拨款支出决算表</w:t>
      </w:r>
    </w:p>
    <w:p>
      <w:pPr>
        <w:pStyle w:val="9"/>
        <w:keepNext w:val="0"/>
        <w:keepLines w:val="0"/>
        <w:pageBreakBefore w:val="0"/>
        <w:widowControl w:val="0"/>
        <w:kinsoku/>
        <w:wordWrap/>
        <w:overflowPunct/>
        <w:topLinePunct w:val="0"/>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六、一般公共预算财政拨款基本支出决算表</w:t>
      </w:r>
    </w:p>
    <w:p>
      <w:pPr>
        <w:pStyle w:val="9"/>
        <w:keepNext w:val="0"/>
        <w:keepLines w:val="0"/>
        <w:pageBreakBefore w:val="0"/>
        <w:widowControl w:val="0"/>
        <w:kinsoku/>
        <w:wordWrap/>
        <w:overflowPunct/>
        <w:topLinePunct w:val="0"/>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七、一般公共预算财政拨款“三公”经费支出决算表</w:t>
      </w:r>
    </w:p>
    <w:p>
      <w:pPr>
        <w:pStyle w:val="9"/>
        <w:keepNext w:val="0"/>
        <w:keepLines w:val="0"/>
        <w:pageBreakBefore w:val="0"/>
        <w:widowControl w:val="0"/>
        <w:kinsoku/>
        <w:wordWrap/>
        <w:overflowPunct/>
        <w:topLinePunct w:val="0"/>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八、政府性基金预算财政拨款收入支出决算表</w:t>
      </w:r>
    </w:p>
    <w:p>
      <w:pPr>
        <w:pStyle w:val="9"/>
        <w:keepNext w:val="0"/>
        <w:keepLines w:val="0"/>
        <w:pageBreakBefore w:val="0"/>
        <w:widowControl w:val="0"/>
        <w:kinsoku/>
        <w:wordWrap/>
        <w:overflowPunct/>
        <w:topLinePunct w:val="0"/>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九、国有资本经营预算财政拨款支出决算表</w:t>
      </w:r>
    </w:p>
    <w:p>
      <w:pPr>
        <w:pStyle w:val="9"/>
        <w:keepNext w:val="0"/>
        <w:keepLines w:val="0"/>
        <w:pageBreakBefore w:val="0"/>
        <w:widowControl w:val="0"/>
        <w:kinsoku/>
        <w:wordWrap/>
        <w:overflowPunct/>
        <w:topLinePunct w:val="0"/>
        <w:bidi w:val="0"/>
        <w:adjustRightInd/>
        <w:snapToGrid/>
        <w:spacing w:line="440" w:lineRule="exact"/>
        <w:textAlignment w:val="auto"/>
        <w:rPr>
          <w:rFonts w:hint="eastAsia" w:ascii="仿宋" w:hAnsi="仿宋" w:eastAsia="仿宋" w:cs="仿宋"/>
          <w:b/>
          <w:sz w:val="28"/>
          <w:szCs w:val="28"/>
        </w:rPr>
      </w:pPr>
      <w:r>
        <w:rPr>
          <w:rFonts w:hint="eastAsia" w:ascii="仿宋" w:hAnsi="仿宋" w:eastAsia="仿宋" w:cs="仿宋"/>
          <w:b/>
          <w:sz w:val="28"/>
          <w:szCs w:val="28"/>
        </w:rPr>
        <w:t>第三部分2020年度部门决算情况说明</w:t>
      </w:r>
    </w:p>
    <w:p>
      <w:pPr>
        <w:pStyle w:val="9"/>
        <w:keepNext w:val="0"/>
        <w:keepLines w:val="0"/>
        <w:pageBreakBefore w:val="0"/>
        <w:widowControl w:val="0"/>
        <w:kinsoku/>
        <w:wordWrap/>
        <w:overflowPunct/>
        <w:topLinePunct w:val="0"/>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一、收入支出决算总体情况说明</w:t>
      </w:r>
    </w:p>
    <w:p>
      <w:pPr>
        <w:keepNext w:val="0"/>
        <w:keepLines w:val="0"/>
        <w:pageBreakBefore w:val="0"/>
        <w:widowControl w:val="0"/>
        <w:kinsoku/>
        <w:wordWrap/>
        <w:overflowPunct/>
        <w:topLinePunct w:val="0"/>
        <w:bidi w:val="0"/>
        <w:adjustRightInd/>
        <w:snapToGrid/>
        <w:spacing w:line="44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二、收入决算情况说明</w:t>
      </w:r>
    </w:p>
    <w:p>
      <w:pPr>
        <w:keepNext w:val="0"/>
        <w:keepLines w:val="0"/>
        <w:pageBreakBefore w:val="0"/>
        <w:widowControl w:val="0"/>
        <w:kinsoku/>
        <w:wordWrap/>
        <w:overflowPunct/>
        <w:topLinePunct w:val="0"/>
        <w:autoSpaceDE w:val="0"/>
        <w:autoSpaceDN w:val="0"/>
        <w:bidi w:val="0"/>
        <w:adjustRightInd/>
        <w:snapToGrid/>
        <w:spacing w:line="440" w:lineRule="exact"/>
        <w:ind w:firstLine="560" w:firstLineChars="20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三、支出决算情况说明</w:t>
      </w:r>
    </w:p>
    <w:p>
      <w:pPr>
        <w:keepNext w:val="0"/>
        <w:keepLines w:val="0"/>
        <w:pageBreakBefore w:val="0"/>
        <w:widowControl w:val="0"/>
        <w:kinsoku/>
        <w:wordWrap/>
        <w:overflowPunct/>
        <w:topLinePunct w:val="0"/>
        <w:autoSpaceDE w:val="0"/>
        <w:autoSpaceDN w:val="0"/>
        <w:bidi w:val="0"/>
        <w:adjustRightInd/>
        <w:snapToGrid/>
        <w:spacing w:line="440" w:lineRule="exact"/>
        <w:ind w:firstLine="560" w:firstLineChars="20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四、财政拨款收入支出决算总体情况说明</w:t>
      </w:r>
    </w:p>
    <w:p>
      <w:pPr>
        <w:keepNext w:val="0"/>
        <w:keepLines w:val="0"/>
        <w:pageBreakBefore w:val="0"/>
        <w:widowControl w:val="0"/>
        <w:kinsoku/>
        <w:wordWrap/>
        <w:overflowPunct/>
        <w:topLinePunct w:val="0"/>
        <w:autoSpaceDE w:val="0"/>
        <w:autoSpaceDN w:val="0"/>
        <w:bidi w:val="0"/>
        <w:adjustRightInd/>
        <w:snapToGrid/>
        <w:spacing w:line="440" w:lineRule="exact"/>
        <w:ind w:firstLine="560" w:firstLineChars="20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五、一般公共预算财政拨款支出决算情况说明</w:t>
      </w:r>
    </w:p>
    <w:p>
      <w:pPr>
        <w:keepNext w:val="0"/>
        <w:keepLines w:val="0"/>
        <w:pageBreakBefore w:val="0"/>
        <w:widowControl w:val="0"/>
        <w:kinsoku/>
        <w:wordWrap/>
        <w:overflowPunct/>
        <w:topLinePunct w:val="0"/>
        <w:autoSpaceDE w:val="0"/>
        <w:autoSpaceDN w:val="0"/>
        <w:bidi w:val="0"/>
        <w:adjustRightInd/>
        <w:snapToGrid/>
        <w:spacing w:line="440" w:lineRule="exact"/>
        <w:ind w:firstLine="560" w:firstLineChars="20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六、一般公共预算财政拨款基本支出决算情况说明</w:t>
      </w:r>
    </w:p>
    <w:p>
      <w:pPr>
        <w:keepNext w:val="0"/>
        <w:keepLines w:val="0"/>
        <w:pageBreakBefore w:val="0"/>
        <w:widowControl w:val="0"/>
        <w:kinsoku/>
        <w:wordWrap/>
        <w:overflowPunct/>
        <w:topLinePunct w:val="0"/>
        <w:autoSpaceDE w:val="0"/>
        <w:autoSpaceDN w:val="0"/>
        <w:bidi w:val="0"/>
        <w:adjustRightInd/>
        <w:snapToGrid/>
        <w:spacing w:line="440" w:lineRule="exact"/>
        <w:ind w:firstLine="560" w:firstLineChars="20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七、一般公共预算财政拨款三公经费支出决算情况说明</w:t>
      </w:r>
    </w:p>
    <w:p>
      <w:pPr>
        <w:keepNext w:val="0"/>
        <w:keepLines w:val="0"/>
        <w:pageBreakBefore w:val="0"/>
        <w:widowControl w:val="0"/>
        <w:kinsoku/>
        <w:wordWrap/>
        <w:overflowPunct/>
        <w:topLinePunct w:val="0"/>
        <w:autoSpaceDE w:val="0"/>
        <w:autoSpaceDN w:val="0"/>
        <w:bidi w:val="0"/>
        <w:adjustRightInd/>
        <w:snapToGrid/>
        <w:spacing w:line="440" w:lineRule="exact"/>
        <w:ind w:firstLine="560" w:firstLineChars="20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八、政府性基金预算收入支出决算情况</w:t>
      </w:r>
    </w:p>
    <w:p>
      <w:pPr>
        <w:keepNext w:val="0"/>
        <w:keepLines w:val="0"/>
        <w:pageBreakBefore w:val="0"/>
        <w:widowControl w:val="0"/>
        <w:kinsoku/>
        <w:wordWrap/>
        <w:overflowPunct/>
        <w:topLinePunct w:val="0"/>
        <w:autoSpaceDE w:val="0"/>
        <w:autoSpaceDN w:val="0"/>
        <w:bidi w:val="0"/>
        <w:adjustRightInd/>
        <w:snapToGrid/>
        <w:spacing w:line="440" w:lineRule="exact"/>
        <w:ind w:firstLine="560" w:firstLineChars="20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九、关于机关运行经费支出说明</w:t>
      </w:r>
    </w:p>
    <w:p>
      <w:pPr>
        <w:keepNext w:val="0"/>
        <w:keepLines w:val="0"/>
        <w:pageBreakBefore w:val="0"/>
        <w:widowControl w:val="0"/>
        <w:kinsoku/>
        <w:wordWrap/>
        <w:overflowPunct/>
        <w:topLinePunct w:val="0"/>
        <w:autoSpaceDE w:val="0"/>
        <w:autoSpaceDN w:val="0"/>
        <w:bidi w:val="0"/>
        <w:adjustRightInd/>
        <w:snapToGrid/>
        <w:spacing w:line="440" w:lineRule="exact"/>
        <w:ind w:firstLine="560" w:firstLineChars="20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十、一般性支出情况</w:t>
      </w:r>
    </w:p>
    <w:p>
      <w:pPr>
        <w:keepNext w:val="0"/>
        <w:keepLines w:val="0"/>
        <w:pageBreakBefore w:val="0"/>
        <w:widowControl w:val="0"/>
        <w:kinsoku/>
        <w:wordWrap/>
        <w:overflowPunct/>
        <w:topLinePunct w:val="0"/>
        <w:autoSpaceDE w:val="0"/>
        <w:autoSpaceDN w:val="0"/>
        <w:bidi w:val="0"/>
        <w:adjustRightInd/>
        <w:snapToGrid/>
        <w:spacing w:line="440" w:lineRule="exact"/>
        <w:ind w:firstLine="560" w:firstLineChars="20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十一、关于政府采购支出说明</w:t>
      </w:r>
    </w:p>
    <w:p>
      <w:pPr>
        <w:pStyle w:val="9"/>
        <w:keepNext w:val="0"/>
        <w:keepLines w:val="0"/>
        <w:pageBreakBefore w:val="0"/>
        <w:widowControl w:val="0"/>
        <w:kinsoku/>
        <w:wordWrap/>
        <w:overflowPunct/>
        <w:topLinePunct w:val="0"/>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十二、关于国有资产占用情况说明</w:t>
      </w:r>
    </w:p>
    <w:p>
      <w:pPr>
        <w:pStyle w:val="9"/>
        <w:keepNext w:val="0"/>
        <w:keepLines w:val="0"/>
        <w:pageBreakBefore w:val="0"/>
        <w:widowControl w:val="0"/>
        <w:kinsoku/>
        <w:wordWrap/>
        <w:overflowPunct/>
        <w:topLinePunct w:val="0"/>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十三、关于2020年度预算绩效情况的说明</w:t>
      </w:r>
    </w:p>
    <w:p>
      <w:pPr>
        <w:keepNext w:val="0"/>
        <w:keepLines w:val="0"/>
        <w:pageBreakBefore w:val="0"/>
        <w:widowControl w:val="0"/>
        <w:kinsoku/>
        <w:wordWrap/>
        <w:overflowPunct/>
        <w:topLinePunct w:val="0"/>
        <w:autoSpaceDE w:val="0"/>
        <w:autoSpaceDN w:val="0"/>
        <w:bidi w:val="0"/>
        <w:adjustRightInd/>
        <w:snapToGrid/>
        <w:spacing w:line="440" w:lineRule="exact"/>
        <w:jc w:val="left"/>
        <w:textAlignment w:val="auto"/>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rPr>
        <w:t>第四部分名词解释</w:t>
      </w:r>
    </w:p>
    <w:p>
      <w:pPr>
        <w:keepNext w:val="0"/>
        <w:keepLines w:val="0"/>
        <w:pageBreakBefore w:val="0"/>
        <w:widowControl w:val="0"/>
        <w:kinsoku/>
        <w:wordWrap/>
        <w:overflowPunct/>
        <w:topLinePunct w:val="0"/>
        <w:autoSpaceDE w:val="0"/>
        <w:autoSpaceDN w:val="0"/>
        <w:bidi w:val="0"/>
        <w:adjustRightInd/>
        <w:snapToGrid/>
        <w:spacing w:line="440" w:lineRule="exact"/>
        <w:jc w:val="left"/>
        <w:textAlignment w:val="auto"/>
        <w:rPr>
          <w:rFonts w:hint="eastAsia" w:ascii="仿宋" w:hAnsi="仿宋" w:eastAsia="仿宋" w:cs="仿宋"/>
          <w:b/>
          <w:color w:val="000000"/>
          <w:kern w:val="0"/>
          <w:sz w:val="28"/>
          <w:szCs w:val="28"/>
        </w:rPr>
      </w:pPr>
      <w:r>
        <w:rPr>
          <w:rFonts w:ascii="仿宋" w:hAnsi="仿宋" w:eastAsia="仿宋" w:cs="仿宋"/>
          <w:b/>
          <w:color w:val="000000"/>
          <w:sz w:val="28"/>
        </w:rPr>
        <w:t>第</w:t>
      </w:r>
      <w:r>
        <w:rPr>
          <w:rFonts w:hint="eastAsia" w:ascii="仿宋" w:hAnsi="仿宋" w:eastAsia="仿宋" w:cs="仿宋"/>
          <w:b/>
          <w:color w:val="000000"/>
          <w:kern w:val="0"/>
          <w:sz w:val="28"/>
          <w:szCs w:val="28"/>
          <w:lang w:val="en-US" w:eastAsia="zh-CN"/>
        </w:rPr>
        <w:t>五</w:t>
      </w:r>
      <w:r>
        <w:rPr>
          <w:rFonts w:hint="eastAsia" w:ascii="仿宋" w:hAnsi="仿宋" w:eastAsia="仿宋" w:cs="仿宋"/>
          <w:b/>
          <w:color w:val="000000"/>
          <w:kern w:val="0"/>
          <w:sz w:val="28"/>
          <w:szCs w:val="28"/>
        </w:rPr>
        <w:t>部分</w:t>
      </w:r>
      <w:r>
        <w:rPr>
          <w:rFonts w:hint="eastAsia" w:ascii="仿宋" w:hAnsi="仿宋" w:eastAsia="仿宋" w:cs="仿宋"/>
          <w:b/>
          <w:color w:val="000000"/>
          <w:kern w:val="0"/>
          <w:sz w:val="28"/>
          <w:szCs w:val="28"/>
          <w:lang w:val="en-US" w:eastAsia="zh-CN"/>
        </w:rPr>
        <w:t>附件</w:t>
      </w:r>
    </w:p>
    <w:p>
      <w:pPr>
        <w:keepNext w:val="0"/>
        <w:keepLines w:val="0"/>
        <w:pageBreakBefore w:val="0"/>
        <w:widowControl w:val="0"/>
        <w:kinsoku/>
        <w:wordWrap/>
        <w:overflowPunct/>
        <w:topLinePunct w:val="0"/>
        <w:autoSpaceDE w:val="0"/>
        <w:autoSpaceDN w:val="0"/>
        <w:bidi w:val="0"/>
        <w:adjustRightInd/>
        <w:snapToGrid/>
        <w:spacing w:line="440" w:lineRule="exact"/>
        <w:jc w:val="left"/>
        <w:textAlignment w:val="auto"/>
        <w:rPr>
          <w:rFonts w:hint="eastAsia" w:ascii="仿宋" w:hAnsi="仿宋" w:eastAsia="仿宋" w:cs="仿宋"/>
          <w:b/>
          <w:color w:val="000000"/>
          <w:kern w:val="0"/>
          <w:sz w:val="28"/>
          <w:szCs w:val="28"/>
        </w:rPr>
        <w:sectPr>
          <w:footerReference r:id="rId5" w:type="default"/>
          <w:pgSz w:w="11906" w:h="16838"/>
          <w:pgMar w:top="1440" w:right="1800" w:bottom="1440" w:left="1800" w:header="851" w:footer="992" w:gutter="0"/>
          <w:pgNumType w:fmt="numberInDash" w:start="1"/>
          <w:cols w:space="425" w:num="1"/>
          <w:docGrid w:type="lines" w:linePitch="312" w:charSpace="0"/>
        </w:sect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9"/>
        <w:jc w:val="center"/>
        <w:rPr>
          <w:rFonts w:hint="eastAsia" w:ascii="仿宋" w:hAnsi="仿宋" w:eastAsia="仿宋" w:cs="仿宋"/>
          <w:b/>
          <w:bCs/>
          <w:sz w:val="52"/>
          <w:szCs w:val="52"/>
        </w:rPr>
      </w:pPr>
      <w:r>
        <w:rPr>
          <w:rFonts w:hint="eastAsia" w:ascii="仿宋" w:hAnsi="仿宋" w:eastAsia="仿宋" w:cs="仿宋"/>
          <w:b/>
          <w:bCs/>
          <w:sz w:val="52"/>
          <w:szCs w:val="52"/>
        </w:rPr>
        <w:t>第一部分</w:t>
      </w:r>
    </w:p>
    <w:p>
      <w:pPr>
        <w:pStyle w:val="9"/>
        <w:jc w:val="center"/>
        <w:rPr>
          <w:rFonts w:hint="eastAsia" w:ascii="仿宋" w:hAnsi="仿宋" w:eastAsia="仿宋" w:cs="仿宋"/>
          <w:b/>
          <w:bCs/>
          <w:sz w:val="52"/>
          <w:szCs w:val="52"/>
        </w:rPr>
      </w:pPr>
    </w:p>
    <w:p>
      <w:pPr>
        <w:pStyle w:val="9"/>
        <w:jc w:val="center"/>
        <w:rPr>
          <w:rFonts w:hint="eastAsia" w:ascii="仿宋" w:hAnsi="仿宋" w:eastAsia="仿宋" w:cs="仿宋"/>
          <w:b/>
          <w:bCs/>
          <w:sz w:val="52"/>
          <w:szCs w:val="52"/>
        </w:rPr>
      </w:pPr>
      <w:r>
        <w:rPr>
          <w:rFonts w:hint="eastAsia" w:ascii="仿宋" w:hAnsi="仿宋" w:eastAsia="仿宋" w:cs="仿宋"/>
          <w:b/>
          <w:bCs/>
          <w:sz w:val="52"/>
          <w:szCs w:val="52"/>
        </w:rPr>
        <w:t>中方县桐木镇中学</w:t>
      </w:r>
    </w:p>
    <w:p>
      <w:pPr>
        <w:pStyle w:val="9"/>
        <w:jc w:val="center"/>
        <w:rPr>
          <w:rFonts w:hint="eastAsia" w:ascii="仿宋" w:hAnsi="仿宋" w:eastAsia="仿宋" w:cs="仿宋"/>
          <w:b/>
          <w:bCs/>
          <w:sz w:val="48"/>
          <w:szCs w:val="48"/>
        </w:rPr>
      </w:pPr>
      <w:r>
        <w:rPr>
          <w:rFonts w:hint="eastAsia" w:ascii="仿宋" w:hAnsi="仿宋" w:eastAsia="仿宋" w:cs="仿宋"/>
          <w:b/>
          <w:bCs/>
          <w:sz w:val="52"/>
          <w:szCs w:val="52"/>
        </w:rPr>
        <w:t>单位</w:t>
      </w:r>
      <w:r>
        <w:rPr>
          <w:rFonts w:ascii="仿宋" w:hAnsi="仿宋" w:eastAsia="仿宋" w:cs="仿宋"/>
          <w:b/>
          <w:sz w:val="52"/>
        </w:rPr>
        <w:t>概况</w:t>
      </w:r>
    </w:p>
    <w:p>
      <w:pPr>
        <w:rPr>
          <w:rFonts w:ascii="黑体" w:hAnsi="黑体" w:eastAsia="黑体"/>
          <w:sz w:val="32"/>
          <w:szCs w:val="32"/>
        </w:rPr>
      </w:pPr>
      <w:r>
        <w:rPr>
          <w:rFonts w:ascii="黑体" w:hAnsi="黑体" w:eastAsia="黑体"/>
          <w:sz w:val="32"/>
          <w:szCs w:val="32"/>
        </w:rPr>
        <w:br w:type="page"/>
      </w:r>
    </w:p>
    <w:p>
      <w:pPr>
        <w:pStyle w:val="3"/>
        <w:keepNext w:val="0"/>
        <w:keepLines w:val="0"/>
        <w:pageBreakBefore w:val="0"/>
        <w:widowControl w:val="0"/>
        <w:suppressAutoHyphens/>
        <w:kinsoku/>
        <w:wordWrap/>
        <w:overflowPunct/>
        <w:topLinePunct w:val="0"/>
        <w:autoSpaceDE/>
        <w:autoSpaceDN/>
        <w:bidi w:val="0"/>
        <w:adjustRightInd/>
        <w:snapToGrid/>
        <w:spacing w:before="0" w:after="0" w:line="360" w:lineRule="auto"/>
        <w:ind w:left="420" w:leftChars="200" w:right="481" w:rightChars="229" w:firstLine="658" w:firstLineChars="0"/>
        <w:jc w:val="both"/>
        <w:textAlignment w:val="auto"/>
        <w:rPr>
          <w:rFonts w:hint="default" w:ascii="仿宋" w:hAnsi="仿宋" w:eastAsia="仿宋" w:cs="仿宋"/>
          <w:b/>
          <w:bCs/>
          <w:color w:val="auto"/>
          <w:kern w:val="0"/>
          <w:lang w:val="en-US" w:eastAsia="zh-CN" w:bidi="zh-CN"/>
        </w:rPr>
      </w:pPr>
      <w:r>
        <w:rPr>
          <w:rFonts w:hint="eastAsia" w:ascii="仿宋" w:hAnsi="仿宋" w:eastAsia="仿宋" w:cs="仿宋"/>
          <w:b/>
          <w:bCs/>
          <w:color w:val="auto"/>
          <w:kern w:val="0"/>
          <w:lang w:val="en-US" w:eastAsia="zh-CN" w:bidi="zh-CN"/>
        </w:rPr>
        <w:t>一</w:t>
      </w:r>
      <w:r>
        <w:rPr>
          <w:rFonts w:hint="eastAsia" w:ascii="仿宋" w:hAnsi="仿宋" w:eastAsia="仿宋" w:cs="仿宋"/>
          <w:b/>
          <w:bCs/>
          <w:color w:val="auto"/>
          <w:kern w:val="0"/>
          <w:lang w:val="zh-CN" w:bidi="zh-CN"/>
        </w:rPr>
        <w:t>、</w:t>
      </w:r>
      <w:r>
        <w:rPr>
          <w:rFonts w:hint="eastAsia" w:ascii="仿宋" w:hAnsi="仿宋" w:eastAsia="仿宋" w:cs="仿宋"/>
          <w:b/>
          <w:bCs/>
          <w:color w:val="auto"/>
          <w:kern w:val="0"/>
          <w:lang w:val="en-US" w:eastAsia="zh-CN" w:bidi="zh-CN"/>
        </w:rPr>
        <w:t>部门职责</w:t>
      </w:r>
    </w:p>
    <w:p>
      <w:pPr>
        <w:pStyle w:val="3"/>
        <w:keepNext w:val="0"/>
        <w:keepLines w:val="0"/>
        <w:pageBreakBefore w:val="0"/>
        <w:widowControl w:val="0"/>
        <w:suppressAutoHyphens/>
        <w:kinsoku/>
        <w:wordWrap/>
        <w:overflowPunct/>
        <w:topLinePunct w:val="0"/>
        <w:autoSpaceDE/>
        <w:autoSpaceDN/>
        <w:bidi w:val="0"/>
        <w:adjustRightInd/>
        <w:snapToGrid/>
        <w:spacing w:before="0" w:after="0" w:line="360" w:lineRule="auto"/>
        <w:ind w:left="420" w:leftChars="200" w:right="481" w:rightChars="229" w:firstLine="658" w:firstLineChars="0"/>
        <w:jc w:val="both"/>
        <w:textAlignment w:val="auto"/>
        <w:rPr>
          <w:rFonts w:hint="eastAsia" w:ascii="仿宋" w:hAnsi="仿宋" w:eastAsia="仿宋" w:cs="仿宋"/>
          <w:color w:val="auto"/>
          <w:kern w:val="0"/>
          <w:lang w:val="en-US" w:bidi="zh-CN"/>
        </w:rPr>
      </w:pPr>
      <w:r>
        <w:rPr>
          <w:rFonts w:ascii="仿宋" w:hAnsi="仿宋" w:eastAsia="仿宋" w:cs="仿宋"/>
          <w:color w:val="auto"/>
        </w:rPr>
        <w:t>1、实施初中义务教育，促进基础教育发展。</w:t>
      </w:r>
    </w:p>
    <w:p>
      <w:pPr>
        <w:pStyle w:val="3"/>
        <w:keepNext w:val="0"/>
        <w:keepLines w:val="0"/>
        <w:pageBreakBefore w:val="0"/>
        <w:widowControl w:val="0"/>
        <w:suppressAutoHyphens/>
        <w:kinsoku/>
        <w:wordWrap/>
        <w:overflowPunct/>
        <w:topLinePunct w:val="0"/>
        <w:autoSpaceDE/>
        <w:autoSpaceDN/>
        <w:bidi w:val="0"/>
        <w:adjustRightInd/>
        <w:snapToGrid/>
        <w:spacing w:before="0" w:after="0" w:line="360" w:lineRule="auto"/>
        <w:ind w:left="420" w:leftChars="200" w:right="481" w:rightChars="229" w:firstLine="658" w:firstLineChars="0"/>
        <w:jc w:val="both"/>
        <w:textAlignment w:val="auto"/>
        <w:rPr>
          <w:rFonts w:hint="eastAsia" w:ascii="仿宋" w:hAnsi="仿宋" w:eastAsia="仿宋" w:cs="仿宋"/>
          <w:color w:val="auto"/>
          <w:kern w:val="0"/>
          <w:lang w:val="en-US" w:bidi="zh-CN"/>
        </w:rPr>
      </w:pPr>
      <w:r>
        <w:rPr>
          <w:rFonts w:ascii="仿宋" w:hAnsi="仿宋" w:eastAsia="仿宋" w:cs="仿宋"/>
          <w:color w:val="auto"/>
        </w:rPr>
        <w:t>2、初中学历教育。</w:t>
      </w:r>
    </w:p>
    <w:p>
      <w:pPr>
        <w:jc w:val="left"/>
        <w:rPr>
          <w:rFonts w:hint="eastAsia" w:ascii="仿宋" w:hAnsi="仿宋" w:eastAsia="仿宋" w:cs="仿宋"/>
          <w:sz w:val="28"/>
          <w:szCs w:val="32"/>
        </w:rPr>
      </w:pPr>
    </w:p>
    <w:p>
      <w:pPr>
        <w:pStyle w:val="3"/>
        <w:keepNext w:val="0"/>
        <w:keepLines w:val="0"/>
        <w:pageBreakBefore w:val="0"/>
        <w:widowControl w:val="0"/>
        <w:suppressAutoHyphens/>
        <w:kinsoku/>
        <w:wordWrap/>
        <w:overflowPunct/>
        <w:topLinePunct w:val="0"/>
        <w:autoSpaceDE/>
        <w:autoSpaceDN/>
        <w:bidi w:val="0"/>
        <w:adjustRightInd/>
        <w:snapToGrid/>
        <w:spacing w:before="0" w:after="0" w:line="360" w:lineRule="auto"/>
        <w:ind w:left="420" w:leftChars="200" w:right="481" w:rightChars="229" w:firstLine="658" w:firstLineChars="0"/>
        <w:jc w:val="both"/>
        <w:textAlignment w:val="auto"/>
        <w:rPr>
          <w:rFonts w:hint="eastAsia" w:ascii="仿宋" w:hAnsi="仿宋" w:eastAsia="仿宋" w:cs="仿宋"/>
          <w:b/>
          <w:bCs/>
          <w:color w:val="auto"/>
          <w:kern w:val="0"/>
          <w:lang w:val="zh-CN" w:bidi="zh-CN"/>
        </w:rPr>
      </w:pPr>
      <w:r>
        <w:rPr>
          <w:rFonts w:hint="eastAsia" w:ascii="仿宋" w:hAnsi="仿宋" w:eastAsia="仿宋" w:cs="仿宋"/>
          <w:b/>
          <w:bCs/>
          <w:color w:val="auto"/>
          <w:kern w:val="0"/>
          <w:lang w:val="zh-CN" w:bidi="zh-CN"/>
        </w:rPr>
        <w:t>二、机构设置及决算单位构成</w:t>
      </w:r>
    </w:p>
    <w:p>
      <w:pPr>
        <w:pStyle w:val="3"/>
        <w:keepNext w:val="0"/>
        <w:keepLines w:val="0"/>
        <w:pageBreakBefore w:val="0"/>
        <w:widowControl w:val="0"/>
        <w:suppressAutoHyphens/>
        <w:kinsoku/>
        <w:wordWrap/>
        <w:overflowPunct/>
        <w:topLinePunct w:val="0"/>
        <w:autoSpaceDE/>
        <w:autoSpaceDN/>
        <w:bidi w:val="0"/>
        <w:adjustRightInd/>
        <w:snapToGrid/>
        <w:spacing w:before="0" w:after="0" w:line="360" w:lineRule="auto"/>
        <w:ind w:left="420" w:leftChars="200" w:right="481" w:rightChars="229" w:firstLine="658" w:firstLineChars="0"/>
        <w:jc w:val="both"/>
        <w:textAlignment w:val="auto"/>
        <w:rPr>
          <w:rFonts w:hint="eastAsia" w:ascii="仿宋" w:hAnsi="仿宋" w:eastAsia="仿宋" w:cs="仿宋"/>
          <w:color w:val="auto"/>
          <w:kern w:val="0"/>
          <w:lang w:val="en-US" w:eastAsia="zh-CN" w:bidi="zh-CN"/>
        </w:rPr>
      </w:pPr>
      <w:r>
        <w:rPr>
          <w:rFonts w:hint="eastAsia" w:ascii="仿宋" w:hAnsi="仿宋" w:eastAsia="仿宋" w:cs="仿宋"/>
          <w:color w:val="auto"/>
          <w:kern w:val="0"/>
          <w:lang w:val="en-US" w:eastAsia="zh-CN" w:bidi="zh-CN"/>
        </w:rPr>
        <w:t>（一）内设机构设置。</w:t>
      </w:r>
      <w:r>
        <w:rPr>
          <w:rFonts w:ascii="仿宋" w:hAnsi="仿宋" w:eastAsia="仿宋" w:cs="仿宋"/>
          <w:color w:val="auto"/>
        </w:rPr>
        <w:t>中方县桐木镇中学内设机构包括：本单位内设机构包括：总务处、办公室、教导处、德育处等。</w:t>
      </w:r>
    </w:p>
    <w:p>
      <w:pPr>
        <w:pStyle w:val="3"/>
        <w:keepNext w:val="0"/>
        <w:keepLines w:val="0"/>
        <w:pageBreakBefore w:val="0"/>
        <w:widowControl w:val="0"/>
        <w:suppressAutoHyphens/>
        <w:kinsoku/>
        <w:wordWrap/>
        <w:overflowPunct/>
        <w:topLinePunct w:val="0"/>
        <w:autoSpaceDE/>
        <w:autoSpaceDN/>
        <w:bidi w:val="0"/>
        <w:adjustRightInd/>
        <w:snapToGrid/>
        <w:spacing w:before="0" w:after="0" w:line="360" w:lineRule="auto"/>
        <w:ind w:left="420" w:leftChars="200" w:right="481" w:rightChars="229" w:firstLine="658" w:firstLineChars="0"/>
        <w:jc w:val="both"/>
        <w:textAlignment w:val="auto"/>
        <w:rPr>
          <w:rFonts w:hint="eastAsia" w:ascii="仿宋" w:hAnsi="仿宋" w:eastAsia="仿宋" w:cs="仿宋"/>
          <w:color w:val="auto"/>
          <w:kern w:val="0"/>
          <w:lang w:val="en-US" w:eastAsia="zh-CN" w:bidi="zh-CN"/>
        </w:rPr>
      </w:pPr>
      <w:r>
        <w:rPr>
          <w:rFonts w:hint="eastAsia" w:ascii="仿宋" w:hAnsi="仿宋" w:eastAsia="仿宋" w:cs="仿宋"/>
          <w:color w:val="auto"/>
          <w:kern w:val="0"/>
          <w:lang w:val="en-US" w:eastAsia="zh-CN" w:bidi="zh-CN"/>
        </w:rPr>
        <w:t>（二）决算单位构成。</w:t>
      </w:r>
      <w:r>
        <w:rPr>
          <w:rFonts w:ascii="仿宋" w:hAnsi="仿宋" w:eastAsia="仿宋" w:cs="仿宋"/>
          <w:color w:val="auto"/>
        </w:rPr>
        <w:t>中方县桐木镇中学2020年部门决算汇总公开单位构成包括：中方县桐木镇中学</w:t>
      </w:r>
    </w:p>
    <w:p>
      <w:pPr>
        <w:pStyle w:val="3"/>
        <w:keepNext w:val="0"/>
        <w:keepLines w:val="0"/>
        <w:pageBreakBefore w:val="0"/>
        <w:widowControl w:val="0"/>
        <w:kinsoku/>
        <w:wordWrap/>
        <w:overflowPunct/>
        <w:topLinePunct w:val="0"/>
        <w:autoSpaceDE/>
        <w:autoSpaceDN/>
        <w:bidi w:val="0"/>
        <w:adjustRightInd/>
        <w:snapToGrid/>
        <w:spacing w:line="360" w:lineRule="auto"/>
        <w:ind w:left="0" w:leftChars="0" w:right="481" w:rightChars="229" w:firstLine="640" w:firstLineChars="200"/>
        <w:jc w:val="both"/>
        <w:textAlignment w:val="auto"/>
        <w:rPr>
          <w:rFonts w:hint="eastAsia" w:ascii="仿宋" w:hAnsi="仿宋" w:eastAsia="仿宋" w:cs="仿宋"/>
        </w:rPr>
      </w:pPr>
    </w:p>
    <w:p>
      <w:pPr>
        <w:widowControl/>
        <w:spacing w:line="600" w:lineRule="exact"/>
        <w:ind w:left="0" w:leftChars="0" w:firstLine="838" w:firstLineChars="262"/>
        <w:rPr>
          <w:rFonts w:hint="eastAsia" w:ascii="仿宋" w:hAnsi="仿宋" w:eastAsia="仿宋" w:cs="仿宋"/>
          <w:bCs/>
          <w:kern w:val="0"/>
          <w:sz w:val="32"/>
          <w:szCs w:val="32"/>
        </w:rPr>
        <w:sectPr>
          <w:pgSz w:w="11906" w:h="16838"/>
          <w:pgMar w:top="720" w:right="720" w:bottom="720" w:left="720" w:header="851" w:footer="992" w:gutter="0"/>
          <w:pgNumType w:fmt="numberInDash"/>
          <w:cols w:space="425" w:num="1"/>
          <w:docGrid w:type="lines" w:linePitch="312" w:charSpace="0"/>
        </w:sect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rFonts w:hint="eastAsia" w:ascii="仿宋" w:hAnsi="仿宋" w:eastAsia="仿宋" w:cs="仿宋"/>
          <w:b/>
          <w:bCs/>
          <w:sz w:val="52"/>
          <w:szCs w:val="52"/>
        </w:rPr>
      </w:pPr>
      <w:r>
        <w:rPr>
          <w:rFonts w:hint="eastAsia" w:ascii="仿宋" w:hAnsi="仿宋" w:eastAsia="仿宋" w:cs="仿宋"/>
          <w:b/>
          <w:bCs/>
          <w:sz w:val="52"/>
          <w:szCs w:val="52"/>
        </w:rPr>
        <w:t>第二部分</w:t>
      </w:r>
    </w:p>
    <w:p>
      <w:pPr>
        <w:jc w:val="center"/>
        <w:rPr>
          <w:rFonts w:hint="eastAsia" w:ascii="仿宋" w:hAnsi="仿宋" w:eastAsia="仿宋" w:cs="仿宋"/>
          <w:b/>
          <w:bCs/>
          <w:sz w:val="52"/>
          <w:szCs w:val="52"/>
        </w:rPr>
      </w:pPr>
    </w:p>
    <w:p>
      <w:pPr>
        <w:jc w:val="center"/>
        <w:rPr>
          <w:sz w:val="72"/>
          <w:szCs w:val="72"/>
        </w:rPr>
      </w:pPr>
      <w:r>
        <w:rPr>
          <w:rFonts w:hint="eastAsia" w:ascii="仿宋" w:hAnsi="仿宋" w:eastAsia="仿宋" w:cs="仿宋"/>
          <w:b/>
          <w:bCs/>
          <w:sz w:val="52"/>
          <w:szCs w:val="52"/>
        </w:rPr>
        <w:t>单位</w:t>
      </w:r>
      <w:r>
        <w:rPr>
          <w:rFonts w:ascii="仿宋" w:hAnsi="仿宋" w:eastAsia="仿宋" w:cs="仿宋"/>
          <w:b/>
          <w:sz w:val="52"/>
        </w:rPr>
        <w:t>决算表</w:t>
      </w:r>
    </w:p>
    <w:p>
      <w:pPr>
        <w:jc w:val="center"/>
        <w:rPr>
          <w:sz w:val="72"/>
          <w:szCs w:val="72"/>
        </w:rPr>
        <w:sectPr>
          <w:pgSz w:w="11906" w:h="16838"/>
          <w:pgMar w:top="1440" w:right="1800" w:bottom="1440" w:left="1800" w:header="851" w:footer="992" w:gutter="0"/>
          <w:pgNumType w:fmt="numberInDash"/>
          <w:cols w:space="425" w:num="1"/>
          <w:docGrid w:type="lines" w:linePitch="312" w:charSpace="0"/>
        </w:sectPr>
      </w:pPr>
    </w:p>
    <w:tbl>
      <w:tblPr>
        <w:tblStyle w:val="6"/>
        <w:tblW w:w="13995" w:type="dxa"/>
        <w:tblInd w:w="91" w:type="dxa"/>
        <w:tblLayout w:type="fixed"/>
        <w:tblCellMar>
          <w:top w:w="0" w:type="dxa"/>
          <w:left w:w="108" w:type="dxa"/>
          <w:bottom w:w="0" w:type="dxa"/>
          <w:right w:w="108" w:type="dxa"/>
        </w:tblCellMar>
      </w:tblPr>
      <w:tblGrid>
        <w:gridCol w:w="4535"/>
        <w:gridCol w:w="800"/>
        <w:gridCol w:w="1980"/>
        <w:gridCol w:w="3960"/>
        <w:gridCol w:w="800"/>
        <w:gridCol w:w="1920"/>
      </w:tblGrid>
      <w:tr>
        <w:tblPrEx>
          <w:tblCellMar>
            <w:top w:w="0" w:type="dxa"/>
            <w:left w:w="108" w:type="dxa"/>
            <w:bottom w:w="0" w:type="dxa"/>
            <w:right w:w="108" w:type="dxa"/>
          </w:tblCellMar>
        </w:tblPrEx>
        <w:trPr>
          <w:cantSplit/>
          <w:trHeight w:val="360" w:hRule="atLeast"/>
        </w:trPr>
        <w:tc>
          <w:tcPr>
            <w:tcW w:w="13995" w:type="dxa"/>
            <w:gridSpan w:val="6"/>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 w:lineRule="atLeast"/>
              <w:jc w:val="center"/>
              <w:textAlignment w:val="auto"/>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收入支出决算总表</w:t>
            </w:r>
          </w:p>
        </w:tc>
      </w:tr>
      <w:tr>
        <w:tblPrEx>
          <w:tblCellMar>
            <w:top w:w="0" w:type="dxa"/>
            <w:left w:w="108" w:type="dxa"/>
            <w:bottom w:w="0" w:type="dxa"/>
            <w:right w:w="108" w:type="dxa"/>
          </w:tblCellMar>
        </w:tblPrEx>
        <w:trPr>
          <w:cantSplit/>
          <w:trHeight w:val="90" w:hRule="atLeast"/>
        </w:trPr>
        <w:tc>
          <w:tcPr>
            <w:tcW w:w="13995" w:type="dxa"/>
            <w:gridSpan w:val="6"/>
            <w:tcBorders>
              <w:top w:val="nil"/>
              <w:left w:val="nil"/>
              <w:bottom w:val="nil"/>
              <w:right w:val="nil"/>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公开01表</w:t>
            </w:r>
          </w:p>
        </w:tc>
      </w:tr>
      <w:tr>
        <w:tblPrEx>
          <w:tblCellMar>
            <w:top w:w="0" w:type="dxa"/>
            <w:left w:w="108" w:type="dxa"/>
            <w:bottom w:w="0" w:type="dxa"/>
            <w:right w:w="108" w:type="dxa"/>
          </w:tblCellMar>
        </w:tblPrEx>
        <w:trPr>
          <w:cantSplit/>
          <w:trHeight w:val="90" w:hRule="atLeast"/>
        </w:trPr>
        <w:tc>
          <w:tcPr>
            <w:tcW w:w="5335" w:type="dxa"/>
            <w:gridSpan w:val="2"/>
            <w:tcBorders>
              <w:top w:val="nil"/>
              <w:left w:val="nil"/>
              <w:bottom w:val="single" w:color="auto" w:sz="4" w:space="0"/>
              <w:right w:val="nil"/>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eastAsia="zh-CN"/>
              </w:rPr>
              <w:t>单位</w:t>
            </w:r>
            <w:r>
              <w:rPr>
                <w:rFonts w:hint="eastAsia" w:ascii="仿宋" w:hAnsi="仿宋" w:eastAsia="仿宋" w:cs="仿宋"/>
                <w:color w:val="000000"/>
                <w:kern w:val="0"/>
                <w:sz w:val="20"/>
                <w:szCs w:val="20"/>
              </w:rPr>
              <w:t>：</w:t>
            </w:r>
            <w:r>
              <w:rPr>
                <w:rFonts w:ascii="仿宋" w:hAnsi="仿宋" w:eastAsia="仿宋" w:cs="仿宋"/>
                <w:color w:val="000000"/>
                <w:sz w:val="20"/>
              </w:rPr>
              <w:t>中方县桐木镇中学</w:t>
            </w:r>
          </w:p>
        </w:tc>
        <w:tc>
          <w:tcPr>
            <w:tcW w:w="8660" w:type="dxa"/>
            <w:gridSpan w:val="4"/>
            <w:tcBorders>
              <w:top w:val="nil"/>
              <w:left w:val="nil"/>
              <w:bottom w:val="single" w:color="auto" w:sz="4" w:space="0"/>
              <w:right w:val="nil"/>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单位：万元</w:t>
            </w:r>
          </w:p>
        </w:tc>
      </w:tr>
      <w:tr>
        <w:tblPrEx>
          <w:tblCellMar>
            <w:top w:w="0" w:type="dxa"/>
            <w:left w:w="108" w:type="dxa"/>
            <w:bottom w:w="0" w:type="dxa"/>
            <w:right w:w="108" w:type="dxa"/>
          </w:tblCellMar>
        </w:tblPrEx>
        <w:trPr>
          <w:cantSplit/>
          <w:trHeight w:val="90" w:hRule="atLeast"/>
        </w:trPr>
        <w:tc>
          <w:tcPr>
            <w:tcW w:w="7315"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收入</w:t>
            </w:r>
          </w:p>
        </w:tc>
        <w:tc>
          <w:tcPr>
            <w:tcW w:w="6680"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支出</w:t>
            </w:r>
          </w:p>
        </w:tc>
      </w:tr>
      <w:tr>
        <w:tblPrEx>
          <w:tblCellMar>
            <w:top w:w="0" w:type="dxa"/>
            <w:left w:w="108" w:type="dxa"/>
            <w:bottom w:w="0" w:type="dxa"/>
            <w:right w:w="108" w:type="dxa"/>
          </w:tblCellMar>
        </w:tblPrEx>
        <w:trPr>
          <w:cantSplit/>
          <w:trHeight w:val="337" w:hRule="atLeast"/>
        </w:trPr>
        <w:tc>
          <w:tcPr>
            <w:tcW w:w="453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项    目</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0"/>
                <w:szCs w:val="20"/>
              </w:rPr>
            </w:pPr>
            <w:r>
              <w:rPr>
                <w:rFonts w:hint="eastAsia" w:ascii="仿宋" w:hAnsi="仿宋" w:eastAsia="仿宋" w:cs="仿宋"/>
                <w:kern w:val="0"/>
                <w:sz w:val="20"/>
                <w:szCs w:val="20"/>
              </w:rPr>
              <w:t>行次</w:t>
            </w:r>
          </w:p>
        </w:tc>
        <w:tc>
          <w:tcPr>
            <w:tcW w:w="198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决算数</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项    目</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0"/>
                <w:szCs w:val="20"/>
              </w:rPr>
            </w:pPr>
            <w:r>
              <w:rPr>
                <w:rFonts w:hint="eastAsia" w:ascii="仿宋" w:hAnsi="仿宋" w:eastAsia="仿宋" w:cs="仿宋"/>
                <w:kern w:val="0"/>
                <w:sz w:val="20"/>
                <w:szCs w:val="20"/>
              </w:rPr>
              <w:t>行次</w:t>
            </w:r>
          </w:p>
        </w:tc>
        <w:tc>
          <w:tcPr>
            <w:tcW w:w="192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决算数</w:t>
            </w: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4"/>
                <w:szCs w:val="24"/>
              </w:rPr>
            </w:pPr>
            <w:r>
              <w:rPr>
                <w:rFonts w:ascii="仿宋" w:hAnsi="仿宋" w:eastAsia="仿宋" w:cs="仿宋"/>
                <w:sz w:val="24"/>
              </w:rPr>
              <w:t>栏    次</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4"/>
                <w:szCs w:val="24"/>
              </w:rPr>
            </w:pPr>
          </w:p>
        </w:tc>
        <w:tc>
          <w:tcPr>
            <w:tcW w:w="198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i w:val="0"/>
                <w:color w:val="000000"/>
                <w:kern w:val="2"/>
                <w:sz w:val="22"/>
                <w:szCs w:val="22"/>
                <w:u w:val="none"/>
                <w:lang w:val="en-US" w:eastAsia="zh-CN" w:bidi="ar-SA"/>
              </w:rPr>
            </w:pPr>
            <w:r>
              <w:rPr>
                <w:rFonts w:hint="eastAsia" w:ascii="仿宋" w:hAnsi="仿宋" w:eastAsia="仿宋" w:cs="仿宋"/>
                <w:i w:val="0"/>
                <w:color w:val="000000"/>
                <w:kern w:val="0"/>
                <w:sz w:val="22"/>
                <w:szCs w:val="22"/>
                <w:u w:val="none"/>
                <w:lang w:val="en-US" w:eastAsia="zh-CN" w:bidi="ar"/>
              </w:rPr>
              <w:t>1</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栏    次</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4"/>
                <w:szCs w:val="24"/>
              </w:rPr>
            </w:pPr>
          </w:p>
        </w:tc>
        <w:tc>
          <w:tcPr>
            <w:tcW w:w="192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i w:val="0"/>
                <w:color w:val="000000"/>
                <w:kern w:val="2"/>
                <w:sz w:val="22"/>
                <w:szCs w:val="22"/>
                <w:u w:val="none"/>
                <w:lang w:val="en-US" w:eastAsia="zh-CN" w:bidi="ar-SA"/>
              </w:rPr>
            </w:pPr>
            <w:r>
              <w:rPr>
                <w:rFonts w:hint="eastAsia" w:ascii="仿宋" w:hAnsi="仿宋" w:eastAsia="仿宋" w:cs="仿宋"/>
                <w:i w:val="0"/>
                <w:color w:val="000000"/>
                <w:kern w:val="0"/>
                <w:sz w:val="22"/>
                <w:szCs w:val="22"/>
                <w:u w:val="none"/>
                <w:lang w:val="en-US" w:eastAsia="zh-CN" w:bidi="ar"/>
              </w:rPr>
              <w:t>2</w:t>
            </w: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一、一般公共预算财政拨款收入</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544.58</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一、一般公共服务支出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32</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二、政府性基金预算财政拨款收入</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0.0</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二、外交支出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33</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三、国有资本经营预算财政拨款收入</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0.0</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三、国防支出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34</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四、上级补助收入</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0.0</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四、公共安全支出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35</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五、事业收入</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0.0</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五、教育支出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36</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542.81</w:t>
            </w: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六、经营收入</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6</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0.0</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六、科学技术支出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37</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七、附属单位上缴收入</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7</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0.0</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七、文化旅游体育与传媒支出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38</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八、其他收入</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8</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0.0</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八、社会保障和就业支出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39</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0.77</w:t>
            </w: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9</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九、卫生健康支出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40</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1.00</w:t>
            </w: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10</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十、节能环保支出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41</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11</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十一、城乡社区支出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42</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12</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十二、农林水支出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43</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13</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十三、交通运输支出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44</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14</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十四、资源勘探工业信息等支出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45</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15</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十五、商业服务业等支出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46</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16</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十六、金融支出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47</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17</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十七、援助其他地区支出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48</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18</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十八、自然资源海洋气象等支出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49</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19</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十九、住房保障支出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50</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20</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二十、粮油物资储备支出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51</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21</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二十一、国有资本经营预算支出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52</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22</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二十二、灾害防治及应急管理支出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53</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23</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二十三、其他支出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54</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24</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二十四、债务还本支出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55</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25</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二十五、债务付息支出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56</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26</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二十六、抗疫特别国债安排的支出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57</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b/>
                <w:bCs/>
                <w:kern w:val="0"/>
                <w:sz w:val="22"/>
              </w:rPr>
            </w:pPr>
            <w:r>
              <w:rPr>
                <w:rFonts w:ascii="仿宋" w:hAnsi="仿宋" w:eastAsia="仿宋" w:cs="仿宋"/>
                <w:b/>
                <w:sz w:val="22"/>
              </w:rPr>
              <w:t>本年收入合计</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i w:val="0"/>
                <w:color w:val="000000"/>
                <w:kern w:val="0"/>
                <w:sz w:val="22"/>
                <w:szCs w:val="22"/>
                <w:u w:val="none"/>
                <w:lang w:val="en-US" w:eastAsia="zh-CN" w:bidi="ar"/>
              </w:rPr>
              <w:t>27</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lang w:val="en-US" w:eastAsia="zh-CN"/>
              </w:rPr>
            </w:pPr>
            <w:r>
              <w:rPr>
                <w:rFonts w:hint="eastAsia" w:ascii="仿宋" w:hAnsi="仿宋" w:eastAsia="仿宋" w:cs="仿宋"/>
              </w:rPr>
              <w:t>544.58</w:t>
            </w:r>
          </w:p>
        </w:tc>
        <w:tc>
          <w:tcPr>
            <w:tcW w:w="39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b/>
                <w:bCs/>
                <w:kern w:val="0"/>
                <w:sz w:val="22"/>
              </w:rPr>
            </w:pPr>
            <w:r>
              <w:rPr>
                <w:rFonts w:hint="eastAsia" w:ascii="仿宋" w:hAnsi="仿宋" w:eastAsia="仿宋" w:cs="仿宋"/>
                <w:b/>
                <w:bCs/>
                <w:kern w:val="0"/>
                <w:sz w:val="22"/>
              </w:rPr>
              <w:t>本年支出合计</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i w:val="0"/>
                <w:color w:val="000000"/>
                <w:kern w:val="0"/>
                <w:sz w:val="22"/>
                <w:szCs w:val="22"/>
                <w:u w:val="none"/>
                <w:lang w:val="en-US" w:eastAsia="zh-CN" w:bidi="ar"/>
              </w:rPr>
              <w:t>58</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544.58</w:t>
            </w: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使用非财政拨款结余</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28</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0.0</w:t>
            </w:r>
          </w:p>
        </w:tc>
        <w:tc>
          <w:tcPr>
            <w:tcW w:w="39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结余分配</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59</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0.0</w:t>
            </w: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年初结转和结余</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29</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0.0</w:t>
            </w:r>
          </w:p>
        </w:tc>
        <w:tc>
          <w:tcPr>
            <w:tcW w:w="39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年末结转和结余</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60</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0.0</w:t>
            </w: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90" w:hRule="atLeast"/>
        </w:trPr>
        <w:tc>
          <w:tcPr>
            <w:tcW w:w="453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b/>
                <w:bCs/>
                <w:kern w:val="0"/>
                <w:sz w:val="22"/>
              </w:rPr>
            </w:pPr>
            <w:r>
              <w:rPr>
                <w:rFonts w:hint="eastAsia" w:ascii="仿宋" w:hAnsi="仿宋" w:eastAsia="仿宋" w:cs="仿宋"/>
                <w:b/>
                <w:bCs/>
                <w:kern w:val="0"/>
                <w:sz w:val="22"/>
              </w:rPr>
              <w:t>总计</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i w:val="0"/>
                <w:color w:val="000000"/>
                <w:kern w:val="0"/>
                <w:sz w:val="22"/>
                <w:szCs w:val="22"/>
                <w:u w:val="none"/>
                <w:lang w:val="en-US" w:eastAsia="zh-CN" w:bidi="ar"/>
              </w:rPr>
              <w:t>30</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544.58</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b/>
                <w:bCs/>
                <w:kern w:val="0"/>
                <w:sz w:val="22"/>
              </w:rPr>
            </w:pPr>
            <w:r>
              <w:rPr>
                <w:rFonts w:hint="eastAsia" w:ascii="仿宋" w:hAnsi="仿宋" w:eastAsia="仿宋" w:cs="仿宋"/>
                <w:b/>
                <w:bCs/>
                <w:kern w:val="0"/>
                <w:sz w:val="22"/>
              </w:rPr>
              <w:t>总计</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i w:val="0"/>
                <w:color w:val="000000"/>
                <w:kern w:val="0"/>
                <w:sz w:val="22"/>
                <w:szCs w:val="22"/>
                <w:u w:val="none"/>
                <w:lang w:val="en-US" w:eastAsia="zh-CN" w:bidi="ar"/>
              </w:rPr>
              <w:t>61</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b/>
                <w:bCs/>
                <w:kern w:val="0"/>
                <w:sz w:val="22"/>
              </w:rPr>
            </w:pPr>
            <w:r>
              <w:rPr>
                <w:rFonts w:hint="eastAsia" w:ascii="仿宋" w:hAnsi="仿宋" w:eastAsia="仿宋" w:cs="仿宋"/>
              </w:rPr>
              <w:t>544.58</w:t>
            </w:r>
          </w:p>
        </w:tc>
      </w:tr>
      <w:tr>
        <w:tblPrEx>
          <w:tblCellMar>
            <w:top w:w="0" w:type="dxa"/>
            <w:left w:w="108" w:type="dxa"/>
            <w:bottom w:w="0" w:type="dxa"/>
            <w:right w:w="108" w:type="dxa"/>
          </w:tblCellMar>
        </w:tblPrEx>
        <w:trPr>
          <w:cantSplit/>
          <w:trHeight w:val="90" w:hRule="atLeast"/>
        </w:trPr>
        <w:tc>
          <w:tcPr>
            <w:tcW w:w="13995" w:type="dxa"/>
            <w:gridSpan w:val="6"/>
            <w:tcBorders>
              <w:top w:val="single" w:color="auto" w:sz="4" w:space="0"/>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注：1.本表反映部门本年度的总收支和年末结转结余情况。</w:t>
            </w:r>
            <w:r>
              <w:rPr>
                <w:rFonts w:hint="eastAsia" w:ascii="仿宋" w:hAnsi="仿宋" w:eastAsia="仿宋" w:cs="仿宋"/>
                <w:kern w:val="0"/>
                <w:sz w:val="24"/>
                <w:szCs w:val="24"/>
              </w:rPr>
              <w:br w:type="textWrapping"/>
            </w:r>
            <w:r>
              <w:rPr>
                <w:rFonts w:hint="eastAsia" w:ascii="仿宋" w:hAnsi="仿宋" w:eastAsia="仿宋" w:cs="仿宋"/>
                <w:kern w:val="0"/>
                <w:sz w:val="24"/>
                <w:szCs w:val="24"/>
              </w:rPr>
              <w:t xml:space="preserve"> 2.本套报表金额单位转换时可能存在尾数误差。</w:t>
            </w:r>
          </w:p>
        </w:tc>
      </w:tr>
    </w:tbl>
    <w:p>
      <w:pPr>
        <w:jc w:val="center"/>
        <w:rPr>
          <w:rFonts w:ascii="黑体" w:hAnsi="黑体" w:eastAsia="黑体"/>
          <w:sz w:val="28"/>
          <w:szCs w:val="28"/>
        </w:rPr>
        <w:sectPr>
          <w:pgSz w:w="16838" w:h="11906" w:orient="landscape"/>
          <w:pgMar w:top="1803" w:right="1440" w:bottom="1803" w:left="1440" w:header="851" w:footer="992" w:gutter="0"/>
          <w:pgNumType w:fmt="numberInDash"/>
          <w:cols w:space="0" w:num="1"/>
          <w:rtlGutter w:val="0"/>
          <w:docGrid w:type="lines" w:linePitch="319" w:charSpace="0"/>
        </w:sectPr>
      </w:pPr>
    </w:p>
    <w:tbl>
      <w:tblPr>
        <w:tblStyle w:val="6"/>
        <w:tblW w:w="13988" w:type="dxa"/>
        <w:tblInd w:w="0" w:type="dxa"/>
        <w:tblLayout w:type="fixed"/>
        <w:tblCellMar>
          <w:top w:w="0" w:type="dxa"/>
          <w:left w:w="0" w:type="dxa"/>
          <w:bottom w:w="0" w:type="dxa"/>
          <w:right w:w="0" w:type="dxa"/>
        </w:tblCellMar>
      </w:tblPr>
      <w:tblGrid>
        <w:gridCol w:w="1337"/>
        <w:gridCol w:w="2863"/>
        <w:gridCol w:w="1663"/>
        <w:gridCol w:w="1474"/>
        <w:gridCol w:w="1491"/>
        <w:gridCol w:w="1457"/>
        <w:gridCol w:w="1230"/>
        <w:gridCol w:w="1320"/>
        <w:gridCol w:w="1153"/>
      </w:tblGrid>
      <w:tr>
        <w:tblPrEx>
          <w:tblCellMar>
            <w:top w:w="0" w:type="dxa"/>
            <w:left w:w="0" w:type="dxa"/>
            <w:bottom w:w="0" w:type="dxa"/>
            <w:right w:w="0" w:type="dxa"/>
          </w:tblCellMar>
        </w:tblPrEx>
        <w:trPr>
          <w:trHeight w:val="435" w:hRule="atLeast"/>
        </w:trPr>
        <w:tc>
          <w:tcPr>
            <w:tcW w:w="13988" w:type="dxa"/>
            <w:gridSpan w:val="9"/>
            <w:tcBorders>
              <w:top w:val="nil"/>
              <w:left w:val="nil"/>
              <w:bottom w:val="nil"/>
              <w:right w:val="nil"/>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 w:lineRule="atLeast"/>
              <w:jc w:val="center"/>
              <w:textAlignment w:val="auto"/>
              <w:rPr>
                <w:rFonts w:hint="eastAsia" w:ascii="仿宋" w:hAnsi="仿宋" w:eastAsia="仿宋" w:cs="仿宋"/>
                <w:color w:val="000000"/>
                <w:sz w:val="32"/>
                <w:szCs w:val="32"/>
              </w:rPr>
            </w:pPr>
            <w:r>
              <w:rPr>
                <w:rFonts w:hint="eastAsia" w:ascii="仿宋" w:hAnsi="仿宋" w:eastAsia="仿宋" w:cs="仿宋"/>
                <w:b/>
                <w:bCs/>
                <w:color w:val="000000"/>
                <w:sz w:val="32"/>
                <w:szCs w:val="32"/>
              </w:rPr>
              <w:t>收入决算表</w:t>
            </w:r>
          </w:p>
        </w:tc>
      </w:tr>
      <w:tr>
        <w:tblPrEx>
          <w:tblCellMar>
            <w:top w:w="0" w:type="dxa"/>
            <w:left w:w="0" w:type="dxa"/>
            <w:bottom w:w="0" w:type="dxa"/>
            <w:right w:w="0" w:type="dxa"/>
          </w:tblCellMar>
        </w:tblPrEx>
        <w:trPr>
          <w:trHeight w:val="111" w:hRule="atLeast"/>
        </w:trPr>
        <w:tc>
          <w:tcPr>
            <w:tcW w:w="12835" w:type="dxa"/>
            <w:gridSpan w:val="8"/>
            <w:tcBorders>
              <w:top w:val="nil"/>
              <w:left w:val="nil"/>
              <w:bottom w:val="nil"/>
              <w:right w:val="nil"/>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both"/>
              <w:textAlignment w:val="auto"/>
              <w:rPr>
                <w:rFonts w:hint="eastAsia" w:ascii="仿宋" w:hAnsi="仿宋" w:eastAsia="仿宋" w:cs="仿宋"/>
                <w:sz w:val="24"/>
                <w:szCs w:val="24"/>
              </w:rPr>
            </w:pPr>
          </w:p>
        </w:tc>
        <w:tc>
          <w:tcPr>
            <w:tcW w:w="1153" w:type="dxa"/>
            <w:tcBorders>
              <w:top w:val="nil"/>
              <w:left w:val="nil"/>
              <w:bottom w:val="nil"/>
              <w:right w:val="nil"/>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sz w:val="20"/>
                <w:szCs w:val="20"/>
              </w:rPr>
            </w:pPr>
            <w:r>
              <w:rPr>
                <w:rFonts w:hint="eastAsia" w:ascii="仿宋" w:hAnsi="仿宋" w:eastAsia="仿宋" w:cs="仿宋"/>
                <w:color w:val="000000"/>
                <w:sz w:val="20"/>
                <w:szCs w:val="20"/>
              </w:rPr>
              <w:t>公开02表</w:t>
            </w:r>
          </w:p>
        </w:tc>
      </w:tr>
      <w:tr>
        <w:tblPrEx>
          <w:tblCellMar>
            <w:top w:w="0" w:type="dxa"/>
            <w:left w:w="0" w:type="dxa"/>
            <w:bottom w:w="0" w:type="dxa"/>
            <w:right w:w="0" w:type="dxa"/>
          </w:tblCellMar>
        </w:tblPrEx>
        <w:trPr>
          <w:trHeight w:val="90" w:hRule="atLeast"/>
        </w:trPr>
        <w:tc>
          <w:tcPr>
            <w:tcW w:w="12835" w:type="dxa"/>
            <w:gridSpan w:val="8"/>
            <w:tcBorders>
              <w:top w:val="nil"/>
              <w:left w:val="nil"/>
              <w:bottom w:val="single" w:color="auto" w:sz="4" w:space="0"/>
              <w:right w:val="nil"/>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4"/>
                <w:szCs w:val="24"/>
              </w:rPr>
            </w:pPr>
            <w:r>
              <w:rPr>
                <w:rFonts w:hint="eastAsia" w:ascii="仿宋" w:hAnsi="仿宋" w:eastAsia="仿宋" w:cs="仿宋"/>
                <w:color w:val="000000"/>
                <w:sz w:val="20"/>
                <w:szCs w:val="20"/>
                <w:lang w:eastAsia="zh-CN"/>
              </w:rPr>
              <w:t>单位</w:t>
            </w:r>
            <w:r>
              <w:rPr>
                <w:rFonts w:hint="eastAsia" w:ascii="仿宋" w:hAnsi="仿宋" w:eastAsia="仿宋" w:cs="仿宋"/>
                <w:color w:val="000000"/>
                <w:sz w:val="20"/>
                <w:szCs w:val="20"/>
              </w:rPr>
              <w:t>：</w:t>
            </w:r>
            <w:r>
              <w:rPr>
                <w:rFonts w:ascii="仿宋" w:hAnsi="仿宋" w:eastAsia="仿宋" w:cs="仿宋"/>
                <w:color w:val="000000"/>
                <w:sz w:val="20"/>
              </w:rPr>
              <w:t>中方县桐木镇中学</w:t>
            </w:r>
          </w:p>
        </w:tc>
        <w:tc>
          <w:tcPr>
            <w:tcW w:w="1153" w:type="dxa"/>
            <w:tcBorders>
              <w:top w:val="nil"/>
              <w:left w:val="nil"/>
              <w:bottom w:val="single" w:color="auto" w:sz="4" w:space="0"/>
              <w:right w:val="nil"/>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sz w:val="20"/>
                <w:szCs w:val="20"/>
              </w:rPr>
            </w:pPr>
            <w:r>
              <w:rPr>
                <w:rFonts w:hint="eastAsia" w:ascii="仿宋" w:hAnsi="仿宋" w:eastAsia="仿宋" w:cs="仿宋"/>
                <w:color w:val="000000"/>
                <w:sz w:val="20"/>
                <w:szCs w:val="20"/>
              </w:rPr>
              <w:t>单位：万元</w:t>
            </w:r>
          </w:p>
        </w:tc>
      </w:tr>
      <w:tr>
        <w:tblPrEx>
          <w:tblCellMar>
            <w:top w:w="0" w:type="dxa"/>
            <w:left w:w="0" w:type="dxa"/>
            <w:bottom w:w="0" w:type="dxa"/>
            <w:right w:w="0" w:type="dxa"/>
          </w:tblCellMar>
        </w:tblPrEx>
        <w:trPr>
          <w:trHeight w:val="450" w:hRule="atLeast"/>
        </w:trPr>
        <w:tc>
          <w:tcPr>
            <w:tcW w:w="4200" w:type="dxa"/>
            <w:gridSpan w:val="2"/>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项    目</w:t>
            </w:r>
          </w:p>
        </w:tc>
        <w:tc>
          <w:tcPr>
            <w:tcW w:w="1663"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本年收入合计</w:t>
            </w:r>
          </w:p>
        </w:tc>
        <w:tc>
          <w:tcPr>
            <w:tcW w:w="1474"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财政拨款收入</w:t>
            </w:r>
          </w:p>
        </w:tc>
        <w:tc>
          <w:tcPr>
            <w:tcW w:w="149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上级补助收入</w:t>
            </w:r>
          </w:p>
        </w:tc>
        <w:tc>
          <w:tcPr>
            <w:tcW w:w="1457"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事业收入</w:t>
            </w:r>
          </w:p>
        </w:tc>
        <w:tc>
          <w:tcPr>
            <w:tcW w:w="123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经营收入</w:t>
            </w:r>
          </w:p>
        </w:tc>
        <w:tc>
          <w:tcPr>
            <w:tcW w:w="132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rPr>
              <w:t>附属单位</w:t>
            </w:r>
          </w:p>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上缴收入</w:t>
            </w:r>
          </w:p>
        </w:tc>
        <w:tc>
          <w:tcPr>
            <w:tcW w:w="1153"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其他收入</w:t>
            </w:r>
          </w:p>
        </w:tc>
      </w:tr>
      <w:tr>
        <w:tblPrEx>
          <w:tblCellMar>
            <w:top w:w="0" w:type="dxa"/>
            <w:left w:w="0" w:type="dxa"/>
            <w:bottom w:w="0" w:type="dxa"/>
            <w:right w:w="0" w:type="dxa"/>
          </w:tblCellMar>
        </w:tblPrEx>
        <w:trPr>
          <w:trHeight w:val="450" w:hRule="atLeast"/>
        </w:trPr>
        <w:tc>
          <w:tcPr>
            <w:tcW w:w="1337"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rPr>
              <w:t>功能分类</w:t>
            </w:r>
          </w:p>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科目编码</w:t>
            </w:r>
          </w:p>
        </w:tc>
        <w:tc>
          <w:tcPr>
            <w:tcW w:w="2863"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科目名称</w:t>
            </w:r>
          </w:p>
        </w:tc>
        <w:tc>
          <w:tcPr>
            <w:tcW w:w="166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p>
        </w:tc>
        <w:tc>
          <w:tcPr>
            <w:tcW w:w="147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p>
        </w:tc>
        <w:tc>
          <w:tcPr>
            <w:tcW w:w="149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p>
        </w:tc>
        <w:tc>
          <w:tcPr>
            <w:tcW w:w="145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p>
        </w:tc>
        <w:tc>
          <w:tcPr>
            <w:tcW w:w="123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p>
        </w:tc>
        <w:tc>
          <w:tcPr>
            <w:tcW w:w="132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p>
        </w:tc>
        <w:tc>
          <w:tcPr>
            <w:tcW w:w="115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p>
        </w:tc>
      </w:tr>
      <w:tr>
        <w:tblPrEx>
          <w:tblCellMar>
            <w:top w:w="0" w:type="dxa"/>
            <w:left w:w="0" w:type="dxa"/>
            <w:bottom w:w="0" w:type="dxa"/>
            <w:right w:w="0" w:type="dxa"/>
          </w:tblCellMar>
        </w:tblPrEx>
        <w:trPr>
          <w:trHeight w:val="312" w:hRule="atLeast"/>
        </w:trPr>
        <w:tc>
          <w:tcPr>
            <w:tcW w:w="133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p>
        </w:tc>
        <w:tc>
          <w:tcPr>
            <w:tcW w:w="286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p>
        </w:tc>
        <w:tc>
          <w:tcPr>
            <w:tcW w:w="166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p>
        </w:tc>
        <w:tc>
          <w:tcPr>
            <w:tcW w:w="147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p>
        </w:tc>
        <w:tc>
          <w:tcPr>
            <w:tcW w:w="149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p>
        </w:tc>
        <w:tc>
          <w:tcPr>
            <w:tcW w:w="145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p>
        </w:tc>
        <w:tc>
          <w:tcPr>
            <w:tcW w:w="123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p>
        </w:tc>
        <w:tc>
          <w:tcPr>
            <w:tcW w:w="132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p>
        </w:tc>
        <w:tc>
          <w:tcPr>
            <w:tcW w:w="115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p>
        </w:tc>
      </w:tr>
      <w:tr>
        <w:trPr>
          <w:trHeight w:val="90" w:hRule="atLeast"/>
        </w:trPr>
        <w:tc>
          <w:tcPr>
            <w:tcW w:w="420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栏次</w:t>
            </w:r>
          </w:p>
        </w:tc>
        <w:tc>
          <w:tcPr>
            <w:tcW w:w="16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1</w:t>
            </w:r>
          </w:p>
        </w:tc>
        <w:tc>
          <w:tcPr>
            <w:tcW w:w="1474"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2</w:t>
            </w:r>
          </w:p>
        </w:tc>
        <w:tc>
          <w:tcPr>
            <w:tcW w:w="149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3</w:t>
            </w:r>
          </w:p>
        </w:tc>
        <w:tc>
          <w:tcPr>
            <w:tcW w:w="145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4</w:t>
            </w:r>
          </w:p>
        </w:tc>
        <w:tc>
          <w:tcPr>
            <w:tcW w:w="12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5</w:t>
            </w:r>
          </w:p>
        </w:tc>
        <w:tc>
          <w:tcPr>
            <w:tcW w:w="132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6</w:t>
            </w:r>
          </w:p>
        </w:tc>
        <w:tc>
          <w:tcPr>
            <w:tcW w:w="115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7</w:t>
            </w:r>
          </w:p>
        </w:tc>
      </w:tr>
      <w:tr>
        <w:tblPrEx>
          <w:tblCellMar>
            <w:top w:w="0" w:type="dxa"/>
            <w:left w:w="0" w:type="dxa"/>
            <w:bottom w:w="0" w:type="dxa"/>
            <w:right w:w="0" w:type="dxa"/>
          </w:tblCellMar>
        </w:tblPrEx>
        <w:trPr>
          <w:trHeight w:val="245" w:hRule="atLeast"/>
        </w:trPr>
        <w:tc>
          <w:tcPr>
            <w:tcW w:w="420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ascii="仿宋" w:hAnsi="仿宋" w:eastAsia="仿宋" w:cs="仿宋"/>
              </w:rPr>
              <w:t>合计</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544.58</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544.58</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lang w:val="en-US" w:eastAsia="zh-CN"/>
              </w:rPr>
            </w:pPr>
          </w:p>
        </w:tc>
      </w:tr>
      <w:tr>
        <w:tblPrEx>
          <w:tblCellMar>
            <w:top w:w="0" w:type="dxa"/>
            <w:left w:w="0" w:type="dxa"/>
            <w:bottom w:w="0" w:type="dxa"/>
            <w:right w:w="0" w:type="dxa"/>
          </w:tblCellMar>
        </w:tblPrEx>
        <w:trPr>
          <w:trHeight w:val="147" w:hRule="atLeast"/>
        </w:trPr>
        <w:tc>
          <w:tcPr>
            <w:tcW w:w="13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205</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教育支出</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542.81</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542.81</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r>
      <w:tr>
        <w:tblPrEx>
          <w:tblCellMar>
            <w:top w:w="0" w:type="dxa"/>
            <w:left w:w="0" w:type="dxa"/>
            <w:bottom w:w="0" w:type="dxa"/>
            <w:right w:w="0" w:type="dxa"/>
          </w:tblCellMar>
        </w:tblPrEx>
        <w:trPr>
          <w:trHeight w:val="147" w:hRule="atLeast"/>
        </w:trPr>
        <w:tc>
          <w:tcPr>
            <w:tcW w:w="13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 xml:space="preserve">  20502</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普通教育</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542.81</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542.81</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r>
      <w:tr>
        <w:trPr>
          <w:trHeight w:val="147" w:hRule="atLeast"/>
        </w:trPr>
        <w:tc>
          <w:tcPr>
            <w:tcW w:w="13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 xml:space="preserve">    2050202</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小学教育</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61.06</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61.06</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r>
      <w:tr>
        <w:tblPrEx>
          <w:tblCellMar>
            <w:top w:w="0" w:type="dxa"/>
            <w:left w:w="0" w:type="dxa"/>
            <w:bottom w:w="0" w:type="dxa"/>
            <w:right w:w="0" w:type="dxa"/>
          </w:tblCellMar>
        </w:tblPrEx>
        <w:trPr>
          <w:trHeight w:val="147" w:hRule="atLeast"/>
        </w:trPr>
        <w:tc>
          <w:tcPr>
            <w:tcW w:w="13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 xml:space="preserve">    2050203</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初中教育</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481.50</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481.50</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r>
      <w:tr>
        <w:tblPrEx>
          <w:tblCellMar>
            <w:top w:w="0" w:type="dxa"/>
            <w:left w:w="0" w:type="dxa"/>
            <w:bottom w:w="0" w:type="dxa"/>
            <w:right w:w="0" w:type="dxa"/>
          </w:tblCellMar>
        </w:tblPrEx>
        <w:trPr>
          <w:trHeight w:val="147" w:hRule="atLeast"/>
        </w:trPr>
        <w:tc>
          <w:tcPr>
            <w:tcW w:w="13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 xml:space="preserve">    2050299</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其他普通教育支出</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0.25</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0.25</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r>
      <w:tr>
        <w:tblPrEx>
          <w:tblCellMar>
            <w:top w:w="0" w:type="dxa"/>
            <w:left w:w="0" w:type="dxa"/>
            <w:bottom w:w="0" w:type="dxa"/>
            <w:right w:w="0" w:type="dxa"/>
          </w:tblCellMar>
        </w:tblPrEx>
        <w:trPr>
          <w:trHeight w:val="147" w:hRule="atLeast"/>
        </w:trPr>
        <w:tc>
          <w:tcPr>
            <w:tcW w:w="13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208</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社会保障和就业支出</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0.77</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0.77</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r>
      <w:tr>
        <w:trPr>
          <w:trHeight w:val="147" w:hRule="atLeast"/>
        </w:trPr>
        <w:tc>
          <w:tcPr>
            <w:tcW w:w="13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 xml:space="preserve">  20807</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就业补助</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0.77</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0.77</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r>
      <w:tr>
        <w:tblPrEx>
          <w:tblCellMar>
            <w:top w:w="0" w:type="dxa"/>
            <w:left w:w="0" w:type="dxa"/>
            <w:bottom w:w="0" w:type="dxa"/>
            <w:right w:w="0" w:type="dxa"/>
          </w:tblCellMar>
        </w:tblPrEx>
        <w:trPr>
          <w:trHeight w:val="147" w:hRule="atLeast"/>
        </w:trPr>
        <w:tc>
          <w:tcPr>
            <w:tcW w:w="13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 xml:space="preserve">    2080799</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其他就业补助支出</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0.77</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0.77</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r>
      <w:tr>
        <w:tblPrEx>
          <w:tblCellMar>
            <w:top w:w="0" w:type="dxa"/>
            <w:left w:w="0" w:type="dxa"/>
            <w:bottom w:w="0" w:type="dxa"/>
            <w:right w:w="0" w:type="dxa"/>
          </w:tblCellMar>
        </w:tblPrEx>
        <w:trPr>
          <w:trHeight w:val="147" w:hRule="atLeast"/>
        </w:trPr>
        <w:tc>
          <w:tcPr>
            <w:tcW w:w="13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210</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卫生健康支出</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1.00</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1.00</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r>
      <w:tr>
        <w:tblPrEx>
          <w:tblCellMar>
            <w:top w:w="0" w:type="dxa"/>
            <w:left w:w="0" w:type="dxa"/>
            <w:bottom w:w="0" w:type="dxa"/>
            <w:right w:w="0" w:type="dxa"/>
          </w:tblCellMar>
        </w:tblPrEx>
        <w:trPr>
          <w:trHeight w:val="147" w:hRule="atLeast"/>
        </w:trPr>
        <w:tc>
          <w:tcPr>
            <w:tcW w:w="13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 xml:space="preserve">  21004</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公共卫生</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1.00</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1.00</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r>
      <w:tr>
        <w:tblPrEx>
          <w:tblCellMar>
            <w:top w:w="0" w:type="dxa"/>
            <w:left w:w="0" w:type="dxa"/>
            <w:bottom w:w="0" w:type="dxa"/>
            <w:right w:w="0" w:type="dxa"/>
          </w:tblCellMar>
        </w:tblPrEx>
        <w:trPr>
          <w:trHeight w:val="147" w:hRule="atLeast"/>
        </w:trPr>
        <w:tc>
          <w:tcPr>
            <w:tcW w:w="13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 xml:space="preserve">    2100410</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突发公共卫生事件应急处理</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1.00</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1.00</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r>
      <w:tr>
        <w:tblPrEx>
          <w:tblCellMar>
            <w:top w:w="0" w:type="dxa"/>
            <w:left w:w="0" w:type="dxa"/>
            <w:bottom w:w="0" w:type="dxa"/>
            <w:right w:w="0" w:type="dxa"/>
          </w:tblCellMar>
        </w:tblPrEx>
        <w:trPr>
          <w:trHeight w:val="615" w:hRule="atLeast"/>
        </w:trPr>
        <w:tc>
          <w:tcPr>
            <w:tcW w:w="13988" w:type="dxa"/>
            <w:gridSpan w:val="9"/>
            <w:tcBorders>
              <w:top w:val="single" w:color="auto" w:sz="4" w:space="0"/>
              <w:left w:val="nil"/>
              <w:bottom w:val="nil"/>
              <w:right w:val="nil"/>
            </w:tcBorders>
            <w:shd w:val="clear" w:color="auto" w:fill="auto"/>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rPr>
            </w:pPr>
            <w:r>
              <w:rPr>
                <w:rFonts w:hint="eastAsia" w:ascii="仿宋" w:hAnsi="仿宋" w:eastAsia="仿宋" w:cs="仿宋"/>
              </w:rPr>
              <w:t>注：本表反映部门本年度取得的各项收入情况。</w:t>
            </w:r>
          </w:p>
        </w:tc>
      </w:tr>
    </w:tbl>
    <w:p>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p>
    <w:tbl>
      <w:tblPr>
        <w:tblStyle w:val="6"/>
        <w:tblW w:w="13935" w:type="dxa"/>
        <w:tblInd w:w="91" w:type="dxa"/>
        <w:tblLayout w:type="fixed"/>
        <w:tblCellMar>
          <w:top w:w="0" w:type="dxa"/>
          <w:left w:w="108" w:type="dxa"/>
          <w:bottom w:w="0" w:type="dxa"/>
          <w:right w:w="108" w:type="dxa"/>
        </w:tblCellMar>
      </w:tblPr>
      <w:tblGrid>
        <w:gridCol w:w="1716"/>
        <w:gridCol w:w="3326"/>
        <w:gridCol w:w="1680"/>
        <w:gridCol w:w="1371"/>
        <w:gridCol w:w="1492"/>
        <w:gridCol w:w="1697"/>
        <w:gridCol w:w="1183"/>
        <w:gridCol w:w="1470"/>
      </w:tblGrid>
      <w:tr>
        <w:tblPrEx>
          <w:tblCellMar>
            <w:top w:w="0" w:type="dxa"/>
            <w:left w:w="108" w:type="dxa"/>
            <w:bottom w:w="0" w:type="dxa"/>
            <w:right w:w="108" w:type="dxa"/>
          </w:tblCellMar>
        </w:tblPrEx>
        <w:trPr>
          <w:trHeight w:val="435" w:hRule="atLeast"/>
        </w:trPr>
        <w:tc>
          <w:tcPr>
            <w:tcW w:w="13935" w:type="dxa"/>
            <w:gridSpan w:val="8"/>
            <w:tcBorders>
              <w:top w:val="nil"/>
              <w:left w:val="nil"/>
              <w:bottom w:val="nil"/>
              <w:right w:val="nil"/>
            </w:tcBorders>
            <w:shd w:val="clear" w:color="auto" w:fill="auto"/>
            <w:noWrap/>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支出决算表</w:t>
            </w:r>
          </w:p>
        </w:tc>
      </w:tr>
      <w:tr>
        <w:trPr>
          <w:trHeight w:val="90" w:hRule="atLeast"/>
        </w:trPr>
        <w:tc>
          <w:tcPr>
            <w:tcW w:w="12465" w:type="dxa"/>
            <w:gridSpan w:val="7"/>
            <w:tcBorders>
              <w:top w:val="nil"/>
              <w:left w:val="nil"/>
              <w:bottom w:val="nil"/>
              <w:right w:val="nil"/>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70" w:type="dxa"/>
            <w:tcBorders>
              <w:top w:val="nil"/>
              <w:left w:val="nil"/>
              <w:bottom w:val="nil"/>
              <w:right w:val="nil"/>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公开03表</w:t>
            </w:r>
          </w:p>
        </w:tc>
      </w:tr>
      <w:tr>
        <w:tblPrEx>
          <w:tblCellMar>
            <w:top w:w="0" w:type="dxa"/>
            <w:left w:w="108" w:type="dxa"/>
            <w:bottom w:w="0" w:type="dxa"/>
            <w:right w:w="108" w:type="dxa"/>
          </w:tblCellMar>
        </w:tblPrEx>
        <w:trPr>
          <w:trHeight w:val="104" w:hRule="atLeast"/>
        </w:trPr>
        <w:tc>
          <w:tcPr>
            <w:tcW w:w="12465" w:type="dxa"/>
            <w:gridSpan w:val="7"/>
            <w:tcBorders>
              <w:top w:val="nil"/>
              <w:left w:val="nil"/>
              <w:bottom w:val="single" w:color="auto" w:sz="4" w:space="0"/>
              <w:right w:val="nil"/>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color w:val="000000"/>
                <w:kern w:val="0"/>
                <w:sz w:val="20"/>
                <w:szCs w:val="20"/>
                <w:lang w:eastAsia="zh-CN"/>
              </w:rPr>
              <w:t>单位</w:t>
            </w:r>
            <w:r>
              <w:rPr>
                <w:rFonts w:hint="eastAsia" w:ascii="仿宋" w:hAnsi="仿宋" w:eastAsia="仿宋" w:cs="仿宋"/>
                <w:color w:val="000000"/>
                <w:kern w:val="0"/>
                <w:sz w:val="20"/>
                <w:szCs w:val="20"/>
              </w:rPr>
              <w:t>：</w:t>
            </w:r>
            <w:r>
              <w:rPr>
                <w:rFonts w:ascii="仿宋" w:hAnsi="仿宋" w:eastAsia="仿宋" w:cs="仿宋"/>
                <w:color w:val="000000"/>
                <w:sz w:val="20"/>
              </w:rPr>
              <w:t>中方县桐木镇中学</w:t>
            </w:r>
          </w:p>
        </w:tc>
        <w:tc>
          <w:tcPr>
            <w:tcW w:w="1470" w:type="dxa"/>
            <w:tcBorders>
              <w:top w:val="nil"/>
              <w:left w:val="nil"/>
              <w:bottom w:val="single" w:color="auto" w:sz="4" w:space="0"/>
              <w:right w:val="nil"/>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单位：万元</w:t>
            </w:r>
          </w:p>
        </w:tc>
      </w:tr>
      <w:tr>
        <w:trPr>
          <w:trHeight w:val="450" w:hRule="atLeast"/>
        </w:trPr>
        <w:tc>
          <w:tcPr>
            <w:tcW w:w="5042"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项    目</w:t>
            </w:r>
          </w:p>
        </w:tc>
        <w:tc>
          <w:tcPr>
            <w:tcW w:w="168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本年支出合计</w:t>
            </w:r>
          </w:p>
        </w:tc>
        <w:tc>
          <w:tcPr>
            <w:tcW w:w="137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基本支出</w:t>
            </w:r>
          </w:p>
        </w:tc>
        <w:tc>
          <w:tcPr>
            <w:tcW w:w="1492"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项目支出</w:t>
            </w:r>
          </w:p>
        </w:tc>
        <w:tc>
          <w:tcPr>
            <w:tcW w:w="1697"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上缴上级支出</w:t>
            </w:r>
          </w:p>
        </w:tc>
        <w:tc>
          <w:tcPr>
            <w:tcW w:w="1183"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经营支出</w:t>
            </w:r>
          </w:p>
        </w:tc>
        <w:tc>
          <w:tcPr>
            <w:tcW w:w="147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对附属单位补助支出</w:t>
            </w:r>
          </w:p>
        </w:tc>
      </w:tr>
      <w:tr>
        <w:trPr>
          <w:trHeight w:val="450" w:hRule="atLeast"/>
        </w:trPr>
        <w:tc>
          <w:tcPr>
            <w:tcW w:w="1716"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功能分类</w:t>
            </w:r>
          </w:p>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科目编码</w:t>
            </w:r>
          </w:p>
        </w:tc>
        <w:tc>
          <w:tcPr>
            <w:tcW w:w="3326"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科目名称</w:t>
            </w:r>
          </w:p>
        </w:tc>
        <w:tc>
          <w:tcPr>
            <w:tcW w:w="168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137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149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169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118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147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312" w:hRule="atLeast"/>
        </w:trPr>
        <w:tc>
          <w:tcPr>
            <w:tcW w:w="171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332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168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137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149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169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118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147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r>
      <w:tr>
        <w:trPr>
          <w:trHeight w:val="139" w:hRule="atLeast"/>
        </w:trPr>
        <w:tc>
          <w:tcPr>
            <w:tcW w:w="504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栏次</w:t>
            </w:r>
          </w:p>
        </w:tc>
        <w:tc>
          <w:tcPr>
            <w:tcW w:w="168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137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2</w:t>
            </w:r>
          </w:p>
        </w:tc>
        <w:tc>
          <w:tcPr>
            <w:tcW w:w="1492"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3</w:t>
            </w:r>
          </w:p>
        </w:tc>
        <w:tc>
          <w:tcPr>
            <w:tcW w:w="1697"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4</w:t>
            </w:r>
          </w:p>
        </w:tc>
        <w:tc>
          <w:tcPr>
            <w:tcW w:w="118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5</w:t>
            </w:r>
          </w:p>
        </w:tc>
        <w:tc>
          <w:tcPr>
            <w:tcW w:w="147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6</w:t>
            </w:r>
          </w:p>
        </w:tc>
      </w:tr>
      <w:tr>
        <w:tblPrEx>
          <w:tblCellMar>
            <w:top w:w="0" w:type="dxa"/>
            <w:left w:w="108" w:type="dxa"/>
            <w:bottom w:w="0" w:type="dxa"/>
            <w:right w:w="108" w:type="dxa"/>
          </w:tblCellMar>
        </w:tblPrEx>
        <w:trPr>
          <w:trHeight w:val="657" w:hRule="atLeast"/>
        </w:trPr>
        <w:tc>
          <w:tcPr>
            <w:tcW w:w="504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合计</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544.58</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544.58</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448" w:hRule="atLeast"/>
        </w:trPr>
        <w:tc>
          <w:tcPr>
            <w:tcW w:w="17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205</w:t>
            </w:r>
          </w:p>
        </w:tc>
        <w:tc>
          <w:tcPr>
            <w:tcW w:w="33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教育支出</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542.81</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542.81</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r>
      <w:tr>
        <w:trPr>
          <w:trHeight w:val="448" w:hRule="atLeast"/>
        </w:trPr>
        <w:tc>
          <w:tcPr>
            <w:tcW w:w="17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 xml:space="preserve">  20502</w:t>
            </w:r>
          </w:p>
        </w:tc>
        <w:tc>
          <w:tcPr>
            <w:tcW w:w="33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普通教育</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542.81</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542.81</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r>
      <w:tr>
        <w:trPr>
          <w:trHeight w:val="448" w:hRule="atLeast"/>
        </w:trPr>
        <w:tc>
          <w:tcPr>
            <w:tcW w:w="17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 xml:space="preserve">    2050202</w:t>
            </w:r>
          </w:p>
        </w:tc>
        <w:tc>
          <w:tcPr>
            <w:tcW w:w="33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小学教育</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61.06</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61.06</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448" w:hRule="atLeast"/>
        </w:trPr>
        <w:tc>
          <w:tcPr>
            <w:tcW w:w="17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 xml:space="preserve">    2050203</w:t>
            </w:r>
          </w:p>
        </w:tc>
        <w:tc>
          <w:tcPr>
            <w:tcW w:w="33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初中教育</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481.50</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481.50</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448" w:hRule="atLeast"/>
        </w:trPr>
        <w:tc>
          <w:tcPr>
            <w:tcW w:w="17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 xml:space="preserve">    2050299</w:t>
            </w:r>
          </w:p>
        </w:tc>
        <w:tc>
          <w:tcPr>
            <w:tcW w:w="33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其他普通教育支出</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0.25</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0.25</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r>
      <w:tr>
        <w:trPr>
          <w:trHeight w:val="448" w:hRule="atLeast"/>
        </w:trPr>
        <w:tc>
          <w:tcPr>
            <w:tcW w:w="17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208</w:t>
            </w:r>
          </w:p>
        </w:tc>
        <w:tc>
          <w:tcPr>
            <w:tcW w:w="33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社会保障和就业支出</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0.77</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0.77</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448" w:hRule="atLeast"/>
        </w:trPr>
        <w:tc>
          <w:tcPr>
            <w:tcW w:w="17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 xml:space="preserve">  20807</w:t>
            </w:r>
          </w:p>
        </w:tc>
        <w:tc>
          <w:tcPr>
            <w:tcW w:w="33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就业补助</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0.77</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0.77</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448" w:hRule="atLeast"/>
        </w:trPr>
        <w:tc>
          <w:tcPr>
            <w:tcW w:w="17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 xml:space="preserve">    2080799</w:t>
            </w:r>
          </w:p>
        </w:tc>
        <w:tc>
          <w:tcPr>
            <w:tcW w:w="33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其他就业补助支出</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0.77</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0.77</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448" w:hRule="atLeast"/>
        </w:trPr>
        <w:tc>
          <w:tcPr>
            <w:tcW w:w="17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210</w:t>
            </w:r>
          </w:p>
        </w:tc>
        <w:tc>
          <w:tcPr>
            <w:tcW w:w="33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卫生健康支出</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1.00</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1.00</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r>
      <w:tr>
        <w:trPr>
          <w:trHeight w:val="448" w:hRule="atLeast"/>
        </w:trPr>
        <w:tc>
          <w:tcPr>
            <w:tcW w:w="17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 xml:space="preserve">  21004</w:t>
            </w:r>
          </w:p>
        </w:tc>
        <w:tc>
          <w:tcPr>
            <w:tcW w:w="33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公共卫生</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1.00</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1.00</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448" w:hRule="atLeast"/>
        </w:trPr>
        <w:tc>
          <w:tcPr>
            <w:tcW w:w="17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 xml:space="preserve">    2100410</w:t>
            </w:r>
          </w:p>
        </w:tc>
        <w:tc>
          <w:tcPr>
            <w:tcW w:w="33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突发公共卫生事件应急处理</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1.00</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1.00</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630" w:hRule="atLeast"/>
        </w:trPr>
        <w:tc>
          <w:tcPr>
            <w:tcW w:w="13935" w:type="dxa"/>
            <w:gridSpan w:val="8"/>
            <w:tcBorders>
              <w:top w:val="single" w:color="auto" w:sz="4" w:space="0"/>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1"/>
                <w:szCs w:val="21"/>
              </w:rPr>
            </w:pPr>
            <w:r>
              <w:rPr>
                <w:rFonts w:hint="eastAsia" w:ascii="仿宋" w:hAnsi="仿宋" w:eastAsia="仿宋" w:cs="仿宋"/>
                <w:kern w:val="0"/>
                <w:sz w:val="21"/>
                <w:szCs w:val="21"/>
              </w:rPr>
              <w:t>注：本表反映部门本年度各项支出情况。</w:t>
            </w:r>
          </w:p>
        </w:tc>
      </w:tr>
    </w:tbl>
    <w:p>
      <w:pPr>
        <w:rPr>
          <w:rFonts w:ascii="Times New Roman" w:hAnsi="Times New Roman" w:eastAsia="方正小标宋_GBK" w:cs="Times New Roman"/>
          <w:color w:val="000000"/>
          <w:kern w:val="0"/>
          <w:sz w:val="36"/>
          <w:szCs w:val="21"/>
        </w:rPr>
        <w:sectPr>
          <w:pgSz w:w="16838" w:h="11906" w:orient="landscape"/>
          <w:pgMar w:top="1803" w:right="1440" w:bottom="1803" w:left="1440" w:header="851" w:footer="992" w:gutter="0"/>
          <w:pgNumType w:fmt="numberInDash"/>
          <w:cols w:space="0" w:num="1"/>
          <w:rtlGutter w:val="0"/>
          <w:docGrid w:type="lines" w:linePitch="319" w:charSpace="0"/>
        </w:sectPr>
      </w:pPr>
    </w:p>
    <w:tbl>
      <w:tblPr>
        <w:tblStyle w:val="6"/>
        <w:tblW w:w="15522" w:type="dxa"/>
        <w:tblInd w:w="91" w:type="dxa"/>
        <w:tblLayout w:type="fixed"/>
        <w:tblCellMar>
          <w:top w:w="0" w:type="dxa"/>
          <w:left w:w="108" w:type="dxa"/>
          <w:bottom w:w="0" w:type="dxa"/>
          <w:right w:w="108" w:type="dxa"/>
        </w:tblCellMar>
      </w:tblPr>
      <w:tblGrid>
        <w:gridCol w:w="3208"/>
        <w:gridCol w:w="760"/>
        <w:gridCol w:w="1600"/>
        <w:gridCol w:w="3380"/>
        <w:gridCol w:w="820"/>
        <w:gridCol w:w="1580"/>
        <w:gridCol w:w="1400"/>
        <w:gridCol w:w="1360"/>
        <w:gridCol w:w="1414"/>
      </w:tblGrid>
      <w:tr>
        <w:tblPrEx>
          <w:tblCellMar>
            <w:top w:w="0" w:type="dxa"/>
            <w:left w:w="108" w:type="dxa"/>
            <w:bottom w:w="0" w:type="dxa"/>
            <w:right w:w="108" w:type="dxa"/>
          </w:tblCellMar>
        </w:tblPrEx>
        <w:trPr>
          <w:trHeight w:val="360" w:hRule="atLeast"/>
        </w:trPr>
        <w:tc>
          <w:tcPr>
            <w:tcW w:w="15522" w:type="dxa"/>
            <w:gridSpan w:val="9"/>
            <w:tcBorders>
              <w:top w:val="nil"/>
              <w:left w:val="nil"/>
              <w:bottom w:val="nil"/>
              <w:right w:val="nil"/>
            </w:tcBorders>
            <w:shd w:val="clear" w:color="auto" w:fill="auto"/>
            <w:noWrap/>
            <w:vAlign w:val="center"/>
          </w:tcPr>
          <w:p>
            <w:pPr>
              <w:widowControl/>
              <w:jc w:val="center"/>
              <w:rPr>
                <w:rFonts w:hint="eastAsia" w:ascii="仿宋" w:hAnsi="仿宋" w:eastAsia="仿宋" w:cs="仿宋"/>
                <w:color w:val="000000"/>
                <w:kern w:val="0"/>
                <w:sz w:val="32"/>
                <w:szCs w:val="32"/>
              </w:rPr>
            </w:pPr>
            <w:bookmarkStart w:id="0" w:name="RANGE!A1:I22"/>
            <w:bookmarkEnd w:id="0"/>
            <w:bookmarkStart w:id="1" w:name="RANGE!A1:F16"/>
            <w:r>
              <w:rPr>
                <w:rFonts w:hint="eastAsia" w:ascii="仿宋" w:hAnsi="仿宋" w:eastAsia="仿宋" w:cs="仿宋"/>
                <w:b/>
                <w:bCs/>
                <w:color w:val="000000"/>
                <w:kern w:val="0"/>
                <w:sz w:val="32"/>
                <w:szCs w:val="32"/>
              </w:rPr>
              <w:t>财政拨款收入支出决算总表</w:t>
            </w:r>
          </w:p>
        </w:tc>
      </w:tr>
      <w:tr>
        <w:tblPrEx>
          <w:tblCellMar>
            <w:top w:w="0" w:type="dxa"/>
            <w:left w:w="108" w:type="dxa"/>
            <w:bottom w:w="0" w:type="dxa"/>
            <w:right w:w="108" w:type="dxa"/>
          </w:tblCellMar>
        </w:tblPrEx>
        <w:trPr>
          <w:trHeight w:val="148" w:hRule="atLeast"/>
        </w:trPr>
        <w:tc>
          <w:tcPr>
            <w:tcW w:w="14108" w:type="dxa"/>
            <w:gridSpan w:val="8"/>
            <w:tcBorders>
              <w:top w:val="nil"/>
              <w:left w:val="nil"/>
              <w:bottom w:val="nil"/>
              <w:right w:val="nil"/>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14" w:type="dxa"/>
            <w:tcBorders>
              <w:top w:val="nil"/>
              <w:left w:val="nil"/>
              <w:bottom w:val="nil"/>
              <w:right w:val="nil"/>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公开04表</w:t>
            </w:r>
          </w:p>
        </w:tc>
      </w:tr>
      <w:tr>
        <w:tblPrEx>
          <w:tblCellMar>
            <w:top w:w="0" w:type="dxa"/>
            <w:left w:w="108" w:type="dxa"/>
            <w:bottom w:w="0" w:type="dxa"/>
            <w:right w:w="108" w:type="dxa"/>
          </w:tblCellMar>
        </w:tblPrEx>
        <w:trPr>
          <w:trHeight w:val="90" w:hRule="atLeast"/>
        </w:trPr>
        <w:tc>
          <w:tcPr>
            <w:tcW w:w="14108" w:type="dxa"/>
            <w:gridSpan w:val="8"/>
            <w:tcBorders>
              <w:top w:val="nil"/>
              <w:left w:val="nil"/>
              <w:bottom w:val="single" w:color="auto" w:sz="4" w:space="0"/>
              <w:right w:val="nil"/>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color w:val="000000"/>
                <w:kern w:val="0"/>
                <w:sz w:val="20"/>
                <w:szCs w:val="20"/>
                <w:lang w:eastAsia="zh-CN"/>
              </w:rPr>
              <w:t>单位</w:t>
            </w:r>
            <w:r>
              <w:rPr>
                <w:rFonts w:hint="eastAsia" w:ascii="仿宋" w:hAnsi="仿宋" w:eastAsia="仿宋" w:cs="仿宋"/>
                <w:color w:val="000000"/>
                <w:kern w:val="0"/>
                <w:sz w:val="20"/>
                <w:szCs w:val="20"/>
              </w:rPr>
              <w:t>：</w:t>
            </w:r>
            <w:r>
              <w:rPr>
                <w:rFonts w:ascii="仿宋" w:hAnsi="仿宋" w:eastAsia="仿宋" w:cs="仿宋"/>
                <w:color w:val="000000"/>
                <w:sz w:val="20"/>
              </w:rPr>
              <w:t>中方县桐木镇中学</w:t>
            </w:r>
          </w:p>
        </w:tc>
        <w:tc>
          <w:tcPr>
            <w:tcW w:w="1414" w:type="dxa"/>
            <w:tcBorders>
              <w:top w:val="nil"/>
              <w:left w:val="nil"/>
              <w:bottom w:val="single" w:color="auto" w:sz="4" w:space="0"/>
              <w:right w:val="nil"/>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5568"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收入</w:t>
            </w:r>
          </w:p>
        </w:tc>
        <w:tc>
          <w:tcPr>
            <w:tcW w:w="9954" w:type="dxa"/>
            <w:gridSpan w:val="6"/>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支出</w:t>
            </w:r>
          </w:p>
        </w:tc>
      </w:tr>
      <w:tr>
        <w:tblPrEx>
          <w:tblCellMar>
            <w:top w:w="0" w:type="dxa"/>
            <w:left w:w="108" w:type="dxa"/>
            <w:bottom w:w="0" w:type="dxa"/>
            <w:right w:w="108" w:type="dxa"/>
          </w:tblCellMar>
        </w:tblPrEx>
        <w:trPr>
          <w:trHeight w:val="737"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项    目</w:t>
            </w: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0"/>
                <w:szCs w:val="20"/>
              </w:rPr>
            </w:pPr>
            <w:r>
              <w:rPr>
                <w:rFonts w:hint="eastAsia" w:ascii="仿宋" w:hAnsi="仿宋" w:eastAsia="仿宋" w:cs="仿宋"/>
                <w:kern w:val="0"/>
                <w:sz w:val="20"/>
                <w:szCs w:val="20"/>
              </w:rPr>
              <w:t>行次</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金额</w:t>
            </w: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项    目</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0"/>
                <w:szCs w:val="20"/>
              </w:rPr>
            </w:pPr>
            <w:r>
              <w:rPr>
                <w:rFonts w:hint="eastAsia" w:ascii="仿宋" w:hAnsi="仿宋" w:eastAsia="仿宋" w:cs="仿宋"/>
                <w:kern w:val="0"/>
                <w:sz w:val="20"/>
                <w:szCs w:val="20"/>
              </w:rPr>
              <w:t>行次</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合计</w:t>
            </w: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一般公共预算财政拨款</w:t>
            </w:r>
          </w:p>
        </w:tc>
        <w:tc>
          <w:tcPr>
            <w:tcW w:w="13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政府性基金预算财政拨款</w:t>
            </w:r>
          </w:p>
        </w:tc>
        <w:tc>
          <w:tcPr>
            <w:tcW w:w="14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国有资本经营预算财政拨款</w:t>
            </w:r>
          </w:p>
        </w:tc>
      </w:tr>
      <w:tr>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ascii="仿宋" w:hAnsi="仿宋" w:eastAsia="仿宋" w:cs="仿宋"/>
                <w:sz w:val="24"/>
              </w:rPr>
              <w:t>栏    次</w:t>
            </w: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栏    次</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lang w:val="en-US" w:eastAsia="zh-CN"/>
              </w:rPr>
            </w:pPr>
            <w:r>
              <w:rPr>
                <w:rFonts w:hint="eastAsia" w:ascii="仿宋" w:hAnsi="仿宋" w:eastAsia="仿宋" w:cs="仿宋"/>
              </w:rPr>
              <w:t>2</w:t>
            </w: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rPr>
              <w:t>3</w:t>
            </w: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rPr>
              <w:t>4</w:t>
            </w: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rPr>
              <w:t>5</w:t>
            </w: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一、一般公共预算财政拨款</w:t>
            </w: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544.58</w:t>
            </w: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一、一般公共服务支出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33</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二、政府性基金预算财政拨款</w:t>
            </w: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二、外交支出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34</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三、国有资本经营财政拨款</w:t>
            </w: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三、国防支出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35</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四、公共安全支出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36</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五、教育支出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37</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542.81</w:t>
            </w: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542.81</w:t>
            </w: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6</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六、科学技术支出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38</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7</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七、文化旅游体育与传媒支出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39</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8</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八、社会保障和就业支出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40</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0.77</w:t>
            </w: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0.77</w:t>
            </w: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9</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九、卫生健康支出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41</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1.00</w:t>
            </w: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1.00</w:t>
            </w: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10</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十、节能环保支出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42</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11</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十一、城乡社区支出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43</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12</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十二、农林水支出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44</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13</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十三、交通运输支出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45</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14</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十四、资源勘探工业信息等支出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46</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15</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十五、商业服务业等支出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47</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16</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十六、金融支出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48</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17</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十七、援助其他地区支出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49</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18</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十八、自然资源海洋气象等支出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50</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19</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十九、住房保障支出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51</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20</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二十、粮油物资储备支出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52</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21</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二十一、国有资本经营预算支出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53</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22</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二十二、灾害防治及应急管理支出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54</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23</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二十三、其他支出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55</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24</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二十四、债务还本支出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56</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25</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二十五、债务付息支出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57</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26</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二十六、抗疫特别国债安排的支出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58</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97"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b/>
                <w:bCs/>
                <w:kern w:val="0"/>
                <w:sz w:val="22"/>
              </w:rPr>
            </w:pPr>
            <w:r>
              <w:rPr>
                <w:rFonts w:ascii="仿宋" w:hAnsi="仿宋" w:eastAsia="仿宋" w:cs="仿宋"/>
                <w:b/>
                <w:sz w:val="22"/>
              </w:rPr>
              <w:t>本年收入合计</w:t>
            </w: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lang w:val="en-US" w:eastAsia="zh-CN"/>
              </w:rPr>
            </w:pPr>
            <w:r>
              <w:rPr>
                <w:rFonts w:hint="eastAsia" w:ascii="仿宋" w:hAnsi="仿宋" w:eastAsia="仿宋" w:cs="仿宋"/>
                <w:kern w:val="0"/>
                <w:sz w:val="22"/>
                <w:lang w:val="en-US" w:eastAsia="zh-CN"/>
              </w:rPr>
              <w:t>27</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kern w:val="0"/>
                <w:sz w:val="22"/>
              </w:rPr>
              <w:t>544.58</w:t>
            </w: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b/>
                <w:bCs/>
                <w:kern w:val="0"/>
                <w:sz w:val="22"/>
              </w:rPr>
            </w:pPr>
            <w:r>
              <w:rPr>
                <w:rFonts w:hint="eastAsia" w:ascii="仿宋" w:hAnsi="仿宋" w:eastAsia="仿宋" w:cs="仿宋"/>
                <w:b/>
                <w:bCs/>
                <w:kern w:val="0"/>
                <w:sz w:val="22"/>
              </w:rPr>
              <w:t>本年支出合计</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lang w:val="en-US" w:eastAsia="zh-CN"/>
              </w:rPr>
            </w:pPr>
            <w:r>
              <w:rPr>
                <w:rFonts w:hint="eastAsia" w:ascii="仿宋" w:hAnsi="仿宋" w:eastAsia="仿宋" w:cs="仿宋"/>
                <w:kern w:val="0"/>
                <w:sz w:val="22"/>
                <w:lang w:val="en-US" w:eastAsia="zh-CN"/>
              </w:rPr>
              <w:t>59</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544.58</w:t>
            </w: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544.58</w:t>
            </w: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b/>
                <w:bCs/>
                <w:kern w:val="0"/>
                <w:sz w:val="22"/>
              </w:rPr>
            </w:pPr>
          </w:p>
        </w:tc>
      </w:tr>
      <w:tr>
        <w:tblPrEx>
          <w:tblCellMar>
            <w:top w:w="0" w:type="dxa"/>
            <w:left w:w="108" w:type="dxa"/>
            <w:bottom w:w="0" w:type="dxa"/>
            <w:right w:w="108" w:type="dxa"/>
          </w:tblCellMar>
        </w:tblPrEx>
        <w:trPr>
          <w:trHeight w:val="90"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年初财政拨款结转和结余</w:t>
            </w: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28</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0.0</w:t>
            </w: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年末财政拨款结转和结余</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60</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90"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 xml:space="preserve">  一般公共预算财政拨款</w:t>
            </w: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29</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0.0</w:t>
            </w: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61</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90"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 xml:space="preserve">  政府性基金预算财政拨款</w:t>
            </w: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30</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0.0</w:t>
            </w: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62</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90"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 xml:space="preserve">  国有资本经营预算财政拨款</w:t>
            </w: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31</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0.0</w:t>
            </w: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63</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59" w:hRule="atLeast"/>
        </w:trPr>
        <w:tc>
          <w:tcPr>
            <w:tcW w:w="3208"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b/>
                <w:bCs/>
                <w:kern w:val="0"/>
                <w:sz w:val="22"/>
              </w:rPr>
            </w:pPr>
            <w:r>
              <w:rPr>
                <w:rFonts w:hint="eastAsia" w:ascii="仿宋" w:hAnsi="仿宋" w:eastAsia="仿宋" w:cs="仿宋"/>
                <w:b/>
                <w:bCs/>
                <w:kern w:val="0"/>
                <w:sz w:val="22"/>
              </w:rPr>
              <w:t>总计</w:t>
            </w:r>
          </w:p>
        </w:tc>
        <w:tc>
          <w:tcPr>
            <w:tcW w:w="7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lang w:val="en-US" w:eastAsia="zh-CN"/>
              </w:rPr>
            </w:pPr>
            <w:r>
              <w:rPr>
                <w:rFonts w:hint="eastAsia" w:ascii="仿宋" w:hAnsi="仿宋" w:eastAsia="仿宋" w:cs="仿宋"/>
                <w:kern w:val="0"/>
                <w:sz w:val="22"/>
                <w:lang w:val="en-US" w:eastAsia="zh-CN"/>
              </w:rPr>
              <w:t>32</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kern w:val="0"/>
                <w:sz w:val="22"/>
              </w:rPr>
              <w:t>544.58</w:t>
            </w:r>
          </w:p>
        </w:tc>
        <w:tc>
          <w:tcPr>
            <w:tcW w:w="338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b/>
                <w:bCs/>
                <w:kern w:val="0"/>
                <w:sz w:val="22"/>
              </w:rPr>
            </w:pPr>
            <w:r>
              <w:rPr>
                <w:rFonts w:hint="eastAsia" w:ascii="仿宋" w:hAnsi="仿宋" w:eastAsia="仿宋" w:cs="仿宋"/>
                <w:b/>
                <w:bCs/>
                <w:kern w:val="0"/>
                <w:sz w:val="22"/>
              </w:rPr>
              <w:t>总计</w:t>
            </w:r>
          </w:p>
        </w:tc>
        <w:tc>
          <w:tcPr>
            <w:tcW w:w="82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lang w:val="en-US" w:eastAsia="zh-CN"/>
              </w:rPr>
            </w:pPr>
            <w:r>
              <w:rPr>
                <w:rFonts w:hint="eastAsia" w:ascii="仿宋" w:hAnsi="仿宋" w:eastAsia="仿宋" w:cs="仿宋"/>
                <w:kern w:val="0"/>
                <w:sz w:val="22"/>
                <w:lang w:val="en-US" w:eastAsia="zh-CN"/>
              </w:rPr>
              <w:t>64</w:t>
            </w:r>
          </w:p>
        </w:tc>
        <w:tc>
          <w:tcPr>
            <w:tcW w:w="158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544.58</w:t>
            </w:r>
          </w:p>
        </w:tc>
        <w:tc>
          <w:tcPr>
            <w:tcW w:w="14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544.58</w:t>
            </w: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b/>
                <w:bCs/>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b/>
                <w:bCs/>
                <w:kern w:val="0"/>
                <w:sz w:val="22"/>
              </w:rPr>
            </w:pPr>
          </w:p>
        </w:tc>
      </w:tr>
      <w:tr>
        <w:tblPrEx>
          <w:tblCellMar>
            <w:top w:w="0" w:type="dxa"/>
            <w:left w:w="108" w:type="dxa"/>
            <w:bottom w:w="0" w:type="dxa"/>
            <w:right w:w="108" w:type="dxa"/>
          </w:tblCellMar>
        </w:tblPrEx>
        <w:trPr>
          <w:trHeight w:val="295" w:hRule="atLeast"/>
        </w:trPr>
        <w:tc>
          <w:tcPr>
            <w:tcW w:w="15522" w:type="dxa"/>
            <w:gridSpan w:val="9"/>
            <w:tcBorders>
              <w:top w:val="single" w:color="auto" w:sz="4" w:space="0"/>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1"/>
                <w:szCs w:val="21"/>
              </w:rPr>
            </w:pPr>
            <w:r>
              <w:rPr>
                <w:rFonts w:hint="eastAsia" w:ascii="仿宋" w:hAnsi="仿宋" w:eastAsia="仿宋" w:cs="仿宋"/>
                <w:kern w:val="0"/>
                <w:sz w:val="21"/>
                <w:szCs w:val="21"/>
              </w:rPr>
              <w:t>注：本表反映部门本年度一般公共预算财政拨款、政府性基金预算财政拨款和国有资本经营预算财政拨款的总收支和年末结转结余情况。</w:t>
            </w:r>
          </w:p>
        </w:tc>
      </w:tr>
    </w:tbl>
    <w:p>
      <w:pPr>
        <w:widowControl/>
        <w:jc w:val="both"/>
        <w:rPr>
          <w:rFonts w:ascii="Times New Roman" w:hAnsi="Times New Roman" w:eastAsia="方正小标宋_GBK" w:cs="Times New Roman"/>
          <w:kern w:val="0"/>
          <w:sz w:val="36"/>
          <w:szCs w:val="36"/>
        </w:rPr>
        <w:sectPr>
          <w:pgSz w:w="16838" w:h="11906" w:orient="landscape"/>
          <w:pgMar w:top="1582" w:right="567" w:bottom="771" w:left="567" w:header="851" w:footer="992" w:gutter="0"/>
          <w:pgNumType w:fmt="numberInDash"/>
          <w:cols w:space="0" w:num="1"/>
          <w:rtlGutter w:val="0"/>
          <w:docGrid w:type="lines" w:linePitch="319" w:charSpace="0"/>
        </w:sectPr>
      </w:pPr>
    </w:p>
    <w:bookmarkEnd w:id="1"/>
    <w:tbl>
      <w:tblPr>
        <w:tblStyle w:val="6"/>
        <w:tblW w:w="14219" w:type="dxa"/>
        <w:jc w:val="center"/>
        <w:tblLayout w:type="fixed"/>
        <w:tblCellMar>
          <w:top w:w="0" w:type="dxa"/>
          <w:left w:w="108" w:type="dxa"/>
          <w:bottom w:w="0" w:type="dxa"/>
          <w:right w:w="108" w:type="dxa"/>
        </w:tblCellMar>
      </w:tblPr>
      <w:tblGrid>
        <w:gridCol w:w="1693"/>
        <w:gridCol w:w="4886"/>
        <w:gridCol w:w="2674"/>
        <w:gridCol w:w="2486"/>
        <w:gridCol w:w="2480"/>
      </w:tblGrid>
      <w:tr>
        <w:tblPrEx>
          <w:tblCellMar>
            <w:top w:w="0" w:type="dxa"/>
            <w:left w:w="108" w:type="dxa"/>
            <w:bottom w:w="0" w:type="dxa"/>
            <w:right w:w="108" w:type="dxa"/>
          </w:tblCellMar>
        </w:tblPrEx>
        <w:trPr>
          <w:trHeight w:val="405" w:hRule="atLeast"/>
          <w:jc w:val="center"/>
        </w:trPr>
        <w:tc>
          <w:tcPr>
            <w:tcW w:w="14219" w:type="dxa"/>
            <w:gridSpan w:val="5"/>
            <w:tcBorders>
              <w:top w:val="nil"/>
              <w:left w:val="nil"/>
              <w:bottom w:val="nil"/>
              <w:right w:val="nil"/>
            </w:tcBorders>
            <w:shd w:val="clear" w:color="auto" w:fill="auto"/>
            <w:vAlign w:val="center"/>
          </w:tcPr>
          <w:p>
            <w:pPr>
              <w:widowControl/>
              <w:jc w:val="center"/>
              <w:rPr>
                <w:rFonts w:hint="eastAsia" w:ascii="仿宋" w:hAnsi="仿宋" w:eastAsia="仿宋" w:cs="仿宋"/>
                <w:b/>
                <w:kern w:val="0"/>
                <w:szCs w:val="21"/>
              </w:rPr>
            </w:pPr>
            <w:r>
              <w:rPr>
                <w:rFonts w:hint="eastAsia" w:ascii="仿宋" w:hAnsi="仿宋" w:eastAsia="仿宋" w:cs="仿宋"/>
                <w:b/>
                <w:bCs/>
                <w:kern w:val="0"/>
                <w:sz w:val="36"/>
                <w:szCs w:val="36"/>
              </w:rPr>
              <w:t>一般公共预算财政拨款支出决算表</w:t>
            </w:r>
          </w:p>
        </w:tc>
      </w:tr>
      <w:tr>
        <w:tblPrEx>
          <w:tblCellMar>
            <w:top w:w="0" w:type="dxa"/>
            <w:left w:w="108" w:type="dxa"/>
            <w:bottom w:w="0" w:type="dxa"/>
            <w:right w:w="108" w:type="dxa"/>
          </w:tblCellMar>
        </w:tblPrEx>
        <w:trPr>
          <w:trHeight w:val="405" w:hRule="atLeast"/>
          <w:jc w:val="center"/>
        </w:trPr>
        <w:tc>
          <w:tcPr>
            <w:tcW w:w="14219" w:type="dxa"/>
            <w:gridSpan w:val="5"/>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b/>
                <w:kern w:val="0"/>
                <w:szCs w:val="21"/>
              </w:rPr>
            </w:pPr>
            <w:r>
              <w:rPr>
                <w:rFonts w:hint="eastAsia" w:ascii="仿宋" w:hAnsi="仿宋" w:eastAsia="仿宋" w:cs="仿宋"/>
                <w:color w:val="000000"/>
                <w:kern w:val="0"/>
                <w:szCs w:val="21"/>
              </w:rPr>
              <w:t>公开05表</w:t>
            </w:r>
          </w:p>
        </w:tc>
      </w:tr>
      <w:tr>
        <w:tblPrEx>
          <w:tblCellMar>
            <w:top w:w="0" w:type="dxa"/>
            <w:left w:w="108" w:type="dxa"/>
            <w:bottom w:w="0" w:type="dxa"/>
            <w:right w:w="108" w:type="dxa"/>
          </w:tblCellMar>
        </w:tblPrEx>
        <w:trPr>
          <w:trHeight w:val="405" w:hRule="atLeast"/>
          <w:jc w:val="center"/>
        </w:trPr>
        <w:tc>
          <w:tcPr>
            <w:tcW w:w="6579" w:type="dxa"/>
            <w:gridSpan w:val="2"/>
            <w:tcBorders>
              <w:top w:val="nil"/>
              <w:left w:val="nil"/>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kern w:val="0"/>
                <w:szCs w:val="21"/>
              </w:rPr>
            </w:pPr>
            <w:r>
              <w:rPr>
                <w:rFonts w:hint="eastAsia" w:ascii="仿宋" w:hAnsi="仿宋" w:eastAsia="仿宋" w:cs="仿宋"/>
                <w:color w:val="000000"/>
                <w:kern w:val="0"/>
                <w:szCs w:val="21"/>
                <w:lang w:eastAsia="zh-CN"/>
              </w:rPr>
              <w:t>单位</w:t>
            </w:r>
            <w:r>
              <w:rPr>
                <w:rFonts w:hint="eastAsia" w:ascii="仿宋" w:hAnsi="仿宋" w:eastAsia="仿宋" w:cs="仿宋"/>
                <w:color w:val="000000"/>
                <w:kern w:val="0"/>
                <w:szCs w:val="21"/>
              </w:rPr>
              <w:t>：</w:t>
            </w:r>
            <w:r>
              <w:rPr>
                <w:rFonts w:ascii="仿宋" w:hAnsi="仿宋" w:eastAsia="仿宋" w:cs="仿宋"/>
                <w:color w:val="000000"/>
              </w:rPr>
              <w:t>中方县桐木镇中学</w:t>
            </w:r>
          </w:p>
        </w:tc>
        <w:tc>
          <w:tcPr>
            <w:tcW w:w="7640" w:type="dxa"/>
            <w:gridSpan w:val="3"/>
            <w:tcBorders>
              <w:top w:val="nil"/>
              <w:left w:val="nil"/>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b/>
                <w:kern w:val="0"/>
                <w:szCs w:val="21"/>
              </w:rPr>
            </w:pPr>
            <w:r>
              <w:rPr>
                <w:rFonts w:hint="eastAsia" w:ascii="仿宋" w:hAnsi="仿宋" w:eastAsia="仿宋" w:cs="仿宋"/>
                <w:color w:val="000000"/>
                <w:kern w:val="0"/>
                <w:szCs w:val="21"/>
              </w:rPr>
              <w:t>单位：万元</w:t>
            </w:r>
          </w:p>
        </w:tc>
      </w:tr>
      <w:tr>
        <w:tblPrEx>
          <w:tblCellMar>
            <w:top w:w="0" w:type="dxa"/>
            <w:left w:w="108" w:type="dxa"/>
            <w:bottom w:w="0" w:type="dxa"/>
            <w:right w:w="108" w:type="dxa"/>
          </w:tblCellMar>
        </w:tblPrEx>
        <w:trPr>
          <w:trHeight w:val="90" w:hRule="atLeast"/>
          <w:jc w:val="center"/>
        </w:trPr>
        <w:tc>
          <w:tcPr>
            <w:tcW w:w="657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b/>
                <w:kern w:val="0"/>
                <w:szCs w:val="21"/>
              </w:rPr>
            </w:pPr>
            <w:r>
              <w:rPr>
                <w:rFonts w:hint="eastAsia" w:ascii="仿宋" w:hAnsi="仿宋" w:eastAsia="仿宋" w:cs="仿宋"/>
                <w:b/>
                <w:kern w:val="0"/>
                <w:szCs w:val="21"/>
              </w:rPr>
              <w:t xml:space="preserve">项 </w:t>
            </w:r>
            <w:r>
              <w:rPr>
                <w:rFonts w:hint="eastAsia" w:ascii="仿宋" w:hAnsi="仿宋" w:eastAsia="仿宋" w:cs="仿宋"/>
                <w:b/>
                <w:color w:val="000000"/>
                <w:kern w:val="0"/>
                <w:szCs w:val="21"/>
              </w:rPr>
              <w:t xml:space="preserve">   </w:t>
            </w:r>
            <w:r>
              <w:rPr>
                <w:rFonts w:hint="eastAsia" w:ascii="仿宋" w:hAnsi="仿宋" w:eastAsia="仿宋" w:cs="仿宋"/>
                <w:b/>
                <w:kern w:val="0"/>
                <w:szCs w:val="21"/>
              </w:rPr>
              <w:t>目</w:t>
            </w:r>
          </w:p>
        </w:tc>
        <w:tc>
          <w:tcPr>
            <w:tcW w:w="764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b/>
                <w:kern w:val="0"/>
                <w:szCs w:val="21"/>
              </w:rPr>
            </w:pPr>
            <w:r>
              <w:rPr>
                <w:rFonts w:hint="eastAsia" w:ascii="仿宋" w:hAnsi="仿宋" w:eastAsia="仿宋" w:cs="仿宋"/>
                <w:b/>
                <w:kern w:val="0"/>
                <w:szCs w:val="21"/>
              </w:rPr>
              <w:t>本年支出</w:t>
            </w:r>
          </w:p>
        </w:tc>
      </w:tr>
      <w:tr>
        <w:tblPrEx>
          <w:tblCellMar>
            <w:top w:w="0" w:type="dxa"/>
            <w:left w:w="108" w:type="dxa"/>
            <w:bottom w:w="0" w:type="dxa"/>
            <w:right w:w="108" w:type="dxa"/>
          </w:tblCellMar>
        </w:tblPrEx>
        <w:trPr>
          <w:trHeight w:val="495" w:hRule="atLeast"/>
          <w:jc w:val="center"/>
        </w:trPr>
        <w:tc>
          <w:tcPr>
            <w:tcW w:w="169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b/>
                <w:kern w:val="0"/>
                <w:szCs w:val="21"/>
              </w:rPr>
            </w:pPr>
            <w:r>
              <w:rPr>
                <w:rFonts w:hint="eastAsia" w:ascii="仿宋" w:hAnsi="仿宋" w:eastAsia="仿宋" w:cs="仿宋"/>
                <w:b/>
                <w:kern w:val="0"/>
                <w:szCs w:val="21"/>
              </w:rPr>
              <w:t>功能分类</w:t>
            </w:r>
          </w:p>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b/>
                <w:kern w:val="0"/>
                <w:szCs w:val="21"/>
              </w:rPr>
            </w:pPr>
            <w:r>
              <w:rPr>
                <w:rFonts w:hint="eastAsia" w:ascii="仿宋" w:hAnsi="仿宋" w:eastAsia="仿宋" w:cs="仿宋"/>
                <w:b/>
                <w:kern w:val="0"/>
                <w:szCs w:val="21"/>
              </w:rPr>
              <w:t>科目编码</w:t>
            </w:r>
          </w:p>
        </w:tc>
        <w:tc>
          <w:tcPr>
            <w:tcW w:w="488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b/>
                <w:kern w:val="0"/>
                <w:szCs w:val="21"/>
              </w:rPr>
            </w:pPr>
            <w:r>
              <w:rPr>
                <w:rFonts w:hint="eastAsia" w:ascii="仿宋" w:hAnsi="仿宋" w:eastAsia="仿宋" w:cs="仿宋"/>
                <w:b/>
                <w:kern w:val="0"/>
                <w:szCs w:val="21"/>
              </w:rPr>
              <w:t>科目名称</w:t>
            </w:r>
          </w:p>
        </w:tc>
        <w:tc>
          <w:tcPr>
            <w:tcW w:w="267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b/>
                <w:kern w:val="0"/>
                <w:szCs w:val="21"/>
              </w:rPr>
            </w:pPr>
            <w:r>
              <w:rPr>
                <w:rFonts w:hint="eastAsia" w:ascii="仿宋" w:hAnsi="仿宋" w:eastAsia="仿宋" w:cs="仿宋"/>
                <w:b/>
                <w:kern w:val="0"/>
                <w:szCs w:val="21"/>
              </w:rPr>
              <w:t>小计</w:t>
            </w:r>
          </w:p>
        </w:tc>
        <w:tc>
          <w:tcPr>
            <w:tcW w:w="248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b/>
                <w:kern w:val="0"/>
                <w:szCs w:val="21"/>
              </w:rPr>
            </w:pPr>
            <w:r>
              <w:rPr>
                <w:rFonts w:hint="eastAsia" w:ascii="仿宋" w:hAnsi="仿宋" w:eastAsia="仿宋" w:cs="仿宋"/>
                <w:b/>
                <w:kern w:val="0"/>
                <w:szCs w:val="21"/>
              </w:rPr>
              <w:t>基本支出</w:t>
            </w:r>
          </w:p>
        </w:tc>
        <w:tc>
          <w:tcPr>
            <w:tcW w:w="24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b/>
                <w:kern w:val="0"/>
                <w:szCs w:val="21"/>
              </w:rPr>
            </w:pPr>
            <w:r>
              <w:rPr>
                <w:rFonts w:hint="eastAsia" w:ascii="仿宋" w:hAnsi="仿宋" w:eastAsia="仿宋" w:cs="仿宋"/>
                <w:b/>
                <w:kern w:val="0"/>
                <w:szCs w:val="21"/>
              </w:rPr>
              <w:t>项目支出</w:t>
            </w:r>
          </w:p>
        </w:tc>
      </w:tr>
      <w:tr>
        <w:trPr>
          <w:trHeight w:val="360" w:hRule="atLeast"/>
          <w:jc w:val="center"/>
        </w:trPr>
        <w:tc>
          <w:tcPr>
            <w:tcW w:w="169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488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267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248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248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r>
      <w:tr>
        <w:tblPrEx>
          <w:tblCellMar>
            <w:top w:w="0" w:type="dxa"/>
            <w:left w:w="108" w:type="dxa"/>
            <w:bottom w:w="0" w:type="dxa"/>
            <w:right w:w="108" w:type="dxa"/>
          </w:tblCellMar>
        </w:tblPrEx>
        <w:trPr>
          <w:trHeight w:val="312" w:hRule="atLeast"/>
          <w:jc w:val="center"/>
        </w:trPr>
        <w:tc>
          <w:tcPr>
            <w:tcW w:w="169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488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267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248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248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r>
      <w:tr>
        <w:tblPrEx>
          <w:tblCellMar>
            <w:top w:w="0" w:type="dxa"/>
            <w:left w:w="108" w:type="dxa"/>
            <w:bottom w:w="0" w:type="dxa"/>
            <w:right w:w="108" w:type="dxa"/>
          </w:tblCellMar>
        </w:tblPrEx>
        <w:trPr>
          <w:trHeight w:val="450" w:hRule="atLeast"/>
          <w:jc w:val="center"/>
        </w:trPr>
        <w:tc>
          <w:tcPr>
            <w:tcW w:w="657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栏次</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1</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2</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3</w:t>
            </w:r>
          </w:p>
        </w:tc>
      </w:tr>
      <w:tr>
        <w:tblPrEx>
          <w:tblCellMar>
            <w:top w:w="0" w:type="dxa"/>
            <w:left w:w="108" w:type="dxa"/>
            <w:bottom w:w="0" w:type="dxa"/>
            <w:right w:w="108" w:type="dxa"/>
          </w:tblCellMar>
        </w:tblPrEx>
        <w:trPr>
          <w:trHeight w:val="450" w:hRule="atLeast"/>
          <w:jc w:val="center"/>
        </w:trPr>
        <w:tc>
          <w:tcPr>
            <w:tcW w:w="657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ascii="仿宋" w:hAnsi="仿宋" w:eastAsia="仿宋" w:cs="仿宋"/>
              </w:rPr>
              <w:t>合计</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544.58</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544.58</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r>
      <w:tr>
        <w:tblPrEx>
          <w:tblCellMar>
            <w:top w:w="0" w:type="dxa"/>
            <w:left w:w="108" w:type="dxa"/>
            <w:bottom w:w="0" w:type="dxa"/>
            <w:right w:w="108" w:type="dxa"/>
          </w:tblCellMar>
        </w:tblPrEx>
        <w:trPr>
          <w:trHeight w:val="448" w:hRule="atLeast"/>
          <w:jc w:val="center"/>
        </w:trPr>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205</w:t>
            </w:r>
          </w:p>
        </w:tc>
        <w:tc>
          <w:tcPr>
            <w:tcW w:w="48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教育支出</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542.81</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542.81</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r>
      <w:tr>
        <w:tblPrEx>
          <w:tblCellMar>
            <w:top w:w="0" w:type="dxa"/>
            <w:left w:w="108" w:type="dxa"/>
            <w:bottom w:w="0" w:type="dxa"/>
            <w:right w:w="108" w:type="dxa"/>
          </w:tblCellMar>
        </w:tblPrEx>
        <w:trPr>
          <w:trHeight w:val="448" w:hRule="atLeast"/>
          <w:jc w:val="center"/>
        </w:trPr>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 xml:space="preserve">  20502</w:t>
            </w:r>
          </w:p>
        </w:tc>
        <w:tc>
          <w:tcPr>
            <w:tcW w:w="48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普通教育</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542.81</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542.81</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r>
      <w:tr>
        <w:tblPrEx>
          <w:tblCellMar>
            <w:top w:w="0" w:type="dxa"/>
            <w:left w:w="108" w:type="dxa"/>
            <w:bottom w:w="0" w:type="dxa"/>
            <w:right w:w="108" w:type="dxa"/>
          </w:tblCellMar>
        </w:tblPrEx>
        <w:trPr>
          <w:trHeight w:val="448" w:hRule="atLeast"/>
          <w:jc w:val="center"/>
        </w:trPr>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 xml:space="preserve">    2050202</w:t>
            </w:r>
          </w:p>
        </w:tc>
        <w:tc>
          <w:tcPr>
            <w:tcW w:w="48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小学教育</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61.06</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61.06</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r>
      <w:tr>
        <w:tblPrEx>
          <w:tblCellMar>
            <w:top w:w="0" w:type="dxa"/>
            <w:left w:w="108" w:type="dxa"/>
            <w:bottom w:w="0" w:type="dxa"/>
            <w:right w:w="108" w:type="dxa"/>
          </w:tblCellMar>
        </w:tblPrEx>
        <w:trPr>
          <w:trHeight w:val="448" w:hRule="atLeast"/>
          <w:jc w:val="center"/>
        </w:trPr>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 xml:space="preserve">    2050203</w:t>
            </w:r>
          </w:p>
        </w:tc>
        <w:tc>
          <w:tcPr>
            <w:tcW w:w="48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初中教育</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481.50</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481.50</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r>
      <w:tr>
        <w:tblPrEx>
          <w:tblCellMar>
            <w:top w:w="0" w:type="dxa"/>
            <w:left w:w="108" w:type="dxa"/>
            <w:bottom w:w="0" w:type="dxa"/>
            <w:right w:w="108" w:type="dxa"/>
          </w:tblCellMar>
        </w:tblPrEx>
        <w:trPr>
          <w:trHeight w:val="448" w:hRule="atLeast"/>
          <w:jc w:val="center"/>
        </w:trPr>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 xml:space="preserve">    2050299</w:t>
            </w:r>
          </w:p>
        </w:tc>
        <w:tc>
          <w:tcPr>
            <w:tcW w:w="48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其他普通教育支出</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0.25</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0.25</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r>
      <w:tr>
        <w:tblPrEx>
          <w:tblCellMar>
            <w:top w:w="0" w:type="dxa"/>
            <w:left w:w="108" w:type="dxa"/>
            <w:bottom w:w="0" w:type="dxa"/>
            <w:right w:w="108" w:type="dxa"/>
          </w:tblCellMar>
        </w:tblPrEx>
        <w:trPr>
          <w:trHeight w:val="448" w:hRule="atLeast"/>
          <w:jc w:val="center"/>
        </w:trPr>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208</w:t>
            </w:r>
          </w:p>
        </w:tc>
        <w:tc>
          <w:tcPr>
            <w:tcW w:w="48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社会保障和就业支出</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0.77</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0.77</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r>
      <w:tr>
        <w:tblPrEx>
          <w:tblCellMar>
            <w:top w:w="0" w:type="dxa"/>
            <w:left w:w="108" w:type="dxa"/>
            <w:bottom w:w="0" w:type="dxa"/>
            <w:right w:w="108" w:type="dxa"/>
          </w:tblCellMar>
        </w:tblPrEx>
        <w:trPr>
          <w:trHeight w:val="448" w:hRule="atLeast"/>
          <w:jc w:val="center"/>
        </w:trPr>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 xml:space="preserve">  20807</w:t>
            </w:r>
          </w:p>
        </w:tc>
        <w:tc>
          <w:tcPr>
            <w:tcW w:w="48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就业补助</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0.77</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0.77</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r>
      <w:tr>
        <w:tblPrEx>
          <w:tblCellMar>
            <w:top w:w="0" w:type="dxa"/>
            <w:left w:w="108" w:type="dxa"/>
            <w:bottom w:w="0" w:type="dxa"/>
            <w:right w:w="108" w:type="dxa"/>
          </w:tblCellMar>
        </w:tblPrEx>
        <w:trPr>
          <w:trHeight w:val="448" w:hRule="atLeast"/>
          <w:jc w:val="center"/>
        </w:trPr>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 xml:space="preserve">    2080799</w:t>
            </w:r>
          </w:p>
        </w:tc>
        <w:tc>
          <w:tcPr>
            <w:tcW w:w="48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其他就业补助支出</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0.77</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0.77</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r>
      <w:tr>
        <w:tblPrEx>
          <w:tblCellMar>
            <w:top w:w="0" w:type="dxa"/>
            <w:left w:w="108" w:type="dxa"/>
            <w:bottom w:w="0" w:type="dxa"/>
            <w:right w:w="108" w:type="dxa"/>
          </w:tblCellMar>
        </w:tblPrEx>
        <w:trPr>
          <w:trHeight w:val="448" w:hRule="atLeast"/>
          <w:jc w:val="center"/>
        </w:trPr>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210</w:t>
            </w:r>
          </w:p>
        </w:tc>
        <w:tc>
          <w:tcPr>
            <w:tcW w:w="48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卫生健康支出</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1.00</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1.00</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r>
      <w:tr>
        <w:tblPrEx>
          <w:tblCellMar>
            <w:top w:w="0" w:type="dxa"/>
            <w:left w:w="108" w:type="dxa"/>
            <w:bottom w:w="0" w:type="dxa"/>
            <w:right w:w="108" w:type="dxa"/>
          </w:tblCellMar>
        </w:tblPrEx>
        <w:trPr>
          <w:trHeight w:val="448" w:hRule="atLeast"/>
          <w:jc w:val="center"/>
        </w:trPr>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 xml:space="preserve">  21004</w:t>
            </w:r>
          </w:p>
        </w:tc>
        <w:tc>
          <w:tcPr>
            <w:tcW w:w="48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公共卫生</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1.00</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1.00</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r>
      <w:tr>
        <w:tblPrEx>
          <w:tblCellMar>
            <w:top w:w="0" w:type="dxa"/>
            <w:left w:w="108" w:type="dxa"/>
            <w:bottom w:w="0" w:type="dxa"/>
            <w:right w:w="108" w:type="dxa"/>
          </w:tblCellMar>
        </w:tblPrEx>
        <w:trPr>
          <w:trHeight w:val="448" w:hRule="atLeast"/>
          <w:jc w:val="center"/>
        </w:trPr>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 xml:space="preserve">    2100410</w:t>
            </w:r>
          </w:p>
        </w:tc>
        <w:tc>
          <w:tcPr>
            <w:tcW w:w="48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突发公共卫生事件应急处理</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1.00</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1.00</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r>
      <w:tr>
        <w:tblPrEx>
          <w:tblCellMar>
            <w:top w:w="0" w:type="dxa"/>
            <w:left w:w="108" w:type="dxa"/>
            <w:bottom w:w="0" w:type="dxa"/>
            <w:right w:w="108" w:type="dxa"/>
          </w:tblCellMar>
        </w:tblPrEx>
        <w:trPr>
          <w:trHeight w:val="90" w:hRule="atLeast"/>
          <w:jc w:val="center"/>
        </w:trPr>
        <w:tc>
          <w:tcPr>
            <w:tcW w:w="14219" w:type="dxa"/>
            <w:gridSpan w:val="5"/>
            <w:tcBorders>
              <w:top w:val="single" w:color="auto" w:sz="4" w:space="0"/>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kern w:val="0"/>
                <w:szCs w:val="21"/>
              </w:rPr>
              <w:t>注：本表反映部门本年度一般公共预算财政拨款支出情况。</w:t>
            </w:r>
          </w:p>
        </w:tc>
      </w:tr>
    </w:tbl>
    <w:p>
      <w:pPr>
        <w:widowControl/>
        <w:jc w:val="left"/>
        <w:rPr>
          <w:rFonts w:ascii="Times New Roman" w:hAnsi="Times New Roman" w:eastAsia="仿宋_GB2312" w:cs="Times New Roman"/>
          <w:bCs/>
          <w:kern w:val="0"/>
          <w:szCs w:val="21"/>
        </w:rPr>
        <w:sectPr>
          <w:pgSz w:w="16838" w:h="11906" w:orient="landscape"/>
          <w:pgMar w:top="1803" w:right="1440" w:bottom="1803" w:left="1440" w:header="851" w:footer="992" w:gutter="0"/>
          <w:pgNumType w:fmt="numberInDash"/>
          <w:cols w:space="0" w:num="1"/>
          <w:rtlGutter w:val="0"/>
          <w:docGrid w:type="lines" w:linePitch="319" w:charSpace="0"/>
        </w:sectPr>
      </w:pPr>
    </w:p>
    <w:tbl>
      <w:tblPr>
        <w:tblStyle w:val="6"/>
        <w:tblW w:w="0" w:type="auto"/>
        <w:tblInd w:w="0" w:type="dxa"/>
        <w:tblLayout w:type="fixed"/>
        <w:tblCellMar>
          <w:top w:w="0" w:type="dxa"/>
          <w:left w:w="108" w:type="dxa"/>
          <w:bottom w:w="0" w:type="dxa"/>
          <w:right w:w="108" w:type="dxa"/>
        </w:tblCellMar>
      </w:tblPr>
      <w:tblGrid>
        <w:gridCol w:w="1068"/>
        <w:gridCol w:w="3153"/>
        <w:gridCol w:w="1260"/>
        <w:gridCol w:w="1220"/>
        <w:gridCol w:w="2920"/>
        <w:gridCol w:w="1180"/>
        <w:gridCol w:w="1180"/>
        <w:gridCol w:w="2520"/>
        <w:gridCol w:w="1300"/>
      </w:tblGrid>
      <w:tr>
        <w:tblPrEx>
          <w:tblCellMar>
            <w:top w:w="0" w:type="dxa"/>
            <w:left w:w="108" w:type="dxa"/>
            <w:bottom w:w="0" w:type="dxa"/>
            <w:right w:w="108" w:type="dxa"/>
          </w:tblCellMar>
        </w:tblPrEx>
        <w:trPr>
          <w:trHeight w:val="113" w:hRule="atLeast"/>
        </w:trPr>
        <w:tc>
          <w:tcPr>
            <w:tcW w:w="15801" w:type="dxa"/>
            <w:gridSpan w:val="9"/>
            <w:tcBorders>
              <w:top w:val="nil"/>
              <w:left w:val="nil"/>
              <w:bottom w:val="nil"/>
              <w:right w:val="nil"/>
            </w:tcBorders>
            <w:shd w:val="clear" w:color="auto" w:fill="auto"/>
            <w:vAlign w:val="center"/>
          </w:tcPr>
          <w:p>
            <w:pPr>
              <w:widowControl/>
              <w:jc w:val="center"/>
              <w:rPr>
                <w:rFonts w:hint="eastAsia" w:ascii="仿宋" w:hAnsi="仿宋" w:eastAsia="仿宋" w:cs="仿宋"/>
                <w:color w:val="000000"/>
                <w:kern w:val="0"/>
                <w:szCs w:val="20"/>
              </w:rPr>
            </w:pPr>
            <w:bookmarkStart w:id="2" w:name="RANGE!A1:I34"/>
            <w:r>
              <w:rPr>
                <w:rFonts w:hint="eastAsia" w:ascii="仿宋" w:hAnsi="仿宋" w:eastAsia="仿宋" w:cs="仿宋"/>
                <w:b/>
                <w:bCs/>
                <w:kern w:val="0"/>
                <w:sz w:val="36"/>
                <w:szCs w:val="36"/>
              </w:rPr>
              <w:t>一般公共预算财政拨款基本支出决算表</w:t>
            </w:r>
            <w:bookmarkEnd w:id="2"/>
          </w:p>
        </w:tc>
      </w:tr>
      <w:tr>
        <w:tblPrEx>
          <w:tblCellMar>
            <w:top w:w="0" w:type="dxa"/>
            <w:left w:w="108" w:type="dxa"/>
            <w:bottom w:w="0" w:type="dxa"/>
            <w:right w:w="108" w:type="dxa"/>
          </w:tblCellMar>
        </w:tblPrEx>
        <w:trPr>
          <w:trHeight w:val="90" w:hRule="atLeast"/>
        </w:trPr>
        <w:tc>
          <w:tcPr>
            <w:tcW w:w="15801" w:type="dxa"/>
            <w:gridSpan w:val="9"/>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color w:val="000000"/>
                <w:kern w:val="0"/>
                <w:szCs w:val="21"/>
              </w:rPr>
              <w:t>公开06表</w:t>
            </w:r>
          </w:p>
        </w:tc>
      </w:tr>
      <w:tr>
        <w:tblPrEx>
          <w:tblCellMar>
            <w:top w:w="0" w:type="dxa"/>
            <w:left w:w="108" w:type="dxa"/>
            <w:bottom w:w="0" w:type="dxa"/>
            <w:right w:w="108" w:type="dxa"/>
          </w:tblCellMar>
        </w:tblPrEx>
        <w:trPr>
          <w:trHeight w:val="113" w:hRule="atLeast"/>
        </w:trPr>
        <w:tc>
          <w:tcPr>
            <w:tcW w:w="11981" w:type="dxa"/>
            <w:gridSpan w:val="7"/>
            <w:tcBorders>
              <w:top w:val="nil"/>
              <w:left w:val="nil"/>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color w:val="000000"/>
                <w:kern w:val="0"/>
                <w:szCs w:val="21"/>
                <w:lang w:eastAsia="zh-CN"/>
              </w:rPr>
              <w:t>单位</w:t>
            </w:r>
            <w:r>
              <w:rPr>
                <w:rFonts w:hint="eastAsia" w:ascii="仿宋" w:hAnsi="仿宋" w:eastAsia="仿宋" w:cs="仿宋"/>
                <w:color w:val="000000"/>
                <w:kern w:val="0"/>
                <w:szCs w:val="21"/>
              </w:rPr>
              <w:t>：</w:t>
            </w:r>
            <w:r>
              <w:rPr>
                <w:rFonts w:ascii="仿宋" w:hAnsi="仿宋" w:eastAsia="仿宋" w:cs="仿宋"/>
                <w:color w:val="000000"/>
              </w:rPr>
              <w:t>中方县桐木镇中学</w:t>
            </w:r>
          </w:p>
        </w:tc>
        <w:tc>
          <w:tcPr>
            <w:tcW w:w="3820" w:type="dxa"/>
            <w:gridSpan w:val="2"/>
            <w:tcBorders>
              <w:top w:val="nil"/>
              <w:left w:val="nil"/>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color w:val="000000"/>
                <w:kern w:val="0"/>
                <w:szCs w:val="21"/>
              </w:rPr>
              <w:t>单位：万元</w:t>
            </w:r>
          </w:p>
        </w:tc>
      </w:tr>
      <w:tr>
        <w:tblPrEx>
          <w:tblCellMar>
            <w:top w:w="0" w:type="dxa"/>
            <w:left w:w="108" w:type="dxa"/>
            <w:bottom w:w="0" w:type="dxa"/>
            <w:right w:w="108" w:type="dxa"/>
          </w:tblCellMar>
        </w:tblPrEx>
        <w:trPr>
          <w:trHeight w:val="113" w:hRule="atLeast"/>
        </w:trPr>
        <w:tc>
          <w:tcPr>
            <w:tcW w:w="548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Cs w:val="20"/>
              </w:rPr>
            </w:pPr>
            <w:r>
              <w:rPr>
                <w:rFonts w:hint="eastAsia" w:ascii="仿宋" w:hAnsi="仿宋" w:eastAsia="仿宋" w:cs="仿宋"/>
                <w:color w:val="000000"/>
                <w:kern w:val="0"/>
                <w:szCs w:val="20"/>
              </w:rPr>
              <w:t>人员经费</w:t>
            </w:r>
          </w:p>
        </w:tc>
        <w:tc>
          <w:tcPr>
            <w:tcW w:w="1032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Cs w:val="20"/>
              </w:rPr>
            </w:pPr>
            <w:r>
              <w:rPr>
                <w:rFonts w:hint="eastAsia" w:ascii="仿宋" w:hAnsi="仿宋" w:eastAsia="仿宋" w:cs="仿宋"/>
                <w:color w:val="000000"/>
                <w:kern w:val="0"/>
                <w:szCs w:val="20"/>
              </w:rPr>
              <w:t>公用经费</w:t>
            </w:r>
          </w:p>
        </w:tc>
      </w:tr>
      <w:tr>
        <w:tblPrEx>
          <w:tblCellMar>
            <w:top w:w="0" w:type="dxa"/>
            <w:left w:w="108" w:type="dxa"/>
            <w:bottom w:w="0" w:type="dxa"/>
            <w:right w:w="108" w:type="dxa"/>
          </w:tblCellMar>
        </w:tblPrEx>
        <w:trPr>
          <w:trHeight w:val="113" w:hRule="atLeast"/>
        </w:trPr>
        <w:tc>
          <w:tcPr>
            <w:tcW w:w="10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Cs w:val="20"/>
              </w:rPr>
            </w:pPr>
            <w:r>
              <w:rPr>
                <w:rFonts w:ascii="仿宋" w:hAnsi="仿宋" w:eastAsia="仿宋" w:cs="仿宋"/>
                <w:color w:val="000000"/>
                <w:sz w:val="20"/>
              </w:rPr>
              <w:t>经济分类科目编码</w:t>
            </w:r>
          </w:p>
        </w:tc>
        <w:tc>
          <w:tcPr>
            <w:tcW w:w="31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Cs w:val="20"/>
              </w:rPr>
            </w:pPr>
            <w:r>
              <w:rPr>
                <w:rFonts w:hint="eastAsia" w:ascii="仿宋" w:hAnsi="仿宋" w:eastAsia="仿宋" w:cs="仿宋"/>
                <w:color w:val="000000"/>
                <w:kern w:val="0"/>
                <w:szCs w:val="20"/>
              </w:rPr>
              <w:t>科目名称</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Cs w:val="20"/>
              </w:rPr>
            </w:pPr>
            <w:r>
              <w:rPr>
                <w:rFonts w:hint="eastAsia" w:ascii="仿宋" w:hAnsi="仿宋" w:eastAsia="仿宋" w:cs="仿宋"/>
                <w:color w:val="000000"/>
                <w:kern w:val="0"/>
                <w:szCs w:val="20"/>
              </w:rPr>
              <w:t>决算数</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Cs w:val="20"/>
              </w:rPr>
            </w:pPr>
            <w:r>
              <w:rPr>
                <w:rFonts w:hint="eastAsia" w:ascii="仿宋" w:hAnsi="仿宋" w:eastAsia="仿宋" w:cs="仿宋"/>
                <w:color w:val="000000"/>
                <w:kern w:val="0"/>
                <w:szCs w:val="20"/>
              </w:rPr>
              <w:t>经济分类科目编码</w:t>
            </w:r>
          </w:p>
        </w:tc>
        <w:tc>
          <w:tcPr>
            <w:tcW w:w="29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Cs w:val="20"/>
              </w:rPr>
            </w:pPr>
            <w:r>
              <w:rPr>
                <w:rFonts w:hint="eastAsia" w:ascii="仿宋" w:hAnsi="仿宋" w:eastAsia="仿宋" w:cs="仿宋"/>
                <w:color w:val="000000"/>
                <w:kern w:val="0"/>
                <w:szCs w:val="20"/>
              </w:rPr>
              <w:t>科目名称</w:t>
            </w:r>
          </w:p>
        </w:tc>
        <w:tc>
          <w:tcPr>
            <w:tcW w:w="11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Cs w:val="20"/>
              </w:rPr>
            </w:pPr>
            <w:r>
              <w:rPr>
                <w:rFonts w:hint="eastAsia" w:ascii="仿宋" w:hAnsi="仿宋" w:eastAsia="仿宋" w:cs="仿宋"/>
                <w:color w:val="000000"/>
                <w:kern w:val="0"/>
                <w:szCs w:val="20"/>
              </w:rPr>
              <w:t>决算数</w:t>
            </w:r>
          </w:p>
        </w:tc>
        <w:tc>
          <w:tcPr>
            <w:tcW w:w="11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Cs w:val="20"/>
              </w:rPr>
            </w:pPr>
            <w:r>
              <w:rPr>
                <w:rFonts w:hint="eastAsia" w:ascii="仿宋" w:hAnsi="仿宋" w:eastAsia="仿宋" w:cs="仿宋"/>
                <w:color w:val="000000"/>
                <w:kern w:val="0"/>
                <w:szCs w:val="20"/>
              </w:rPr>
              <w:t>经济分类科目编码</w:t>
            </w:r>
          </w:p>
        </w:tc>
        <w:tc>
          <w:tcPr>
            <w:tcW w:w="25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Cs w:val="20"/>
              </w:rPr>
            </w:pPr>
            <w:r>
              <w:rPr>
                <w:rFonts w:hint="eastAsia" w:ascii="仿宋" w:hAnsi="仿宋" w:eastAsia="仿宋" w:cs="仿宋"/>
                <w:color w:val="000000"/>
                <w:kern w:val="0"/>
                <w:szCs w:val="20"/>
              </w:rPr>
              <w:t>科目名称</w:t>
            </w: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Cs w:val="20"/>
              </w:rPr>
            </w:pPr>
            <w:r>
              <w:rPr>
                <w:rFonts w:hint="eastAsia" w:ascii="仿宋" w:hAnsi="仿宋" w:eastAsia="仿宋" w:cs="仿宋"/>
                <w:color w:val="000000"/>
                <w:kern w:val="0"/>
                <w:szCs w:val="20"/>
              </w:rPr>
              <w:t>决算数</w:t>
            </w: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301</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工资福利支出</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472.29</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商品和服务支出</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33.30</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307</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债务利息及费用支出</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30101</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基本工资</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227.86</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30201</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办公费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7.20</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30701</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国内债务付息</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30102</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津贴补贴</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152.40</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30202</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印刷费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2.52</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30702</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国外债务付息</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30103</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奖金</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30203</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咨询费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310</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资本性支出</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30106</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伙食补助费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30204</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手续费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31001</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房屋建筑物购建</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30107</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绩效工资</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30205</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水费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1.32</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31002</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办公设备购置</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30108</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机关事业单位基本养老保险缴费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51.33</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30206</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电费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3.49</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31003</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专用设备购置</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30109</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职业年金缴费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30207</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邮电费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31005</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基础设施建设</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30110</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职工基本医疗保险缴费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27.85</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30208</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取暖费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31006</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大型修缮</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30111</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公务员医疗补助缴费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30209</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物业管理费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31007</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信息网络及软件购置更新</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30112</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其他社会保障缴费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11.17</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30211</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差旅费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2.61</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31008</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物资储备</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30113</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住房公积金</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30212</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因公出国（境）费用</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31009</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土地补偿</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30114</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医疗费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30213</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维修（护）费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2.42</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31010</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安置补助</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30199</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其他工资福利支出</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1.68</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30214</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租赁费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31011</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地上附着物和青苗补偿</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303</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对个人和家庭的补助</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38.99</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30215</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会议费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1.65</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31012</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拆迁补偿</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30301</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离休费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30216</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培训费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2.53</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31013</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公务用车购置</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30302</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退休费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30217</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公务接待费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31019</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其他交通工具购置</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30303</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退职（役）费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30218</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专用材料费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1.25</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31021</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文物和陈列品购置</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30304</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抚恤金</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30224</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被装购置费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31022</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无形资产购置</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30305</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生活补助</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6.47</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30225</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专用燃料费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31099</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其他资本性支出</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30306</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救济费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30226</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劳务费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399</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其他支出</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30307</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医疗费补助</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30227</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委托业务费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39906</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赠与</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30308</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助学金</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31.03</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30228</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工会经费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6.92</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39907</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国家赔偿费用支出</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30309</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奖励金</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0.72</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30229</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福利费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39908</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对民间非营利组织和群众性自治组织补贴</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30310</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个人农业生产补贴</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30231</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公务用车运行维护费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39999</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其他支出</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30311</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代缴社会保险费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30239</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其他交通费用</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30399</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其他对个人和家庭的补助</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0.77</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30240</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税金及附加费用</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30299</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其他商品和服务支出</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1.39</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403" w:hRule="exact"/>
        </w:trPr>
        <w:tc>
          <w:tcPr>
            <w:tcW w:w="422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Cs w:val="20"/>
              </w:rPr>
            </w:pPr>
            <w:r>
              <w:rPr>
                <w:rFonts w:hint="eastAsia" w:ascii="仿宋" w:hAnsi="仿宋" w:eastAsia="仿宋" w:cs="仿宋"/>
                <w:color w:val="000000"/>
                <w:kern w:val="0"/>
                <w:szCs w:val="20"/>
              </w:rPr>
              <w:t>人员经费合计</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color w:val="000000"/>
                <w:kern w:val="0"/>
                <w:szCs w:val="20"/>
              </w:rPr>
              <w:t>511.27</w:t>
            </w:r>
          </w:p>
        </w:tc>
        <w:tc>
          <w:tcPr>
            <w:tcW w:w="9020"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Cs w:val="20"/>
              </w:rPr>
            </w:pPr>
            <w:r>
              <w:rPr>
                <w:rFonts w:hint="eastAsia" w:ascii="仿宋" w:hAnsi="仿宋" w:eastAsia="仿宋" w:cs="仿宋"/>
                <w:color w:val="000000"/>
                <w:kern w:val="0"/>
                <w:szCs w:val="20"/>
              </w:rPr>
              <w:t>公用经费合计</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18"/>
              </w:rPr>
            </w:pPr>
            <w:r>
              <w:rPr>
                <w:rFonts w:hint="eastAsia" w:ascii="仿宋" w:hAnsi="仿宋" w:eastAsia="仿宋" w:cs="仿宋"/>
                <w:color w:val="000000"/>
                <w:kern w:val="0"/>
                <w:szCs w:val="18"/>
              </w:rPr>
              <w:t>33.30</w:t>
            </w:r>
          </w:p>
        </w:tc>
      </w:tr>
      <w:tr>
        <w:tblPrEx>
          <w:tblCellMar>
            <w:top w:w="0" w:type="dxa"/>
            <w:left w:w="108" w:type="dxa"/>
            <w:bottom w:w="0" w:type="dxa"/>
            <w:right w:w="108" w:type="dxa"/>
          </w:tblCellMar>
        </w:tblPrEx>
        <w:trPr>
          <w:trHeight w:val="641" w:hRule="exact"/>
        </w:trPr>
        <w:tc>
          <w:tcPr>
            <w:tcW w:w="15801" w:type="dxa"/>
            <w:gridSpan w:val="9"/>
            <w:tcBorders>
              <w:top w:val="single" w:color="auto" w:sz="4" w:space="0"/>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4"/>
              </w:rPr>
            </w:pPr>
            <w:r>
              <w:rPr>
                <w:rFonts w:hint="eastAsia" w:ascii="仿宋" w:hAnsi="仿宋" w:eastAsia="仿宋" w:cs="仿宋"/>
                <w:color w:val="000000"/>
                <w:kern w:val="0"/>
                <w:szCs w:val="24"/>
              </w:rPr>
              <w:t>注：本表反映部门本年度一般公共预算财政拨款基本支出明细情况。</w:t>
            </w:r>
          </w:p>
          <w:p>
            <w:pPr>
              <w:widowControl/>
              <w:jc w:val="left"/>
              <w:rPr>
                <w:rFonts w:hint="eastAsia" w:ascii="仿宋" w:hAnsi="仿宋" w:eastAsia="仿宋" w:cs="仿宋"/>
                <w:color w:val="000000"/>
                <w:kern w:val="0"/>
                <w:szCs w:val="24"/>
              </w:rPr>
            </w:pPr>
          </w:p>
          <w:p>
            <w:pPr>
              <w:widowControl/>
              <w:jc w:val="left"/>
              <w:rPr>
                <w:rFonts w:hint="eastAsia" w:ascii="仿宋" w:hAnsi="仿宋" w:eastAsia="仿宋" w:cs="仿宋"/>
                <w:color w:val="000000"/>
                <w:kern w:val="0"/>
                <w:szCs w:val="24"/>
              </w:rPr>
            </w:pPr>
          </w:p>
        </w:tc>
      </w:tr>
    </w:tbl>
    <w:p>
      <w:pPr>
        <w:widowControl/>
        <w:jc w:val="center"/>
        <w:rPr>
          <w:rFonts w:hint="eastAsia" w:ascii="Times New Roman" w:hAnsi="Times New Roman" w:eastAsia="方正小标宋_GBK" w:cs="Times New Roman"/>
          <w:color w:val="000000"/>
          <w:kern w:val="0"/>
          <w:sz w:val="36"/>
          <w:szCs w:val="36"/>
        </w:rPr>
        <w:sectPr>
          <w:pgSz w:w="16838" w:h="11906" w:orient="landscape"/>
          <w:pgMar w:top="1582" w:right="567" w:bottom="771" w:left="567" w:header="851" w:footer="992" w:gutter="0"/>
          <w:pgNumType w:fmt="numberInDash"/>
          <w:cols w:space="0" w:num="1"/>
          <w:rtlGutter w:val="0"/>
          <w:docGrid w:type="lines" w:linePitch="319" w:charSpace="0"/>
        </w:sectPr>
      </w:pPr>
    </w:p>
    <w:tbl>
      <w:tblPr>
        <w:tblStyle w:val="6"/>
        <w:tblW w:w="14640" w:type="dxa"/>
        <w:jc w:val="center"/>
        <w:tblLayout w:type="autofit"/>
        <w:tblCellMar>
          <w:top w:w="0" w:type="dxa"/>
          <w:left w:w="108" w:type="dxa"/>
          <w:bottom w:w="0" w:type="dxa"/>
          <w:right w:w="108" w:type="dxa"/>
        </w:tblCellMar>
      </w:tblPr>
      <w:tblGrid>
        <w:gridCol w:w="1220"/>
        <w:gridCol w:w="1220"/>
        <w:gridCol w:w="1220"/>
        <w:gridCol w:w="1220"/>
        <w:gridCol w:w="1220"/>
        <w:gridCol w:w="1220"/>
        <w:gridCol w:w="1220"/>
        <w:gridCol w:w="1220"/>
        <w:gridCol w:w="1220"/>
        <w:gridCol w:w="1220"/>
        <w:gridCol w:w="1220"/>
        <w:gridCol w:w="1220"/>
      </w:tblGrid>
      <w:tr>
        <w:tblPrEx>
          <w:tblCellMar>
            <w:top w:w="0" w:type="dxa"/>
            <w:left w:w="108" w:type="dxa"/>
            <w:bottom w:w="0" w:type="dxa"/>
            <w:right w:w="108" w:type="dxa"/>
          </w:tblCellMar>
        </w:tblPrEx>
        <w:trPr>
          <w:trHeight w:val="397" w:hRule="atLeast"/>
          <w:jc w:val="center"/>
        </w:trPr>
        <w:tc>
          <w:tcPr>
            <w:tcW w:w="14640" w:type="dxa"/>
            <w:gridSpan w:val="12"/>
            <w:tcBorders>
              <w:top w:val="nil"/>
              <w:left w:val="nil"/>
              <w:bottom w:val="nil"/>
              <w:right w:val="nil"/>
            </w:tcBorders>
            <w:shd w:val="clear" w:color="auto" w:fill="auto"/>
            <w:vAlign w:val="center"/>
          </w:tcPr>
          <w:p>
            <w:pPr>
              <w:widowControl/>
              <w:jc w:val="center"/>
              <w:rPr>
                <w:rFonts w:hint="eastAsia" w:ascii="仿宋" w:hAnsi="仿宋" w:eastAsia="仿宋" w:cs="仿宋"/>
                <w:kern w:val="0"/>
                <w:szCs w:val="21"/>
              </w:rPr>
            </w:pPr>
            <w:r>
              <w:rPr>
                <w:rFonts w:hint="eastAsia" w:ascii="仿宋" w:hAnsi="仿宋" w:eastAsia="仿宋" w:cs="仿宋"/>
                <w:b/>
                <w:bCs/>
                <w:color w:val="000000"/>
                <w:kern w:val="0"/>
                <w:sz w:val="36"/>
                <w:szCs w:val="36"/>
              </w:rPr>
              <w:t>一般公共预算财政拨款“三公”经费支出决算表</w:t>
            </w:r>
          </w:p>
        </w:tc>
      </w:tr>
      <w:tr>
        <w:tblPrEx>
          <w:tblCellMar>
            <w:top w:w="0" w:type="dxa"/>
            <w:left w:w="108" w:type="dxa"/>
            <w:bottom w:w="0" w:type="dxa"/>
            <w:right w:w="108" w:type="dxa"/>
          </w:tblCellMar>
        </w:tblPrEx>
        <w:trPr>
          <w:trHeight w:val="157" w:hRule="atLeast"/>
          <w:jc w:val="center"/>
        </w:trPr>
        <w:tc>
          <w:tcPr>
            <w:tcW w:w="7320" w:type="dxa"/>
            <w:gridSpan w:val="6"/>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p>
        </w:tc>
        <w:tc>
          <w:tcPr>
            <w:tcW w:w="7320" w:type="dxa"/>
            <w:gridSpan w:val="6"/>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color w:val="000000"/>
                <w:kern w:val="0"/>
                <w:szCs w:val="21"/>
              </w:rPr>
              <w:t>公开07表</w:t>
            </w:r>
          </w:p>
        </w:tc>
      </w:tr>
      <w:tr>
        <w:tblPrEx>
          <w:tblCellMar>
            <w:top w:w="0" w:type="dxa"/>
            <w:left w:w="108" w:type="dxa"/>
            <w:bottom w:w="0" w:type="dxa"/>
            <w:right w:w="108" w:type="dxa"/>
          </w:tblCellMar>
        </w:tblPrEx>
        <w:trPr>
          <w:trHeight w:val="90" w:hRule="atLeast"/>
          <w:jc w:val="center"/>
        </w:trPr>
        <w:tc>
          <w:tcPr>
            <w:tcW w:w="7320" w:type="dxa"/>
            <w:gridSpan w:val="6"/>
            <w:tcBorders>
              <w:top w:val="nil"/>
              <w:left w:val="nil"/>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color w:val="000000"/>
                <w:kern w:val="0"/>
                <w:szCs w:val="21"/>
                <w:lang w:eastAsia="zh-CN"/>
              </w:rPr>
              <w:t>单位</w:t>
            </w:r>
            <w:r>
              <w:rPr>
                <w:rFonts w:hint="eastAsia" w:ascii="仿宋" w:hAnsi="仿宋" w:eastAsia="仿宋" w:cs="仿宋"/>
                <w:color w:val="000000"/>
                <w:kern w:val="0"/>
                <w:szCs w:val="21"/>
              </w:rPr>
              <w:t>：</w:t>
            </w:r>
            <w:r>
              <w:rPr>
                <w:rFonts w:ascii="仿宋" w:hAnsi="仿宋" w:eastAsia="仿宋" w:cs="仿宋"/>
                <w:color w:val="000000"/>
              </w:rPr>
              <w:t>中方县桐木镇中学</w:t>
            </w:r>
          </w:p>
        </w:tc>
        <w:tc>
          <w:tcPr>
            <w:tcW w:w="7320" w:type="dxa"/>
            <w:gridSpan w:val="6"/>
            <w:tcBorders>
              <w:top w:val="nil"/>
              <w:left w:val="nil"/>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color w:val="000000"/>
                <w:kern w:val="0"/>
                <w:szCs w:val="21"/>
              </w:rPr>
              <w:t>单位：万元</w:t>
            </w:r>
          </w:p>
        </w:tc>
      </w:tr>
      <w:tr>
        <w:tblPrEx>
          <w:tblCellMar>
            <w:top w:w="0" w:type="dxa"/>
            <w:left w:w="108" w:type="dxa"/>
            <w:bottom w:w="0" w:type="dxa"/>
            <w:right w:w="108" w:type="dxa"/>
          </w:tblCellMar>
        </w:tblPrEx>
        <w:trPr>
          <w:trHeight w:val="397" w:hRule="atLeast"/>
          <w:jc w:val="center"/>
        </w:trPr>
        <w:tc>
          <w:tcPr>
            <w:tcW w:w="732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预算数</w:t>
            </w:r>
          </w:p>
        </w:tc>
        <w:tc>
          <w:tcPr>
            <w:tcW w:w="732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决算数</w:t>
            </w:r>
          </w:p>
        </w:tc>
      </w:tr>
      <w:tr>
        <w:tblPrEx>
          <w:tblCellMar>
            <w:top w:w="0" w:type="dxa"/>
            <w:left w:w="108" w:type="dxa"/>
            <w:bottom w:w="0" w:type="dxa"/>
            <w:right w:w="108" w:type="dxa"/>
          </w:tblCellMar>
        </w:tblPrEx>
        <w:trPr>
          <w:trHeight w:val="397" w:hRule="atLeast"/>
          <w:jc w:val="center"/>
        </w:trPr>
        <w:tc>
          <w:tcPr>
            <w:tcW w:w="12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合计</w:t>
            </w:r>
          </w:p>
        </w:tc>
        <w:tc>
          <w:tcPr>
            <w:tcW w:w="12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因公出国（境）费</w:t>
            </w:r>
          </w:p>
        </w:tc>
        <w:tc>
          <w:tcPr>
            <w:tcW w:w="36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公务用车购置及运行费</w:t>
            </w:r>
          </w:p>
        </w:tc>
        <w:tc>
          <w:tcPr>
            <w:tcW w:w="12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公务</w:t>
            </w:r>
          </w:p>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接待费</w:t>
            </w:r>
          </w:p>
        </w:tc>
        <w:tc>
          <w:tcPr>
            <w:tcW w:w="12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合计</w:t>
            </w:r>
          </w:p>
        </w:tc>
        <w:tc>
          <w:tcPr>
            <w:tcW w:w="12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因公出国（境）费</w:t>
            </w:r>
          </w:p>
        </w:tc>
        <w:tc>
          <w:tcPr>
            <w:tcW w:w="36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公务用车购置及运行费</w:t>
            </w:r>
          </w:p>
        </w:tc>
        <w:tc>
          <w:tcPr>
            <w:tcW w:w="12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公务</w:t>
            </w:r>
          </w:p>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接待费</w:t>
            </w:r>
          </w:p>
        </w:tc>
      </w:tr>
      <w:tr>
        <w:tblPrEx>
          <w:tblCellMar>
            <w:top w:w="0" w:type="dxa"/>
            <w:left w:w="108" w:type="dxa"/>
            <w:bottom w:w="0" w:type="dxa"/>
            <w:right w:w="108" w:type="dxa"/>
          </w:tblCellMar>
        </w:tblPrEx>
        <w:trPr>
          <w:trHeight w:val="397" w:hRule="atLeast"/>
          <w:jc w:val="center"/>
        </w:trPr>
        <w:tc>
          <w:tcPr>
            <w:tcW w:w="122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122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小计</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公务用车</w:t>
            </w:r>
            <w:r>
              <w:rPr>
                <w:rFonts w:hint="eastAsia" w:ascii="仿宋" w:hAnsi="仿宋" w:eastAsia="仿宋" w:cs="仿宋"/>
                <w:kern w:val="0"/>
                <w:szCs w:val="21"/>
              </w:rPr>
              <w:br w:type="textWrapping"/>
            </w:r>
            <w:r>
              <w:rPr>
                <w:rFonts w:hint="eastAsia" w:ascii="仿宋" w:hAnsi="仿宋" w:eastAsia="仿宋" w:cs="仿宋"/>
                <w:kern w:val="0"/>
                <w:szCs w:val="21"/>
              </w:rPr>
              <w:t>购置费</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公务用车</w:t>
            </w:r>
            <w:r>
              <w:rPr>
                <w:rFonts w:hint="eastAsia" w:ascii="仿宋" w:hAnsi="仿宋" w:eastAsia="仿宋" w:cs="仿宋"/>
                <w:kern w:val="0"/>
                <w:szCs w:val="21"/>
              </w:rPr>
              <w:br w:type="textWrapping"/>
            </w:r>
            <w:r>
              <w:rPr>
                <w:rFonts w:hint="eastAsia" w:ascii="仿宋" w:hAnsi="仿宋" w:eastAsia="仿宋" w:cs="仿宋"/>
                <w:kern w:val="0"/>
                <w:szCs w:val="21"/>
              </w:rPr>
              <w:t>运行费</w:t>
            </w:r>
          </w:p>
        </w:tc>
        <w:tc>
          <w:tcPr>
            <w:tcW w:w="122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122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122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小计</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公务用车</w:t>
            </w:r>
            <w:r>
              <w:rPr>
                <w:rFonts w:hint="eastAsia" w:ascii="仿宋" w:hAnsi="仿宋" w:eastAsia="仿宋" w:cs="仿宋"/>
                <w:kern w:val="0"/>
                <w:szCs w:val="21"/>
              </w:rPr>
              <w:br w:type="textWrapping"/>
            </w:r>
            <w:r>
              <w:rPr>
                <w:rFonts w:hint="eastAsia" w:ascii="仿宋" w:hAnsi="仿宋" w:eastAsia="仿宋" w:cs="仿宋"/>
                <w:kern w:val="0"/>
                <w:szCs w:val="21"/>
              </w:rPr>
              <w:t>购置费</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公务用车</w:t>
            </w:r>
            <w:r>
              <w:rPr>
                <w:rFonts w:hint="eastAsia" w:ascii="仿宋" w:hAnsi="仿宋" w:eastAsia="仿宋" w:cs="仿宋"/>
                <w:kern w:val="0"/>
                <w:szCs w:val="21"/>
              </w:rPr>
              <w:br w:type="textWrapping"/>
            </w:r>
            <w:r>
              <w:rPr>
                <w:rFonts w:hint="eastAsia" w:ascii="仿宋" w:hAnsi="仿宋" w:eastAsia="仿宋" w:cs="仿宋"/>
                <w:kern w:val="0"/>
                <w:szCs w:val="21"/>
              </w:rPr>
              <w:t>运行费</w:t>
            </w:r>
          </w:p>
        </w:tc>
        <w:tc>
          <w:tcPr>
            <w:tcW w:w="122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r>
      <w:tr>
        <w:tblPrEx>
          <w:tblCellMar>
            <w:top w:w="0" w:type="dxa"/>
            <w:left w:w="108" w:type="dxa"/>
            <w:bottom w:w="0" w:type="dxa"/>
            <w:right w:w="108" w:type="dxa"/>
          </w:tblCellMar>
        </w:tblPrEx>
        <w:trPr>
          <w:trHeight w:val="112" w:hRule="atLeast"/>
          <w:jc w:val="center"/>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lang w:val="en-US" w:eastAsia="zh-CN"/>
              </w:rPr>
            </w:pPr>
            <w:r>
              <w:rPr>
                <w:rFonts w:hint="eastAsia" w:ascii="仿宋" w:hAnsi="仿宋" w:eastAsia="仿宋" w:cs="仿宋"/>
                <w:lang w:val="en-US" w:eastAsia="zh-CN"/>
              </w:rPr>
              <w:t>1</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lang w:val="en-US" w:eastAsia="zh-CN"/>
              </w:rPr>
            </w:pPr>
            <w:r>
              <w:rPr>
                <w:rFonts w:hint="eastAsia" w:ascii="仿宋" w:hAnsi="仿宋" w:eastAsia="仿宋" w:cs="仿宋"/>
                <w:lang w:val="en-US" w:eastAsia="zh-CN"/>
              </w:rPr>
              <w:t>2</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lang w:val="en-US" w:eastAsia="zh-CN"/>
              </w:rPr>
            </w:pPr>
            <w:r>
              <w:rPr>
                <w:rFonts w:hint="eastAsia" w:ascii="仿宋" w:hAnsi="仿宋" w:eastAsia="仿宋" w:cs="仿宋"/>
                <w:lang w:val="en-US" w:eastAsia="zh-CN"/>
              </w:rPr>
              <w:t>3</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lang w:val="en-US" w:eastAsia="zh-CN"/>
              </w:rPr>
            </w:pPr>
            <w:r>
              <w:rPr>
                <w:rFonts w:hint="eastAsia" w:ascii="仿宋" w:hAnsi="仿宋" w:eastAsia="仿宋" w:cs="仿宋"/>
                <w:lang w:val="en-US" w:eastAsia="zh-CN"/>
              </w:rPr>
              <w:t>4</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lang w:val="en-US" w:eastAsia="zh-CN"/>
              </w:rPr>
            </w:pPr>
            <w:r>
              <w:rPr>
                <w:rFonts w:hint="eastAsia" w:ascii="仿宋" w:hAnsi="仿宋" w:eastAsia="仿宋" w:cs="仿宋"/>
                <w:lang w:val="en-US" w:eastAsia="zh-CN"/>
              </w:rPr>
              <w:t>5</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lang w:val="en-US" w:eastAsia="zh-CN"/>
              </w:rPr>
            </w:pPr>
            <w:r>
              <w:rPr>
                <w:rFonts w:hint="eastAsia" w:ascii="仿宋" w:hAnsi="仿宋" w:eastAsia="仿宋" w:cs="仿宋"/>
                <w:lang w:val="en-US" w:eastAsia="zh-CN"/>
              </w:rPr>
              <w:t>6</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lang w:val="en-US" w:eastAsia="zh-CN"/>
              </w:rPr>
            </w:pPr>
            <w:r>
              <w:rPr>
                <w:rFonts w:hint="eastAsia" w:ascii="仿宋" w:hAnsi="仿宋" w:eastAsia="仿宋" w:cs="仿宋"/>
                <w:lang w:val="en-US" w:eastAsia="zh-CN"/>
              </w:rPr>
              <w:t>7</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lang w:val="en-US" w:eastAsia="zh-CN"/>
              </w:rPr>
            </w:pPr>
            <w:r>
              <w:rPr>
                <w:rFonts w:hint="eastAsia" w:ascii="仿宋" w:hAnsi="仿宋" w:eastAsia="仿宋" w:cs="仿宋"/>
                <w:lang w:val="en-US" w:eastAsia="zh-CN"/>
              </w:rPr>
              <w:t>8</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lang w:val="en-US" w:eastAsia="zh-CN"/>
              </w:rPr>
            </w:pPr>
            <w:r>
              <w:rPr>
                <w:rFonts w:hint="eastAsia" w:ascii="仿宋" w:hAnsi="仿宋" w:eastAsia="仿宋" w:cs="仿宋"/>
                <w:lang w:val="en-US" w:eastAsia="zh-CN"/>
              </w:rPr>
              <w:t>9</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default" w:ascii="仿宋" w:hAnsi="仿宋" w:eastAsia="仿宋" w:cs="仿宋"/>
                <w:lang w:val="en-US" w:eastAsia="zh-CN"/>
              </w:rPr>
            </w:pPr>
            <w:r>
              <w:rPr>
                <w:rFonts w:hint="eastAsia" w:ascii="仿宋" w:hAnsi="仿宋" w:eastAsia="仿宋" w:cs="仿宋"/>
                <w:lang w:val="en-US" w:eastAsia="zh-CN"/>
              </w:rPr>
              <w:t>10</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default" w:ascii="仿宋" w:hAnsi="仿宋" w:eastAsia="仿宋" w:cs="仿宋"/>
                <w:lang w:val="en-US" w:eastAsia="zh-CN"/>
              </w:rPr>
            </w:pPr>
            <w:r>
              <w:rPr>
                <w:rFonts w:hint="eastAsia" w:ascii="仿宋" w:hAnsi="仿宋" w:eastAsia="仿宋" w:cs="仿宋"/>
                <w:lang w:val="en-US" w:eastAsia="zh-CN"/>
              </w:rPr>
              <w:t>11</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default" w:ascii="仿宋" w:hAnsi="仿宋" w:eastAsia="仿宋" w:cs="仿宋"/>
                <w:lang w:val="en-US" w:eastAsia="zh-CN"/>
              </w:rPr>
            </w:pPr>
            <w:r>
              <w:rPr>
                <w:rFonts w:hint="eastAsia" w:ascii="仿宋" w:hAnsi="仿宋" w:eastAsia="仿宋" w:cs="仿宋"/>
                <w:lang w:val="en-US" w:eastAsia="zh-CN"/>
              </w:rPr>
              <w:t>12</w:t>
            </w:r>
          </w:p>
        </w:tc>
      </w:tr>
      <w:tr>
        <w:tblPrEx>
          <w:tblCellMar>
            <w:top w:w="0" w:type="dxa"/>
            <w:left w:w="108" w:type="dxa"/>
            <w:bottom w:w="0" w:type="dxa"/>
            <w:right w:w="108" w:type="dxa"/>
          </w:tblCellMar>
        </w:tblPrEx>
        <w:trPr>
          <w:trHeight w:val="397" w:hRule="atLeast"/>
          <w:jc w:val="center"/>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r>
    </w:tbl>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1"/>
          <w:szCs w:val="21"/>
        </w:rPr>
      </w:pPr>
      <w:r>
        <w:rPr>
          <w:rFonts w:hint="eastAsia" w:ascii="仿宋" w:hAnsi="仿宋" w:eastAsia="仿宋" w:cs="仿宋"/>
          <w:kern w:val="0"/>
          <w:sz w:val="21"/>
          <w:szCs w:val="21"/>
        </w:rPr>
        <w:t>注：本表反映部门本年度“三公”经费支出预决算情况。其中，预算数为“三公”经费全年预算数，反映按规定程序调整后的预算数；决算数是包括当年一般公共预算财政拨款和以前年度结转资金安排的实际支出。</w:t>
      </w:r>
    </w:p>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ascii="仿宋" w:hAnsi="仿宋" w:eastAsia="仿宋" w:cs="仿宋"/>
        </w:rPr>
        <w:t>中方县桐木镇中学</w:t>
      </w:r>
      <w:r>
        <w:rPr>
          <w:rFonts w:hint="eastAsia" w:ascii="仿宋" w:hAnsi="仿宋" w:eastAsia="仿宋" w:cs="仿宋"/>
          <w:kern w:val="0"/>
          <w:sz w:val="21"/>
          <w:szCs w:val="21"/>
          <w:lang w:val="en-US" w:eastAsia="zh-CN"/>
        </w:rPr>
        <w:t>没有</w:t>
      </w:r>
      <w:r>
        <w:rPr>
          <w:rFonts w:hint="eastAsia" w:ascii="仿宋" w:hAnsi="仿宋" w:eastAsia="仿宋" w:cs="仿宋"/>
          <w:kern w:val="0"/>
          <w:sz w:val="21"/>
          <w:szCs w:val="21"/>
        </w:rPr>
        <w:t>一般公共预算财政拨款“三公”经费支出，故本表无数据。</w:t>
      </w:r>
    </w:p>
    <w:p>
      <w:pPr>
        <w:widowControl/>
        <w:jc w:val="left"/>
        <w:rPr>
          <w:rFonts w:hint="eastAsia" w:ascii="仿宋" w:hAnsi="仿宋" w:eastAsia="仿宋" w:cs="仿宋"/>
          <w:kern w:val="0"/>
          <w:szCs w:val="21"/>
        </w:rPr>
        <w:sectPr>
          <w:pgSz w:w="16838" w:h="11906" w:orient="landscape"/>
          <w:pgMar w:top="1803" w:right="1440" w:bottom="1803" w:left="1440" w:header="851" w:footer="992" w:gutter="0"/>
          <w:pgNumType w:fmt="numberInDash"/>
          <w:cols w:space="0" w:num="1"/>
          <w:rtlGutter w:val="0"/>
          <w:docGrid w:type="lines" w:linePitch="319" w:charSpace="0"/>
        </w:sectPr>
      </w:pPr>
    </w:p>
    <w:tbl>
      <w:tblPr>
        <w:tblStyle w:val="6"/>
        <w:tblW w:w="1444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563"/>
        <w:gridCol w:w="4063"/>
        <w:gridCol w:w="1765"/>
        <w:gridCol w:w="1680"/>
        <w:gridCol w:w="1470"/>
        <w:gridCol w:w="1320"/>
        <w:gridCol w:w="1240"/>
        <w:gridCol w:w="133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4440" w:type="dxa"/>
            <w:gridSpan w:val="8"/>
            <w:tcBorders>
              <w:top w:val="nil"/>
              <w:left w:val="nil"/>
              <w:bottom w:val="nil"/>
              <w:right w:val="nil"/>
            </w:tcBorders>
            <w:shd w:val="clear" w:color="auto" w:fill="auto"/>
            <w:vAlign w:val="center"/>
          </w:tcPr>
          <w:p>
            <w:pPr>
              <w:widowControl/>
              <w:jc w:val="center"/>
              <w:rPr>
                <w:rFonts w:hint="eastAsia" w:ascii="仿宋" w:hAnsi="仿宋" w:eastAsia="仿宋" w:cs="仿宋"/>
                <w:b/>
                <w:kern w:val="0"/>
                <w:szCs w:val="21"/>
              </w:rPr>
            </w:pPr>
            <w:r>
              <w:rPr>
                <w:rFonts w:hint="eastAsia" w:ascii="仿宋" w:hAnsi="仿宋" w:eastAsia="仿宋" w:cs="仿宋"/>
                <w:b/>
                <w:bCs/>
                <w:kern w:val="0"/>
                <w:sz w:val="36"/>
                <w:szCs w:val="36"/>
              </w:rPr>
              <w:t>政府性基金预算财政拨款收入支出决算表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14440" w:type="dxa"/>
            <w:gridSpan w:val="8"/>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b/>
                <w:kern w:val="0"/>
                <w:szCs w:val="21"/>
              </w:rPr>
            </w:pPr>
            <w:r>
              <w:rPr>
                <w:rFonts w:hint="eastAsia" w:ascii="仿宋" w:hAnsi="仿宋" w:eastAsia="仿宋" w:cs="仿宋"/>
                <w:color w:val="000000"/>
                <w:kern w:val="0"/>
                <w:szCs w:val="21"/>
              </w:rPr>
              <w:t>公开08表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1" w:hRule="atLeast"/>
          <w:jc w:val="center"/>
        </w:trPr>
        <w:tc>
          <w:tcPr>
            <w:tcW w:w="13101" w:type="dxa"/>
            <w:gridSpan w:val="7"/>
            <w:tcBorders>
              <w:top w:val="nil"/>
              <w:left w:val="nil"/>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kern w:val="0"/>
                <w:szCs w:val="21"/>
              </w:rPr>
            </w:pPr>
            <w:r>
              <w:rPr>
                <w:rFonts w:hint="eastAsia" w:ascii="仿宋" w:hAnsi="仿宋" w:eastAsia="仿宋" w:cs="仿宋"/>
                <w:color w:val="000000"/>
                <w:kern w:val="0"/>
                <w:szCs w:val="21"/>
                <w:lang w:eastAsia="zh-CN"/>
              </w:rPr>
              <w:t>单位</w:t>
            </w:r>
            <w:r>
              <w:rPr>
                <w:rFonts w:hint="eastAsia" w:ascii="仿宋" w:hAnsi="仿宋" w:eastAsia="仿宋" w:cs="仿宋"/>
                <w:color w:val="000000"/>
                <w:kern w:val="0"/>
                <w:szCs w:val="21"/>
              </w:rPr>
              <w:t>：</w:t>
            </w:r>
            <w:r>
              <w:rPr>
                <w:rFonts w:ascii="仿宋" w:hAnsi="仿宋" w:eastAsia="仿宋" w:cs="仿宋"/>
                <w:color w:val="000000"/>
              </w:rPr>
              <w:t>中方县桐木镇中学</w:t>
            </w:r>
          </w:p>
        </w:tc>
        <w:tc>
          <w:tcPr>
            <w:tcW w:w="1339" w:type="dxa"/>
            <w:tcBorders>
              <w:top w:val="nil"/>
              <w:left w:val="nil"/>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b/>
                <w:kern w:val="0"/>
                <w:szCs w:val="21"/>
              </w:rPr>
            </w:pPr>
            <w:r>
              <w:rPr>
                <w:rFonts w:hint="eastAsia" w:ascii="仿宋" w:hAnsi="仿宋" w:eastAsia="仿宋" w:cs="仿宋"/>
                <w:color w:val="000000"/>
                <w:kern w:val="0"/>
                <w:szCs w:val="21"/>
              </w:rPr>
              <w:t>单位：万元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562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项    目</w:t>
            </w:r>
          </w:p>
        </w:tc>
        <w:tc>
          <w:tcPr>
            <w:tcW w:w="176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年初结转和结余</w:t>
            </w:r>
          </w:p>
        </w:tc>
        <w:tc>
          <w:tcPr>
            <w:tcW w:w="16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本年收入</w:t>
            </w:r>
          </w:p>
        </w:tc>
        <w:tc>
          <w:tcPr>
            <w:tcW w:w="403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本年支出</w:t>
            </w:r>
          </w:p>
        </w:tc>
        <w:tc>
          <w:tcPr>
            <w:tcW w:w="133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年末结转</w:t>
            </w:r>
          </w:p>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454" w:hRule="atLeast"/>
          <w:jc w:val="center"/>
        </w:trPr>
        <w:tc>
          <w:tcPr>
            <w:tcW w:w="156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功能分类</w:t>
            </w:r>
          </w:p>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科目编码</w:t>
            </w:r>
          </w:p>
        </w:tc>
        <w:tc>
          <w:tcPr>
            <w:tcW w:w="406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科目名称</w:t>
            </w:r>
          </w:p>
        </w:tc>
        <w:tc>
          <w:tcPr>
            <w:tcW w:w="176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 w:val="20"/>
                <w:szCs w:val="20"/>
              </w:rPr>
            </w:pPr>
          </w:p>
        </w:tc>
        <w:tc>
          <w:tcPr>
            <w:tcW w:w="168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 w:val="20"/>
                <w:szCs w:val="20"/>
              </w:rPr>
            </w:pPr>
          </w:p>
        </w:tc>
        <w:tc>
          <w:tcPr>
            <w:tcW w:w="147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小计</w:t>
            </w:r>
          </w:p>
        </w:tc>
        <w:tc>
          <w:tcPr>
            <w:tcW w:w="13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基本支出</w:t>
            </w:r>
          </w:p>
        </w:tc>
        <w:tc>
          <w:tcPr>
            <w:tcW w:w="12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项目支出</w:t>
            </w:r>
          </w:p>
        </w:tc>
        <w:tc>
          <w:tcPr>
            <w:tcW w:w="133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56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406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176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168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147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132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124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133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2" w:hRule="atLeast"/>
          <w:jc w:val="center"/>
        </w:trPr>
        <w:tc>
          <w:tcPr>
            <w:tcW w:w="156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406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176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168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147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132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124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133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0" w:hRule="atLeast"/>
          <w:jc w:val="center"/>
        </w:trPr>
        <w:tc>
          <w:tcPr>
            <w:tcW w:w="562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栏次</w:t>
            </w:r>
          </w:p>
        </w:tc>
        <w:tc>
          <w:tcPr>
            <w:tcW w:w="1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1</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2</w:t>
            </w:r>
          </w:p>
        </w:tc>
        <w:tc>
          <w:tcPr>
            <w:tcW w:w="14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3</w:t>
            </w: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4</w:t>
            </w:r>
          </w:p>
        </w:tc>
        <w:tc>
          <w:tcPr>
            <w:tcW w:w="12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5</w:t>
            </w:r>
          </w:p>
        </w:tc>
        <w:tc>
          <w:tcPr>
            <w:tcW w:w="13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10" w:hRule="atLeast"/>
          <w:jc w:val="center"/>
        </w:trPr>
        <w:tc>
          <w:tcPr>
            <w:tcW w:w="562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ascii="仿宋" w:hAnsi="仿宋" w:eastAsia="仿宋" w:cs="仿宋"/>
              </w:rPr>
              <w:t>合计</w:t>
            </w:r>
          </w:p>
        </w:tc>
        <w:tc>
          <w:tcPr>
            <w:tcW w:w="1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c>
          <w:tcPr>
            <w:tcW w:w="14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c>
          <w:tcPr>
            <w:tcW w:w="12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c>
          <w:tcPr>
            <w:tcW w:w="13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r>
    </w:tbl>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kern w:val="0"/>
          <w:szCs w:val="21"/>
        </w:rPr>
        <w:t>注：本表反映部门本年度政府性基金预算财政拨款收入、支出及结转和结余情况</w:t>
      </w:r>
    </w:p>
    <w:p>
      <w:pPr>
        <w:widowControl/>
        <w:jc w:val="left"/>
        <w:rPr>
          <w:rFonts w:ascii="黑体" w:hAnsi="黑体" w:eastAsia="黑体"/>
          <w:szCs w:val="21"/>
        </w:rPr>
      </w:pPr>
      <w:r>
        <w:rPr>
          <w:rFonts w:ascii="黑体" w:hAnsi="黑体" w:eastAsia="黑体"/>
          <w:szCs w:val="21"/>
        </w:rPr>
        <w:br w:type="page"/>
      </w:r>
    </w:p>
    <w:tbl>
      <w:tblPr>
        <w:tblStyle w:val="6"/>
        <w:tblW w:w="14190" w:type="dxa"/>
        <w:tblInd w:w="91" w:type="dxa"/>
        <w:tblLayout w:type="fixed"/>
        <w:tblCellMar>
          <w:top w:w="0" w:type="dxa"/>
          <w:left w:w="108" w:type="dxa"/>
          <w:bottom w:w="0" w:type="dxa"/>
          <w:right w:w="108" w:type="dxa"/>
        </w:tblCellMar>
      </w:tblPr>
      <w:tblGrid>
        <w:gridCol w:w="1535"/>
        <w:gridCol w:w="4780"/>
        <w:gridCol w:w="2660"/>
        <w:gridCol w:w="2540"/>
        <w:gridCol w:w="2675"/>
      </w:tblGrid>
      <w:tr>
        <w:tblPrEx>
          <w:tblCellMar>
            <w:top w:w="0" w:type="dxa"/>
            <w:left w:w="108" w:type="dxa"/>
            <w:bottom w:w="0" w:type="dxa"/>
            <w:right w:w="108" w:type="dxa"/>
          </w:tblCellMar>
        </w:tblPrEx>
        <w:trPr>
          <w:trHeight w:val="720" w:hRule="atLeast"/>
        </w:trPr>
        <w:tc>
          <w:tcPr>
            <w:tcW w:w="14190" w:type="dxa"/>
            <w:gridSpan w:val="5"/>
            <w:tcBorders>
              <w:top w:val="nil"/>
              <w:left w:val="nil"/>
              <w:bottom w:val="nil"/>
              <w:right w:val="nil"/>
            </w:tcBorders>
            <w:shd w:val="clear" w:color="000000" w:fill="FFFFFF"/>
            <w:vAlign w:val="center"/>
          </w:tcPr>
          <w:p>
            <w:pPr>
              <w:widowControl/>
              <w:jc w:val="center"/>
              <w:rPr>
                <w:rFonts w:hint="eastAsia" w:ascii="仿宋" w:hAnsi="仿宋" w:eastAsia="仿宋" w:cs="仿宋"/>
                <w:kern w:val="0"/>
                <w:sz w:val="32"/>
                <w:szCs w:val="32"/>
              </w:rPr>
            </w:pPr>
            <w:r>
              <w:rPr>
                <w:rFonts w:hint="eastAsia" w:ascii="仿宋" w:hAnsi="仿宋" w:eastAsia="仿宋" w:cs="仿宋"/>
                <w:b/>
                <w:bCs/>
                <w:kern w:val="0"/>
                <w:sz w:val="36"/>
                <w:szCs w:val="36"/>
              </w:rPr>
              <w:t>国有资本经营预算财政拨款支出决算表</w:t>
            </w:r>
          </w:p>
        </w:tc>
      </w:tr>
      <w:tr>
        <w:tblPrEx>
          <w:tblCellMar>
            <w:top w:w="0" w:type="dxa"/>
            <w:left w:w="108" w:type="dxa"/>
            <w:bottom w:w="0" w:type="dxa"/>
            <w:right w:w="108" w:type="dxa"/>
          </w:tblCellMar>
        </w:tblPrEx>
        <w:trPr>
          <w:trHeight w:val="285" w:hRule="atLeast"/>
        </w:trPr>
        <w:tc>
          <w:tcPr>
            <w:tcW w:w="14190" w:type="dxa"/>
            <w:gridSpan w:val="5"/>
            <w:tcBorders>
              <w:top w:val="nil"/>
              <w:left w:val="nil"/>
              <w:bottom w:val="nil"/>
              <w:right w:val="nil"/>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公开09表</w:t>
            </w:r>
          </w:p>
        </w:tc>
      </w:tr>
      <w:tr>
        <w:tblPrEx>
          <w:tblCellMar>
            <w:top w:w="0" w:type="dxa"/>
            <w:left w:w="108" w:type="dxa"/>
            <w:bottom w:w="0" w:type="dxa"/>
            <w:right w:w="108" w:type="dxa"/>
          </w:tblCellMar>
        </w:tblPrEx>
        <w:trPr>
          <w:trHeight w:val="285" w:hRule="atLeast"/>
        </w:trPr>
        <w:tc>
          <w:tcPr>
            <w:tcW w:w="6315" w:type="dxa"/>
            <w:gridSpan w:val="2"/>
            <w:tcBorders>
              <w:top w:val="nil"/>
              <w:left w:val="nil"/>
              <w:bottom w:val="single" w:color="auto" w:sz="4" w:space="0"/>
              <w:right w:val="nil"/>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0"/>
                <w:szCs w:val="20"/>
              </w:rPr>
            </w:pPr>
            <w:r>
              <w:rPr>
                <w:rFonts w:hint="eastAsia" w:ascii="仿宋" w:hAnsi="仿宋" w:eastAsia="仿宋" w:cs="仿宋"/>
                <w:color w:val="000000"/>
                <w:kern w:val="0"/>
                <w:sz w:val="20"/>
                <w:szCs w:val="20"/>
                <w:lang w:eastAsia="zh-CN"/>
              </w:rPr>
              <w:t>单位</w:t>
            </w:r>
            <w:r>
              <w:rPr>
                <w:rFonts w:hint="eastAsia" w:ascii="仿宋" w:hAnsi="仿宋" w:eastAsia="仿宋" w:cs="仿宋"/>
                <w:color w:val="000000"/>
                <w:kern w:val="0"/>
                <w:sz w:val="20"/>
                <w:szCs w:val="20"/>
              </w:rPr>
              <w:t>：</w:t>
            </w:r>
            <w:r>
              <w:rPr>
                <w:rFonts w:ascii="仿宋" w:hAnsi="仿宋" w:eastAsia="仿宋" w:cs="仿宋"/>
                <w:color w:val="000000"/>
                <w:sz w:val="20"/>
              </w:rPr>
              <w:t>中方县桐木镇中学</w:t>
            </w:r>
          </w:p>
        </w:tc>
        <w:tc>
          <w:tcPr>
            <w:tcW w:w="7875" w:type="dxa"/>
            <w:gridSpan w:val="3"/>
            <w:tcBorders>
              <w:top w:val="nil"/>
              <w:left w:val="nil"/>
              <w:bottom w:val="single" w:color="auto" w:sz="4" w:space="0"/>
              <w:right w:val="nil"/>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631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 xml:space="preserve">项 </w:t>
            </w:r>
            <w:r>
              <w:rPr>
                <w:rFonts w:hint="eastAsia" w:ascii="仿宋" w:hAnsi="仿宋" w:eastAsia="仿宋" w:cs="仿宋"/>
                <w:color w:val="000000"/>
                <w:kern w:val="0"/>
                <w:sz w:val="22"/>
              </w:rPr>
              <w:t xml:space="preserve">   </w:t>
            </w:r>
            <w:r>
              <w:rPr>
                <w:rFonts w:hint="eastAsia" w:ascii="仿宋" w:hAnsi="仿宋" w:eastAsia="仿宋" w:cs="仿宋"/>
                <w:kern w:val="0"/>
                <w:sz w:val="24"/>
                <w:szCs w:val="24"/>
              </w:rPr>
              <w:t>目</w:t>
            </w:r>
          </w:p>
        </w:tc>
        <w:tc>
          <w:tcPr>
            <w:tcW w:w="787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本年支出</w:t>
            </w:r>
          </w:p>
        </w:tc>
      </w:tr>
      <w:tr>
        <w:tblPrEx>
          <w:tblCellMar>
            <w:top w:w="0" w:type="dxa"/>
            <w:left w:w="108" w:type="dxa"/>
            <w:bottom w:w="0" w:type="dxa"/>
            <w:right w:w="108" w:type="dxa"/>
          </w:tblCellMar>
        </w:tblPrEx>
        <w:trPr>
          <w:trHeight w:val="402" w:hRule="atLeast"/>
        </w:trPr>
        <w:tc>
          <w:tcPr>
            <w:tcW w:w="15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功能分类</w:t>
            </w:r>
          </w:p>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科目编码</w:t>
            </w:r>
          </w:p>
        </w:tc>
        <w:tc>
          <w:tcPr>
            <w:tcW w:w="47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科目名称</w:t>
            </w:r>
          </w:p>
        </w:tc>
        <w:tc>
          <w:tcPr>
            <w:tcW w:w="26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合计</w:t>
            </w:r>
          </w:p>
        </w:tc>
        <w:tc>
          <w:tcPr>
            <w:tcW w:w="25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 xml:space="preserve">基本支出  </w:t>
            </w:r>
          </w:p>
        </w:tc>
        <w:tc>
          <w:tcPr>
            <w:tcW w:w="26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项目支出</w:t>
            </w:r>
          </w:p>
        </w:tc>
      </w:tr>
      <w:tr>
        <w:tblPrEx>
          <w:tblCellMar>
            <w:top w:w="0" w:type="dxa"/>
            <w:left w:w="108" w:type="dxa"/>
            <w:bottom w:w="0" w:type="dxa"/>
            <w:right w:w="108" w:type="dxa"/>
          </w:tblCellMar>
        </w:tblPrEx>
        <w:trPr>
          <w:trHeight w:val="402" w:hRule="atLeast"/>
        </w:trPr>
        <w:tc>
          <w:tcPr>
            <w:tcW w:w="153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478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26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254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267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312" w:hRule="atLeast"/>
        </w:trPr>
        <w:tc>
          <w:tcPr>
            <w:tcW w:w="153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478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26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254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267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402" w:hRule="atLeast"/>
        </w:trPr>
        <w:tc>
          <w:tcPr>
            <w:tcW w:w="631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栏次</w:t>
            </w:r>
          </w:p>
        </w:tc>
        <w:tc>
          <w:tcPr>
            <w:tcW w:w="26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25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2</w:t>
            </w:r>
          </w:p>
        </w:tc>
        <w:tc>
          <w:tcPr>
            <w:tcW w:w="26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3</w:t>
            </w:r>
          </w:p>
        </w:tc>
      </w:tr>
      <w:tr>
        <w:tblPrEx>
          <w:tblCellMar>
            <w:top w:w="0" w:type="dxa"/>
            <w:left w:w="108" w:type="dxa"/>
            <w:bottom w:w="0" w:type="dxa"/>
            <w:right w:w="108" w:type="dxa"/>
          </w:tblCellMar>
        </w:tblPrEx>
        <w:trPr>
          <w:trHeight w:val="148" w:hRule="atLeast"/>
        </w:trPr>
        <w:tc>
          <w:tcPr>
            <w:tcW w:w="631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合计</w:t>
            </w:r>
          </w:p>
        </w:tc>
        <w:tc>
          <w:tcPr>
            <w:tcW w:w="26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25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26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309" w:hRule="atLeast"/>
        </w:trPr>
        <w:tc>
          <w:tcPr>
            <w:tcW w:w="14190" w:type="dxa"/>
            <w:gridSpan w:val="5"/>
            <w:tcBorders>
              <w:top w:val="single" w:color="auto" w:sz="4" w:space="0"/>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1"/>
                <w:szCs w:val="21"/>
              </w:rPr>
            </w:pPr>
            <w:r>
              <w:rPr>
                <w:rFonts w:hint="eastAsia" w:ascii="仿宋" w:hAnsi="仿宋" w:eastAsia="仿宋" w:cs="仿宋"/>
                <w:kern w:val="0"/>
                <w:sz w:val="21"/>
                <w:szCs w:val="21"/>
              </w:rPr>
              <w:t>注：本表反映部门本年度国有资本经营预算财政拨款支出情况。</w:t>
            </w:r>
          </w:p>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ascii="仿宋" w:hAnsi="仿宋" w:eastAsia="仿宋" w:cs="仿宋"/>
              </w:rPr>
              <w:t>中方县桐木镇中学</w:t>
            </w:r>
            <w:r>
              <w:rPr>
                <w:rFonts w:hint="eastAsia" w:ascii="仿宋" w:hAnsi="仿宋" w:eastAsia="仿宋" w:cs="仿宋"/>
                <w:kern w:val="0"/>
                <w:sz w:val="21"/>
                <w:szCs w:val="21"/>
                <w:lang w:val="en-US" w:eastAsia="zh-CN"/>
              </w:rPr>
              <w:t>没有</w:t>
            </w:r>
            <w:r>
              <w:rPr>
                <w:rFonts w:hint="eastAsia" w:ascii="仿宋" w:hAnsi="仿宋" w:eastAsia="仿宋" w:cs="仿宋"/>
                <w:kern w:val="0"/>
                <w:sz w:val="21"/>
                <w:szCs w:val="21"/>
              </w:rPr>
              <w:t>国有资本经营预算财政拨款支出，故本表无数据。</w:t>
            </w:r>
          </w:p>
        </w:tc>
      </w:tr>
    </w:tbl>
    <w:p>
      <w:pPr>
        <w:pStyle w:val="9"/>
        <w:rPr>
          <w:sz w:val="72"/>
          <w:szCs w:val="72"/>
        </w:rPr>
        <w:sectPr>
          <w:pgSz w:w="16838" w:h="11906" w:orient="landscape"/>
          <w:pgMar w:top="1803" w:right="1440" w:bottom="1803" w:left="1440" w:header="851" w:footer="992" w:gutter="0"/>
          <w:pgNumType w:fmt="numberInDash"/>
          <w:cols w:space="0" w:num="1"/>
          <w:rtlGutter w:val="0"/>
          <w:docGrid w:type="lines" w:linePitch="319" w:charSpace="0"/>
        </w:sectPr>
      </w:pPr>
    </w:p>
    <w:p>
      <w:pPr>
        <w:pStyle w:val="9"/>
        <w:rPr>
          <w:sz w:val="72"/>
          <w:szCs w:val="72"/>
        </w:rPr>
      </w:pPr>
    </w:p>
    <w:p>
      <w:pPr>
        <w:pStyle w:val="9"/>
        <w:rPr>
          <w:sz w:val="72"/>
          <w:szCs w:val="72"/>
        </w:rPr>
      </w:pPr>
    </w:p>
    <w:p>
      <w:pPr>
        <w:pStyle w:val="9"/>
        <w:rPr>
          <w:sz w:val="72"/>
          <w:szCs w:val="72"/>
        </w:rPr>
      </w:pPr>
    </w:p>
    <w:p>
      <w:pPr>
        <w:pStyle w:val="9"/>
        <w:rPr>
          <w:sz w:val="72"/>
          <w:szCs w:val="72"/>
        </w:rPr>
      </w:pPr>
    </w:p>
    <w:p>
      <w:pPr>
        <w:pStyle w:val="9"/>
        <w:jc w:val="center"/>
        <w:rPr>
          <w:sz w:val="72"/>
          <w:szCs w:val="72"/>
        </w:rPr>
      </w:pPr>
    </w:p>
    <w:p>
      <w:pPr>
        <w:pStyle w:val="9"/>
        <w:jc w:val="center"/>
        <w:rPr>
          <w:rFonts w:hint="eastAsia" w:ascii="仿宋" w:hAnsi="仿宋" w:eastAsia="仿宋" w:cs="仿宋"/>
          <w:b/>
          <w:bCs/>
          <w:sz w:val="72"/>
          <w:szCs w:val="72"/>
        </w:rPr>
      </w:pPr>
    </w:p>
    <w:p>
      <w:pPr>
        <w:pStyle w:val="9"/>
        <w:jc w:val="center"/>
        <w:rPr>
          <w:rFonts w:hint="eastAsia" w:ascii="仿宋" w:hAnsi="仿宋" w:eastAsia="仿宋" w:cs="仿宋"/>
          <w:b/>
          <w:bCs/>
          <w:sz w:val="52"/>
          <w:szCs w:val="52"/>
        </w:rPr>
      </w:pPr>
      <w:r>
        <w:rPr>
          <w:rFonts w:hint="eastAsia" w:ascii="仿宋" w:hAnsi="仿宋" w:eastAsia="仿宋" w:cs="仿宋"/>
          <w:b/>
          <w:bCs/>
          <w:sz w:val="52"/>
          <w:szCs w:val="52"/>
        </w:rPr>
        <w:t>第三部分</w:t>
      </w:r>
    </w:p>
    <w:p>
      <w:pPr>
        <w:pStyle w:val="9"/>
        <w:jc w:val="center"/>
        <w:rPr>
          <w:rFonts w:hint="eastAsia" w:ascii="仿宋" w:hAnsi="仿宋" w:eastAsia="仿宋" w:cs="仿宋"/>
          <w:b/>
          <w:bCs/>
          <w:sz w:val="52"/>
          <w:szCs w:val="52"/>
        </w:rPr>
      </w:pPr>
    </w:p>
    <w:p>
      <w:pPr>
        <w:pStyle w:val="9"/>
        <w:jc w:val="center"/>
        <w:rPr>
          <w:rFonts w:hint="eastAsia" w:ascii="仿宋" w:hAnsi="仿宋" w:eastAsia="仿宋" w:cs="仿宋"/>
          <w:b/>
          <w:bCs/>
          <w:sz w:val="52"/>
          <w:szCs w:val="52"/>
        </w:rPr>
      </w:pPr>
      <w:r>
        <w:rPr>
          <w:rFonts w:hint="eastAsia" w:ascii="仿宋" w:hAnsi="仿宋" w:eastAsia="仿宋" w:cs="仿宋"/>
          <w:b/>
          <w:bCs/>
          <w:sz w:val="52"/>
          <w:szCs w:val="52"/>
        </w:rPr>
        <w:t>2020年度</w:t>
      </w:r>
      <w:r>
        <w:rPr>
          <w:rFonts w:hint="eastAsia" w:ascii="仿宋" w:hAnsi="仿宋" w:eastAsia="仿宋" w:cs="仿宋"/>
          <w:b/>
          <w:bCs/>
          <w:sz w:val="52"/>
          <w:szCs w:val="52"/>
          <w:lang w:eastAsia="zh-CN"/>
        </w:rPr>
        <w:t>单位</w:t>
      </w:r>
      <w:r>
        <w:rPr>
          <w:rFonts w:hint="eastAsia" w:ascii="仿宋" w:hAnsi="仿宋" w:eastAsia="仿宋" w:cs="仿宋"/>
          <w:b/>
          <w:bCs/>
          <w:sz w:val="52"/>
          <w:szCs w:val="52"/>
        </w:rPr>
        <w:t>决算情况说明</w:t>
      </w:r>
    </w:p>
    <w:p>
      <w:pPr>
        <w:widowControl/>
        <w:jc w:val="left"/>
        <w:rPr>
          <w:rFonts w:ascii="黑体" w:eastAsia="黑体" w:cs="黑体"/>
          <w:color w:val="000000"/>
          <w:kern w:val="0"/>
          <w:sz w:val="70"/>
          <w:szCs w:val="70"/>
        </w:rPr>
      </w:pPr>
      <w:r>
        <w:rPr>
          <w:sz w:val="70"/>
          <w:szCs w:val="70"/>
        </w:rPr>
        <w:br w:type="page"/>
      </w:r>
    </w:p>
    <w:p>
      <w:pPr>
        <w:pStyle w:val="9"/>
        <w:rPr>
          <w:rFonts w:asciiTheme="minorEastAsia" w:hAnsiTheme="minorEastAsia" w:eastAsiaTheme="minorEastAsia"/>
          <w:sz w:val="32"/>
          <w:szCs w:val="32"/>
        </w:rPr>
      </w:pP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62" w:firstLineChars="206"/>
        <w:jc w:val="both"/>
        <w:textAlignment w:val="auto"/>
        <w:rPr>
          <w:rFonts w:hint="eastAsia" w:ascii="仿宋" w:hAnsi="仿宋" w:eastAsia="仿宋" w:cs="仿宋"/>
          <w:b/>
          <w:bCs/>
          <w:lang w:val="en-US" w:eastAsia="zh-CN"/>
        </w:rPr>
      </w:pPr>
      <w:r>
        <w:rPr>
          <w:rFonts w:ascii="仿宋" w:hAnsi="仿宋" w:eastAsia="仿宋" w:cs="仿宋"/>
          <w:b/>
        </w:rPr>
        <w:t>一、收入支出决算总体情况说明</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default" w:ascii="仿宋" w:hAnsi="仿宋" w:eastAsia="仿宋" w:cs="仿宋"/>
          <w:lang w:val="en-US" w:eastAsia="zh-CN"/>
        </w:rPr>
      </w:pPr>
      <w:r>
        <w:rPr>
          <w:rFonts w:ascii="仿宋" w:hAnsi="仿宋" w:eastAsia="仿宋" w:cs="仿宋"/>
        </w:rPr>
        <w:t>2020年度收入总计544.58万元，与上年相比</w:t>
      </w:r>
      <w:r>
        <w:rPr>
          <w:rFonts w:hint="eastAsia" w:ascii="仿宋" w:hAnsi="仿宋" w:eastAsia="仿宋" w:cs="仿宋"/>
          <w:lang w:eastAsia="zh-CN"/>
        </w:rPr>
        <w:t>减少</w:t>
      </w:r>
      <w:r>
        <w:rPr>
          <w:rFonts w:hint="eastAsia" w:ascii="仿宋" w:hAnsi="仿宋" w:eastAsia="仿宋" w:cs="仿宋"/>
          <w:lang w:val="en-US" w:eastAsia="zh-CN"/>
        </w:rPr>
        <w:t>68.52</w:t>
      </w:r>
      <w:r>
        <w:rPr>
          <w:rFonts w:ascii="仿宋" w:hAnsi="仿宋" w:eastAsia="仿宋" w:cs="仿宋"/>
        </w:rPr>
        <w:t>万元</w:t>
      </w:r>
      <w:r>
        <w:rPr>
          <w:rFonts w:hint="eastAsia" w:ascii="仿宋" w:hAnsi="仿宋" w:eastAsia="仿宋" w:cs="仿宋"/>
          <w:lang w:eastAsia="zh-CN"/>
        </w:rPr>
        <w:t>，减少比率</w:t>
      </w:r>
      <w:r>
        <w:rPr>
          <w:rFonts w:hint="eastAsia" w:ascii="仿宋" w:hAnsi="仿宋" w:eastAsia="仿宋" w:cs="仿宋"/>
          <w:lang w:val="en-US" w:eastAsia="zh-CN"/>
        </w:rPr>
        <w:t>11.18%</w:t>
      </w:r>
      <w:r>
        <w:rPr>
          <w:rFonts w:ascii="仿宋" w:hAnsi="仿宋" w:eastAsia="仿宋" w:cs="仿宋"/>
        </w:rPr>
        <w:t>，主要</w:t>
      </w:r>
      <w:r>
        <w:rPr>
          <w:rFonts w:hint="eastAsia" w:ascii="仿宋" w:hAnsi="仿宋" w:eastAsia="仿宋" w:cs="仿宋"/>
          <w:lang w:eastAsia="zh-CN"/>
        </w:rPr>
        <w:t>是因为县管校聘人员减少，</w:t>
      </w:r>
      <w:r>
        <w:rPr>
          <w:rFonts w:hint="eastAsia" w:ascii="仿宋" w:hAnsi="仿宋" w:eastAsia="仿宋" w:cs="仿宋"/>
          <w:lang w:val="en-US" w:eastAsia="zh-CN"/>
        </w:rPr>
        <w:t>预算经费收入减少，</w:t>
      </w:r>
      <w:r>
        <w:rPr>
          <w:rFonts w:ascii="仿宋" w:hAnsi="仿宋" w:eastAsia="仿宋" w:cs="仿宋"/>
        </w:rPr>
        <w:t>支出总计544.58万元，与上年相比</w:t>
      </w:r>
      <w:r>
        <w:rPr>
          <w:rFonts w:hint="eastAsia" w:ascii="仿宋" w:hAnsi="仿宋" w:eastAsia="仿宋" w:cs="仿宋"/>
          <w:lang w:eastAsia="zh-CN"/>
        </w:rPr>
        <w:t>减少</w:t>
      </w:r>
      <w:r>
        <w:rPr>
          <w:rFonts w:hint="eastAsia" w:ascii="仿宋" w:hAnsi="仿宋" w:eastAsia="仿宋" w:cs="仿宋"/>
          <w:lang w:val="en-US" w:eastAsia="zh-CN"/>
        </w:rPr>
        <w:t>68.52</w:t>
      </w:r>
      <w:r>
        <w:rPr>
          <w:rFonts w:ascii="仿宋" w:hAnsi="仿宋" w:eastAsia="仿宋" w:cs="仿宋"/>
        </w:rPr>
        <w:t>万元</w:t>
      </w:r>
      <w:r>
        <w:rPr>
          <w:rFonts w:hint="eastAsia" w:ascii="仿宋" w:hAnsi="仿宋" w:eastAsia="仿宋" w:cs="仿宋"/>
          <w:lang w:eastAsia="zh-CN"/>
        </w:rPr>
        <w:t>，减少比率</w:t>
      </w:r>
      <w:r>
        <w:rPr>
          <w:rFonts w:hint="eastAsia" w:ascii="仿宋" w:hAnsi="仿宋" w:eastAsia="仿宋" w:cs="仿宋"/>
          <w:lang w:val="en-US" w:eastAsia="zh-CN"/>
        </w:rPr>
        <w:t>11.18%</w:t>
      </w:r>
      <w:r>
        <w:rPr>
          <w:rFonts w:ascii="仿宋" w:hAnsi="仿宋" w:eastAsia="仿宋" w:cs="仿宋"/>
        </w:rPr>
        <w:t>，主要</w:t>
      </w:r>
      <w:r>
        <w:rPr>
          <w:rFonts w:hint="eastAsia" w:ascii="仿宋" w:hAnsi="仿宋" w:eastAsia="仿宋" w:cs="仿宋"/>
          <w:lang w:eastAsia="zh-CN"/>
        </w:rPr>
        <w:t>是因为县管校聘人员减少，</w:t>
      </w:r>
      <w:r>
        <w:rPr>
          <w:rFonts w:hint="eastAsia" w:ascii="仿宋" w:hAnsi="仿宋" w:eastAsia="仿宋" w:cs="仿宋"/>
          <w:lang w:val="en-US" w:eastAsia="zh-CN"/>
        </w:rPr>
        <w:t>经费支出减少。</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62" w:firstLineChars="206"/>
        <w:jc w:val="both"/>
        <w:textAlignment w:val="auto"/>
        <w:rPr>
          <w:rFonts w:hint="eastAsia" w:ascii="仿宋" w:hAnsi="仿宋" w:eastAsia="仿宋" w:cs="仿宋"/>
          <w:b/>
          <w:bCs/>
          <w:lang w:val="en-US"/>
        </w:rPr>
      </w:pPr>
      <w:r>
        <w:rPr>
          <w:rFonts w:ascii="仿宋" w:hAnsi="仿宋" w:eastAsia="仿宋" w:cs="仿宋"/>
          <w:b/>
        </w:rPr>
        <w:t>二、收入决算情况说明</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本年收入合计544.58万元，其中：财政拨款收入544.58万元，占100%；上级补助收入0万元，占0%；事业收入0万元，占0%；经营收入0万元，占0%；附属单位上缴收入0万元，占0%；其他收入0万元，占0%。</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0" w:leftChars="0" w:right="420" w:firstLine="0"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drawing>
          <wp:inline distT="0" distB="0" distL="0" distR="0">
            <wp:extent cx="6143625" cy="3429000"/>
            <wp:effectExtent l="0" t="0" r="0" b="0"/>
            <wp:docPr id="2" name="Drawing 2" descr="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rawing 2" descr="Generated"/>
                    <pic:cNvPicPr>
                      <a:picLocks noChangeAspect="1"/>
                    </pic:cNvPicPr>
                  </pic:nvPicPr>
                  <pic:blipFill>
                    <a:blip r:embed="rId8"/>
                    <a:stretch>
                      <a:fillRect/>
                    </a:stretch>
                  </pic:blipFill>
                  <pic:spPr>
                    <a:xfrm>
                      <a:off x="0" y="0"/>
                      <a:ext cx="6143625" cy="3429000"/>
                    </a:xfrm>
                    <a:prstGeom prst="rect">
                      <a:avLst/>
                    </a:prstGeom>
                  </pic:spPr>
                </pic:pic>
              </a:graphicData>
            </a:graphic>
          </wp:inline>
        </w:drawing>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62" w:firstLineChars="206"/>
        <w:jc w:val="both"/>
        <w:textAlignment w:val="auto"/>
        <w:rPr>
          <w:rFonts w:hint="eastAsia" w:ascii="仿宋" w:hAnsi="仿宋" w:eastAsia="仿宋" w:cs="仿宋"/>
          <w:b/>
          <w:bCs/>
          <w:lang w:val="en-US"/>
        </w:rPr>
      </w:pPr>
      <w:r>
        <w:rPr>
          <w:rFonts w:ascii="仿宋" w:hAnsi="仿宋" w:eastAsia="仿宋" w:cs="仿宋"/>
          <w:b/>
        </w:rPr>
        <w:t>三、支出决算情况说明</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本年支出合计544.58万元，其中：基本支出544.58万元，占100%；项目支出0万元，占0%；上缴上级支出0万元，占0%；经营支出0万元，占0%；对附属单位补助支出0万元，占0%。</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right="420"/>
        <w:jc w:val="center"/>
        <w:textAlignment w:val="auto"/>
        <w:rPr>
          <w:rFonts w:hint="eastAsia" w:ascii="仿宋" w:hAnsi="仿宋" w:eastAsia="仿宋" w:cs="仿宋"/>
        </w:rPr>
      </w:pPr>
      <w:r>
        <w:rPr>
          <w:rFonts w:hint="eastAsia" w:ascii="仿宋" w:hAnsi="仿宋" w:eastAsia="仿宋" w:cs="仿宋"/>
          <w:lang w:val="en-US" w:eastAsia="zh-CN"/>
        </w:rPr>
        <w:drawing>
          <wp:inline distT="0" distB="0" distL="0" distR="0">
            <wp:extent cx="6143625" cy="3429000"/>
            <wp:effectExtent l="0" t="0" r="0" b="0"/>
            <wp:docPr id="4" name="Drawing 4" descr="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rawing 4" descr="Generated"/>
                    <pic:cNvPicPr>
                      <a:picLocks noChangeAspect="1"/>
                    </pic:cNvPicPr>
                  </pic:nvPicPr>
                  <pic:blipFill>
                    <a:blip r:embed="rId9"/>
                    <a:stretch>
                      <a:fillRect/>
                    </a:stretch>
                  </pic:blipFill>
                  <pic:spPr>
                    <a:xfrm>
                      <a:off x="0" y="0"/>
                      <a:ext cx="6143625" cy="3429000"/>
                    </a:xfrm>
                    <a:prstGeom prst="rect">
                      <a:avLst/>
                    </a:prstGeom>
                  </pic:spPr>
                </pic:pic>
              </a:graphicData>
            </a:graphic>
          </wp:inline>
        </w:drawing>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62" w:firstLineChars="206"/>
        <w:jc w:val="both"/>
        <w:textAlignment w:val="auto"/>
        <w:rPr>
          <w:rFonts w:hint="eastAsia" w:ascii="仿宋" w:hAnsi="仿宋" w:eastAsia="仿宋" w:cs="仿宋"/>
          <w:b/>
          <w:bCs/>
          <w:lang w:val="en-US"/>
        </w:rPr>
      </w:pPr>
      <w:r>
        <w:rPr>
          <w:rFonts w:ascii="仿宋" w:hAnsi="仿宋" w:eastAsia="仿宋" w:cs="仿宋"/>
          <w:b/>
        </w:rPr>
        <w:t>四、财政拨款收入支出决算总体情况说明</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default" w:ascii="仿宋" w:hAnsi="仿宋" w:eastAsia="仿宋" w:cs="仿宋"/>
          <w:lang w:val="en-US" w:eastAsia="zh-CN"/>
        </w:rPr>
      </w:pPr>
      <w:r>
        <w:rPr>
          <w:rFonts w:ascii="仿宋" w:hAnsi="仿宋" w:eastAsia="仿宋" w:cs="仿宋"/>
        </w:rPr>
        <w:t>2020年度财政拨款收</w:t>
      </w:r>
      <w:r>
        <w:rPr>
          <w:rFonts w:hint="eastAsia" w:ascii="仿宋" w:hAnsi="仿宋" w:eastAsia="仿宋" w:cs="仿宋"/>
          <w:lang w:val="en-US" w:eastAsia="zh-CN"/>
        </w:rPr>
        <w:t>入</w:t>
      </w:r>
      <w:r>
        <w:rPr>
          <w:rFonts w:ascii="仿宋" w:hAnsi="仿宋" w:eastAsia="仿宋" w:cs="仿宋"/>
        </w:rPr>
        <w:t>总计544.58万元，与上年相比</w:t>
      </w:r>
      <w:r>
        <w:rPr>
          <w:rFonts w:hint="eastAsia" w:ascii="仿宋" w:hAnsi="仿宋" w:eastAsia="仿宋" w:cs="仿宋"/>
          <w:lang w:eastAsia="zh-CN"/>
        </w:rPr>
        <w:t>减少</w:t>
      </w:r>
      <w:r>
        <w:rPr>
          <w:rFonts w:hint="eastAsia" w:ascii="仿宋" w:hAnsi="仿宋" w:eastAsia="仿宋" w:cs="仿宋"/>
          <w:lang w:val="en-US" w:eastAsia="zh-CN"/>
        </w:rPr>
        <w:t>68.52</w:t>
      </w:r>
      <w:r>
        <w:rPr>
          <w:rFonts w:ascii="仿宋" w:hAnsi="仿宋" w:eastAsia="仿宋" w:cs="仿宋"/>
        </w:rPr>
        <w:t>万元</w:t>
      </w:r>
      <w:r>
        <w:rPr>
          <w:rFonts w:hint="eastAsia" w:ascii="仿宋" w:hAnsi="仿宋" w:eastAsia="仿宋" w:cs="仿宋"/>
          <w:lang w:eastAsia="zh-CN"/>
        </w:rPr>
        <w:t>，减少比率</w:t>
      </w:r>
      <w:r>
        <w:rPr>
          <w:rFonts w:hint="eastAsia" w:ascii="仿宋" w:hAnsi="仿宋" w:eastAsia="仿宋" w:cs="仿宋"/>
          <w:lang w:val="en-US" w:eastAsia="zh-CN"/>
        </w:rPr>
        <w:t>11.18%</w:t>
      </w:r>
      <w:r>
        <w:rPr>
          <w:rFonts w:ascii="仿宋" w:hAnsi="仿宋" w:eastAsia="仿宋" w:cs="仿宋"/>
        </w:rPr>
        <w:t>，主要</w:t>
      </w:r>
      <w:r>
        <w:rPr>
          <w:rFonts w:hint="eastAsia" w:ascii="仿宋" w:hAnsi="仿宋" w:eastAsia="仿宋" w:cs="仿宋"/>
          <w:lang w:eastAsia="zh-CN"/>
        </w:rPr>
        <w:t>是因为县管校聘人员减少，</w:t>
      </w:r>
      <w:r>
        <w:rPr>
          <w:rFonts w:hint="eastAsia" w:ascii="仿宋" w:hAnsi="仿宋" w:eastAsia="仿宋" w:cs="仿宋"/>
          <w:lang w:val="en-US" w:eastAsia="zh-CN"/>
        </w:rPr>
        <w:t>预算经费收入减少，</w:t>
      </w:r>
      <w:r>
        <w:rPr>
          <w:rFonts w:ascii="仿宋" w:hAnsi="仿宋" w:eastAsia="仿宋" w:cs="仿宋"/>
        </w:rPr>
        <w:t>支出总计544.58万元，与上年相比</w:t>
      </w:r>
      <w:r>
        <w:rPr>
          <w:rFonts w:hint="eastAsia" w:ascii="仿宋" w:hAnsi="仿宋" w:eastAsia="仿宋" w:cs="仿宋"/>
          <w:lang w:eastAsia="zh-CN"/>
        </w:rPr>
        <w:t>减少</w:t>
      </w:r>
      <w:r>
        <w:rPr>
          <w:rFonts w:hint="eastAsia" w:ascii="仿宋" w:hAnsi="仿宋" w:eastAsia="仿宋" w:cs="仿宋"/>
          <w:lang w:val="en-US" w:eastAsia="zh-CN"/>
        </w:rPr>
        <w:t>68.52</w:t>
      </w:r>
      <w:r>
        <w:rPr>
          <w:rFonts w:ascii="仿宋" w:hAnsi="仿宋" w:eastAsia="仿宋" w:cs="仿宋"/>
        </w:rPr>
        <w:t>万元</w:t>
      </w:r>
      <w:r>
        <w:rPr>
          <w:rFonts w:hint="eastAsia" w:ascii="仿宋" w:hAnsi="仿宋" w:eastAsia="仿宋" w:cs="仿宋"/>
          <w:lang w:eastAsia="zh-CN"/>
        </w:rPr>
        <w:t>，减少比率</w:t>
      </w:r>
      <w:r>
        <w:rPr>
          <w:rFonts w:hint="eastAsia" w:ascii="仿宋" w:hAnsi="仿宋" w:eastAsia="仿宋" w:cs="仿宋"/>
          <w:lang w:val="en-US" w:eastAsia="zh-CN"/>
        </w:rPr>
        <w:t>11.18%</w:t>
      </w:r>
      <w:r>
        <w:rPr>
          <w:rFonts w:ascii="仿宋" w:hAnsi="仿宋" w:eastAsia="仿宋" w:cs="仿宋"/>
        </w:rPr>
        <w:t>，主要</w:t>
      </w:r>
      <w:r>
        <w:rPr>
          <w:rFonts w:hint="eastAsia" w:ascii="仿宋" w:hAnsi="仿宋" w:eastAsia="仿宋" w:cs="仿宋"/>
          <w:lang w:eastAsia="zh-CN"/>
        </w:rPr>
        <w:t>是因为县管校聘人员减少，</w:t>
      </w:r>
      <w:r>
        <w:rPr>
          <w:rFonts w:hint="eastAsia" w:ascii="仿宋" w:hAnsi="仿宋" w:eastAsia="仿宋" w:cs="仿宋"/>
          <w:lang w:val="en-US" w:eastAsia="zh-CN"/>
        </w:rPr>
        <w:t>经费支出减少。</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62" w:firstLineChars="206"/>
        <w:jc w:val="both"/>
        <w:textAlignment w:val="auto"/>
        <w:rPr>
          <w:rFonts w:hint="eastAsia" w:ascii="仿宋" w:hAnsi="仿宋" w:eastAsia="仿宋" w:cs="仿宋"/>
          <w:b/>
          <w:bCs/>
          <w:lang w:val="en-US"/>
        </w:rPr>
      </w:pPr>
      <w:r>
        <w:rPr>
          <w:rFonts w:ascii="仿宋" w:hAnsi="仿宋" w:eastAsia="仿宋" w:cs="仿宋"/>
          <w:b/>
        </w:rPr>
        <w:t>五、一般公共预算财政拨款支出决算情况说明</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62" w:firstLineChars="206"/>
        <w:jc w:val="both"/>
        <w:textAlignment w:val="auto"/>
        <w:rPr>
          <w:rFonts w:hint="eastAsia" w:ascii="仿宋" w:hAnsi="仿宋" w:eastAsia="仿宋" w:cs="仿宋"/>
          <w:b/>
          <w:bCs/>
          <w:lang w:val="en-US"/>
        </w:rPr>
      </w:pPr>
      <w:r>
        <w:rPr>
          <w:rFonts w:ascii="仿宋" w:hAnsi="仿宋" w:eastAsia="仿宋" w:cs="仿宋"/>
          <w:b/>
        </w:rPr>
        <w:t>（一）财政拨款支出决算总体情况</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2020年度财政拨款支出544.58万元，占本年支出合计的100%，与上年相比</w:t>
      </w:r>
      <w:r>
        <w:rPr>
          <w:rFonts w:hint="eastAsia" w:ascii="仿宋" w:hAnsi="仿宋" w:eastAsia="仿宋" w:cs="仿宋"/>
          <w:lang w:eastAsia="zh-CN"/>
        </w:rPr>
        <w:t>减少</w:t>
      </w:r>
      <w:r>
        <w:rPr>
          <w:rFonts w:hint="eastAsia" w:ascii="仿宋" w:hAnsi="仿宋" w:eastAsia="仿宋" w:cs="仿宋"/>
          <w:lang w:val="en-US" w:eastAsia="zh-CN"/>
        </w:rPr>
        <w:t>68.52</w:t>
      </w:r>
      <w:r>
        <w:rPr>
          <w:rFonts w:ascii="仿宋" w:hAnsi="仿宋" w:eastAsia="仿宋" w:cs="仿宋"/>
        </w:rPr>
        <w:t>万元</w:t>
      </w:r>
      <w:r>
        <w:rPr>
          <w:rFonts w:hint="eastAsia" w:ascii="仿宋" w:hAnsi="仿宋" w:eastAsia="仿宋" w:cs="仿宋"/>
          <w:lang w:eastAsia="zh-CN"/>
        </w:rPr>
        <w:t>，减少比率</w:t>
      </w:r>
      <w:r>
        <w:rPr>
          <w:rFonts w:hint="eastAsia" w:ascii="仿宋" w:hAnsi="仿宋" w:eastAsia="仿宋" w:cs="仿宋"/>
          <w:lang w:val="en-US" w:eastAsia="zh-CN"/>
        </w:rPr>
        <w:t>11.18%</w:t>
      </w:r>
      <w:r>
        <w:rPr>
          <w:rFonts w:ascii="仿宋" w:hAnsi="仿宋" w:eastAsia="仿宋" w:cs="仿宋"/>
        </w:rPr>
        <w:t>（去年决算数为</w:t>
      </w:r>
      <w:r>
        <w:rPr>
          <w:rFonts w:hint="eastAsia" w:ascii="仿宋" w:hAnsi="仿宋" w:eastAsia="仿宋" w:cs="仿宋"/>
          <w:lang w:val="en-US" w:eastAsia="zh-CN"/>
        </w:rPr>
        <w:t>613.1</w:t>
      </w:r>
      <w:r>
        <w:rPr>
          <w:rFonts w:ascii="仿宋" w:hAnsi="仿宋" w:eastAsia="仿宋" w:cs="仿宋"/>
        </w:rPr>
        <w:t>万元），主要</w:t>
      </w:r>
      <w:r>
        <w:rPr>
          <w:rFonts w:hint="eastAsia" w:ascii="仿宋" w:hAnsi="仿宋" w:eastAsia="仿宋" w:cs="仿宋"/>
          <w:lang w:eastAsia="zh-CN"/>
        </w:rPr>
        <w:t>是因为县管校聘人员减少</w:t>
      </w:r>
      <w:r>
        <w:rPr>
          <w:rFonts w:ascii="仿宋" w:hAnsi="仿宋" w:eastAsia="仿宋" w:cs="仿宋"/>
        </w:rPr>
        <w:t>。</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62" w:firstLineChars="206"/>
        <w:jc w:val="both"/>
        <w:textAlignment w:val="auto"/>
        <w:rPr>
          <w:rFonts w:hint="eastAsia" w:ascii="仿宋" w:hAnsi="仿宋" w:eastAsia="仿宋" w:cs="仿宋"/>
          <w:b/>
          <w:bCs/>
          <w:lang w:val="en-US"/>
        </w:rPr>
      </w:pPr>
      <w:r>
        <w:rPr>
          <w:rFonts w:ascii="仿宋" w:hAnsi="仿宋" w:eastAsia="仿宋" w:cs="仿宋"/>
          <w:b/>
        </w:rPr>
        <w:t>（二）财政拨款支出决算结构情况</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2020年度财政拨款支出544.58万元，主要用于以下方面：教育支出（类）542.81万元，占99.68%；社会保障和就业支出（类）0.77万元，占0.14%；卫生健康支出（类）1万元，占0.18%。</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62" w:firstLineChars="206"/>
        <w:jc w:val="both"/>
        <w:textAlignment w:val="auto"/>
        <w:rPr>
          <w:rFonts w:hint="eastAsia" w:ascii="仿宋" w:hAnsi="仿宋" w:eastAsia="仿宋" w:cs="仿宋"/>
          <w:b/>
          <w:bCs/>
          <w:lang w:val="en-US"/>
        </w:rPr>
      </w:pPr>
      <w:r>
        <w:rPr>
          <w:rFonts w:ascii="仿宋" w:hAnsi="仿宋" w:eastAsia="仿宋" w:cs="仿宋"/>
          <w:b/>
        </w:rPr>
        <w:t>（三）财政拨款支出决算具体情况</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2020年度财政拨款支出年初预算数为524.17万元，支出决算数为544.58万元，完成年初预算的103.89%，其中：</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1、教育支出（类）普通教育（款）小学教育（项）。</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年初预算为0万元，支出决算为61.06万元，年初预算数为0万元，无法计算完成比率，决算数大于预算数的主要原因是：本年度单位部门经济科目区分有误，实为初中教育。</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2、教育支出（类）普通教育（款）初中教育（项）。</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年初预算为483.3万元，支出决算为481.5万元，完成年初预算的99.63%，决算数小于预算数的主要原因是：本年度单位部门经济科目区分有误，实为初中教育，且本年度人员经费薪级工资增加。</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3、教育支出（类）普通教育（款）其他普通教育支出（项）。</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年初预算为0万元，支出决算为0.25万元，年初预算数为0万元，无法计算完成比率，决算数大于预算数的主要原因是：本年度单位部门经济科目区分有误，实为初中教育。</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4、社会保障和就业支出（类）就业补助（款）其他就业补助支出（项）。</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年初预算为0万元，支出决算为0.77万元，年初预算数为0万元，无法计算完成比率，决算数大于预算数的主要原因是：本年度有人员异动，社保经费预算不足。</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5、卫生健康支出（类）公共卫生（款）突发公共卫生事件应急处理（项）。</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年初预算为0万元，支出决算为1万元，年初预算数为0万元，无法计算完成比率，决算数大于预算数的主要原因是：本年度突发疫情，财政拨疫情防控专项经费。</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62" w:firstLineChars="206"/>
        <w:jc w:val="both"/>
        <w:textAlignment w:val="auto"/>
        <w:rPr>
          <w:rFonts w:hint="eastAsia" w:ascii="仿宋" w:hAnsi="仿宋" w:eastAsia="仿宋" w:cs="仿宋"/>
          <w:b/>
          <w:bCs/>
          <w:lang w:val="en-US"/>
        </w:rPr>
      </w:pPr>
      <w:r>
        <w:rPr>
          <w:rFonts w:ascii="仿宋" w:hAnsi="仿宋" w:eastAsia="仿宋" w:cs="仿宋"/>
          <w:b/>
        </w:rPr>
        <w:t>六、财政拨款基本支出决算情况说明</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2020年度财政拨款基本支出544.57万元（金额转换为万元时，因四舍五入存在尾差），其中：人员经费511.27万元，占基本支出的93.89%，主要包括：基本工资、津贴补贴、机关事业单位基本养老保险缴费、职工基本医疗保险缴费、其他社会保障缴费、其他工资福利支出、生活补助、助学金、奖励金、其他对个人和家庭的补助；公用经费33.3万元，占基本支出的6.11%，主要包括：办公费、印刷费、水费、电费、差旅费、维修（护）费、会议费、培训费、专用材料费、工会经费、其他商品和服务支出。</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62" w:firstLineChars="206"/>
        <w:jc w:val="both"/>
        <w:textAlignment w:val="auto"/>
        <w:rPr>
          <w:rFonts w:hint="eastAsia" w:ascii="仿宋" w:hAnsi="仿宋" w:eastAsia="仿宋" w:cs="仿宋"/>
          <w:b/>
          <w:bCs/>
          <w:lang w:val="en-US"/>
        </w:rPr>
      </w:pPr>
      <w:r>
        <w:rPr>
          <w:rFonts w:ascii="仿宋" w:hAnsi="仿宋" w:eastAsia="仿宋" w:cs="仿宋"/>
          <w:b/>
        </w:rPr>
        <w:t>七、一般公共预算财政拨款三公经费支出决算情况说明</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（一）“三公”经费财政拨款支出决算总体情况说明</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三公”经费财政拨款支出预算为0万元，支出决算为0万元，“三公”经费财政拨款支出预算为0万元，无法计算完成比率，其中：因公出国（境）费支出预算为0万元，支出决算为0万元，与本年预算数相同，与上年决算数相同。</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公务接待费支出预算为0万元，支出决算为0万元，与本年预算数相同，与上年决算数相同。</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公务用车购置费及运行维护费支出预算为0万元，支出决算为0万元，与本年预算数相同，与上年预算数相同。</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（二）“三公”经费财政拨款支出决算具体情况说明</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2020年度“三公”经费财政拨款支出决算中，公务接待费支出决算0万元，占0%，因公出国（境）费支出决算0万元，占0%，公务用车购置费及运行维护费支出决算0万元，占0%。其中：</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1、因公出国（境）费支出决算为0万元，全年安排因公出国（境）团组0个，累计0人次。</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2、公务接待费支出决算为0万元，全年共接待来访团组0个，来宾0人次。</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3、公务用车购置费及运行维护费支出决算为0万元。截止2020年12月31日，我单位开支财政拨款的公务用车保有量为0辆。</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62" w:firstLineChars="206"/>
        <w:jc w:val="both"/>
        <w:textAlignment w:val="auto"/>
        <w:rPr>
          <w:rFonts w:hint="eastAsia" w:ascii="仿宋" w:hAnsi="仿宋" w:eastAsia="仿宋" w:cs="仿宋"/>
          <w:b/>
          <w:bCs/>
          <w:lang w:val="en-US"/>
        </w:rPr>
      </w:pPr>
      <w:r>
        <w:rPr>
          <w:rFonts w:ascii="仿宋" w:hAnsi="仿宋" w:eastAsia="仿宋" w:cs="仿宋"/>
          <w:b/>
        </w:rPr>
        <w:t>八、政府性基金预算收入支出决算情况</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本单位无政府性基金收支。</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62" w:firstLineChars="206"/>
        <w:jc w:val="both"/>
        <w:textAlignment w:val="auto"/>
        <w:rPr>
          <w:rFonts w:hint="eastAsia" w:ascii="仿宋" w:hAnsi="仿宋" w:eastAsia="仿宋" w:cs="仿宋"/>
          <w:b/>
          <w:bCs/>
          <w:lang w:val="en-US"/>
        </w:rPr>
      </w:pPr>
      <w:r>
        <w:rPr>
          <w:rFonts w:ascii="仿宋" w:hAnsi="仿宋" w:eastAsia="仿宋" w:cs="仿宋"/>
          <w:b/>
        </w:rPr>
        <w:t>九、关于机关运行经费支出说明</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本部门2020年度机关运行经费支出0万元，与年初预算数相同。</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62" w:firstLineChars="206"/>
        <w:jc w:val="both"/>
        <w:textAlignment w:val="auto"/>
        <w:rPr>
          <w:rFonts w:hint="eastAsia" w:ascii="仿宋" w:hAnsi="仿宋" w:eastAsia="仿宋" w:cs="仿宋"/>
          <w:b/>
          <w:bCs/>
          <w:lang w:val="en-US"/>
        </w:rPr>
      </w:pPr>
      <w:r>
        <w:rPr>
          <w:rFonts w:ascii="仿宋" w:hAnsi="仿宋" w:eastAsia="仿宋" w:cs="仿宋"/>
          <w:b/>
        </w:rPr>
        <w:t>十、一般性支出情况</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2020年本部门开支会议费0万元。开支培训费2.53万元，用于开展教育教学教研培训培训，人数42人，内容为各科教师教学研讨培训、参加“国培”培训、教师信息技术提升集中培训、参加项目县“送教下乡”培训、党员培训等；举办0等节庆、晚会、论坛、赛事活动，开支0万元，主要是无。</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62" w:firstLineChars="206"/>
        <w:jc w:val="both"/>
        <w:textAlignment w:val="auto"/>
        <w:rPr>
          <w:rFonts w:hint="eastAsia" w:ascii="仿宋" w:hAnsi="仿宋" w:eastAsia="仿宋" w:cs="仿宋"/>
          <w:b/>
          <w:bCs/>
          <w:lang w:val="en-US"/>
        </w:rPr>
      </w:pPr>
      <w:r>
        <w:rPr>
          <w:rFonts w:ascii="仿宋" w:hAnsi="仿宋" w:eastAsia="仿宋" w:cs="仿宋"/>
          <w:b/>
        </w:rPr>
        <w:t>十一、关于政府采购支出说明</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本部门2020年度政府采购支出总额0万元，其中：政府采购货物支出0万元、政府采购工程支出0万元、政府采购服务支出0万元。授予中小企业合同金额0万元，其中：授予小微企业合同金额0万元，</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62" w:firstLineChars="206"/>
        <w:jc w:val="both"/>
        <w:textAlignment w:val="auto"/>
        <w:rPr>
          <w:rFonts w:hint="eastAsia" w:ascii="仿宋" w:hAnsi="仿宋" w:eastAsia="仿宋" w:cs="仿宋"/>
          <w:b/>
          <w:bCs/>
          <w:lang w:val="en-US"/>
        </w:rPr>
      </w:pPr>
      <w:r>
        <w:rPr>
          <w:rFonts w:ascii="仿宋" w:hAnsi="仿宋" w:eastAsia="仿宋" w:cs="仿宋"/>
          <w:b/>
        </w:rPr>
        <w:t>十二、国有资产占用情况说明</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截至2020年12月31日，本单位共有车辆0辆，其中，主要领导干部用车0辆、机要通信用车0辆、应急保障用车0辆、执法执勤用车0辆、特种专业技术用车0辆、其他用车0辆。单位价值50万元以上通用设备0台（套），单位价值100万元以上专用设备0台（套）。</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62" w:firstLineChars="206"/>
        <w:jc w:val="both"/>
        <w:textAlignment w:val="auto"/>
        <w:rPr>
          <w:rFonts w:hint="eastAsia" w:ascii="仿宋" w:hAnsi="仿宋" w:eastAsia="仿宋" w:cs="仿宋"/>
          <w:b/>
          <w:bCs/>
          <w:lang w:val="en-US"/>
        </w:rPr>
      </w:pPr>
      <w:r>
        <w:rPr>
          <w:rFonts w:ascii="仿宋" w:hAnsi="仿宋" w:eastAsia="仿宋" w:cs="仿宋"/>
          <w:b/>
        </w:rPr>
        <w:t>十三、预算绩效评价工作开展情况</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eastAsia="黑体"/>
          <w:sz w:val="72"/>
          <w:szCs w:val="72"/>
          <w:lang w:eastAsia="zh-CN"/>
        </w:rPr>
        <w:sectPr>
          <w:footerReference r:id="rId6" w:type="default"/>
          <w:pgSz w:w="11906" w:h="16838"/>
          <w:pgMar w:top="720" w:right="720" w:bottom="720" w:left="720" w:header="851" w:footer="992" w:gutter="0"/>
          <w:pgNumType w:fmt="numberInDash"/>
          <w:cols w:space="0" w:num="1"/>
          <w:rtlGutter w:val="0"/>
          <w:docGrid w:type="lines" w:linePitch="319" w:charSpace="0"/>
        </w:sectPr>
      </w:pPr>
      <w:r>
        <w:rPr>
          <w:rFonts w:ascii="仿宋" w:hAnsi="仿宋" w:eastAsia="仿宋" w:cs="仿宋"/>
        </w:rPr>
        <w:t>本部门</w:t>
      </w:r>
      <w:r>
        <w:rPr>
          <w:rFonts w:hint="eastAsia" w:ascii="仿宋" w:hAnsi="仿宋" w:eastAsia="仿宋" w:cs="仿宋"/>
          <w:lang w:val="en-US" w:eastAsia="zh-CN"/>
        </w:rPr>
        <w:t>未开展</w:t>
      </w:r>
      <w:r>
        <w:rPr>
          <w:rFonts w:ascii="仿宋" w:hAnsi="仿宋" w:eastAsia="仿宋" w:cs="仿宋"/>
        </w:rPr>
        <w:t>预算绩效</w:t>
      </w:r>
      <w:r>
        <w:rPr>
          <w:rFonts w:hint="eastAsia" w:ascii="仿宋" w:hAnsi="仿宋" w:eastAsia="仿宋" w:cs="仿宋"/>
          <w:lang w:val="en-US" w:eastAsia="zh-CN"/>
        </w:rPr>
        <w:t>评价工作</w:t>
      </w:r>
    </w:p>
    <w:p>
      <w:pPr>
        <w:pStyle w:val="9"/>
        <w:jc w:val="both"/>
        <w:rPr>
          <w:sz w:val="72"/>
          <w:szCs w:val="72"/>
        </w:rPr>
      </w:pPr>
    </w:p>
    <w:p>
      <w:pPr>
        <w:pStyle w:val="9"/>
        <w:jc w:val="both"/>
        <w:rPr>
          <w:sz w:val="72"/>
          <w:szCs w:val="72"/>
        </w:rPr>
      </w:pPr>
    </w:p>
    <w:p>
      <w:pPr>
        <w:pStyle w:val="9"/>
        <w:jc w:val="center"/>
        <w:rPr>
          <w:rFonts w:hint="eastAsia" w:ascii="仿宋" w:hAnsi="仿宋" w:eastAsia="仿宋" w:cs="仿宋"/>
          <w:b/>
          <w:bCs/>
          <w:sz w:val="72"/>
          <w:szCs w:val="72"/>
        </w:rPr>
      </w:pPr>
    </w:p>
    <w:p>
      <w:pPr>
        <w:pStyle w:val="9"/>
        <w:jc w:val="center"/>
        <w:rPr>
          <w:rFonts w:hint="eastAsia" w:ascii="仿宋" w:hAnsi="仿宋" w:eastAsia="仿宋" w:cs="仿宋"/>
          <w:b/>
          <w:bCs/>
          <w:sz w:val="72"/>
          <w:szCs w:val="72"/>
        </w:rPr>
      </w:pPr>
    </w:p>
    <w:p>
      <w:pPr>
        <w:pStyle w:val="9"/>
        <w:jc w:val="center"/>
        <w:rPr>
          <w:rFonts w:hint="eastAsia" w:ascii="仿宋" w:hAnsi="仿宋" w:eastAsia="仿宋" w:cs="仿宋"/>
          <w:b/>
          <w:bCs/>
          <w:sz w:val="52"/>
          <w:szCs w:val="52"/>
        </w:rPr>
      </w:pPr>
      <w:r>
        <w:rPr>
          <w:rFonts w:hint="eastAsia" w:ascii="仿宋" w:hAnsi="仿宋" w:eastAsia="仿宋" w:cs="仿宋"/>
          <w:b/>
          <w:bCs/>
          <w:sz w:val="52"/>
          <w:szCs w:val="52"/>
        </w:rPr>
        <w:t>第四部分</w:t>
      </w:r>
    </w:p>
    <w:p>
      <w:pPr>
        <w:jc w:val="center"/>
        <w:rPr>
          <w:rFonts w:hint="eastAsia" w:ascii="仿宋" w:hAnsi="仿宋" w:eastAsia="仿宋" w:cs="仿宋"/>
          <w:b/>
          <w:bCs/>
          <w:color w:val="000000"/>
          <w:kern w:val="0"/>
          <w:sz w:val="52"/>
          <w:szCs w:val="52"/>
        </w:rPr>
      </w:pPr>
    </w:p>
    <w:p>
      <w:pPr>
        <w:jc w:val="center"/>
        <w:rPr>
          <w:rFonts w:hint="eastAsia" w:ascii="仿宋" w:hAnsi="仿宋" w:eastAsia="仿宋" w:cs="仿宋"/>
          <w:b/>
          <w:bCs/>
          <w:color w:val="000000"/>
          <w:kern w:val="0"/>
          <w:sz w:val="52"/>
          <w:szCs w:val="52"/>
        </w:rPr>
      </w:pPr>
      <w:r>
        <w:rPr>
          <w:rFonts w:hint="eastAsia" w:ascii="仿宋" w:hAnsi="仿宋" w:eastAsia="仿宋" w:cs="仿宋"/>
          <w:b/>
          <w:bCs/>
          <w:color w:val="000000"/>
          <w:kern w:val="0"/>
          <w:sz w:val="52"/>
          <w:szCs w:val="52"/>
        </w:rPr>
        <w:t>名词解释</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ind w:firstLine="640" w:firstLineChars="200"/>
        <w:jc w:val="left"/>
        <w:rPr>
          <w:rFonts w:cs="黑体" w:asciiTheme="minorEastAsia" w:hAnsiTheme="minorEastAsia"/>
          <w:color w:val="000000"/>
          <w:kern w:val="0"/>
          <w:sz w:val="32"/>
          <w:szCs w:val="32"/>
        </w:rPr>
      </w:pP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一、财政拨款收入</w:t>
      </w:r>
      <w:r>
        <w:rPr>
          <w:rFonts w:ascii="仿宋" w:hAnsi="仿宋" w:eastAsia="仿宋" w:cs="仿宋"/>
          <w:b/>
          <w:color w:val="000000"/>
          <w:sz w:val="32"/>
        </w:rPr>
        <w:t>：</w:t>
      </w:r>
      <w:r>
        <w:rPr>
          <w:rFonts w:hint="eastAsia" w:ascii="仿宋" w:hAnsi="仿宋" w:eastAsia="仿宋" w:cs="仿宋"/>
          <w:color w:val="000000"/>
          <w:kern w:val="0"/>
          <w:sz w:val="32"/>
          <w:szCs w:val="32"/>
        </w:rPr>
        <w:t>指单位本年度从同级财政部门取得的各类财政拨款。</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二、上级补助收入</w:t>
      </w:r>
      <w:r>
        <w:rPr>
          <w:rFonts w:ascii="仿宋" w:hAnsi="仿宋" w:eastAsia="仿宋" w:cs="仿宋"/>
          <w:b/>
          <w:color w:val="000000"/>
          <w:sz w:val="32"/>
        </w:rPr>
        <w:t>：</w:t>
      </w:r>
      <w:r>
        <w:rPr>
          <w:rFonts w:hint="eastAsia" w:ascii="仿宋" w:hAnsi="仿宋" w:eastAsia="仿宋" w:cs="仿宋"/>
          <w:color w:val="000000"/>
          <w:kern w:val="0"/>
          <w:sz w:val="32"/>
          <w:szCs w:val="32"/>
        </w:rPr>
        <w:t>指事业单位从主管部门和上级单位取得的非财政补助收入。</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三、事业收入</w:t>
      </w:r>
      <w:r>
        <w:rPr>
          <w:rFonts w:ascii="仿宋" w:hAnsi="仿宋" w:eastAsia="仿宋" w:cs="仿宋"/>
          <w:b/>
          <w:color w:val="000000"/>
          <w:sz w:val="32"/>
        </w:rPr>
        <w:t>：</w:t>
      </w:r>
      <w:r>
        <w:rPr>
          <w:rFonts w:hint="eastAsia" w:ascii="仿宋" w:hAnsi="仿宋" w:eastAsia="仿宋" w:cs="仿宋"/>
          <w:color w:val="000000"/>
          <w:kern w:val="0"/>
          <w:sz w:val="32"/>
          <w:szCs w:val="32"/>
        </w:rPr>
        <w:t>指事业单位开展专业业务活动及其辅助活动取得的收入，事业单位收到的财政专户实际核拨的教育收费等资金在此反映。</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四、经营收入</w:t>
      </w:r>
      <w:r>
        <w:rPr>
          <w:rFonts w:ascii="仿宋" w:hAnsi="仿宋" w:eastAsia="仿宋" w:cs="仿宋"/>
          <w:b/>
          <w:color w:val="000000"/>
          <w:sz w:val="32"/>
        </w:rPr>
        <w:t>：</w:t>
      </w:r>
      <w:r>
        <w:rPr>
          <w:rFonts w:hint="eastAsia" w:ascii="仿宋" w:hAnsi="仿宋" w:eastAsia="仿宋" w:cs="仿宋"/>
          <w:color w:val="000000"/>
          <w:kern w:val="0"/>
          <w:sz w:val="32"/>
          <w:szCs w:val="32"/>
        </w:rPr>
        <w:t>指事业单位在专业业务活动及其辅助活动之外开展非独立核算经营活动取得的收入。</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五、附属单位上缴收入</w:t>
      </w:r>
      <w:r>
        <w:rPr>
          <w:rFonts w:ascii="仿宋" w:hAnsi="仿宋" w:eastAsia="仿宋" w:cs="仿宋"/>
          <w:b/>
          <w:color w:val="000000"/>
          <w:sz w:val="32"/>
        </w:rPr>
        <w:t>：</w:t>
      </w:r>
      <w:r>
        <w:rPr>
          <w:rFonts w:hint="eastAsia" w:ascii="仿宋" w:hAnsi="仿宋" w:eastAsia="仿宋" w:cs="仿宋"/>
          <w:color w:val="000000"/>
          <w:kern w:val="0"/>
          <w:sz w:val="32"/>
          <w:szCs w:val="32"/>
        </w:rPr>
        <w:t>指事业单位附属独立核算单位按照有关规定上缴的收入。</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六、其他收入</w:t>
      </w:r>
      <w:r>
        <w:rPr>
          <w:rFonts w:ascii="仿宋" w:hAnsi="仿宋" w:eastAsia="仿宋" w:cs="仿宋"/>
          <w:b/>
          <w:color w:val="000000"/>
          <w:sz w:val="32"/>
        </w:rPr>
        <w:t>：</w:t>
      </w:r>
      <w:r>
        <w:rPr>
          <w:rFonts w:hint="eastAsia" w:ascii="仿宋" w:hAnsi="仿宋" w:eastAsia="仿宋" w:cs="仿宋"/>
          <w:color w:val="000000"/>
          <w:kern w:val="0"/>
          <w:sz w:val="32"/>
          <w:szCs w:val="32"/>
        </w:rPr>
        <w:t>指单位取得的除上述“财政拨款收入”、“事业收入”、“经营收入”等以外的各项收入。</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七、使用非财政拨款结余</w:t>
      </w:r>
      <w:r>
        <w:rPr>
          <w:rFonts w:ascii="仿宋" w:hAnsi="仿宋" w:eastAsia="仿宋" w:cs="仿宋"/>
          <w:b/>
          <w:color w:val="000000"/>
          <w:sz w:val="32"/>
        </w:rPr>
        <w:t>：</w:t>
      </w:r>
      <w:r>
        <w:rPr>
          <w:rFonts w:hint="eastAsia" w:ascii="仿宋" w:hAnsi="仿宋" w:eastAsia="仿宋" w:cs="仿宋"/>
          <w:color w:val="000000"/>
          <w:kern w:val="0"/>
          <w:sz w:val="32"/>
          <w:szCs w:val="32"/>
        </w:rPr>
        <w:t>指事业单位使用非财政拨款结余（原事业基金）弥补当年收支差额的数额。</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八、年初结转和结余</w:t>
      </w:r>
      <w:r>
        <w:rPr>
          <w:rFonts w:ascii="仿宋" w:hAnsi="仿宋" w:eastAsia="仿宋" w:cs="仿宋"/>
          <w:b/>
          <w:color w:val="000000"/>
          <w:sz w:val="32"/>
        </w:rPr>
        <w:t>：</w:t>
      </w:r>
      <w:r>
        <w:rPr>
          <w:rFonts w:hint="eastAsia" w:ascii="仿宋" w:hAnsi="仿宋" w:eastAsia="仿宋" w:cs="仿宋"/>
          <w:color w:val="000000"/>
          <w:kern w:val="0"/>
          <w:sz w:val="32"/>
          <w:szCs w:val="32"/>
        </w:rPr>
        <w:t>指单位上年结转本年使用的基本支出结转、项目支出结转和结余和经营结余。</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九、结余分配</w:t>
      </w:r>
      <w:r>
        <w:rPr>
          <w:rFonts w:ascii="仿宋" w:hAnsi="仿宋" w:eastAsia="仿宋" w:cs="仿宋"/>
          <w:b/>
          <w:color w:val="000000"/>
          <w:sz w:val="32"/>
        </w:rPr>
        <w:t>：</w:t>
      </w:r>
      <w:r>
        <w:rPr>
          <w:rFonts w:hint="eastAsia" w:ascii="仿宋" w:hAnsi="仿宋" w:eastAsia="仿宋" w:cs="仿宋"/>
          <w:color w:val="000000"/>
          <w:kern w:val="0"/>
          <w:sz w:val="32"/>
          <w:szCs w:val="32"/>
        </w:rPr>
        <w:t>指事业单位按规定对非财政拨款结余资金提取的专用基金、缴纳的所得税和转入非财政拨款结余等。</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十、年末结转和结余资金</w:t>
      </w:r>
      <w:r>
        <w:rPr>
          <w:rFonts w:ascii="仿宋" w:hAnsi="仿宋" w:eastAsia="仿宋" w:cs="仿宋"/>
          <w:b/>
          <w:color w:val="000000"/>
          <w:sz w:val="32"/>
        </w:rPr>
        <w:t>：</w:t>
      </w:r>
      <w:r>
        <w:rPr>
          <w:rFonts w:hint="eastAsia" w:ascii="仿宋" w:hAnsi="仿宋" w:eastAsia="仿宋" w:cs="仿宋"/>
          <w:color w:val="000000"/>
          <w:kern w:val="0"/>
          <w:sz w:val="32"/>
          <w:szCs w:val="32"/>
        </w:rPr>
        <w:t>指本年度或以前年度预算安排、因客观条件发生变化无法按原计划实施，需要延迟到以后年度按有关规定继续使用的资金。</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十一、基本支出</w:t>
      </w:r>
      <w:r>
        <w:rPr>
          <w:rFonts w:ascii="仿宋" w:hAnsi="仿宋" w:eastAsia="仿宋" w:cs="仿宋"/>
          <w:b/>
          <w:color w:val="000000"/>
          <w:sz w:val="32"/>
        </w:rPr>
        <w:t>：</w:t>
      </w:r>
      <w:r>
        <w:rPr>
          <w:rFonts w:hint="eastAsia" w:ascii="仿宋" w:hAnsi="仿宋" w:eastAsia="仿宋" w:cs="仿宋"/>
          <w:color w:val="000000"/>
          <w:kern w:val="0"/>
          <w:sz w:val="32"/>
          <w:szCs w:val="32"/>
        </w:rPr>
        <w:t>指为保障机构正常运转、完成日常工作任务而发生的支出，包括人员经费和公用经费。</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十二、项目支出</w:t>
      </w:r>
      <w:r>
        <w:rPr>
          <w:rFonts w:ascii="仿宋" w:hAnsi="仿宋" w:eastAsia="仿宋" w:cs="仿宋"/>
          <w:b/>
          <w:color w:val="000000"/>
          <w:sz w:val="32"/>
        </w:rPr>
        <w:t>：</w:t>
      </w:r>
      <w:r>
        <w:rPr>
          <w:rFonts w:hint="eastAsia" w:ascii="仿宋" w:hAnsi="仿宋" w:eastAsia="仿宋" w:cs="仿宋"/>
          <w:color w:val="000000"/>
          <w:kern w:val="0"/>
          <w:sz w:val="32"/>
          <w:szCs w:val="32"/>
        </w:rPr>
        <w:t>指在为完成特定的工作任务和事业发展目标所发生的支出。</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十三、上缴上级支出</w:t>
      </w:r>
      <w:r>
        <w:rPr>
          <w:rFonts w:ascii="仿宋" w:hAnsi="仿宋" w:eastAsia="仿宋" w:cs="仿宋"/>
          <w:b/>
          <w:color w:val="000000"/>
          <w:sz w:val="32"/>
        </w:rPr>
        <w:t>：</w:t>
      </w:r>
      <w:r>
        <w:rPr>
          <w:rFonts w:hint="eastAsia" w:ascii="仿宋" w:hAnsi="仿宋" w:eastAsia="仿宋" w:cs="仿宋"/>
          <w:color w:val="000000"/>
          <w:kern w:val="0"/>
          <w:sz w:val="32"/>
          <w:szCs w:val="32"/>
        </w:rPr>
        <w:t>指事业单位按照财政部门和主管部门的规定上缴上级单位的支出。</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十四、经营支出</w:t>
      </w:r>
      <w:r>
        <w:rPr>
          <w:rFonts w:ascii="仿宋" w:hAnsi="仿宋" w:eastAsia="仿宋" w:cs="仿宋"/>
          <w:b/>
          <w:color w:val="000000"/>
          <w:sz w:val="32"/>
        </w:rPr>
        <w:t>：</w:t>
      </w:r>
      <w:r>
        <w:rPr>
          <w:rFonts w:hint="eastAsia" w:ascii="仿宋" w:hAnsi="仿宋" w:eastAsia="仿宋" w:cs="仿宋"/>
          <w:color w:val="000000"/>
          <w:kern w:val="0"/>
          <w:sz w:val="32"/>
          <w:szCs w:val="32"/>
        </w:rPr>
        <w:t>指事业单位在专业业务活动及其辅助活动之外开展非独立核算经营活动发生的支出。</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十五、对附属单位补助支出</w:t>
      </w:r>
      <w:r>
        <w:rPr>
          <w:rFonts w:ascii="仿宋" w:hAnsi="仿宋" w:eastAsia="仿宋" w:cs="仿宋"/>
          <w:b/>
          <w:color w:val="000000"/>
          <w:sz w:val="32"/>
        </w:rPr>
        <w:t>：</w:t>
      </w:r>
      <w:r>
        <w:rPr>
          <w:rFonts w:hint="eastAsia" w:ascii="仿宋" w:hAnsi="仿宋" w:eastAsia="仿宋" w:cs="仿宋"/>
          <w:color w:val="000000"/>
          <w:kern w:val="0"/>
          <w:sz w:val="32"/>
          <w:szCs w:val="32"/>
        </w:rPr>
        <w:t>指事业单位用财政拨款收入之外的收入对附属单位补助发生的支出。</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十六、“三公”经费</w:t>
      </w:r>
      <w:r>
        <w:rPr>
          <w:rFonts w:ascii="仿宋" w:hAnsi="仿宋" w:eastAsia="仿宋" w:cs="仿宋"/>
          <w:b/>
          <w:color w:val="000000"/>
          <w:sz w:val="32"/>
        </w:rPr>
        <w:t>：</w:t>
      </w:r>
      <w:r>
        <w:rPr>
          <w:rFonts w:hint="eastAsia" w:ascii="仿宋" w:hAnsi="仿宋" w:eastAsia="仿宋" w:cs="仿宋"/>
          <w:color w:val="000000"/>
          <w:kern w:val="0"/>
          <w:sz w:val="32"/>
          <w:szCs w:val="32"/>
        </w:rPr>
        <w:t>指单位用一般公共预算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牌照费）以及按规定保留的公务用车燃料费、维修费、过路过桥费、保险费、安全奖励费用等支出；公务接待费反映单位按规定开支的各类公务接待（含外宾接待）费用。</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十七、机关运行经费</w:t>
      </w:r>
      <w:r>
        <w:rPr>
          <w:rFonts w:ascii="仿宋" w:hAnsi="仿宋" w:eastAsia="仿宋" w:cs="仿宋"/>
          <w:b/>
          <w:color w:val="000000"/>
          <w:sz w:val="32"/>
        </w:rPr>
        <w:t>：</w:t>
      </w:r>
      <w:r>
        <w:rPr>
          <w:rFonts w:hint="eastAsia" w:ascii="仿宋" w:hAnsi="仿宋" w:eastAsia="仿宋" w:cs="仿宋"/>
          <w:color w:val="000000"/>
          <w:kern w:val="0"/>
          <w:sz w:val="32"/>
          <w:szCs w:val="32"/>
        </w:rPr>
        <w:t>指行政单位（含参照公务员法管理的事业单位）使用一般公共预算安排的基本支出中的公用经费支出，包括办公及印刷费、邮电费、差旅费、会议费、福利费、日常维修费、专用材料及一般设备购置费、办公用房水电费、办公用房取暖费、办公用房物业管理费、公务用车运行维护费及其他费用。</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十八、教育支出(类)普通教育(款)小学教育(项)</w:t>
      </w:r>
      <w:r>
        <w:rPr>
          <w:rFonts w:ascii="仿宋" w:hAnsi="仿宋" w:eastAsia="仿宋" w:cs="仿宋"/>
          <w:b/>
          <w:color w:val="000000"/>
          <w:sz w:val="32"/>
        </w:rPr>
        <w:t>：</w:t>
      </w:r>
      <w:r>
        <w:rPr>
          <w:rFonts w:hint="eastAsia" w:ascii="仿宋" w:hAnsi="仿宋" w:eastAsia="仿宋" w:cs="仿宋"/>
          <w:color w:val="000000"/>
          <w:kern w:val="0"/>
          <w:sz w:val="32"/>
          <w:szCs w:val="32"/>
        </w:rPr>
        <w:t>反映各部门举办的小学教育支出。政府各部门对社会中介组织等举办的小学的资助，如各类捐赠、补贴等，也在本科目中反映。</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十九、教育支出(类)普通教育(款)初中教育(项)</w:t>
      </w:r>
      <w:r>
        <w:rPr>
          <w:rFonts w:ascii="仿宋" w:hAnsi="仿宋" w:eastAsia="仿宋" w:cs="仿宋"/>
          <w:b/>
          <w:color w:val="000000"/>
          <w:sz w:val="32"/>
        </w:rPr>
        <w:t>：</w:t>
      </w:r>
      <w:r>
        <w:rPr>
          <w:rFonts w:hint="eastAsia" w:ascii="仿宋" w:hAnsi="仿宋" w:eastAsia="仿宋" w:cs="仿宋"/>
          <w:color w:val="000000"/>
          <w:kern w:val="0"/>
          <w:sz w:val="32"/>
          <w:szCs w:val="32"/>
        </w:rPr>
        <w:t>反映各部门举办的初中教育支出。政府各部门对社会中介组织等举办的初中教育的资助，如捐赠、补贴等，也在本科目中反映。</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二十、教育支出(类)普通教育(款)其他普通教育支出(项)</w:t>
      </w:r>
      <w:r>
        <w:rPr>
          <w:rFonts w:ascii="仿宋" w:hAnsi="仿宋" w:eastAsia="仿宋" w:cs="仿宋"/>
          <w:b/>
          <w:color w:val="000000"/>
          <w:sz w:val="32"/>
        </w:rPr>
        <w:t>：</w:t>
      </w:r>
      <w:r>
        <w:rPr>
          <w:rFonts w:hint="eastAsia" w:ascii="仿宋" w:hAnsi="仿宋" w:eastAsia="仿宋" w:cs="仿宋"/>
          <w:color w:val="000000"/>
          <w:kern w:val="0"/>
          <w:sz w:val="32"/>
          <w:szCs w:val="32"/>
        </w:rPr>
        <w:t>反映除上述项目以外其他用于普通教育方面的支出。</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二十一、社会保障和就业支出(类)就业补助(款)其他就业补助支出(项)</w:t>
      </w:r>
      <w:r>
        <w:rPr>
          <w:rFonts w:ascii="仿宋" w:hAnsi="仿宋" w:eastAsia="仿宋" w:cs="仿宋"/>
          <w:b/>
          <w:color w:val="000000"/>
          <w:sz w:val="32"/>
        </w:rPr>
        <w:t>：</w:t>
      </w:r>
      <w:r>
        <w:rPr>
          <w:rFonts w:hint="eastAsia" w:ascii="仿宋" w:hAnsi="仿宋" w:eastAsia="仿宋" w:cs="仿宋"/>
          <w:color w:val="000000"/>
          <w:kern w:val="0"/>
          <w:sz w:val="32"/>
          <w:szCs w:val="32"/>
        </w:rPr>
        <w:t>反映除上述项目以外按规定确定的其他用于促进就业的补助支出。</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二十二、卫生健康支出(类)公共卫生(款)突发公共卫生事件应急处理(项)</w:t>
      </w:r>
      <w:r>
        <w:rPr>
          <w:rFonts w:ascii="仿宋" w:hAnsi="仿宋" w:eastAsia="仿宋" w:cs="仿宋"/>
          <w:b/>
          <w:color w:val="000000"/>
          <w:sz w:val="32"/>
        </w:rPr>
        <w:t>：</w:t>
      </w:r>
      <w:r>
        <w:rPr>
          <w:rFonts w:hint="eastAsia" w:ascii="仿宋" w:hAnsi="仿宋" w:eastAsia="仿宋" w:cs="仿宋"/>
          <w:color w:val="000000"/>
          <w:kern w:val="0"/>
          <w:sz w:val="32"/>
          <w:szCs w:val="32"/>
        </w:rPr>
        <w:t>反映用于突发公共卫生事件应急处理的支出。</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83" w:hRule="atLeast"/>
        </w:trPr>
        <w:tc>
          <w:tcPr>
            <w:tcW w:w="8516" w:type="dxa"/>
            <w:tcBorders>
              <w:top w:val="nil"/>
              <w:left w:val="nil"/>
              <w:bottom w:val="nil"/>
              <w:right w:val="nil"/>
            </w:tcBorders>
            <w:vAlign w:val="center"/>
          </w:tcPr>
          <w:p>
            <w:pPr>
              <w:pStyle w:val="9"/>
              <w:jc w:val="center"/>
              <w:rPr>
                <w:rFonts w:hint="eastAsia" w:ascii="仿宋" w:hAnsi="仿宋" w:eastAsia="仿宋" w:cs="仿宋"/>
                <w:b/>
                <w:bCs/>
                <w:sz w:val="52"/>
                <w:szCs w:val="52"/>
              </w:rPr>
            </w:pPr>
            <w:r>
              <w:rPr>
                <w:rFonts w:hint="eastAsia" w:ascii="仿宋" w:hAnsi="仿宋" w:eastAsia="仿宋" w:cs="仿宋"/>
                <w:b/>
                <w:bCs/>
                <w:sz w:val="52"/>
                <w:szCs w:val="52"/>
              </w:rPr>
              <w:t>第</w:t>
            </w:r>
            <w:r>
              <w:rPr>
                <w:rFonts w:hint="eastAsia" w:ascii="仿宋" w:hAnsi="仿宋" w:eastAsia="仿宋" w:cs="仿宋"/>
                <w:b/>
                <w:bCs/>
                <w:sz w:val="52"/>
                <w:szCs w:val="52"/>
                <w:lang w:val="en-US" w:eastAsia="zh-CN"/>
              </w:rPr>
              <w:t>五</w:t>
            </w:r>
            <w:r>
              <w:rPr>
                <w:rFonts w:hint="eastAsia" w:ascii="仿宋" w:hAnsi="仿宋" w:eastAsia="仿宋" w:cs="仿宋"/>
                <w:b/>
                <w:bCs/>
                <w:sz w:val="52"/>
                <w:szCs w:val="52"/>
              </w:rPr>
              <w:t>部分</w:t>
            </w:r>
          </w:p>
          <w:p>
            <w:pPr>
              <w:pStyle w:val="9"/>
              <w:jc w:val="center"/>
              <w:rPr>
                <w:rFonts w:hint="eastAsia" w:ascii="仿宋" w:hAnsi="仿宋" w:eastAsia="仿宋" w:cs="仿宋"/>
                <w:b/>
                <w:bCs/>
                <w:sz w:val="52"/>
                <w:szCs w:val="52"/>
              </w:rPr>
            </w:pPr>
          </w:p>
          <w:p>
            <w:pPr>
              <w:pStyle w:val="9"/>
              <w:jc w:val="center"/>
              <w:rPr>
                <w:rFonts w:hint="default" w:ascii="仿宋" w:hAnsi="仿宋" w:eastAsia="仿宋" w:cs="仿宋"/>
                <w:b/>
                <w:bCs/>
                <w:sz w:val="52"/>
                <w:szCs w:val="52"/>
                <w:lang w:val="en-US"/>
              </w:rPr>
            </w:pPr>
            <w:r>
              <w:rPr>
                <w:rFonts w:hint="eastAsia" w:ascii="仿宋" w:hAnsi="仿宋" w:eastAsia="仿宋" w:cs="仿宋"/>
                <w:b/>
                <w:bCs/>
                <w:color w:val="000000"/>
                <w:kern w:val="0"/>
                <w:sz w:val="52"/>
                <w:szCs w:val="52"/>
                <w:lang w:val="en-US" w:eastAsia="zh-CN"/>
              </w:rPr>
              <w:t>附件（无）</w:t>
            </w:r>
            <w:bookmarkStart w:id="3" w:name="_GoBack"/>
            <w:bookmarkEnd w:id="3"/>
          </w:p>
        </w:tc>
      </w:tr>
    </w:tbl>
    <w:p/>
    <w:sectPr>
      <w:pgSz w:w="11906" w:h="16838"/>
      <w:pgMar w:top="1440" w:right="1803" w:bottom="1440" w:left="1803" w:header="851" w:footer="992" w:gutter="0"/>
      <w:pgNumType w:fmt="numberInDash"/>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hint="eastAsia" w:ascii="黑体" w:hAnsi="黑体" w:eastAsia="黑体" w:cs="黑体"/>
      </w:rPr>
    </w:pPr>
    <w:r>
      <w:rPr>
        <w:rFonts w:hint="eastAsia" w:ascii="黑体" w:hAnsi="黑体" w:eastAsia="黑体" w:cs="黑体"/>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4"/>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zMGRlNjViMzdkNzg4ODhmMTQ5NTk2YWFhMDY5ODkifQ=="/>
  </w:docVars>
  <w:rsids>
    <w:rsidRoot w:val="73D72D54"/>
    <w:rsid w:val="00034B45"/>
    <w:rsid w:val="000A4A40"/>
    <w:rsid w:val="00112995"/>
    <w:rsid w:val="00A57004"/>
    <w:rsid w:val="00EF3870"/>
    <w:rsid w:val="01276120"/>
    <w:rsid w:val="01292E6B"/>
    <w:rsid w:val="014F7B6E"/>
    <w:rsid w:val="01511258"/>
    <w:rsid w:val="015967FE"/>
    <w:rsid w:val="019E11B3"/>
    <w:rsid w:val="01A42E7E"/>
    <w:rsid w:val="01A775D9"/>
    <w:rsid w:val="01B60941"/>
    <w:rsid w:val="02701F7E"/>
    <w:rsid w:val="02721624"/>
    <w:rsid w:val="02B21423"/>
    <w:rsid w:val="02E608A0"/>
    <w:rsid w:val="02EF2D79"/>
    <w:rsid w:val="03147B85"/>
    <w:rsid w:val="033D7DA6"/>
    <w:rsid w:val="03562E2F"/>
    <w:rsid w:val="03E42784"/>
    <w:rsid w:val="04026EE9"/>
    <w:rsid w:val="04067B8D"/>
    <w:rsid w:val="040E2250"/>
    <w:rsid w:val="0414592F"/>
    <w:rsid w:val="04373E00"/>
    <w:rsid w:val="04491887"/>
    <w:rsid w:val="047F291F"/>
    <w:rsid w:val="047F40D0"/>
    <w:rsid w:val="04A95710"/>
    <w:rsid w:val="04C96E18"/>
    <w:rsid w:val="04CF483B"/>
    <w:rsid w:val="05283F7F"/>
    <w:rsid w:val="05501AD7"/>
    <w:rsid w:val="05721CEA"/>
    <w:rsid w:val="05877611"/>
    <w:rsid w:val="05AC71A4"/>
    <w:rsid w:val="05BB5E49"/>
    <w:rsid w:val="05E84904"/>
    <w:rsid w:val="060A158E"/>
    <w:rsid w:val="060B4F09"/>
    <w:rsid w:val="060D24D3"/>
    <w:rsid w:val="066E7586"/>
    <w:rsid w:val="06735460"/>
    <w:rsid w:val="06876935"/>
    <w:rsid w:val="06924863"/>
    <w:rsid w:val="06C11D6A"/>
    <w:rsid w:val="06C92B89"/>
    <w:rsid w:val="07016659"/>
    <w:rsid w:val="07413E1B"/>
    <w:rsid w:val="076169E4"/>
    <w:rsid w:val="076E3F15"/>
    <w:rsid w:val="07A03FF7"/>
    <w:rsid w:val="07D03716"/>
    <w:rsid w:val="07DC3A34"/>
    <w:rsid w:val="07E245DA"/>
    <w:rsid w:val="083948C9"/>
    <w:rsid w:val="08435B69"/>
    <w:rsid w:val="08443FC4"/>
    <w:rsid w:val="085D0F3E"/>
    <w:rsid w:val="08703DDB"/>
    <w:rsid w:val="08911752"/>
    <w:rsid w:val="08A67EB6"/>
    <w:rsid w:val="08AD675E"/>
    <w:rsid w:val="08B33244"/>
    <w:rsid w:val="08D162B6"/>
    <w:rsid w:val="08F06986"/>
    <w:rsid w:val="08F75E31"/>
    <w:rsid w:val="092E090E"/>
    <w:rsid w:val="096020E4"/>
    <w:rsid w:val="09743548"/>
    <w:rsid w:val="09940B5A"/>
    <w:rsid w:val="0996686E"/>
    <w:rsid w:val="0A016DB1"/>
    <w:rsid w:val="0A190C1A"/>
    <w:rsid w:val="0A1D43DC"/>
    <w:rsid w:val="0A4E5CBB"/>
    <w:rsid w:val="0A843DA6"/>
    <w:rsid w:val="0AC23008"/>
    <w:rsid w:val="0ACA6C76"/>
    <w:rsid w:val="0ACB336B"/>
    <w:rsid w:val="0AF52874"/>
    <w:rsid w:val="0B0F21C0"/>
    <w:rsid w:val="0B1A005C"/>
    <w:rsid w:val="0B5078D7"/>
    <w:rsid w:val="0B550C44"/>
    <w:rsid w:val="0B772BDC"/>
    <w:rsid w:val="0B8E2066"/>
    <w:rsid w:val="0BA35478"/>
    <w:rsid w:val="0BC04806"/>
    <w:rsid w:val="0BD65627"/>
    <w:rsid w:val="0C0F44E0"/>
    <w:rsid w:val="0CA1448F"/>
    <w:rsid w:val="0CA32AA8"/>
    <w:rsid w:val="0D2F20B4"/>
    <w:rsid w:val="0D452501"/>
    <w:rsid w:val="0D65075F"/>
    <w:rsid w:val="0D665132"/>
    <w:rsid w:val="0DBB6B0A"/>
    <w:rsid w:val="0DBC1A23"/>
    <w:rsid w:val="0DDC135D"/>
    <w:rsid w:val="0E1C1CBD"/>
    <w:rsid w:val="0E7552DD"/>
    <w:rsid w:val="0E79533D"/>
    <w:rsid w:val="0E7D57CF"/>
    <w:rsid w:val="0ECC3BEA"/>
    <w:rsid w:val="0F144184"/>
    <w:rsid w:val="0F1C62C7"/>
    <w:rsid w:val="0F2E1F67"/>
    <w:rsid w:val="0F3D5BBA"/>
    <w:rsid w:val="0F3F019D"/>
    <w:rsid w:val="0F3F0C21"/>
    <w:rsid w:val="0F447448"/>
    <w:rsid w:val="0F800099"/>
    <w:rsid w:val="0F921EF8"/>
    <w:rsid w:val="0FC26152"/>
    <w:rsid w:val="0FC601BF"/>
    <w:rsid w:val="10060226"/>
    <w:rsid w:val="1021781E"/>
    <w:rsid w:val="109244B4"/>
    <w:rsid w:val="10E67F73"/>
    <w:rsid w:val="11350FC3"/>
    <w:rsid w:val="11403931"/>
    <w:rsid w:val="11427235"/>
    <w:rsid w:val="1160207C"/>
    <w:rsid w:val="11691213"/>
    <w:rsid w:val="11A678F3"/>
    <w:rsid w:val="11B2477D"/>
    <w:rsid w:val="120A0B74"/>
    <w:rsid w:val="1225480C"/>
    <w:rsid w:val="12305B44"/>
    <w:rsid w:val="12395882"/>
    <w:rsid w:val="12572C62"/>
    <w:rsid w:val="12832B16"/>
    <w:rsid w:val="12963B61"/>
    <w:rsid w:val="12A001D8"/>
    <w:rsid w:val="12A03FDD"/>
    <w:rsid w:val="12EB14A5"/>
    <w:rsid w:val="132B2CAB"/>
    <w:rsid w:val="13426212"/>
    <w:rsid w:val="13511047"/>
    <w:rsid w:val="13530689"/>
    <w:rsid w:val="13571F03"/>
    <w:rsid w:val="13584546"/>
    <w:rsid w:val="138132DE"/>
    <w:rsid w:val="138662BF"/>
    <w:rsid w:val="139B183B"/>
    <w:rsid w:val="13CD7E8D"/>
    <w:rsid w:val="141459E2"/>
    <w:rsid w:val="14295BBE"/>
    <w:rsid w:val="143746C5"/>
    <w:rsid w:val="14501E36"/>
    <w:rsid w:val="145B604C"/>
    <w:rsid w:val="15037188"/>
    <w:rsid w:val="15153CFF"/>
    <w:rsid w:val="154C316F"/>
    <w:rsid w:val="154E64F6"/>
    <w:rsid w:val="15BF24D2"/>
    <w:rsid w:val="16174016"/>
    <w:rsid w:val="16366EA1"/>
    <w:rsid w:val="16517A95"/>
    <w:rsid w:val="16A059C5"/>
    <w:rsid w:val="16C455F3"/>
    <w:rsid w:val="16F23847"/>
    <w:rsid w:val="176D5AE5"/>
    <w:rsid w:val="176F3CF4"/>
    <w:rsid w:val="177B4445"/>
    <w:rsid w:val="178C1D8E"/>
    <w:rsid w:val="17931257"/>
    <w:rsid w:val="17B07FD2"/>
    <w:rsid w:val="17B52230"/>
    <w:rsid w:val="17D226D1"/>
    <w:rsid w:val="17F03885"/>
    <w:rsid w:val="18152DA2"/>
    <w:rsid w:val="1816118F"/>
    <w:rsid w:val="182F4A44"/>
    <w:rsid w:val="18395CC2"/>
    <w:rsid w:val="183E0B42"/>
    <w:rsid w:val="18541566"/>
    <w:rsid w:val="186B1DF6"/>
    <w:rsid w:val="186F101A"/>
    <w:rsid w:val="18B75606"/>
    <w:rsid w:val="18D511E5"/>
    <w:rsid w:val="19642C59"/>
    <w:rsid w:val="197C2BAB"/>
    <w:rsid w:val="19934B8F"/>
    <w:rsid w:val="19C00F4B"/>
    <w:rsid w:val="19D421B6"/>
    <w:rsid w:val="1A2154AB"/>
    <w:rsid w:val="1A2D6009"/>
    <w:rsid w:val="1A365AD9"/>
    <w:rsid w:val="1A384EDA"/>
    <w:rsid w:val="1A3A7A46"/>
    <w:rsid w:val="1A4B3825"/>
    <w:rsid w:val="1A5214C4"/>
    <w:rsid w:val="1A604A6E"/>
    <w:rsid w:val="1A622F58"/>
    <w:rsid w:val="1AAE251F"/>
    <w:rsid w:val="1AB77BA8"/>
    <w:rsid w:val="1ABA1A9B"/>
    <w:rsid w:val="1AD210BC"/>
    <w:rsid w:val="1ADA5355"/>
    <w:rsid w:val="1AEB4A6C"/>
    <w:rsid w:val="1B113722"/>
    <w:rsid w:val="1BA34EBE"/>
    <w:rsid w:val="1BA64A02"/>
    <w:rsid w:val="1BBE4C21"/>
    <w:rsid w:val="1BCC526D"/>
    <w:rsid w:val="1C0F7370"/>
    <w:rsid w:val="1C1845D0"/>
    <w:rsid w:val="1C1C1C79"/>
    <w:rsid w:val="1C285793"/>
    <w:rsid w:val="1C38750B"/>
    <w:rsid w:val="1C432267"/>
    <w:rsid w:val="1C550A94"/>
    <w:rsid w:val="1C682658"/>
    <w:rsid w:val="1C731FF7"/>
    <w:rsid w:val="1C7F7769"/>
    <w:rsid w:val="1CB02F77"/>
    <w:rsid w:val="1CBB3285"/>
    <w:rsid w:val="1CC175BC"/>
    <w:rsid w:val="1CE53BF5"/>
    <w:rsid w:val="1D3B4CED"/>
    <w:rsid w:val="1D61464A"/>
    <w:rsid w:val="1D8231E6"/>
    <w:rsid w:val="1D901010"/>
    <w:rsid w:val="1DAA11E9"/>
    <w:rsid w:val="1DBE404A"/>
    <w:rsid w:val="1E16693C"/>
    <w:rsid w:val="1E2E1C47"/>
    <w:rsid w:val="1E5309C4"/>
    <w:rsid w:val="1E554167"/>
    <w:rsid w:val="1E783066"/>
    <w:rsid w:val="1E7D61A5"/>
    <w:rsid w:val="1E924A94"/>
    <w:rsid w:val="1EB41A4F"/>
    <w:rsid w:val="1ECB2665"/>
    <w:rsid w:val="1EDB0670"/>
    <w:rsid w:val="1F1A67CD"/>
    <w:rsid w:val="1F2406C6"/>
    <w:rsid w:val="1F6163BF"/>
    <w:rsid w:val="1F6278C1"/>
    <w:rsid w:val="1F8B5BAF"/>
    <w:rsid w:val="1F8F6EC3"/>
    <w:rsid w:val="1FA94F16"/>
    <w:rsid w:val="20255F25"/>
    <w:rsid w:val="20291CB3"/>
    <w:rsid w:val="202F73AB"/>
    <w:rsid w:val="2049150E"/>
    <w:rsid w:val="20540D0F"/>
    <w:rsid w:val="205913A2"/>
    <w:rsid w:val="20707F7E"/>
    <w:rsid w:val="20824933"/>
    <w:rsid w:val="20842F75"/>
    <w:rsid w:val="20844EDC"/>
    <w:rsid w:val="20853A42"/>
    <w:rsid w:val="20C80A9F"/>
    <w:rsid w:val="20CB3580"/>
    <w:rsid w:val="20CC6679"/>
    <w:rsid w:val="20D12D62"/>
    <w:rsid w:val="20D24D60"/>
    <w:rsid w:val="20EF11BB"/>
    <w:rsid w:val="20FE693B"/>
    <w:rsid w:val="2111037C"/>
    <w:rsid w:val="21210B07"/>
    <w:rsid w:val="213C39F7"/>
    <w:rsid w:val="21444B43"/>
    <w:rsid w:val="21486C01"/>
    <w:rsid w:val="214E64EB"/>
    <w:rsid w:val="215E2854"/>
    <w:rsid w:val="21665038"/>
    <w:rsid w:val="216820ED"/>
    <w:rsid w:val="219D0A68"/>
    <w:rsid w:val="21A66555"/>
    <w:rsid w:val="21AC0CB6"/>
    <w:rsid w:val="21C806DD"/>
    <w:rsid w:val="21C84029"/>
    <w:rsid w:val="2254336E"/>
    <w:rsid w:val="22BF5F1A"/>
    <w:rsid w:val="22F87C27"/>
    <w:rsid w:val="230D6FA9"/>
    <w:rsid w:val="235D5957"/>
    <w:rsid w:val="23866A70"/>
    <w:rsid w:val="23E8231D"/>
    <w:rsid w:val="23EA2D8E"/>
    <w:rsid w:val="23F16DBD"/>
    <w:rsid w:val="247728AF"/>
    <w:rsid w:val="24AD00E2"/>
    <w:rsid w:val="24B74192"/>
    <w:rsid w:val="24D85F11"/>
    <w:rsid w:val="2523105C"/>
    <w:rsid w:val="25242F6B"/>
    <w:rsid w:val="25261089"/>
    <w:rsid w:val="25365CD1"/>
    <w:rsid w:val="258861EB"/>
    <w:rsid w:val="2591552F"/>
    <w:rsid w:val="25A13587"/>
    <w:rsid w:val="25A36332"/>
    <w:rsid w:val="25C46206"/>
    <w:rsid w:val="25D20556"/>
    <w:rsid w:val="26153E79"/>
    <w:rsid w:val="26285F08"/>
    <w:rsid w:val="264C0E1C"/>
    <w:rsid w:val="26622DB4"/>
    <w:rsid w:val="26650EB8"/>
    <w:rsid w:val="26731BEC"/>
    <w:rsid w:val="26991832"/>
    <w:rsid w:val="26CD0188"/>
    <w:rsid w:val="27394F8E"/>
    <w:rsid w:val="27523E2B"/>
    <w:rsid w:val="280930C2"/>
    <w:rsid w:val="28234FB2"/>
    <w:rsid w:val="28353550"/>
    <w:rsid w:val="28373F3E"/>
    <w:rsid w:val="28905184"/>
    <w:rsid w:val="28A2570F"/>
    <w:rsid w:val="28D43AA3"/>
    <w:rsid w:val="28D91A73"/>
    <w:rsid w:val="292F7AB5"/>
    <w:rsid w:val="29391735"/>
    <w:rsid w:val="296E6EA5"/>
    <w:rsid w:val="29976D19"/>
    <w:rsid w:val="29B04233"/>
    <w:rsid w:val="29B409F0"/>
    <w:rsid w:val="29DC5911"/>
    <w:rsid w:val="2A717FA2"/>
    <w:rsid w:val="2A9F5D13"/>
    <w:rsid w:val="2ABF6C24"/>
    <w:rsid w:val="2ADD3382"/>
    <w:rsid w:val="2AE8452D"/>
    <w:rsid w:val="2B252CD9"/>
    <w:rsid w:val="2B3E1800"/>
    <w:rsid w:val="2B4F1786"/>
    <w:rsid w:val="2B856DA1"/>
    <w:rsid w:val="2BCA702D"/>
    <w:rsid w:val="2C06344A"/>
    <w:rsid w:val="2C0C5168"/>
    <w:rsid w:val="2C1B6AEB"/>
    <w:rsid w:val="2C317416"/>
    <w:rsid w:val="2C85031F"/>
    <w:rsid w:val="2C9C05BB"/>
    <w:rsid w:val="2CA11E70"/>
    <w:rsid w:val="2CC953AF"/>
    <w:rsid w:val="2D065459"/>
    <w:rsid w:val="2D3C0815"/>
    <w:rsid w:val="2D551503"/>
    <w:rsid w:val="2D7633A7"/>
    <w:rsid w:val="2D8D6A47"/>
    <w:rsid w:val="2DD14B22"/>
    <w:rsid w:val="2DDD3980"/>
    <w:rsid w:val="2DDF0704"/>
    <w:rsid w:val="2DE5291B"/>
    <w:rsid w:val="2E0F3A3E"/>
    <w:rsid w:val="2E162F19"/>
    <w:rsid w:val="2E504D30"/>
    <w:rsid w:val="2E7C7ED0"/>
    <w:rsid w:val="2EBF1B8D"/>
    <w:rsid w:val="2EC01172"/>
    <w:rsid w:val="2EE27F02"/>
    <w:rsid w:val="2F1560C0"/>
    <w:rsid w:val="2F412AFA"/>
    <w:rsid w:val="2F716956"/>
    <w:rsid w:val="2F7572F7"/>
    <w:rsid w:val="2F827763"/>
    <w:rsid w:val="2FA757D8"/>
    <w:rsid w:val="2FEE69A6"/>
    <w:rsid w:val="306200F0"/>
    <w:rsid w:val="30705EF8"/>
    <w:rsid w:val="30986BE7"/>
    <w:rsid w:val="30B44244"/>
    <w:rsid w:val="30B7715D"/>
    <w:rsid w:val="30C24F02"/>
    <w:rsid w:val="30D63CF2"/>
    <w:rsid w:val="310D7CC9"/>
    <w:rsid w:val="3172637E"/>
    <w:rsid w:val="317F3D67"/>
    <w:rsid w:val="31A35982"/>
    <w:rsid w:val="31A47F94"/>
    <w:rsid w:val="31B72549"/>
    <w:rsid w:val="31F571E6"/>
    <w:rsid w:val="323F0E05"/>
    <w:rsid w:val="32646CEC"/>
    <w:rsid w:val="327379FA"/>
    <w:rsid w:val="32926FEA"/>
    <w:rsid w:val="32EF625F"/>
    <w:rsid w:val="32F77F3F"/>
    <w:rsid w:val="33285B6D"/>
    <w:rsid w:val="333618F4"/>
    <w:rsid w:val="333B15CC"/>
    <w:rsid w:val="334C5141"/>
    <w:rsid w:val="33793E0E"/>
    <w:rsid w:val="338836F4"/>
    <w:rsid w:val="33AF6BEE"/>
    <w:rsid w:val="34296063"/>
    <w:rsid w:val="34386AD2"/>
    <w:rsid w:val="349B6A4B"/>
    <w:rsid w:val="34D921AF"/>
    <w:rsid w:val="34E40B9E"/>
    <w:rsid w:val="34FE3DB4"/>
    <w:rsid w:val="351500C6"/>
    <w:rsid w:val="35335C9B"/>
    <w:rsid w:val="35386F12"/>
    <w:rsid w:val="35627325"/>
    <w:rsid w:val="357F7A7E"/>
    <w:rsid w:val="359A4299"/>
    <w:rsid w:val="35AA1B77"/>
    <w:rsid w:val="35BB146A"/>
    <w:rsid w:val="3619331F"/>
    <w:rsid w:val="364D5677"/>
    <w:rsid w:val="365E6403"/>
    <w:rsid w:val="368C4536"/>
    <w:rsid w:val="36EF53F3"/>
    <w:rsid w:val="37282DBC"/>
    <w:rsid w:val="37502E47"/>
    <w:rsid w:val="375C6F10"/>
    <w:rsid w:val="37604A3D"/>
    <w:rsid w:val="3763046F"/>
    <w:rsid w:val="37667412"/>
    <w:rsid w:val="379A48E2"/>
    <w:rsid w:val="379C3BB7"/>
    <w:rsid w:val="37AB117E"/>
    <w:rsid w:val="37D61961"/>
    <w:rsid w:val="37E41E16"/>
    <w:rsid w:val="37E707E9"/>
    <w:rsid w:val="37EB4486"/>
    <w:rsid w:val="37F74C52"/>
    <w:rsid w:val="38145E69"/>
    <w:rsid w:val="3822751A"/>
    <w:rsid w:val="382D0B30"/>
    <w:rsid w:val="38694446"/>
    <w:rsid w:val="387265D1"/>
    <w:rsid w:val="389568AD"/>
    <w:rsid w:val="38B874C5"/>
    <w:rsid w:val="38F34CAE"/>
    <w:rsid w:val="39137081"/>
    <w:rsid w:val="393A0F87"/>
    <w:rsid w:val="393F6B8C"/>
    <w:rsid w:val="394B5B7A"/>
    <w:rsid w:val="394F0762"/>
    <w:rsid w:val="397618E6"/>
    <w:rsid w:val="398334A6"/>
    <w:rsid w:val="399143ED"/>
    <w:rsid w:val="399C6D06"/>
    <w:rsid w:val="39F523D9"/>
    <w:rsid w:val="3A0305F4"/>
    <w:rsid w:val="3A3F393A"/>
    <w:rsid w:val="3A764397"/>
    <w:rsid w:val="3A8E08AB"/>
    <w:rsid w:val="3AF32055"/>
    <w:rsid w:val="3AF745B2"/>
    <w:rsid w:val="3B0D06CA"/>
    <w:rsid w:val="3B0E1523"/>
    <w:rsid w:val="3B0E2BC1"/>
    <w:rsid w:val="3B10150F"/>
    <w:rsid w:val="3B1913B0"/>
    <w:rsid w:val="3B217121"/>
    <w:rsid w:val="3B4D746D"/>
    <w:rsid w:val="3B64507A"/>
    <w:rsid w:val="3B7539D5"/>
    <w:rsid w:val="3B95631A"/>
    <w:rsid w:val="3BAD7452"/>
    <w:rsid w:val="3BBA67C9"/>
    <w:rsid w:val="3BC5789D"/>
    <w:rsid w:val="3BDD31CE"/>
    <w:rsid w:val="3C36709E"/>
    <w:rsid w:val="3C3E3DD1"/>
    <w:rsid w:val="3C576B6D"/>
    <w:rsid w:val="3CC80866"/>
    <w:rsid w:val="3CCF2D44"/>
    <w:rsid w:val="3CEA2C1F"/>
    <w:rsid w:val="3D2B255F"/>
    <w:rsid w:val="3D2C1495"/>
    <w:rsid w:val="3D6400D0"/>
    <w:rsid w:val="3D696032"/>
    <w:rsid w:val="3D873FA7"/>
    <w:rsid w:val="3DCA60E8"/>
    <w:rsid w:val="3DD370DA"/>
    <w:rsid w:val="3DF57EB8"/>
    <w:rsid w:val="3E001606"/>
    <w:rsid w:val="3E1A5F4B"/>
    <w:rsid w:val="3E200EA3"/>
    <w:rsid w:val="3E822E90"/>
    <w:rsid w:val="3EF97CBD"/>
    <w:rsid w:val="3F01066C"/>
    <w:rsid w:val="3FA230F2"/>
    <w:rsid w:val="3FA7678B"/>
    <w:rsid w:val="3FA8340E"/>
    <w:rsid w:val="401175F4"/>
    <w:rsid w:val="402A0417"/>
    <w:rsid w:val="403F3341"/>
    <w:rsid w:val="4058716E"/>
    <w:rsid w:val="40705F35"/>
    <w:rsid w:val="40784FAD"/>
    <w:rsid w:val="407F750C"/>
    <w:rsid w:val="40963113"/>
    <w:rsid w:val="40A32BFA"/>
    <w:rsid w:val="40D14984"/>
    <w:rsid w:val="40EA444A"/>
    <w:rsid w:val="412B66CE"/>
    <w:rsid w:val="41512A26"/>
    <w:rsid w:val="41812FA9"/>
    <w:rsid w:val="4182142E"/>
    <w:rsid w:val="418336EA"/>
    <w:rsid w:val="41C05247"/>
    <w:rsid w:val="42070F29"/>
    <w:rsid w:val="420D1B91"/>
    <w:rsid w:val="426D6567"/>
    <w:rsid w:val="429C67A7"/>
    <w:rsid w:val="42AD2D65"/>
    <w:rsid w:val="42C271BA"/>
    <w:rsid w:val="42CF7C1D"/>
    <w:rsid w:val="42DB6E6D"/>
    <w:rsid w:val="42EA6946"/>
    <w:rsid w:val="434468E3"/>
    <w:rsid w:val="434740DF"/>
    <w:rsid w:val="43702F93"/>
    <w:rsid w:val="43A50C96"/>
    <w:rsid w:val="44324618"/>
    <w:rsid w:val="4482594F"/>
    <w:rsid w:val="44994F4D"/>
    <w:rsid w:val="44A31ACC"/>
    <w:rsid w:val="44A51573"/>
    <w:rsid w:val="44D26B54"/>
    <w:rsid w:val="453916BC"/>
    <w:rsid w:val="45CE7C4C"/>
    <w:rsid w:val="45EC5FEB"/>
    <w:rsid w:val="45F736A5"/>
    <w:rsid w:val="4633099A"/>
    <w:rsid w:val="464C751F"/>
    <w:rsid w:val="468F7DA0"/>
    <w:rsid w:val="469B3F7E"/>
    <w:rsid w:val="46B03499"/>
    <w:rsid w:val="4700503B"/>
    <w:rsid w:val="4706696D"/>
    <w:rsid w:val="47113037"/>
    <w:rsid w:val="47382FD8"/>
    <w:rsid w:val="47580E71"/>
    <w:rsid w:val="475A1B60"/>
    <w:rsid w:val="47601C7A"/>
    <w:rsid w:val="477F7281"/>
    <w:rsid w:val="47860733"/>
    <w:rsid w:val="47AC6AEF"/>
    <w:rsid w:val="47AD3A66"/>
    <w:rsid w:val="47DB462B"/>
    <w:rsid w:val="47DF64A0"/>
    <w:rsid w:val="484D49E3"/>
    <w:rsid w:val="486855A2"/>
    <w:rsid w:val="488E614C"/>
    <w:rsid w:val="48D272BD"/>
    <w:rsid w:val="48D84475"/>
    <w:rsid w:val="48DC2D1A"/>
    <w:rsid w:val="49105682"/>
    <w:rsid w:val="49241999"/>
    <w:rsid w:val="492B1DFC"/>
    <w:rsid w:val="494E1741"/>
    <w:rsid w:val="49553D12"/>
    <w:rsid w:val="49812CF9"/>
    <w:rsid w:val="49BD27D9"/>
    <w:rsid w:val="49C32606"/>
    <w:rsid w:val="49E015C9"/>
    <w:rsid w:val="49FF228D"/>
    <w:rsid w:val="4A130A8B"/>
    <w:rsid w:val="4A3272C2"/>
    <w:rsid w:val="4A483989"/>
    <w:rsid w:val="4A64250C"/>
    <w:rsid w:val="4A842482"/>
    <w:rsid w:val="4A8516D8"/>
    <w:rsid w:val="4AA738E0"/>
    <w:rsid w:val="4AAD6B93"/>
    <w:rsid w:val="4AD01E1A"/>
    <w:rsid w:val="4AE471B2"/>
    <w:rsid w:val="4AFC3E8E"/>
    <w:rsid w:val="4B104096"/>
    <w:rsid w:val="4B4B7FC2"/>
    <w:rsid w:val="4B5E26CE"/>
    <w:rsid w:val="4B7029A1"/>
    <w:rsid w:val="4B76791F"/>
    <w:rsid w:val="4B790541"/>
    <w:rsid w:val="4BAB5143"/>
    <w:rsid w:val="4BD14024"/>
    <w:rsid w:val="4BE25377"/>
    <w:rsid w:val="4BE531E0"/>
    <w:rsid w:val="4BF90FA4"/>
    <w:rsid w:val="4C017A1F"/>
    <w:rsid w:val="4C153395"/>
    <w:rsid w:val="4C5207AE"/>
    <w:rsid w:val="4C673746"/>
    <w:rsid w:val="4C8A628E"/>
    <w:rsid w:val="4C9832A8"/>
    <w:rsid w:val="4C9E7A67"/>
    <w:rsid w:val="4CA76709"/>
    <w:rsid w:val="4CAC7D76"/>
    <w:rsid w:val="4CBD53AE"/>
    <w:rsid w:val="4CC1763A"/>
    <w:rsid w:val="4CDE6559"/>
    <w:rsid w:val="4D046728"/>
    <w:rsid w:val="4D1206BF"/>
    <w:rsid w:val="4D241E6C"/>
    <w:rsid w:val="4D6F3BD9"/>
    <w:rsid w:val="4DB42D30"/>
    <w:rsid w:val="4DD25292"/>
    <w:rsid w:val="4DD80D90"/>
    <w:rsid w:val="4E042104"/>
    <w:rsid w:val="4E347E75"/>
    <w:rsid w:val="4E4933C2"/>
    <w:rsid w:val="4E732275"/>
    <w:rsid w:val="4E8107AF"/>
    <w:rsid w:val="4EAB6BC8"/>
    <w:rsid w:val="4EB421C5"/>
    <w:rsid w:val="4EE26404"/>
    <w:rsid w:val="4F673EE8"/>
    <w:rsid w:val="4F9A5001"/>
    <w:rsid w:val="4FB71475"/>
    <w:rsid w:val="4FF02F67"/>
    <w:rsid w:val="500E5EDD"/>
    <w:rsid w:val="501F49B5"/>
    <w:rsid w:val="50646D64"/>
    <w:rsid w:val="50880CED"/>
    <w:rsid w:val="50BA3053"/>
    <w:rsid w:val="50FB4DD1"/>
    <w:rsid w:val="5100469E"/>
    <w:rsid w:val="512B7592"/>
    <w:rsid w:val="51846EA7"/>
    <w:rsid w:val="51D97A8B"/>
    <w:rsid w:val="51E34EB8"/>
    <w:rsid w:val="51EA4CB7"/>
    <w:rsid w:val="51F80C95"/>
    <w:rsid w:val="521A20C4"/>
    <w:rsid w:val="52210A86"/>
    <w:rsid w:val="522B6251"/>
    <w:rsid w:val="52496310"/>
    <w:rsid w:val="526007CC"/>
    <w:rsid w:val="52867736"/>
    <w:rsid w:val="52BE76AE"/>
    <w:rsid w:val="52CE5E95"/>
    <w:rsid w:val="52CF4419"/>
    <w:rsid w:val="530653DD"/>
    <w:rsid w:val="53124DA1"/>
    <w:rsid w:val="53396C24"/>
    <w:rsid w:val="535F6287"/>
    <w:rsid w:val="536153F0"/>
    <w:rsid w:val="53A10A0B"/>
    <w:rsid w:val="53F378D8"/>
    <w:rsid w:val="540F129D"/>
    <w:rsid w:val="543742FB"/>
    <w:rsid w:val="543E2E38"/>
    <w:rsid w:val="54A46F6D"/>
    <w:rsid w:val="54D96004"/>
    <w:rsid w:val="55070ABE"/>
    <w:rsid w:val="557634E1"/>
    <w:rsid w:val="55A434E9"/>
    <w:rsid w:val="55D26BC3"/>
    <w:rsid w:val="55D62BEA"/>
    <w:rsid w:val="55E768BD"/>
    <w:rsid w:val="55EB37A1"/>
    <w:rsid w:val="55F5392F"/>
    <w:rsid w:val="55F932BC"/>
    <w:rsid w:val="5675402A"/>
    <w:rsid w:val="56827C3F"/>
    <w:rsid w:val="56B224C0"/>
    <w:rsid w:val="56CF6ACB"/>
    <w:rsid w:val="56EE42B6"/>
    <w:rsid w:val="5708400C"/>
    <w:rsid w:val="57183A74"/>
    <w:rsid w:val="573568EA"/>
    <w:rsid w:val="57773C92"/>
    <w:rsid w:val="57D1293C"/>
    <w:rsid w:val="57F95C2A"/>
    <w:rsid w:val="580C1DB1"/>
    <w:rsid w:val="582820C3"/>
    <w:rsid w:val="582A6D65"/>
    <w:rsid w:val="585C558C"/>
    <w:rsid w:val="587956F9"/>
    <w:rsid w:val="58A73AA6"/>
    <w:rsid w:val="58B05894"/>
    <w:rsid w:val="58B23052"/>
    <w:rsid w:val="58B81054"/>
    <w:rsid w:val="58BD53FE"/>
    <w:rsid w:val="58BF4FB7"/>
    <w:rsid w:val="58DD0CFA"/>
    <w:rsid w:val="58F4663F"/>
    <w:rsid w:val="58F97626"/>
    <w:rsid w:val="590C3076"/>
    <w:rsid w:val="59160132"/>
    <w:rsid w:val="59D85F30"/>
    <w:rsid w:val="59DD0C9A"/>
    <w:rsid w:val="59E74A49"/>
    <w:rsid w:val="59F34B37"/>
    <w:rsid w:val="59F55317"/>
    <w:rsid w:val="5A075E63"/>
    <w:rsid w:val="5A27573A"/>
    <w:rsid w:val="5A3E0EA1"/>
    <w:rsid w:val="5A4859E7"/>
    <w:rsid w:val="5A626EC9"/>
    <w:rsid w:val="5A8A1B4A"/>
    <w:rsid w:val="5AB61869"/>
    <w:rsid w:val="5ACF7E5C"/>
    <w:rsid w:val="5AF412E4"/>
    <w:rsid w:val="5B070BCF"/>
    <w:rsid w:val="5B203A22"/>
    <w:rsid w:val="5B527993"/>
    <w:rsid w:val="5B5C27B8"/>
    <w:rsid w:val="5B6670B3"/>
    <w:rsid w:val="5B693B9A"/>
    <w:rsid w:val="5B6B11E9"/>
    <w:rsid w:val="5B836D4E"/>
    <w:rsid w:val="5B8B6370"/>
    <w:rsid w:val="5B936B97"/>
    <w:rsid w:val="5B991D26"/>
    <w:rsid w:val="5BB115A2"/>
    <w:rsid w:val="5C1215B5"/>
    <w:rsid w:val="5C244D6B"/>
    <w:rsid w:val="5C290845"/>
    <w:rsid w:val="5C5950DF"/>
    <w:rsid w:val="5C5B3977"/>
    <w:rsid w:val="5C6717BA"/>
    <w:rsid w:val="5C746B0B"/>
    <w:rsid w:val="5CD61CA4"/>
    <w:rsid w:val="5CD83630"/>
    <w:rsid w:val="5CE94DC2"/>
    <w:rsid w:val="5CFC3977"/>
    <w:rsid w:val="5D0B50EF"/>
    <w:rsid w:val="5D337CB5"/>
    <w:rsid w:val="5D853F16"/>
    <w:rsid w:val="5DBB5C9E"/>
    <w:rsid w:val="5DBC2570"/>
    <w:rsid w:val="5E136AA0"/>
    <w:rsid w:val="5E2B2E38"/>
    <w:rsid w:val="5E2C3333"/>
    <w:rsid w:val="5E493798"/>
    <w:rsid w:val="5E586243"/>
    <w:rsid w:val="5E857D72"/>
    <w:rsid w:val="5E9B6FE6"/>
    <w:rsid w:val="5EB10408"/>
    <w:rsid w:val="5EC05A92"/>
    <w:rsid w:val="5EFD0E59"/>
    <w:rsid w:val="5F6931E6"/>
    <w:rsid w:val="5F7F1EE1"/>
    <w:rsid w:val="5F8C37BC"/>
    <w:rsid w:val="5FBB25F2"/>
    <w:rsid w:val="5FD92ADA"/>
    <w:rsid w:val="5FFB0B07"/>
    <w:rsid w:val="5FFE4F54"/>
    <w:rsid w:val="60560594"/>
    <w:rsid w:val="60611414"/>
    <w:rsid w:val="606176D2"/>
    <w:rsid w:val="60675F17"/>
    <w:rsid w:val="609A4B7B"/>
    <w:rsid w:val="61073138"/>
    <w:rsid w:val="61123463"/>
    <w:rsid w:val="618E1A80"/>
    <w:rsid w:val="61BF5B31"/>
    <w:rsid w:val="61F558B8"/>
    <w:rsid w:val="622D3443"/>
    <w:rsid w:val="62552982"/>
    <w:rsid w:val="62B123E4"/>
    <w:rsid w:val="62CD5C45"/>
    <w:rsid w:val="62D77A7F"/>
    <w:rsid w:val="62D850B9"/>
    <w:rsid w:val="630729D5"/>
    <w:rsid w:val="630D32AE"/>
    <w:rsid w:val="63A26CEB"/>
    <w:rsid w:val="63C56A23"/>
    <w:rsid w:val="63D76A9D"/>
    <w:rsid w:val="63F754F8"/>
    <w:rsid w:val="6474067C"/>
    <w:rsid w:val="649A7FE9"/>
    <w:rsid w:val="64CC496B"/>
    <w:rsid w:val="65174E17"/>
    <w:rsid w:val="651F09DF"/>
    <w:rsid w:val="652210EB"/>
    <w:rsid w:val="65794350"/>
    <w:rsid w:val="657D6472"/>
    <w:rsid w:val="659B6673"/>
    <w:rsid w:val="65C64580"/>
    <w:rsid w:val="66525880"/>
    <w:rsid w:val="66765696"/>
    <w:rsid w:val="669E66EB"/>
    <w:rsid w:val="66C95744"/>
    <w:rsid w:val="66E41FBE"/>
    <w:rsid w:val="66FB57CC"/>
    <w:rsid w:val="67090F98"/>
    <w:rsid w:val="673E4D9C"/>
    <w:rsid w:val="6740356B"/>
    <w:rsid w:val="67476CC8"/>
    <w:rsid w:val="675B2A11"/>
    <w:rsid w:val="67757E4A"/>
    <w:rsid w:val="679A5C28"/>
    <w:rsid w:val="67BA4A3A"/>
    <w:rsid w:val="67CF2170"/>
    <w:rsid w:val="67EC7A26"/>
    <w:rsid w:val="68143F2C"/>
    <w:rsid w:val="681F7678"/>
    <w:rsid w:val="68623565"/>
    <w:rsid w:val="686F3462"/>
    <w:rsid w:val="687A5204"/>
    <w:rsid w:val="687C48AE"/>
    <w:rsid w:val="68A74C99"/>
    <w:rsid w:val="68DB777F"/>
    <w:rsid w:val="68FD4E3A"/>
    <w:rsid w:val="6949590D"/>
    <w:rsid w:val="699026AD"/>
    <w:rsid w:val="69C26914"/>
    <w:rsid w:val="69CF6211"/>
    <w:rsid w:val="69E37B94"/>
    <w:rsid w:val="69E67729"/>
    <w:rsid w:val="6A4E42A1"/>
    <w:rsid w:val="6A632AD3"/>
    <w:rsid w:val="6A84509B"/>
    <w:rsid w:val="6A9816E9"/>
    <w:rsid w:val="6AA354C6"/>
    <w:rsid w:val="6ACC5319"/>
    <w:rsid w:val="6AD4151A"/>
    <w:rsid w:val="6ADD6771"/>
    <w:rsid w:val="6B083E55"/>
    <w:rsid w:val="6B57005C"/>
    <w:rsid w:val="6B8D3927"/>
    <w:rsid w:val="6B9B0681"/>
    <w:rsid w:val="6BB97111"/>
    <w:rsid w:val="6BCA6B66"/>
    <w:rsid w:val="6BD10292"/>
    <w:rsid w:val="6BD65086"/>
    <w:rsid w:val="6BDF6D43"/>
    <w:rsid w:val="6BE94CB0"/>
    <w:rsid w:val="6C247E67"/>
    <w:rsid w:val="6C427A82"/>
    <w:rsid w:val="6C595E57"/>
    <w:rsid w:val="6C630F37"/>
    <w:rsid w:val="6CA9025A"/>
    <w:rsid w:val="6CB564E8"/>
    <w:rsid w:val="6CB75BD6"/>
    <w:rsid w:val="6D045E4A"/>
    <w:rsid w:val="6D2E2594"/>
    <w:rsid w:val="6D2E55EA"/>
    <w:rsid w:val="6D364A56"/>
    <w:rsid w:val="6D507883"/>
    <w:rsid w:val="6DA901DD"/>
    <w:rsid w:val="6DAC3F16"/>
    <w:rsid w:val="6DC7239F"/>
    <w:rsid w:val="6DCF1523"/>
    <w:rsid w:val="6DE53954"/>
    <w:rsid w:val="6E2D7AEA"/>
    <w:rsid w:val="6E3B732E"/>
    <w:rsid w:val="6E437F85"/>
    <w:rsid w:val="6E4A2FA7"/>
    <w:rsid w:val="6E960A18"/>
    <w:rsid w:val="6ED07527"/>
    <w:rsid w:val="6F2F3B72"/>
    <w:rsid w:val="6F9C7DC6"/>
    <w:rsid w:val="6F9E17FF"/>
    <w:rsid w:val="6FA04405"/>
    <w:rsid w:val="6FC43F1A"/>
    <w:rsid w:val="6FEE3B27"/>
    <w:rsid w:val="6FFB4E81"/>
    <w:rsid w:val="70095140"/>
    <w:rsid w:val="701B26B0"/>
    <w:rsid w:val="701E56C1"/>
    <w:rsid w:val="70457740"/>
    <w:rsid w:val="70505934"/>
    <w:rsid w:val="706636AD"/>
    <w:rsid w:val="708320B8"/>
    <w:rsid w:val="70A52F0F"/>
    <w:rsid w:val="70BF6EAC"/>
    <w:rsid w:val="715B6DF0"/>
    <w:rsid w:val="716A74FE"/>
    <w:rsid w:val="71983FCC"/>
    <w:rsid w:val="71BE2868"/>
    <w:rsid w:val="71C70D0F"/>
    <w:rsid w:val="71C77393"/>
    <w:rsid w:val="71DA62D5"/>
    <w:rsid w:val="72544AD5"/>
    <w:rsid w:val="72834686"/>
    <w:rsid w:val="72BA37D1"/>
    <w:rsid w:val="72F04A82"/>
    <w:rsid w:val="72F6284E"/>
    <w:rsid w:val="73111840"/>
    <w:rsid w:val="732F5CE0"/>
    <w:rsid w:val="735F7A76"/>
    <w:rsid w:val="737C5636"/>
    <w:rsid w:val="73A020F1"/>
    <w:rsid w:val="73AB3864"/>
    <w:rsid w:val="73C734EC"/>
    <w:rsid w:val="73D72D54"/>
    <w:rsid w:val="749C342F"/>
    <w:rsid w:val="74A32466"/>
    <w:rsid w:val="74C20CC9"/>
    <w:rsid w:val="74D55F45"/>
    <w:rsid w:val="75213D60"/>
    <w:rsid w:val="75267B08"/>
    <w:rsid w:val="755406ED"/>
    <w:rsid w:val="756A1ED5"/>
    <w:rsid w:val="762B3711"/>
    <w:rsid w:val="763E33FE"/>
    <w:rsid w:val="765366C0"/>
    <w:rsid w:val="766C579E"/>
    <w:rsid w:val="76742C90"/>
    <w:rsid w:val="76820CCA"/>
    <w:rsid w:val="76A6708F"/>
    <w:rsid w:val="76C94304"/>
    <w:rsid w:val="76E01314"/>
    <w:rsid w:val="76F07D7C"/>
    <w:rsid w:val="77083036"/>
    <w:rsid w:val="77107791"/>
    <w:rsid w:val="7717199B"/>
    <w:rsid w:val="771A59E0"/>
    <w:rsid w:val="77262FA1"/>
    <w:rsid w:val="77AB5277"/>
    <w:rsid w:val="77D2588A"/>
    <w:rsid w:val="77FE601B"/>
    <w:rsid w:val="780073C7"/>
    <w:rsid w:val="781D210F"/>
    <w:rsid w:val="783F6CF0"/>
    <w:rsid w:val="784B0D1B"/>
    <w:rsid w:val="788F230F"/>
    <w:rsid w:val="78E44E0B"/>
    <w:rsid w:val="78EA2843"/>
    <w:rsid w:val="79170E28"/>
    <w:rsid w:val="795C052D"/>
    <w:rsid w:val="796E5DDD"/>
    <w:rsid w:val="798551A7"/>
    <w:rsid w:val="79A00331"/>
    <w:rsid w:val="79B867A5"/>
    <w:rsid w:val="79BC6710"/>
    <w:rsid w:val="79D9246E"/>
    <w:rsid w:val="79F958D3"/>
    <w:rsid w:val="7A092DFE"/>
    <w:rsid w:val="7A4C292E"/>
    <w:rsid w:val="7AB76F30"/>
    <w:rsid w:val="7ABD2964"/>
    <w:rsid w:val="7AD83B23"/>
    <w:rsid w:val="7B092A56"/>
    <w:rsid w:val="7B1866B0"/>
    <w:rsid w:val="7B26545E"/>
    <w:rsid w:val="7B3576ED"/>
    <w:rsid w:val="7B3C0F81"/>
    <w:rsid w:val="7B5E07DF"/>
    <w:rsid w:val="7BB267C4"/>
    <w:rsid w:val="7C260C58"/>
    <w:rsid w:val="7C381B91"/>
    <w:rsid w:val="7C6F6035"/>
    <w:rsid w:val="7D0A4DD0"/>
    <w:rsid w:val="7D29035F"/>
    <w:rsid w:val="7DC20FD0"/>
    <w:rsid w:val="7DD97376"/>
    <w:rsid w:val="7DDA3C6D"/>
    <w:rsid w:val="7DDD3DB1"/>
    <w:rsid w:val="7E2F79DD"/>
    <w:rsid w:val="7E4B6D51"/>
    <w:rsid w:val="7E897169"/>
    <w:rsid w:val="7F04182C"/>
    <w:rsid w:val="7F0471AE"/>
    <w:rsid w:val="7F435AE3"/>
    <w:rsid w:val="7F49525D"/>
    <w:rsid w:val="7F6902E1"/>
    <w:rsid w:val="7F697FDE"/>
    <w:rsid w:val="7F716C7F"/>
    <w:rsid w:val="7FA32FAB"/>
    <w:rsid w:val="7FB46227"/>
    <w:rsid w:val="7FC43A73"/>
    <w:rsid w:val="7FE172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rPr>
      <w:sz w:val="32"/>
      <w:szCs w:val="32"/>
    </w:rPr>
  </w:style>
  <w:style w:type="paragraph" w:styleId="4">
    <w:name w:val="footer"/>
    <w:basedOn w:val="1"/>
    <w:qFormat/>
    <w:uiPriority w:val="0"/>
    <w:pPr>
      <w:tabs>
        <w:tab w:val="center" w:pos="4153"/>
        <w:tab w:val="right" w:pos="8306"/>
      </w:tabs>
      <w:snapToGrid w:val="0"/>
    </w:pPr>
    <w:rPr>
      <w:sz w:val="18"/>
      <w:szCs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0">
    <w:name w:val="List Paragraph"/>
    <w:basedOn w:val="1"/>
    <w:qFormat/>
    <w:uiPriority w:val="34"/>
    <w:pPr>
      <w:ind w:firstLine="420" w:firstLineChars="200"/>
    </w:pPr>
  </w:style>
  <w:style w:type="character" w:customStyle="1" w:styleId="11">
    <w:name w:val="页脚 字符"/>
    <w:basedOn w:val="8"/>
    <w:qFormat/>
    <w:uiPriority w:val="0"/>
    <w:rPr>
      <w:rFonts w:ascii="Arial Unicode MS" w:hAnsi="Arial Unicode MS" w:eastAsia="Arial Unicode MS" w:cs="Arial Unicode MS"/>
      <w:sz w:val="18"/>
      <w:szCs w:val="18"/>
      <w:lang w:val="zh-CN" w:bidi="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32</Pages>
  <Words>7320</Words>
  <Characters>8645</Characters>
  <Lines>0</Lines>
  <Paragraphs>0</Paragraphs>
  <TotalTime>1</TotalTime>
  <ScaleCrop>false</ScaleCrop>
  <LinksUpToDate>false</LinksUpToDate>
  <CharactersWithSpaces>8933</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2021-08-31T01:09:00Z</dcterms:created>
  <dc:creator>Administrator</dc:creator>
  <cp:lastModifiedBy>坏脾气</cp:lastModifiedBy>
  <dcterms:modified xsi:type="dcterms:W3CDTF">2022-08-23T02:09:53Z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678D41E0682E48ACA4CA9D513D25EC64</vt:lpwstr>
  </property>
</Properties>
</file>