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中方县芙蓉学校</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中方县芙蓉学校单位概况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中方县芙蓉学校</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全面贯彻落实国家教育工作的方针、政策和法律、法规，坚持教育为社会主义现代化服务，为人民服务，与生产劳动和社会实践相结合，培养德、智、体、美全面发展的社会主义建设者和接班人，实施普通初中、完全小学义务教育，促进基础教育发展。</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中方县芙蓉学校内设机构包括：本单位内设机构包括：校长室、办公室、财务室、总务处、教务处、德育处等。</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中方县芙蓉学校2020年部门决算汇总公开单位构成包括：中方县芙蓉学校，无二级预算单位。</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中方县芙蓉学校</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1689.47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4.91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1,689.47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4.91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1,694.39</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1,694.39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1,694.39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1,694.39</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中方县芙蓉学校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1,694.39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1,694.39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1,689.47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1,689.47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1,689.47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1,689.47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1,678.08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1,678.08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7.19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7.19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4.91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4.91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4.91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4.91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4.91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4.91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中方县芙蓉学校</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1,694.39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1,694.39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1,689.47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1,689.47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1,689.47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1,689.47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1,678.08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1,678.08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7.19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7.19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0.40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4.91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4.91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4.91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4.91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4.91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4.91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中方县芙蓉学校</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1,689.47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4.91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1,689.47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1,689.47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4.91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4.91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1,694.39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1,694.39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1,689.47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4.91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1,694.39</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1,694.39</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1,689.47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r>
              <w:rPr>
                <w:rFonts w:hint="eastAsia" w:ascii="仿宋" w:hAnsi="仿宋" w:eastAsia="仿宋" w:cs="仿宋"/>
              </w:rPr>
              <w:t>4.91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中方县芙蓉学校</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1,689.47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1,689.47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1,689.47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1,689.47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1,689.47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1,689.47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1,678.08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1,678.08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7.19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7.19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0.40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中方县芙蓉学校</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1,539.23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145.70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723.12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47.90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501.48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10.70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0.85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1.50</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1.50</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174.25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0.32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93.33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37.23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3.02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7.02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3.05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1.95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41.50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4.05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9.60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1,542.28</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147.20</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中方县芙蓉学校</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中方县芙蓉学校</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中方县芙蓉学校</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4.91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4.91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4.91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4.91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中方县芙蓉学校</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中方县芙蓉学校</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ascii="仿宋" w:hAnsi="仿宋" w:eastAsia="仿宋" w:cs="仿宋"/>
        </w:rPr>
        <w:t>2020年度</w:t>
      </w:r>
      <w:r>
        <w:rPr>
          <w:rFonts w:hint="eastAsia" w:ascii="仿宋" w:hAnsi="仿宋" w:eastAsia="仿宋" w:cs="仿宋"/>
        </w:rPr>
        <w:t>收入</w:t>
      </w:r>
      <w:r>
        <w:rPr>
          <w:rFonts w:ascii="仿宋" w:hAnsi="仿宋" w:eastAsia="仿宋" w:cs="仿宋"/>
        </w:rPr>
        <w:t>1,694.39万元</w:t>
      </w:r>
      <w:r>
        <w:rPr>
          <w:rFonts w:hint="eastAsia" w:ascii="仿宋" w:hAnsi="仿宋" w:eastAsia="仿宋" w:cs="仿宋"/>
        </w:rPr>
        <w:t>，</w:t>
      </w:r>
      <w:r>
        <w:rPr>
          <w:rFonts w:ascii="仿宋" w:hAnsi="仿宋" w:eastAsia="仿宋" w:cs="仿宋"/>
        </w:rPr>
        <w:t>与上年相比增加</w:t>
      </w:r>
      <w:r>
        <w:rPr>
          <w:rFonts w:hint="eastAsia" w:ascii="仿宋" w:hAnsi="仿宋" w:eastAsia="仿宋" w:cs="仿宋"/>
        </w:rPr>
        <w:t>1129.64</w:t>
      </w:r>
      <w:r>
        <w:rPr>
          <w:rFonts w:ascii="仿宋" w:hAnsi="仿宋" w:eastAsia="仿宋" w:cs="仿宋"/>
        </w:rPr>
        <w:t>万元，增比率</w:t>
      </w:r>
      <w:r>
        <w:rPr>
          <w:rFonts w:hint="eastAsia" w:ascii="仿宋" w:hAnsi="仿宋" w:eastAsia="仿宋" w:cs="仿宋"/>
        </w:rPr>
        <w:t>200.02%</w:t>
      </w:r>
      <w:r>
        <w:rPr>
          <w:rFonts w:ascii="仿宋" w:hAnsi="仿宋" w:eastAsia="仿宋" w:cs="仿宋"/>
        </w:rPr>
        <w:t>，主要是因为</w:t>
      </w:r>
      <w:r>
        <w:rPr>
          <w:rFonts w:hint="eastAsia" w:ascii="仿宋" w:hAnsi="仿宋" w:eastAsia="仿宋" w:cs="仿宋"/>
        </w:rPr>
        <w:t>学生人数从1400人增加到2900人，教师人数从140人增加到150人，教师工资相比上年也增加了</w:t>
      </w:r>
      <w:r>
        <w:rPr>
          <w:rFonts w:hint="eastAsia" w:ascii="仿宋" w:hAnsi="仿宋" w:eastAsia="仿宋" w:cs="仿宋"/>
          <w:lang w:val="en-US" w:eastAsia="zh-CN"/>
        </w:rPr>
        <w:t>预算收入增加。</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hint="eastAsia" w:ascii="仿宋" w:hAnsi="仿宋" w:eastAsia="仿宋" w:cs="仿宋"/>
        </w:rPr>
        <w:t>支出</w:t>
      </w:r>
      <w:r>
        <w:rPr>
          <w:rFonts w:ascii="仿宋" w:hAnsi="仿宋" w:eastAsia="仿宋" w:cs="仿宋"/>
        </w:rPr>
        <w:t>1,694.39万元</w:t>
      </w:r>
      <w:r>
        <w:rPr>
          <w:rFonts w:hint="eastAsia" w:ascii="仿宋" w:hAnsi="仿宋" w:eastAsia="仿宋" w:cs="仿宋"/>
        </w:rPr>
        <w:t>，</w:t>
      </w:r>
      <w:r>
        <w:rPr>
          <w:rFonts w:ascii="仿宋" w:hAnsi="仿宋" w:eastAsia="仿宋" w:cs="仿宋"/>
        </w:rPr>
        <w:t>与上年相比增加</w:t>
      </w:r>
      <w:r>
        <w:rPr>
          <w:rFonts w:hint="eastAsia" w:ascii="仿宋" w:hAnsi="仿宋" w:eastAsia="仿宋" w:cs="仿宋"/>
        </w:rPr>
        <w:t>1129.64</w:t>
      </w:r>
      <w:r>
        <w:rPr>
          <w:rFonts w:ascii="仿宋" w:hAnsi="仿宋" w:eastAsia="仿宋" w:cs="仿宋"/>
        </w:rPr>
        <w:t>万元，增比率</w:t>
      </w:r>
      <w:r>
        <w:rPr>
          <w:rFonts w:hint="eastAsia" w:ascii="仿宋" w:hAnsi="仿宋" w:eastAsia="仿宋" w:cs="仿宋"/>
        </w:rPr>
        <w:t>200.02%</w:t>
      </w:r>
      <w:r>
        <w:rPr>
          <w:rFonts w:ascii="仿宋" w:hAnsi="仿宋" w:eastAsia="仿宋" w:cs="仿宋"/>
        </w:rPr>
        <w:t>，主要是因为</w:t>
      </w:r>
      <w:r>
        <w:rPr>
          <w:rFonts w:hint="eastAsia" w:ascii="仿宋" w:hAnsi="仿宋" w:eastAsia="仿宋" w:cs="仿宋"/>
        </w:rPr>
        <w:t>学生人数从1400人增加到2900人，教师人数从140人增加到150人，教师工资相比上年也增加了</w:t>
      </w:r>
      <w:r>
        <w:rPr>
          <w:rFonts w:hint="eastAsia" w:ascii="仿宋" w:hAnsi="仿宋" w:eastAsia="仿宋" w:cs="仿宋"/>
          <w:lang w:eastAsia="zh-CN"/>
        </w:rPr>
        <w:t>，</w:t>
      </w:r>
      <w:r>
        <w:rPr>
          <w:rFonts w:hint="eastAsia" w:ascii="仿宋" w:hAnsi="仿宋" w:eastAsia="仿宋" w:cs="仿宋"/>
          <w:lang w:val="en-US" w:eastAsia="zh-CN"/>
        </w:rPr>
        <w:t>人员经费支出增加。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本年收入合计1,694.39万元，其中：财政拨款收入1,694.39万元，占100%；上级补助收入0万元，占0%；事业收入0万元，占0%；经营收入0万元，占0%；附属单位上缴收入0万元，占0%；其他收入0万元，占0%。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cstate="print"/>
                    <a:stretch>
                      <a:fillRect/>
                    </a:stretch>
                  </pic:blipFill>
                  <pic:spPr>
                    <a:xfrm>
                      <a:off x="0" y="0"/>
                      <a:ext cx="6143625"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本年支出合计1,694.39万元，其中：基本支出1,694.39万元，占100%；项目支出0万元，占0%；上缴上级支出0万元，占0%；经营支出0万元，占0%；对附属单位补助支出0万元，占0%。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cstate="print"/>
                    <a:stretch>
                      <a:fillRect/>
                    </a:stretch>
                  </pic:blipFill>
                  <pic:spPr>
                    <a:xfrm>
                      <a:off x="0" y="0"/>
                      <a:ext cx="6143625"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ascii="仿宋" w:hAnsi="仿宋" w:eastAsia="仿宋" w:cs="仿宋"/>
        </w:rPr>
        <w:t>2020年度财政拨款</w:t>
      </w:r>
      <w:r>
        <w:rPr>
          <w:rFonts w:hint="eastAsia" w:ascii="仿宋" w:hAnsi="仿宋" w:eastAsia="仿宋" w:cs="仿宋"/>
        </w:rPr>
        <w:t>收入</w:t>
      </w:r>
      <w:r>
        <w:rPr>
          <w:rFonts w:ascii="仿宋" w:hAnsi="仿宋" w:eastAsia="仿宋" w:cs="仿宋"/>
        </w:rPr>
        <w:t>1,694.39万元</w:t>
      </w:r>
      <w:r>
        <w:rPr>
          <w:rFonts w:hint="eastAsia" w:ascii="仿宋" w:hAnsi="仿宋" w:eastAsia="仿宋" w:cs="仿宋"/>
        </w:rPr>
        <w:t>，</w:t>
      </w:r>
      <w:r>
        <w:rPr>
          <w:rFonts w:ascii="仿宋" w:hAnsi="仿宋" w:eastAsia="仿宋" w:cs="仿宋"/>
        </w:rPr>
        <w:t>与上年相比增加</w:t>
      </w:r>
      <w:r>
        <w:rPr>
          <w:rFonts w:hint="eastAsia" w:ascii="仿宋" w:hAnsi="仿宋" w:eastAsia="仿宋" w:cs="仿宋"/>
        </w:rPr>
        <w:t>1129.64</w:t>
      </w:r>
      <w:r>
        <w:rPr>
          <w:rFonts w:ascii="仿宋" w:hAnsi="仿宋" w:eastAsia="仿宋" w:cs="仿宋"/>
        </w:rPr>
        <w:t>万元，增比率</w:t>
      </w:r>
      <w:r>
        <w:rPr>
          <w:rFonts w:hint="eastAsia" w:ascii="仿宋" w:hAnsi="仿宋" w:eastAsia="仿宋" w:cs="仿宋"/>
        </w:rPr>
        <w:t>200.02%</w:t>
      </w:r>
      <w:r>
        <w:rPr>
          <w:rFonts w:ascii="仿宋" w:hAnsi="仿宋" w:eastAsia="仿宋" w:cs="仿宋"/>
        </w:rPr>
        <w:t>，主要是因为</w:t>
      </w:r>
      <w:r>
        <w:rPr>
          <w:rFonts w:hint="eastAsia" w:ascii="仿宋" w:hAnsi="仿宋" w:eastAsia="仿宋" w:cs="仿宋"/>
        </w:rPr>
        <w:t>学生人数从1400人增加到2900人，教师人数从140人增加到150人，教师工资相比上年也增加了</w:t>
      </w:r>
      <w:r>
        <w:rPr>
          <w:rFonts w:hint="eastAsia" w:ascii="仿宋" w:hAnsi="仿宋" w:eastAsia="仿宋" w:cs="仿宋"/>
          <w:lang w:val="en-US" w:eastAsia="zh-CN"/>
        </w:rPr>
        <w:t>预算收入增加。</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hint="eastAsia" w:ascii="仿宋" w:hAnsi="仿宋" w:eastAsia="仿宋" w:cs="仿宋"/>
        </w:rPr>
        <w:t>支出</w:t>
      </w:r>
      <w:r>
        <w:rPr>
          <w:rFonts w:ascii="仿宋" w:hAnsi="仿宋" w:eastAsia="仿宋" w:cs="仿宋"/>
        </w:rPr>
        <w:t>1,694.39万元</w:t>
      </w:r>
      <w:r>
        <w:rPr>
          <w:rFonts w:hint="eastAsia" w:ascii="仿宋" w:hAnsi="仿宋" w:eastAsia="仿宋" w:cs="仿宋"/>
        </w:rPr>
        <w:t>，</w:t>
      </w:r>
      <w:r>
        <w:rPr>
          <w:rFonts w:ascii="仿宋" w:hAnsi="仿宋" w:eastAsia="仿宋" w:cs="仿宋"/>
        </w:rPr>
        <w:t>与上年相比增加</w:t>
      </w:r>
      <w:r>
        <w:rPr>
          <w:rFonts w:hint="eastAsia" w:ascii="仿宋" w:hAnsi="仿宋" w:eastAsia="仿宋" w:cs="仿宋"/>
        </w:rPr>
        <w:t>1129.64</w:t>
      </w:r>
      <w:r>
        <w:rPr>
          <w:rFonts w:ascii="仿宋" w:hAnsi="仿宋" w:eastAsia="仿宋" w:cs="仿宋"/>
        </w:rPr>
        <w:t>万元，增比率</w:t>
      </w:r>
      <w:r>
        <w:rPr>
          <w:rFonts w:hint="eastAsia" w:ascii="仿宋" w:hAnsi="仿宋" w:eastAsia="仿宋" w:cs="仿宋"/>
        </w:rPr>
        <w:t>200.02%</w:t>
      </w:r>
      <w:r>
        <w:rPr>
          <w:rFonts w:ascii="仿宋" w:hAnsi="仿宋" w:eastAsia="仿宋" w:cs="仿宋"/>
        </w:rPr>
        <w:t>，主要是因为</w:t>
      </w:r>
      <w:r>
        <w:rPr>
          <w:rFonts w:hint="eastAsia" w:ascii="仿宋" w:hAnsi="仿宋" w:eastAsia="仿宋" w:cs="仿宋"/>
        </w:rPr>
        <w:t>学生人数从1400人增加到2900人，教师人数从140人增加到150人，教师工资相比上年也增加了</w:t>
      </w:r>
      <w:r>
        <w:rPr>
          <w:rFonts w:hint="eastAsia" w:ascii="仿宋" w:hAnsi="仿宋" w:eastAsia="仿宋" w:cs="仿宋"/>
          <w:lang w:eastAsia="zh-CN"/>
        </w:rPr>
        <w:t>，</w:t>
      </w:r>
      <w:r>
        <w:rPr>
          <w:rFonts w:hint="eastAsia" w:ascii="仿宋" w:hAnsi="仿宋" w:eastAsia="仿宋" w:cs="仿宋"/>
          <w:lang w:val="en-US" w:eastAsia="zh-CN"/>
        </w:rPr>
        <w:t>人员经费支出增加。</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bookmarkStart w:id="3" w:name="_GoBack"/>
      <w:bookmarkEnd w:id="3"/>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b/>
          <w:bCs/>
        </w:rPr>
      </w:pPr>
      <w:r>
        <w:rPr>
          <w:rFonts w:ascii="仿宋" w:hAnsi="仿宋" w:eastAsia="仿宋" w:cs="仿宋"/>
        </w:rPr>
        <w:t>2020年度财政拨款支出1,689.47万元，占本年支出合计的99.71%，</w:t>
      </w:r>
      <w:r>
        <w:rPr>
          <w:rFonts w:hint="eastAsia" w:ascii="仿宋" w:hAnsi="仿宋" w:eastAsia="仿宋" w:cs="仿宋"/>
        </w:rPr>
        <w:t>2019年度支出总计564.75万元，</w:t>
      </w:r>
      <w:r>
        <w:rPr>
          <w:rFonts w:ascii="仿宋" w:hAnsi="仿宋" w:eastAsia="仿宋" w:cs="仿宋"/>
        </w:rPr>
        <w:t>与上年相比，财政拨款支出增加</w:t>
      </w:r>
      <w:r>
        <w:rPr>
          <w:rFonts w:hint="eastAsia" w:ascii="仿宋" w:hAnsi="仿宋" w:eastAsia="仿宋" w:cs="仿宋"/>
        </w:rPr>
        <w:t>1124.72</w:t>
      </w:r>
      <w:r>
        <w:rPr>
          <w:rFonts w:ascii="仿宋" w:hAnsi="仿宋" w:eastAsia="仿宋" w:cs="仿宋"/>
        </w:rPr>
        <w:t>万元，增比率</w:t>
      </w:r>
      <w:r>
        <w:rPr>
          <w:rFonts w:hint="eastAsia" w:ascii="仿宋" w:hAnsi="仿宋" w:eastAsia="仿宋" w:cs="仿宋"/>
        </w:rPr>
        <w:t>199.15%</w:t>
      </w:r>
      <w:r>
        <w:rPr>
          <w:rFonts w:ascii="仿宋" w:hAnsi="仿宋" w:eastAsia="仿宋" w:cs="仿宋"/>
        </w:rPr>
        <w:t>。主要是因为</w:t>
      </w:r>
      <w:r>
        <w:rPr>
          <w:rFonts w:hint="eastAsia" w:ascii="仿宋" w:hAnsi="仿宋" w:eastAsia="仿宋" w:cs="仿宋"/>
        </w:rPr>
        <w:t>学生人数从1400人增加到2900人，教师人数从140人增加到150人，教师工资相比上年也增加了，相应的支出就增加了</w:t>
      </w:r>
      <w:r>
        <w:rPr>
          <w:rFonts w:ascii="仿宋" w:hAnsi="仿宋" w:eastAsia="仿宋" w:cs="仿宋"/>
        </w:rPr>
        <w:t>。</w:t>
      </w: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2020年度财政拨款支出1,689.47万元，主要用于以下方面：教育支出（类）1,689.47万元，占100%。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2020年度财政拨款支出年初预算数为2,030.97万元，支出决算数为1,689.47万元，完成年初预算的83.19%，其中：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1、教育支出（类）普通教育（款）学前教育（项）。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年初预算为0万元，支出决算为3.8万元，年初预算数为0万元，无法计算完成比率，决算数大于预算数的主要原因是：学前教育决算支出的是2019年结余的资金。</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年初预算为1,892.87万元，支出决算为1,678.08万元，完成年初预算的88.65%，决算数小于预算数的主要原因是：教师人员减少。</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3、教育支出（类）普通教育（款）初中教育（项）。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7.19万元，年初预算数为0万元，无法计算完成比率，决算数大于预算数的主要原因是：中方县芙蓉学校是由中方县城北中学和中方县城北小学合并的，初中教育决算支出是2019年城北中学结余的资金。</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4、教育支出（类）普通教育（款）其他普通教育支出（项）。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年初预算为0万元，支出决算为0.4万元，年初预算数为0万元，无法计算完成比率，决算数大于预算数的主要原因是：其他普通教育支出决算数是2020年防控新冠疫情补助经费。</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1,689.48万元，其中：人员经费1,542.28万元，占基本支出的91.29%，主要包括：基本工资、津贴补贴、伙食补助费、机关事业单位基本养老保险缴费、职工基本医疗保险缴费、其他社会保障缴费、其他工资福利支出、生活补助、奖励金；公用经费147.2万元，占基本支出的8.71%，主要包括：办公费、印刷费、咨询费、水费、电费、邮电费、物业管理费、维修（护）费、会议费、培训费、劳务费、工会经费、福利费、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2020年度政府性基金预算财政拨款收入4.91万元；年初结转和结余0万元；支出4.91万元，其中基本支出4.91万元，项目支出0万元；年末结转和结余0万元。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2020年本部门开支会议费0万元。开支培训费0万元。未举办节庆、晚会、论坛、赛事等活动。</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w:t>
      </w:r>
      <w:r>
        <w:rPr>
          <w:rFonts w:hint="eastAsia" w:ascii="仿宋" w:hAnsi="仿宋" w:eastAsia="仿宋" w:cs="仿宋"/>
        </w:rPr>
        <w:t>未开展</w:t>
      </w:r>
      <w:r>
        <w:rPr>
          <w:rFonts w:ascii="仿宋" w:hAnsi="仿宋" w:eastAsia="仿宋" w:cs="仿宋"/>
        </w:rPr>
        <w:t>预算绩效管理</w:t>
      </w:r>
      <w:r>
        <w:rPr>
          <w:rFonts w:hint="eastAsia" w:ascii="仿宋" w:hAnsi="仿宋" w:eastAsia="仿宋" w:cs="仿宋"/>
        </w:rPr>
        <w:t>工作情况</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二十二、其他支出(类)彩票公益金安排的支出(款)用于教育事业的彩票公益金支出(项)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10"/>
              <w:jc w:val="center"/>
              <w:rPr>
                <w:rFonts w:ascii="仿宋" w:hAnsi="仿宋" w:eastAsia="仿宋" w:cs="仿宋"/>
                <w:b/>
                <w:bCs/>
                <w:sz w:val="52"/>
                <w:szCs w:val="52"/>
              </w:rPr>
            </w:pPr>
            <w:r>
              <w:rPr>
                <w:rFonts w:hint="eastAsia" w:ascii="仿宋" w:hAnsi="仿宋" w:eastAsia="仿宋" w:cs="仿宋"/>
                <w:b/>
                <w:bCs/>
                <w:sz w:val="52"/>
                <w:szCs w:val="52"/>
              </w:rPr>
              <w:t>第五部分</w:t>
            </w:r>
          </w:p>
          <w:p>
            <w:pPr>
              <w:pStyle w:val="10"/>
              <w:jc w:val="center"/>
              <w:rPr>
                <w:rFonts w:hint="eastAsia"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附件（无）</w:t>
            </w:r>
          </w:p>
        </w:tc>
      </w:tr>
    </w:tbl>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- 18 -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ascii="黑体" w:hAnsi="黑体" w:eastAsia="黑体" w:cs="黑体"/>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- 30 -</w:t>
                </w:r>
                <w:r>
                  <w:rPr>
                    <w:rFonts w:hint="eastAsia" w:ascii="黑体" w:hAnsi="黑体" w:eastAsia="黑体" w:cs="黑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zMGRlNjViMzdkNzg4ODhmMTQ5NTk2YWFhMDY5ODkifQ=="/>
  </w:docVars>
  <w:rsids>
    <w:rsidRoot w:val="73D72D54"/>
    <w:rsid w:val="00034B45"/>
    <w:rsid w:val="000A4A40"/>
    <w:rsid w:val="000D1ABD"/>
    <w:rsid w:val="000E0761"/>
    <w:rsid w:val="00103ADC"/>
    <w:rsid w:val="00112995"/>
    <w:rsid w:val="0028361F"/>
    <w:rsid w:val="004C5F9C"/>
    <w:rsid w:val="00645EC1"/>
    <w:rsid w:val="00663173"/>
    <w:rsid w:val="008B767E"/>
    <w:rsid w:val="009F0A3C"/>
    <w:rsid w:val="00A57004"/>
    <w:rsid w:val="00D51BDF"/>
    <w:rsid w:val="00DC5006"/>
    <w:rsid w:val="00E54744"/>
    <w:rsid w:val="00EC0846"/>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49418E"/>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7420</Words>
  <Characters>8984</Characters>
  <Lines>77</Lines>
  <Paragraphs>21</Paragraphs>
  <TotalTime>0</TotalTime>
  <ScaleCrop>false</ScaleCrop>
  <LinksUpToDate>false</LinksUpToDate>
  <CharactersWithSpaces>9266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2022-08-23T02:47:24Z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