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中方县花桥镇龙场学校</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中方县花桥镇龙场学校单位概况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中方县花桥镇龙场学校</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负责实施中小学义务教育，促进基础教育发展。为学龄前儿童提供保育和教育服务。落实基础教育教学基本要求和教学基本文件，全面实施素质教育。</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中方县花桥镇龙场学校内设机构包括：本单位内设机构包括：校长室、办公室、财务室、集体办公室、后勤处、体育室、音乐室、实验室、多媒体室、图书室、计算机室、保教处等。</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中方县花桥镇龙场学校2020年部门决算汇总公开单位构成包括：中方县花桥镇龙场学校</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中方县花桥镇龙场学校</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423.38</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2.99</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423.38</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426.36</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426.36</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426.36</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426.36</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中方县花桥镇龙场学校</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426.36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426.36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423.38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423.38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423.38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423.38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423.38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423.38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229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22960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彩票公益金安排的支出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2296004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用于教育事业的彩票公益金支出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中方县花桥镇龙场学校</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426.36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426.36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423.38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423.38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423.38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423.38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423.38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423.38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229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22960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彩票公益金安排的支出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2296004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用于教育事业的彩票公益金支出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中方县花桥镇龙场学校</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423.38</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423.38</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423.38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2.99</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426.36</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426.36</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423.38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2.99</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426.36</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426.36</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423.38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2.99</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中方县花桥镇龙场学校</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423.38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423.38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423.38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423.38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423.38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423.38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423.38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423.38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中方县花桥镇龙场学校</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375.91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19.08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186.17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8.73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120.10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0.21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38.35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3.12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0.66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21.82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9.47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3.21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28.39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16.51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11.59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0.29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0.61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404.30</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19.08</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中方县花桥镇龙场学校</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ascii="仿宋" w:hAnsi="仿宋" w:eastAsia="仿宋" w:cs="仿宋"/>
        </w:rPr>
        <w:t>中方县花桥镇龙场学校</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中方县花桥镇龙场学校</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2.99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2.99</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2.99</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229</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2.99</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2.99</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22960</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彩票公益金安排的支出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2.99</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2.99</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2296004</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用于教育事业的彩票公益金支出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2.99</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2.99</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中方县花桥镇龙场学校</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中方县花桥镇龙场学校</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default" w:ascii="仿宋" w:hAnsi="仿宋" w:eastAsia="仿宋" w:cs="仿宋"/>
          <w:lang w:val="en-US" w:eastAsia="zh-CN"/>
        </w:rPr>
      </w:pPr>
      <w:r>
        <w:rPr>
          <w:rFonts w:ascii="仿宋" w:hAnsi="仿宋" w:eastAsia="仿宋" w:cs="仿宋"/>
        </w:rPr>
        <w:t>2020年度收入总计426.36万元，与上年相比</w:t>
      </w:r>
      <w:r>
        <w:rPr>
          <w:rFonts w:hint="eastAsia" w:ascii="仿宋" w:hAnsi="仿宋" w:eastAsia="仿宋" w:cs="仿宋"/>
          <w:lang w:eastAsia="zh-CN"/>
        </w:rPr>
        <w:t>减少</w:t>
      </w:r>
      <w:r>
        <w:rPr>
          <w:rFonts w:hint="eastAsia" w:ascii="仿宋" w:hAnsi="仿宋" w:eastAsia="仿宋" w:cs="仿宋"/>
          <w:lang w:val="en-US" w:eastAsia="zh-CN"/>
        </w:rPr>
        <w:t>14.33</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3.25%</w:t>
      </w:r>
      <w:r>
        <w:rPr>
          <w:rFonts w:ascii="仿宋" w:hAnsi="仿宋" w:eastAsia="仿宋" w:cs="仿宋"/>
        </w:rPr>
        <w:t>，主要是因为</w:t>
      </w:r>
      <w:r>
        <w:rPr>
          <w:rFonts w:hint="eastAsia" w:ascii="仿宋" w:hAnsi="仿宋" w:eastAsia="仿宋" w:cs="仿宋"/>
          <w:lang w:eastAsia="zh-CN"/>
        </w:rPr>
        <w:t>单位人员减少，</w:t>
      </w:r>
      <w:r>
        <w:rPr>
          <w:rFonts w:hint="eastAsia" w:ascii="仿宋" w:hAnsi="仿宋" w:eastAsia="仿宋" w:cs="仿宋"/>
          <w:lang w:val="en-US" w:eastAsia="zh-CN"/>
        </w:rPr>
        <w:t>预算收入减少。</w:t>
      </w:r>
      <w:r>
        <w:rPr>
          <w:rFonts w:ascii="仿宋" w:hAnsi="仿宋" w:eastAsia="仿宋" w:cs="仿宋"/>
        </w:rPr>
        <w:t>支出总计426.36万元，与上年相比</w:t>
      </w:r>
      <w:r>
        <w:rPr>
          <w:rFonts w:hint="eastAsia" w:ascii="仿宋" w:hAnsi="仿宋" w:eastAsia="仿宋" w:cs="仿宋"/>
          <w:lang w:eastAsia="zh-CN"/>
        </w:rPr>
        <w:t>减少</w:t>
      </w:r>
      <w:r>
        <w:rPr>
          <w:rFonts w:hint="eastAsia" w:ascii="仿宋" w:hAnsi="仿宋" w:eastAsia="仿宋" w:cs="仿宋"/>
          <w:lang w:val="en-US" w:eastAsia="zh-CN"/>
        </w:rPr>
        <w:t>14.33</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3.25%</w:t>
      </w:r>
      <w:r>
        <w:rPr>
          <w:rFonts w:ascii="仿宋" w:hAnsi="仿宋" w:eastAsia="仿宋" w:cs="仿宋"/>
        </w:rPr>
        <w:t>，主要是因为</w:t>
      </w:r>
      <w:r>
        <w:rPr>
          <w:rFonts w:hint="eastAsia" w:ascii="仿宋" w:hAnsi="仿宋" w:eastAsia="仿宋" w:cs="仿宋"/>
          <w:lang w:eastAsia="zh-CN"/>
        </w:rPr>
        <w:t>单位人员减少，</w:t>
      </w:r>
      <w:r>
        <w:rPr>
          <w:rFonts w:hint="eastAsia" w:ascii="仿宋" w:hAnsi="仿宋" w:eastAsia="仿宋" w:cs="仿宋"/>
          <w:lang w:val="en-US" w:eastAsia="zh-CN"/>
        </w:rPr>
        <w:t>人员经费支出减少。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本年收入合计426.36万元，其中：财政拨款收入426.36万元，占100%；上级补助收入0万元，占0%；事业收入0万元，占0%；经营收入0万元，占0%；附属单位上缴收入0万元，占0%；其他收入0万元，占0%。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43625"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本年支出合计426.36万元，其中：基本支出426.36万元，占100%；项目支出0万元，占0%；上缴上级支出0万元，占0%；经营支出0万元，占0%；对附属单位补助支出0万元，占0%。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43625"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default" w:ascii="仿宋" w:hAnsi="仿宋" w:eastAsia="仿宋" w:cs="仿宋"/>
          <w:lang w:val="en-US" w:eastAsia="zh-CN"/>
        </w:rPr>
      </w:pPr>
      <w:r>
        <w:rPr>
          <w:rFonts w:ascii="仿宋" w:hAnsi="仿宋" w:eastAsia="仿宋" w:cs="仿宋"/>
        </w:rPr>
        <w:t>2020年度财政拨款收入总计426.36万元，与上年相比</w:t>
      </w:r>
      <w:r>
        <w:rPr>
          <w:rFonts w:hint="eastAsia" w:ascii="仿宋" w:hAnsi="仿宋" w:eastAsia="仿宋" w:cs="仿宋"/>
          <w:lang w:eastAsia="zh-CN"/>
        </w:rPr>
        <w:t>减少</w:t>
      </w:r>
      <w:r>
        <w:rPr>
          <w:rFonts w:hint="eastAsia" w:ascii="仿宋" w:hAnsi="仿宋" w:eastAsia="仿宋" w:cs="仿宋"/>
          <w:lang w:val="en-US" w:eastAsia="zh-CN"/>
        </w:rPr>
        <w:t>14.33</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3.25%</w:t>
      </w:r>
      <w:r>
        <w:rPr>
          <w:rFonts w:ascii="仿宋" w:hAnsi="仿宋" w:eastAsia="仿宋" w:cs="仿宋"/>
        </w:rPr>
        <w:t>，主要是因为</w:t>
      </w:r>
      <w:r>
        <w:rPr>
          <w:rFonts w:hint="eastAsia" w:ascii="仿宋" w:hAnsi="仿宋" w:eastAsia="仿宋" w:cs="仿宋"/>
          <w:lang w:eastAsia="zh-CN"/>
        </w:rPr>
        <w:t>单位人员减少，</w:t>
      </w:r>
      <w:r>
        <w:rPr>
          <w:rFonts w:hint="eastAsia" w:ascii="仿宋" w:hAnsi="仿宋" w:eastAsia="仿宋" w:cs="仿宋"/>
          <w:lang w:val="en-US" w:eastAsia="zh-CN"/>
        </w:rPr>
        <w:t>预算收入减少。</w:t>
      </w:r>
      <w:r>
        <w:rPr>
          <w:rFonts w:ascii="仿宋" w:hAnsi="仿宋" w:eastAsia="仿宋" w:cs="仿宋"/>
        </w:rPr>
        <w:t>支出总计426.36万元，与上年相比</w:t>
      </w:r>
      <w:r>
        <w:rPr>
          <w:rFonts w:hint="eastAsia" w:ascii="仿宋" w:hAnsi="仿宋" w:eastAsia="仿宋" w:cs="仿宋"/>
          <w:lang w:eastAsia="zh-CN"/>
        </w:rPr>
        <w:t>减少</w:t>
      </w:r>
      <w:r>
        <w:rPr>
          <w:rFonts w:hint="eastAsia" w:ascii="仿宋" w:hAnsi="仿宋" w:eastAsia="仿宋" w:cs="仿宋"/>
          <w:lang w:val="en-US" w:eastAsia="zh-CN"/>
        </w:rPr>
        <w:t>14.33</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3.25%</w:t>
      </w:r>
      <w:r>
        <w:rPr>
          <w:rFonts w:ascii="仿宋" w:hAnsi="仿宋" w:eastAsia="仿宋" w:cs="仿宋"/>
        </w:rPr>
        <w:t>，主要是因为</w:t>
      </w:r>
      <w:r>
        <w:rPr>
          <w:rFonts w:hint="eastAsia" w:ascii="仿宋" w:hAnsi="仿宋" w:eastAsia="仿宋" w:cs="仿宋"/>
          <w:lang w:eastAsia="zh-CN"/>
        </w:rPr>
        <w:t>单位人员减少，</w:t>
      </w:r>
      <w:r>
        <w:rPr>
          <w:rFonts w:hint="eastAsia" w:ascii="仿宋" w:hAnsi="仿宋" w:eastAsia="仿宋" w:cs="仿宋"/>
          <w:lang w:val="en-US" w:eastAsia="zh-CN"/>
        </w:rPr>
        <w:t>人员经费支出减少。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bookmarkStart w:id="3" w:name="_GoBack"/>
      <w:bookmarkEnd w:id="3"/>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2020年度财政拨款支出423.38万元，占本年支出合计的99.3%，与上年相比</w:t>
      </w:r>
      <w:r>
        <w:rPr>
          <w:rFonts w:hint="eastAsia" w:ascii="仿宋" w:hAnsi="仿宋" w:eastAsia="仿宋" w:cs="仿宋"/>
          <w:lang w:eastAsia="zh-CN"/>
        </w:rPr>
        <w:t>减少</w:t>
      </w:r>
      <w:r>
        <w:rPr>
          <w:rFonts w:hint="eastAsia" w:ascii="仿宋" w:hAnsi="仿宋" w:eastAsia="仿宋" w:cs="仿宋"/>
          <w:lang w:val="en-US" w:eastAsia="zh-CN"/>
        </w:rPr>
        <w:t>17.31</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3.92%</w:t>
      </w:r>
      <w:r>
        <w:rPr>
          <w:rFonts w:ascii="仿宋" w:hAnsi="仿宋" w:eastAsia="仿宋" w:cs="仿宋"/>
        </w:rPr>
        <w:t>（去年决算数为</w:t>
      </w:r>
      <w:r>
        <w:rPr>
          <w:rFonts w:hint="eastAsia" w:ascii="仿宋" w:hAnsi="仿宋" w:eastAsia="仿宋" w:cs="仿宋"/>
          <w:lang w:val="en-US" w:eastAsia="zh-CN"/>
        </w:rPr>
        <w:t>440.69</w:t>
      </w:r>
      <w:r>
        <w:rPr>
          <w:rFonts w:ascii="仿宋" w:hAnsi="仿宋" w:eastAsia="仿宋" w:cs="仿宋"/>
        </w:rPr>
        <w:t>万元），主要是因为</w:t>
      </w:r>
      <w:r>
        <w:rPr>
          <w:rFonts w:hint="eastAsia" w:ascii="仿宋" w:hAnsi="仿宋" w:eastAsia="仿宋" w:cs="仿宋"/>
          <w:lang w:eastAsia="zh-CN"/>
        </w:rPr>
        <w:t>单位人员减少。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2020年度财政拨款支出423.38万元，主要用于以下方面：教育支出（类）423.38万元，占100%。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2020年度财政拨款支出年初预算数为437.3万元，支出决算数为423.38万元，完成年初预算的96.82%，其中：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1、教育支出（类）普通教育（款）小学教育（项）。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年初预算为437.3万元，支出决算为423.38万元，完成年初预算的96.82%，决算数小于预算数的主要原因是：住房公积金计入预算数，而未计入决算数。</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423.38万元，其中：人员经费404.3万元，占基本支出的95.49%，主要包括：基本工资、津贴补贴、机关事业单位基本养老保险缴费、职工基本医疗保险缴费、其他社会保障缴费、生活补助、助学金、奖励金；公用经费19.08万元，占基本支出的4.51%，主要包括：办公费、印刷费、水费、电费、邮电费、差旅费、维修（护）费、其他商品和服务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2020年度政府性基金预算财政拨款收入2.99万元；年初结转和结余0万元；支出2.99万元，其中基本支出2.99万元，项目支出0万元；年末结转和结余0万元。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2020年本部门开支会议费0万元。开支培训费0万元。未举办节庆、晚会、论坛、赛事等活动。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本部门没有开展预算绩效评价工作。</w:t>
      </w:r>
    </w:p>
    <w:p>
      <w:pPr>
        <w:pStyle w:val="9"/>
        <w:tabs>
          <w:tab w:val="left" w:pos="5967"/>
        </w:tabs>
        <w:jc w:val="left"/>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十九、其他支出(类)彩票公益金安排的支出(款)用于教育事业的彩票公益金支出(项)</w:t>
      </w:r>
      <w:r>
        <w:rPr>
          <w:rFonts w:ascii="仿宋" w:hAnsi="仿宋" w:eastAsia="仿宋" w:cs="仿宋"/>
          <w:b/>
          <w:color w:val="000000"/>
          <w:sz w:val="32"/>
        </w:rPr>
        <w:t>：</w:t>
      </w:r>
      <w:r>
        <w:rPr>
          <w:rFonts w:hint="eastAsia" w:ascii="仿宋" w:hAnsi="仿宋" w:eastAsia="仿宋" w:cs="仿宋"/>
          <w:color w:val="000000"/>
          <w:kern w:val="0"/>
          <w:sz w:val="32"/>
          <w:szCs w:val="32"/>
        </w:rPr>
        <w:t>反映用于教育事业的彩票公益金支出。</w:t>
      </w: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852A4D"/>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4026C"/>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C64916"/>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6437</Words>
  <Characters>7563</Characters>
  <Lines>0</Lines>
  <Paragraphs>0</Paragraphs>
  <TotalTime>0</TotalTime>
  <ScaleCrop>false</ScaleCrop>
  <LinksUpToDate>false</LinksUpToDate>
  <CharactersWithSpaces>7809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E135852BC1734781BD688B068056ACB6</vt:lpwstr>
  </property>
</Properties>
</file>