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中方县中方镇中心小学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中方县中方镇中心小学单位概况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中方县中方镇中心小学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认真贯彻落实国家教育工作方针、政策和法律、法规，执行上级党委及教育行政部门的决议，努力按教育规律办学，全面完成教育教学任务。组织制定和实施学校发展规划和学年工作计划。领导师生的思想政治工作，引导教职工坚持正确的教育原则、方法。为国家培养爱国、爱家，思想政治和身体素质均过硬的社会主义接班人。</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中方县中方镇中心小学内设机构包括：校长室、办公室、教务处、教科室、德育处、综治办、总务处7个职能室。核定编制115人，其中事业编制115人，实有在职人数109人。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中方县中方镇中心小学2020年部门决算汇总公开单位构成包括：中方县中方镇中心小学，无二级预算单位。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中方县中方镇中心小学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1,415.77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1,415.77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1,415.77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1,415.77</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中方县中方镇中心小学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1,415.77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1,415.77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1,412.34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1,412.34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1,412.34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1,412.34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1,398.70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1,398.70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中方县中方镇中心小学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1,415.77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1,415.77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1,412.34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1,412.34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1,412.34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1,412.34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1,398.70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1,398.70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中方县中方镇中心小学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1,415.77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1,415.77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3.43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1,415.77</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1,415.77</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1,412.34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3.43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中方县中方镇中心小学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1,412.34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1,398.70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1,398.70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中方县中方镇中心小学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1,244.73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109.75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570.91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398.98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7.55</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7.55</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133.60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70.53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9.37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41.10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50.31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5.73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7.94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6.58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7.07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7.96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1,295.04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117.30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中方县中方镇中心小学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中方县中方镇中心小学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中方县中方镇中心小学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3.43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3.43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中方县中方镇中心小学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中方县中方镇中心小学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2020年度收入总计1,415.77万元，与上年相比</w:t>
      </w:r>
      <w:r>
        <w:rPr>
          <w:rFonts w:hint="eastAsia" w:ascii="仿宋" w:hAnsi="仿宋" w:eastAsia="仿宋" w:cs="仿宋"/>
          <w:lang w:eastAsia="zh-CN"/>
        </w:rPr>
        <w:t>减少</w:t>
      </w:r>
      <w:r>
        <w:rPr>
          <w:rFonts w:hint="eastAsia" w:ascii="仿宋" w:hAnsi="仿宋" w:eastAsia="仿宋" w:cs="仿宋"/>
          <w:lang w:val="en-US" w:eastAsia="zh-CN"/>
        </w:rPr>
        <w:t>339.3</w:t>
      </w:r>
      <w:r>
        <w:rPr>
          <w:rFonts w:ascii="仿宋" w:hAnsi="仿宋" w:eastAsia="仿宋" w:cs="仿宋"/>
        </w:rPr>
        <w:t>万元，</w:t>
      </w:r>
      <w:r>
        <w:rPr>
          <w:rFonts w:hint="eastAsia" w:ascii="仿宋" w:hAnsi="仿宋" w:eastAsia="仿宋" w:cs="仿宋"/>
          <w:lang w:val="en-US" w:eastAsia="zh-CN"/>
        </w:rPr>
        <w:t>减少31.5%，</w:t>
      </w:r>
      <w:r>
        <w:rPr>
          <w:rFonts w:ascii="仿宋" w:hAnsi="仿宋" w:eastAsia="仿宋" w:cs="仿宋"/>
        </w:rPr>
        <w:t>主要是因为</w:t>
      </w:r>
      <w:r>
        <w:rPr>
          <w:rFonts w:hint="eastAsia" w:ascii="仿宋" w:hAnsi="仿宋" w:eastAsia="仿宋" w:cs="仿宋"/>
          <w:lang w:eastAsia="zh-CN"/>
        </w:rPr>
        <w:t>人员减少，</w:t>
      </w:r>
      <w:r>
        <w:rPr>
          <w:rFonts w:hint="eastAsia" w:ascii="仿宋" w:hAnsi="仿宋" w:eastAsia="仿宋" w:cs="仿宋"/>
          <w:lang w:val="en-US" w:eastAsia="zh-CN"/>
        </w:rPr>
        <w:t>经费收入减少，</w:t>
      </w:r>
      <w:r>
        <w:rPr>
          <w:rFonts w:ascii="仿宋" w:hAnsi="仿宋" w:eastAsia="仿宋" w:cs="仿宋"/>
        </w:rPr>
        <w:t>支出总计1,415.77万元，与上年相比</w:t>
      </w:r>
      <w:r>
        <w:rPr>
          <w:rFonts w:hint="eastAsia" w:ascii="仿宋" w:hAnsi="仿宋" w:eastAsia="仿宋" w:cs="仿宋"/>
          <w:lang w:eastAsia="zh-CN"/>
        </w:rPr>
        <w:t>减少</w:t>
      </w:r>
      <w:r>
        <w:rPr>
          <w:rFonts w:hint="eastAsia" w:ascii="仿宋" w:hAnsi="仿宋" w:eastAsia="仿宋" w:cs="仿宋"/>
          <w:lang w:val="en-US" w:eastAsia="zh-CN"/>
        </w:rPr>
        <w:t>339.3</w:t>
      </w:r>
      <w:r>
        <w:rPr>
          <w:rFonts w:ascii="仿宋" w:hAnsi="仿宋" w:eastAsia="仿宋" w:cs="仿宋"/>
        </w:rPr>
        <w:t>万元，</w:t>
      </w:r>
      <w:r>
        <w:rPr>
          <w:rFonts w:hint="eastAsia" w:ascii="仿宋" w:hAnsi="仿宋" w:eastAsia="仿宋" w:cs="仿宋"/>
          <w:lang w:val="en-US" w:eastAsia="zh-CN"/>
        </w:rPr>
        <w:t>减少31.5%，</w:t>
      </w:r>
      <w:r>
        <w:rPr>
          <w:rFonts w:ascii="仿宋" w:hAnsi="仿宋" w:eastAsia="仿宋" w:cs="仿宋"/>
        </w:rPr>
        <w:t>主要是因为</w:t>
      </w:r>
      <w:r>
        <w:rPr>
          <w:rFonts w:hint="eastAsia" w:ascii="仿宋" w:hAnsi="仿宋" w:eastAsia="仿宋" w:cs="仿宋"/>
          <w:lang w:eastAsia="zh-CN"/>
        </w:rPr>
        <w:t>人员减少，</w:t>
      </w:r>
      <w:r>
        <w:rPr>
          <w:rFonts w:hint="eastAsia" w:ascii="仿宋" w:hAnsi="仿宋" w:eastAsia="仿宋" w:cs="仿宋"/>
          <w:lang w:val="en-US" w:eastAsia="zh-CN"/>
        </w:rPr>
        <w:t>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本年收入合计1,415.77万元，其中：财政拨款收入1,415.77万元，占100%；上级补助收入0万元，占0%；事业收入0万元，占0%；经营收入0万元，占0%；附属单位上缴收入0万元，占0%；其他收入0万元，占0%。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本年支出合计1,415.77万元，其中：基本支出1,415.77万元，占100%；项目支出0万元，占0%；上缴上级支出0万元，占0%；经营支出0万元，占0%；对附属单位补助支出0万元，占0%。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2020年度财政拨款收入总计1,415.77万元，与上年相比</w:t>
      </w:r>
      <w:r>
        <w:rPr>
          <w:rFonts w:hint="eastAsia" w:ascii="仿宋" w:hAnsi="仿宋" w:eastAsia="仿宋" w:cs="仿宋"/>
          <w:lang w:eastAsia="zh-CN"/>
        </w:rPr>
        <w:t>减少</w:t>
      </w:r>
      <w:r>
        <w:rPr>
          <w:rFonts w:hint="eastAsia" w:ascii="仿宋" w:hAnsi="仿宋" w:eastAsia="仿宋" w:cs="仿宋"/>
          <w:lang w:val="en-US" w:eastAsia="zh-CN"/>
        </w:rPr>
        <w:t>339.3</w:t>
      </w:r>
      <w:r>
        <w:rPr>
          <w:rFonts w:ascii="仿宋" w:hAnsi="仿宋" w:eastAsia="仿宋" w:cs="仿宋"/>
        </w:rPr>
        <w:t>万元，</w:t>
      </w:r>
      <w:r>
        <w:rPr>
          <w:rFonts w:hint="eastAsia" w:ascii="仿宋" w:hAnsi="仿宋" w:eastAsia="仿宋" w:cs="仿宋"/>
          <w:lang w:val="en-US" w:eastAsia="zh-CN"/>
        </w:rPr>
        <w:t>减少31.5%，</w:t>
      </w:r>
      <w:r>
        <w:rPr>
          <w:rFonts w:ascii="仿宋" w:hAnsi="仿宋" w:eastAsia="仿宋" w:cs="仿宋"/>
        </w:rPr>
        <w:t>主要是因为</w:t>
      </w:r>
      <w:r>
        <w:rPr>
          <w:rFonts w:hint="eastAsia" w:ascii="仿宋" w:hAnsi="仿宋" w:eastAsia="仿宋" w:cs="仿宋"/>
          <w:lang w:eastAsia="zh-CN"/>
        </w:rPr>
        <w:t>人员减少，</w:t>
      </w:r>
      <w:r>
        <w:rPr>
          <w:rFonts w:hint="eastAsia" w:ascii="仿宋" w:hAnsi="仿宋" w:eastAsia="仿宋" w:cs="仿宋"/>
          <w:lang w:val="en-US" w:eastAsia="zh-CN"/>
        </w:rPr>
        <w:t>经费收入减少，</w:t>
      </w:r>
      <w:r>
        <w:rPr>
          <w:rFonts w:ascii="仿宋" w:hAnsi="仿宋" w:eastAsia="仿宋" w:cs="仿宋"/>
        </w:rPr>
        <w:t>支出总计1,415.77万元，与上年相比</w:t>
      </w:r>
      <w:r>
        <w:rPr>
          <w:rFonts w:hint="eastAsia" w:ascii="仿宋" w:hAnsi="仿宋" w:eastAsia="仿宋" w:cs="仿宋"/>
          <w:lang w:eastAsia="zh-CN"/>
        </w:rPr>
        <w:t>减少</w:t>
      </w:r>
      <w:r>
        <w:rPr>
          <w:rFonts w:hint="eastAsia" w:ascii="仿宋" w:hAnsi="仿宋" w:eastAsia="仿宋" w:cs="仿宋"/>
          <w:lang w:val="en-US" w:eastAsia="zh-CN"/>
        </w:rPr>
        <w:t>339.3</w:t>
      </w:r>
      <w:r>
        <w:rPr>
          <w:rFonts w:ascii="仿宋" w:hAnsi="仿宋" w:eastAsia="仿宋" w:cs="仿宋"/>
        </w:rPr>
        <w:t>万元，</w:t>
      </w:r>
      <w:r>
        <w:rPr>
          <w:rFonts w:hint="eastAsia" w:ascii="仿宋" w:hAnsi="仿宋" w:eastAsia="仿宋" w:cs="仿宋"/>
          <w:lang w:val="en-US" w:eastAsia="zh-CN"/>
        </w:rPr>
        <w:t>减少31.5%，</w:t>
      </w:r>
      <w:r>
        <w:rPr>
          <w:rFonts w:ascii="仿宋" w:hAnsi="仿宋" w:eastAsia="仿宋" w:cs="仿宋"/>
        </w:rPr>
        <w:t>主要是因为</w:t>
      </w:r>
      <w:r>
        <w:rPr>
          <w:rFonts w:hint="eastAsia" w:ascii="仿宋" w:hAnsi="仿宋" w:eastAsia="仿宋" w:cs="仿宋"/>
          <w:lang w:eastAsia="zh-CN"/>
        </w:rPr>
        <w:t>人员减少，</w:t>
      </w:r>
      <w:r>
        <w:rPr>
          <w:rFonts w:hint="eastAsia" w:ascii="仿宋" w:hAnsi="仿宋" w:eastAsia="仿宋" w:cs="仿宋"/>
          <w:lang w:val="en-US" w:eastAsia="zh-CN"/>
        </w:rPr>
        <w:t>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2020年度财政拨款支出1,412.34万元，占本年支出合计的99.76%，与上年相比，财政拨款支出</w:t>
      </w:r>
      <w:r>
        <w:rPr>
          <w:rFonts w:hint="eastAsia" w:ascii="仿宋" w:hAnsi="仿宋" w:eastAsia="仿宋" w:cs="仿宋"/>
          <w:lang w:eastAsia="zh-CN"/>
        </w:rPr>
        <w:t>减少</w:t>
      </w:r>
      <w:r>
        <w:rPr>
          <w:rFonts w:hint="eastAsia" w:ascii="仿宋" w:hAnsi="仿宋" w:eastAsia="仿宋" w:cs="仿宋"/>
          <w:lang w:val="en-US" w:eastAsia="zh-CN"/>
        </w:rPr>
        <w:t>342.73</w:t>
      </w:r>
      <w:r>
        <w:rPr>
          <w:rFonts w:ascii="仿宋" w:hAnsi="仿宋" w:eastAsia="仿宋" w:cs="仿宋"/>
        </w:rPr>
        <w:t>万元，去年决算数为</w:t>
      </w:r>
      <w:r>
        <w:rPr>
          <w:rFonts w:hint="eastAsia" w:ascii="仿宋" w:hAnsi="仿宋" w:eastAsia="仿宋" w:cs="仿宋"/>
          <w:lang w:val="en-US" w:eastAsia="zh-CN"/>
        </w:rPr>
        <w:t>1755.07</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19.53%</w:t>
      </w:r>
      <w:r>
        <w:rPr>
          <w:rFonts w:ascii="仿宋" w:hAnsi="仿宋" w:eastAsia="仿宋" w:cs="仿宋"/>
        </w:rPr>
        <w:t>。主要是因为</w:t>
      </w:r>
      <w:r>
        <w:rPr>
          <w:rFonts w:hint="eastAsia" w:ascii="仿宋" w:hAnsi="仿宋" w:eastAsia="仿宋" w:cs="仿宋"/>
          <w:lang w:eastAsia="zh-CN"/>
        </w:rPr>
        <w:t>人员减少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2020年度财政拨款支出1,412.34万元，主要用于以下方面：教育支出（类）1,412.34万元，占100%。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2020年度财政拨款支出年初预算数为1,423.45万元，支出决算数为1,412.34万元，完成年初预算的99.22%，其中：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年初预算为13.19万元，支出决算为13.19万元，完成年初预算的100%。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年初预算为1,398.7万元，支出决算为1,398.7万元，完成年初预算的100%。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年初预算为0.45万元，支出决算为0.45万元，完成年初预算的100%。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1,412.34万元，其中：人员经费1,295.04万元，占基本支出的91.69%，主要包括：基本工资、津贴补贴、奖金、机关事业单位基本养老保险缴费、职工基本医疗保险缴费、其他社会保障缴费、其他工资福利支出、抚恤金、生活补助、奖励金、其他对个人和家庭的补助；公用经费117.3万元，占基本支出的8.31%，主要包括：办公费、印刷费、手续费、水费、电费、邮电费、物业管理费、差旅费、维修（护）费、租赁费、会议费、培训费、专用材料费、劳务费、委托业务费、工会经费、福利费、其他交通费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3、公务用车购置费及运行维护费支出决算为0万元。截止2020年12月31日，我单位开支财政拨款的公务用车保有量为1辆。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2020年度政府性基金预算财政拨款收入3.43万元；年初结转和结余0万元；支出3.43万元，其中基本支出3.43万元，项目支出0万元；年末结转和结余0万元。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2020年本部门开支会议费0万元。开支培训费0万元。举办未举办相关活动等节庆、晚会、论坛、赛事活动，开支0万元，主要是未举办相关活动。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1辆，其中，主要领导干部用车0辆、机要通信用车0辆、应急保障用车0辆、执法执勤用车0辆、特种专业技术用车0辆、其他用车1辆，其他用车主要是1台学生校车;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020B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31771"/>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6864</Words>
  <Characters>8253</Characters>
  <Lines>0</Lines>
  <Paragraphs>0</Paragraphs>
  <TotalTime>0</TotalTime>
  <ScaleCrop>false</ScaleCrop>
  <LinksUpToDate>false</LinksUpToDate>
  <CharactersWithSpaces>8523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