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中方县泸阳镇中心小学</w:t>
            </w:r>
            <w:r>
              <w:rPr>
                <w:rFonts w:ascii="宋体" w:hAnsi="宋体" w:eastAsia="宋体" w:cs="宋体"/>
                <w:b/>
                <w:sz w:val="52"/>
              </w:rPr>
              <w:t>单位</w:t>
            </w:r>
            <w:r>
              <w:rPr>
                <w:rFonts w:hint="eastAsia" w:ascii="宋体" w:hAnsi="宋体" w:eastAsia="宋体" w:cs="宋体"/>
                <w:b/>
                <w:bCs/>
                <w:sz w:val="52"/>
                <w:szCs w:val="52"/>
                <w:lang w:val="en-US" w:eastAsia="zh-CN"/>
              </w:rPr>
              <w:t>决算</w:t>
            </w:r>
          </w:p>
          <w:p>
            <w:pPr>
              <w:pStyle w:val="9"/>
              <w:jc w:val="center"/>
              <w:rPr>
                <w:rFonts w:hint="default" w:ascii="宋体" w:hAnsi="宋体" w:eastAsia="宋体" w:cs="宋体"/>
                <w:b/>
                <w:bCs/>
                <w:sz w:val="52"/>
                <w:szCs w:val="5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pPr>
              <w:pStyle w:val="9"/>
              <w:jc w:val="both"/>
              <w:rPr>
                <w:rFonts w:hint="eastAsia"/>
                <w:sz w:val="44"/>
                <w:szCs w:val="44"/>
                <w:vertAlign w:val="baseline"/>
                <w:lang w:val="en-US" w:eastAsia="zh-CN"/>
              </w:rPr>
            </w:pPr>
          </w:p>
        </w:tc>
      </w:tr>
    </w:tbl>
    <w:p>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中方县泸阳镇中心小学单位概况</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lang w:val="en-US" w:eastAsia="zh-CN"/>
        </w:rPr>
        <w:t>五</w:t>
      </w:r>
      <w:r>
        <w:rPr>
          <w:rFonts w:hint="eastAsia" w:ascii="仿宋" w:hAnsi="仿宋" w:eastAsia="仿宋" w:cs="仿宋"/>
          <w:b/>
          <w:color w:val="000000"/>
          <w:kern w:val="0"/>
          <w:sz w:val="28"/>
          <w:szCs w:val="28"/>
        </w:rPr>
        <w:t>部分</w:t>
      </w:r>
      <w:r>
        <w:rPr>
          <w:rFonts w:hint="eastAsia" w:ascii="仿宋" w:hAnsi="仿宋" w:eastAsia="仿宋" w:cs="仿宋"/>
          <w:b/>
          <w:color w:val="000000"/>
          <w:kern w:val="0"/>
          <w:sz w:val="28"/>
          <w:szCs w:val="28"/>
          <w:lang w:val="en-US" w:eastAsia="zh-CN"/>
        </w:rPr>
        <w:t>附件</w:t>
      </w:r>
    </w:p>
    <w:p>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pPr>
        <w:pStyle w:val="9"/>
        <w:jc w:val="center"/>
        <w:rPr>
          <w:rFonts w:hint="eastAsia" w:ascii="仿宋" w:hAnsi="仿宋" w:eastAsia="仿宋" w:cs="仿宋"/>
          <w:b/>
          <w:bCs/>
          <w:sz w:val="52"/>
          <w:szCs w:val="5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中方县泸阳镇中心小学</w:t>
      </w:r>
    </w:p>
    <w:p>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pPr>
        <w:rPr>
          <w:rFonts w:ascii="黑体" w:hAnsi="黑体" w:eastAsia="黑体"/>
          <w:sz w:val="32"/>
          <w:szCs w:val="32"/>
        </w:rPr>
      </w:pPr>
      <w:r>
        <w:rPr>
          <w:rFonts w:ascii="黑体" w:hAnsi="黑体" w:eastAsia="黑体"/>
          <w:sz w:val="32"/>
          <w:szCs w:val="32"/>
        </w:rPr>
        <w:br w:type="page"/>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1、实施小学义务教育，促进基础教育发展。</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2、小学学历教育。</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3、为学龄前儿童提供保育和教育服务。</w:t>
      </w:r>
    </w:p>
    <w:p>
      <w:pPr>
        <w:jc w:val="left"/>
        <w:rPr>
          <w:rFonts w:hint="eastAsia" w:ascii="仿宋" w:hAnsi="仿宋" w:eastAsia="仿宋" w:cs="仿宋"/>
          <w:sz w:val="28"/>
          <w:szCs w:val="32"/>
        </w:rPr>
      </w:pP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中方县泸阳镇中心小学内设机构包括：本单位内设机构包括：总务处、办公室、教导处、德育处等。</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中方县泸阳镇中心小学2020年部门决算汇总公开单位构成包括：中方县泸阳镇中心小学，无二级预算单位。</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pPr>
        <w:jc w:val="center"/>
        <w:rPr>
          <w:rFonts w:hint="eastAsia" w:ascii="仿宋" w:hAnsi="仿宋" w:eastAsia="仿宋" w:cs="仿宋"/>
          <w:b/>
          <w:bCs/>
          <w:sz w:val="52"/>
          <w:szCs w:val="52"/>
        </w:rPr>
      </w:pPr>
    </w:p>
    <w:p>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中方县泸阳镇中心小学</w:t>
            </w:r>
          </w:p>
        </w:tc>
        <w:tc>
          <w:tcPr>
            <w:tcW w:w="8660" w:type="dxa"/>
            <w:gridSpan w:val="4"/>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2091.15</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2,088.79</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2.36</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2,091.15</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2,091.15</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2,091.15</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2,091.15</w:t>
            </w:r>
          </w:p>
        </w:tc>
      </w:tr>
      <w:tr>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中方县泸阳镇中心小学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2,091.15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2,091.15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2,088.79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2,088.79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2,088.79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2,088.79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18.74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18.74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2,067.44</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2,067.44</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208</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社会保障和就业支出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2.36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2.36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20807</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就业补助</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2.36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2.36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2080799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其他就业补助支出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2.36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2.36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trPr>
          <w:trHeight w:val="435" w:hRule="atLeast"/>
        </w:trPr>
        <w:tc>
          <w:tcPr>
            <w:tcW w:w="13935" w:type="dxa"/>
            <w:gridSpan w:val="8"/>
            <w:tcBorders>
              <w:top w:val="nil"/>
              <w:left w:val="nil"/>
              <w:bottom w:val="nil"/>
              <w:right w:val="nil"/>
            </w:tcBorders>
            <w:shd w:val="clear" w:color="auto" w:fill="auto"/>
            <w:noWrap/>
            <w:vAlign w:val="center"/>
          </w:tcPr>
          <w:p>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中方县泸阳镇中心小学</w:t>
            </w:r>
          </w:p>
        </w:tc>
        <w:tc>
          <w:tcPr>
            <w:tcW w:w="1470" w:type="dxa"/>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2,091.15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2,091.15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2,088.79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2,088.79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2,088.79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2,088.79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18.74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18.74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2,067.44</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2,067.44</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208</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社会保障和就业支出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2.36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2.36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20807</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就业补助</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2.36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2.36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2080799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其他就业补助支出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2.36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2.36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trPr>
          <w:trHeight w:val="360" w:hRule="atLeast"/>
        </w:trPr>
        <w:tc>
          <w:tcPr>
            <w:tcW w:w="15522" w:type="dxa"/>
            <w:gridSpan w:val="9"/>
            <w:tcBorders>
              <w:top w:val="nil"/>
              <w:left w:val="nil"/>
              <w:bottom w:val="nil"/>
              <w:right w:val="nil"/>
            </w:tcBorders>
            <w:shd w:val="clear" w:color="auto" w:fill="auto"/>
            <w:noWrap/>
            <w:vAlign w:val="center"/>
          </w:tcPr>
          <w:p>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中方县泸阳镇中心小学</w:t>
            </w:r>
          </w:p>
        </w:tc>
        <w:tc>
          <w:tcPr>
            <w:tcW w:w="1414" w:type="dxa"/>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2,091.15</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2,088.79</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2,088.79</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2.36</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2.36</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2,091.15</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2,091.15</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2,091.15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2,091.15</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2,091.15</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2,091.15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中方县泸阳镇中心小学</w:t>
            </w:r>
          </w:p>
        </w:tc>
        <w:tc>
          <w:tcPr>
            <w:tcW w:w="7640" w:type="dxa"/>
            <w:gridSpan w:val="3"/>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2,091.15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2,091.15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2,088.79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2,088.79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2,088.79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2,088.79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18.74</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18.74</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2,067.44</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2,067.44</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208</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社会保障和就业支出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2.36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2.36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20807</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就业补助</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2.36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2.36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2080799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其他就业补助支出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2.36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2.36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中方县泸阳镇中心小学</w:t>
            </w:r>
          </w:p>
        </w:tc>
        <w:tc>
          <w:tcPr>
            <w:tcW w:w="3820" w:type="dxa"/>
            <w:gridSpan w:val="2"/>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1,635.52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279.37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766.94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52.56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556.24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20.53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0.09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18.23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176.34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11.17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96.25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1.59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39.74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24.61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26.70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0.41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176.27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2.72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12.75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22.80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28.12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8.92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4.78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142.28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70.11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2.27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3.86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1,811.78</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279.37</w:t>
            </w:r>
          </w:p>
        </w:tc>
      </w:tr>
      <w:tr>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pPr>
              <w:widowControl/>
              <w:jc w:val="left"/>
              <w:rPr>
                <w:rFonts w:hint="eastAsia" w:ascii="仿宋" w:hAnsi="仿宋" w:eastAsia="仿宋" w:cs="仿宋"/>
                <w:color w:val="000000"/>
                <w:kern w:val="0"/>
                <w:szCs w:val="24"/>
              </w:rPr>
            </w:pPr>
          </w:p>
          <w:p>
            <w:pPr>
              <w:widowControl/>
              <w:jc w:val="left"/>
              <w:rPr>
                <w:rFonts w:hint="eastAsia" w:ascii="仿宋" w:hAnsi="仿宋" w:eastAsia="仿宋" w:cs="仿宋"/>
                <w:color w:val="000000"/>
                <w:kern w:val="0"/>
                <w:szCs w:val="24"/>
              </w:rPr>
            </w:pPr>
          </w:p>
        </w:tc>
      </w:tr>
    </w:tbl>
    <w:p>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中方县泸阳镇中心小学</w:t>
            </w:r>
          </w:p>
        </w:tc>
        <w:tc>
          <w:tcPr>
            <w:tcW w:w="7320" w:type="dxa"/>
            <w:gridSpan w:val="6"/>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中方县泸阳镇中心小学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中方县泸阳镇中心小学</w:t>
            </w:r>
          </w:p>
        </w:tc>
        <w:tc>
          <w:tcPr>
            <w:tcW w:w="1339" w:type="dxa"/>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中方县泸阳镇中心小学</w:t>
            </w:r>
          </w:p>
        </w:tc>
        <w:tc>
          <w:tcPr>
            <w:tcW w:w="7875" w:type="dxa"/>
            <w:gridSpan w:val="3"/>
            <w:tcBorders>
              <w:top w:val="nil"/>
              <w:left w:val="nil"/>
              <w:bottom w:val="single" w:color="auto" w:sz="4" w:space="0"/>
              <w:right w:val="nil"/>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中方县泸阳镇中心小学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pPr>
        <w:pStyle w:val="9"/>
        <w:rPr>
          <w:sz w:val="72"/>
          <w:szCs w:val="72"/>
        </w:rPr>
      </w:pPr>
    </w:p>
    <w:p>
      <w:pPr>
        <w:pStyle w:val="9"/>
        <w:rPr>
          <w:sz w:val="72"/>
          <w:szCs w:val="72"/>
        </w:rPr>
      </w:pPr>
    </w:p>
    <w:p>
      <w:pPr>
        <w:pStyle w:val="9"/>
        <w:rPr>
          <w:sz w:val="72"/>
          <w:szCs w:val="72"/>
        </w:rPr>
      </w:pPr>
    </w:p>
    <w:p>
      <w:pPr>
        <w:pStyle w:val="9"/>
        <w:rPr>
          <w:sz w:val="72"/>
          <w:szCs w:val="72"/>
        </w:rPr>
      </w:pPr>
    </w:p>
    <w:p>
      <w:pPr>
        <w:pStyle w:val="9"/>
        <w:jc w:val="center"/>
        <w:rPr>
          <w:sz w:val="72"/>
          <w:szCs w:val="72"/>
        </w:rPr>
      </w:pPr>
    </w:p>
    <w:p>
      <w:pPr>
        <w:pStyle w:val="9"/>
        <w:jc w:val="center"/>
        <w:rPr>
          <w:rFonts w:hint="eastAsia" w:ascii="仿宋" w:hAnsi="仿宋" w:eastAsia="仿宋" w:cs="仿宋"/>
          <w:b/>
          <w:bCs/>
          <w:sz w:val="72"/>
          <w:szCs w:val="7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pPr>
        <w:pStyle w:val="9"/>
        <w:jc w:val="center"/>
        <w:rPr>
          <w:rFonts w:hint="eastAsia" w:ascii="仿宋" w:hAnsi="仿宋" w:eastAsia="仿宋" w:cs="仿宋"/>
          <w:b/>
          <w:bCs/>
          <w:sz w:val="52"/>
          <w:szCs w:val="5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pPr>
        <w:widowControl/>
        <w:jc w:val="left"/>
        <w:rPr>
          <w:rFonts w:ascii="黑体" w:eastAsia="黑体" w:cs="黑体"/>
          <w:color w:val="000000"/>
          <w:kern w:val="0"/>
          <w:sz w:val="70"/>
          <w:szCs w:val="70"/>
        </w:rPr>
      </w:pPr>
      <w:r>
        <w:rPr>
          <w:sz w:val="70"/>
          <w:szCs w:val="70"/>
        </w:rPr>
        <w:br w:type="page"/>
      </w:r>
    </w:p>
    <w:p>
      <w:pPr>
        <w:pStyle w:val="9"/>
        <w:rPr>
          <w:rFonts w:asciiTheme="minorEastAsia" w:hAnsiTheme="minorEastAsia" w:eastAsiaTheme="minorEastAsia"/>
          <w:sz w:val="32"/>
          <w:szCs w:val="32"/>
        </w:rPr>
      </w:pP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2020年度收入、支出总计2,091.15万元，与上年相比增加</w:t>
      </w:r>
      <w:r>
        <w:rPr>
          <w:rFonts w:hint="eastAsia" w:ascii="仿宋" w:hAnsi="仿宋" w:eastAsia="仿宋" w:cs="仿宋"/>
          <w:lang w:val="en-US" w:eastAsia="zh-CN"/>
        </w:rPr>
        <w:t>344.88</w:t>
      </w:r>
      <w:r>
        <w:rPr>
          <w:rFonts w:ascii="仿宋" w:hAnsi="仿宋" w:eastAsia="仿宋" w:cs="仿宋"/>
        </w:rPr>
        <w:t>万元</w:t>
      </w:r>
      <w:r>
        <w:rPr>
          <w:rFonts w:hint="eastAsia" w:ascii="仿宋" w:hAnsi="仿宋" w:eastAsia="仿宋" w:cs="仿宋"/>
          <w:lang w:eastAsia="zh-CN"/>
        </w:rPr>
        <w:t>，增长比率</w:t>
      </w:r>
      <w:r>
        <w:rPr>
          <w:rFonts w:hint="eastAsia" w:ascii="仿宋" w:hAnsi="仿宋" w:eastAsia="仿宋" w:cs="仿宋"/>
          <w:lang w:val="en-US" w:eastAsia="zh-CN"/>
        </w:rPr>
        <w:t>19.75%</w:t>
      </w:r>
      <w:r>
        <w:rPr>
          <w:rFonts w:ascii="仿宋" w:hAnsi="仿宋" w:eastAsia="仿宋" w:cs="仿宋"/>
        </w:rPr>
        <w:t>，主要是</w:t>
      </w:r>
      <w:r>
        <w:rPr>
          <w:rFonts w:hint="eastAsia" w:ascii="仿宋" w:hAnsi="仿宋" w:eastAsia="仿宋" w:cs="仿宋"/>
          <w:lang w:eastAsia="zh-CN"/>
        </w:rPr>
        <w:t>人员增加、人员经费增长</w:t>
      </w:r>
      <w:r>
        <w:rPr>
          <w:rFonts w:ascii="仿宋" w:hAnsi="仿宋" w:eastAsia="仿宋" w:cs="仿宋"/>
        </w:rPr>
        <w:t>。</w:t>
      </w:r>
      <w:r>
        <w:rPr>
          <w:rFonts w:hint="eastAsia" w:ascii="仿宋" w:hAnsi="仿宋" w:eastAsia="仿宋" w:cs="仿宋"/>
          <w:lang w:val="en-US" w:eastAsia="zh-CN"/>
        </w:rPr>
        <w:t>其中收入</w:t>
      </w:r>
      <w:r>
        <w:rPr>
          <w:rFonts w:ascii="仿宋" w:hAnsi="仿宋" w:eastAsia="仿宋" w:cs="仿宋"/>
        </w:rPr>
        <w:t>2,091.15万元，与上年相比增加</w:t>
      </w:r>
      <w:r>
        <w:rPr>
          <w:rFonts w:hint="eastAsia" w:ascii="仿宋" w:hAnsi="仿宋" w:eastAsia="仿宋" w:cs="仿宋"/>
          <w:lang w:val="en-US" w:eastAsia="zh-CN"/>
        </w:rPr>
        <w:t>344.88</w:t>
      </w:r>
      <w:r>
        <w:rPr>
          <w:rFonts w:ascii="仿宋" w:hAnsi="仿宋" w:eastAsia="仿宋" w:cs="仿宋"/>
        </w:rPr>
        <w:t>万元</w:t>
      </w:r>
      <w:r>
        <w:rPr>
          <w:rFonts w:hint="eastAsia" w:ascii="仿宋" w:hAnsi="仿宋" w:eastAsia="仿宋" w:cs="仿宋"/>
          <w:lang w:eastAsia="zh-CN"/>
        </w:rPr>
        <w:t>，增长比率</w:t>
      </w:r>
      <w:r>
        <w:rPr>
          <w:rFonts w:hint="eastAsia" w:ascii="仿宋" w:hAnsi="仿宋" w:eastAsia="仿宋" w:cs="仿宋"/>
          <w:lang w:val="en-US" w:eastAsia="zh-CN"/>
        </w:rPr>
        <w:t>19.75%</w:t>
      </w:r>
      <w:r>
        <w:rPr>
          <w:rFonts w:ascii="仿宋" w:hAnsi="仿宋" w:eastAsia="仿宋" w:cs="仿宋"/>
        </w:rPr>
        <w:t>，主要是</w:t>
      </w:r>
      <w:r>
        <w:rPr>
          <w:rFonts w:hint="eastAsia" w:ascii="仿宋" w:hAnsi="仿宋" w:eastAsia="仿宋" w:cs="仿宋"/>
          <w:lang w:eastAsia="zh-CN"/>
        </w:rPr>
        <w:t>人员增加、人员经费增长</w:t>
      </w:r>
      <w:r>
        <w:rPr>
          <w:rFonts w:ascii="仿宋" w:hAnsi="仿宋" w:eastAsia="仿宋" w:cs="仿宋"/>
        </w:rPr>
        <w:t>。</w:t>
      </w:r>
      <w:r>
        <w:rPr>
          <w:rFonts w:hint="eastAsia" w:ascii="仿宋" w:hAnsi="仿宋" w:eastAsia="仿宋" w:cs="仿宋"/>
          <w:lang w:val="en-US" w:eastAsia="zh-CN"/>
        </w:rPr>
        <w:t>支出</w:t>
      </w:r>
      <w:r>
        <w:rPr>
          <w:rFonts w:ascii="仿宋" w:hAnsi="仿宋" w:eastAsia="仿宋" w:cs="仿宋"/>
        </w:rPr>
        <w:t>2,091.15万元，与上年相比增加</w:t>
      </w:r>
      <w:r>
        <w:rPr>
          <w:rFonts w:hint="eastAsia" w:ascii="仿宋" w:hAnsi="仿宋" w:eastAsia="仿宋" w:cs="仿宋"/>
          <w:lang w:val="en-US" w:eastAsia="zh-CN"/>
        </w:rPr>
        <w:t>344.88</w:t>
      </w:r>
      <w:r>
        <w:rPr>
          <w:rFonts w:ascii="仿宋" w:hAnsi="仿宋" w:eastAsia="仿宋" w:cs="仿宋"/>
        </w:rPr>
        <w:t>万元</w:t>
      </w:r>
      <w:r>
        <w:rPr>
          <w:rFonts w:hint="eastAsia" w:ascii="仿宋" w:hAnsi="仿宋" w:eastAsia="仿宋" w:cs="仿宋"/>
          <w:lang w:eastAsia="zh-CN"/>
        </w:rPr>
        <w:t>，增长比率</w:t>
      </w:r>
      <w:r>
        <w:rPr>
          <w:rFonts w:hint="eastAsia" w:ascii="仿宋" w:hAnsi="仿宋" w:eastAsia="仿宋" w:cs="仿宋"/>
          <w:lang w:val="en-US" w:eastAsia="zh-CN"/>
        </w:rPr>
        <w:t>19.75%</w:t>
      </w:r>
      <w:r>
        <w:rPr>
          <w:rFonts w:ascii="仿宋" w:hAnsi="仿宋" w:eastAsia="仿宋" w:cs="仿宋"/>
        </w:rPr>
        <w:t>，主要是</w:t>
      </w:r>
      <w:r>
        <w:rPr>
          <w:rFonts w:hint="eastAsia" w:ascii="仿宋" w:hAnsi="仿宋" w:eastAsia="仿宋" w:cs="仿宋"/>
          <w:lang w:eastAsia="zh-CN"/>
        </w:rPr>
        <w:t>人员增加、人员经费增长</w:t>
      </w:r>
      <w:r>
        <w:rPr>
          <w:rFonts w:ascii="仿宋" w:hAnsi="仿宋" w:eastAsia="仿宋" w:cs="仿宋"/>
        </w:rPr>
        <w:t>。</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本年收入合计2,091.15万元，其中：财政拨款收入2,091.15万元，占100%；上级补助收入0万元，占0%；事业收入0万元，占0%；经营收入0万元，占0%；附属单位上缴收入0万元，占0%；其他收入0万元，占0%。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43625"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43625" cy="3429000"/>
                    </a:xfrm>
                    <a:prstGeom prst="rect">
                      <a:avLst/>
                    </a:prstGeom>
                  </pic:spPr>
                </pic:pic>
              </a:graphicData>
            </a:graphic>
          </wp:inline>
        </w:drawing>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本年支出合计2,091.15万元，其中：基本支出2,091.15万元，占100%；项目支出0万元，占0%；上缴上级支出0万元，占0%；经营支出0万元，占0%；对附属单位补助支出0万元，占0%。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43625"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43625" cy="3429000"/>
                    </a:xfrm>
                    <a:prstGeom prst="rect">
                      <a:avLst/>
                    </a:prstGeom>
                  </pic:spPr>
                </pic:pic>
              </a:graphicData>
            </a:graphic>
          </wp:inline>
        </w:drawing>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2020年度财政拨款收、支总计2,091.15万元，与上年相比增加</w:t>
      </w:r>
      <w:r>
        <w:rPr>
          <w:rFonts w:hint="eastAsia" w:ascii="仿宋" w:hAnsi="仿宋" w:eastAsia="仿宋" w:cs="仿宋"/>
          <w:lang w:val="en-US" w:eastAsia="zh-CN"/>
        </w:rPr>
        <w:t>344.88</w:t>
      </w:r>
      <w:r>
        <w:rPr>
          <w:rFonts w:ascii="仿宋" w:hAnsi="仿宋" w:eastAsia="仿宋" w:cs="仿宋"/>
        </w:rPr>
        <w:t>万元</w:t>
      </w:r>
      <w:r>
        <w:rPr>
          <w:rFonts w:hint="eastAsia" w:ascii="仿宋" w:hAnsi="仿宋" w:eastAsia="仿宋" w:cs="仿宋"/>
          <w:lang w:eastAsia="zh-CN"/>
        </w:rPr>
        <w:t>，增长比率</w:t>
      </w:r>
      <w:r>
        <w:rPr>
          <w:rFonts w:hint="eastAsia" w:ascii="仿宋" w:hAnsi="仿宋" w:eastAsia="仿宋" w:cs="仿宋"/>
          <w:lang w:val="en-US" w:eastAsia="zh-CN"/>
        </w:rPr>
        <w:t>19.75%</w:t>
      </w:r>
      <w:r>
        <w:rPr>
          <w:rFonts w:ascii="仿宋" w:hAnsi="仿宋" w:eastAsia="仿宋" w:cs="仿宋"/>
        </w:rPr>
        <w:t>（去年决算数为</w:t>
      </w:r>
      <w:r>
        <w:rPr>
          <w:rFonts w:hint="eastAsia" w:ascii="仿宋" w:hAnsi="仿宋" w:eastAsia="仿宋" w:cs="仿宋"/>
          <w:lang w:val="en-US" w:eastAsia="zh-CN"/>
        </w:rPr>
        <w:t>1746.27</w:t>
      </w:r>
      <w:r>
        <w:rPr>
          <w:rFonts w:ascii="仿宋" w:hAnsi="仿宋" w:eastAsia="仿宋" w:cs="仿宋"/>
        </w:rPr>
        <w:t>万元），主要是</w:t>
      </w:r>
      <w:r>
        <w:rPr>
          <w:rFonts w:hint="eastAsia" w:ascii="仿宋" w:hAnsi="仿宋" w:eastAsia="仿宋" w:cs="仿宋"/>
          <w:lang w:eastAsia="zh-CN"/>
        </w:rPr>
        <w:t>人员增加、人员经费增长</w:t>
      </w:r>
      <w:r>
        <w:rPr>
          <w:rFonts w:ascii="仿宋" w:hAnsi="仿宋" w:eastAsia="仿宋" w:cs="仿宋"/>
        </w:rPr>
        <w:t>。</w:t>
      </w:r>
      <w:r>
        <w:rPr>
          <w:rFonts w:hint="eastAsia" w:ascii="仿宋" w:hAnsi="仿宋" w:eastAsia="仿宋" w:cs="仿宋"/>
          <w:lang w:val="en-US" w:eastAsia="zh-CN"/>
        </w:rPr>
        <w:t>其中收入</w:t>
      </w:r>
      <w:r>
        <w:rPr>
          <w:rFonts w:ascii="仿宋" w:hAnsi="仿宋" w:eastAsia="仿宋" w:cs="仿宋"/>
        </w:rPr>
        <w:t>2,091.15万元，与上年相比增加</w:t>
      </w:r>
      <w:r>
        <w:rPr>
          <w:rFonts w:hint="eastAsia" w:ascii="仿宋" w:hAnsi="仿宋" w:eastAsia="仿宋" w:cs="仿宋"/>
          <w:lang w:val="en-US" w:eastAsia="zh-CN"/>
        </w:rPr>
        <w:t>344.88</w:t>
      </w:r>
      <w:r>
        <w:rPr>
          <w:rFonts w:ascii="仿宋" w:hAnsi="仿宋" w:eastAsia="仿宋" w:cs="仿宋"/>
        </w:rPr>
        <w:t>万元</w:t>
      </w:r>
      <w:r>
        <w:rPr>
          <w:rFonts w:hint="eastAsia" w:ascii="仿宋" w:hAnsi="仿宋" w:eastAsia="仿宋" w:cs="仿宋"/>
          <w:lang w:eastAsia="zh-CN"/>
        </w:rPr>
        <w:t>，增长比率</w:t>
      </w:r>
      <w:r>
        <w:rPr>
          <w:rFonts w:hint="eastAsia" w:ascii="仿宋" w:hAnsi="仿宋" w:eastAsia="仿宋" w:cs="仿宋"/>
          <w:lang w:val="en-US" w:eastAsia="zh-CN"/>
        </w:rPr>
        <w:t>19.75%</w:t>
      </w:r>
      <w:r>
        <w:rPr>
          <w:rFonts w:ascii="仿宋" w:hAnsi="仿宋" w:eastAsia="仿宋" w:cs="仿宋"/>
        </w:rPr>
        <w:t>，主要是</w:t>
      </w:r>
      <w:r>
        <w:rPr>
          <w:rFonts w:hint="eastAsia" w:ascii="仿宋" w:hAnsi="仿宋" w:eastAsia="仿宋" w:cs="仿宋"/>
          <w:lang w:eastAsia="zh-CN"/>
        </w:rPr>
        <w:t>人员增加、人员经费增长</w:t>
      </w:r>
      <w:r>
        <w:rPr>
          <w:rFonts w:ascii="仿宋" w:hAnsi="仿宋" w:eastAsia="仿宋" w:cs="仿宋"/>
        </w:rPr>
        <w:t>。</w:t>
      </w:r>
      <w:r>
        <w:rPr>
          <w:rFonts w:hint="eastAsia" w:ascii="仿宋" w:hAnsi="仿宋" w:eastAsia="仿宋" w:cs="仿宋"/>
          <w:lang w:val="en-US" w:eastAsia="zh-CN"/>
        </w:rPr>
        <w:t>支出</w:t>
      </w:r>
      <w:r>
        <w:rPr>
          <w:rFonts w:ascii="仿宋" w:hAnsi="仿宋" w:eastAsia="仿宋" w:cs="仿宋"/>
        </w:rPr>
        <w:t>2,091.15万元，与上年相比增加</w:t>
      </w:r>
      <w:r>
        <w:rPr>
          <w:rFonts w:hint="eastAsia" w:ascii="仿宋" w:hAnsi="仿宋" w:eastAsia="仿宋" w:cs="仿宋"/>
          <w:lang w:val="en-US" w:eastAsia="zh-CN"/>
        </w:rPr>
        <w:t>344.88</w:t>
      </w:r>
      <w:r>
        <w:rPr>
          <w:rFonts w:ascii="仿宋" w:hAnsi="仿宋" w:eastAsia="仿宋" w:cs="仿宋"/>
        </w:rPr>
        <w:t>万元</w:t>
      </w:r>
      <w:r>
        <w:rPr>
          <w:rFonts w:hint="eastAsia" w:ascii="仿宋" w:hAnsi="仿宋" w:eastAsia="仿宋" w:cs="仿宋"/>
          <w:lang w:eastAsia="zh-CN"/>
        </w:rPr>
        <w:t>，增长比率</w:t>
      </w:r>
      <w:r>
        <w:rPr>
          <w:rFonts w:hint="eastAsia" w:ascii="仿宋" w:hAnsi="仿宋" w:eastAsia="仿宋" w:cs="仿宋"/>
          <w:lang w:val="en-US" w:eastAsia="zh-CN"/>
        </w:rPr>
        <w:t>19.75%</w:t>
      </w:r>
      <w:r>
        <w:rPr>
          <w:rFonts w:ascii="仿宋" w:hAnsi="仿宋" w:eastAsia="仿宋" w:cs="仿宋"/>
        </w:rPr>
        <w:t>，主要是</w:t>
      </w:r>
      <w:r>
        <w:rPr>
          <w:rFonts w:hint="eastAsia" w:ascii="仿宋" w:hAnsi="仿宋" w:eastAsia="仿宋" w:cs="仿宋"/>
          <w:lang w:eastAsia="zh-CN"/>
        </w:rPr>
        <w:t>人员增加、人员经费增长</w:t>
      </w:r>
      <w:r>
        <w:rPr>
          <w:rFonts w:ascii="仿宋" w:hAnsi="仿宋" w:eastAsia="仿宋" w:cs="仿宋"/>
        </w:rPr>
        <w:t>。</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firstLine="964" w:firstLineChars="300"/>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2020年度财政拨款支出2,091.15万元，占本年支出合计的100%，与上年相比增加</w:t>
      </w:r>
      <w:r>
        <w:rPr>
          <w:rFonts w:hint="eastAsia" w:ascii="仿宋" w:hAnsi="仿宋" w:eastAsia="仿宋" w:cs="仿宋"/>
          <w:lang w:val="en-US" w:eastAsia="zh-CN"/>
        </w:rPr>
        <w:t>344.88</w:t>
      </w:r>
      <w:r>
        <w:rPr>
          <w:rFonts w:ascii="仿宋" w:hAnsi="仿宋" w:eastAsia="仿宋" w:cs="仿宋"/>
        </w:rPr>
        <w:t>万元</w:t>
      </w:r>
      <w:r>
        <w:rPr>
          <w:rFonts w:hint="eastAsia" w:ascii="仿宋" w:hAnsi="仿宋" w:eastAsia="仿宋" w:cs="仿宋"/>
          <w:lang w:eastAsia="zh-CN"/>
        </w:rPr>
        <w:t>，增长比率</w:t>
      </w:r>
      <w:r>
        <w:rPr>
          <w:rFonts w:hint="eastAsia" w:ascii="仿宋" w:hAnsi="仿宋" w:eastAsia="仿宋" w:cs="仿宋"/>
          <w:lang w:val="en-US" w:eastAsia="zh-CN"/>
        </w:rPr>
        <w:t>19.75%</w:t>
      </w:r>
      <w:r>
        <w:rPr>
          <w:rFonts w:ascii="仿宋" w:hAnsi="仿宋" w:eastAsia="仿宋" w:cs="仿宋"/>
        </w:rPr>
        <w:t>（去年决算数为</w:t>
      </w:r>
      <w:r>
        <w:rPr>
          <w:rFonts w:hint="eastAsia" w:ascii="仿宋" w:hAnsi="仿宋" w:eastAsia="仿宋" w:cs="仿宋"/>
          <w:lang w:val="en-US" w:eastAsia="zh-CN"/>
        </w:rPr>
        <w:t>1746.27</w:t>
      </w:r>
      <w:r>
        <w:rPr>
          <w:rFonts w:ascii="仿宋" w:hAnsi="仿宋" w:eastAsia="仿宋" w:cs="仿宋"/>
        </w:rPr>
        <w:t>万元），主要是</w:t>
      </w:r>
      <w:r>
        <w:rPr>
          <w:rFonts w:hint="eastAsia" w:ascii="仿宋" w:hAnsi="仿宋" w:eastAsia="仿宋" w:cs="仿宋"/>
          <w:lang w:eastAsia="zh-CN"/>
        </w:rPr>
        <w:t>人员增加、人员经费增长</w:t>
      </w:r>
      <w:r>
        <w:rPr>
          <w:rFonts w:ascii="仿宋" w:hAnsi="仿宋" w:eastAsia="仿宋" w:cs="仿宋"/>
        </w:rPr>
        <w:t>。</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2020年度财政拨款支出2,091.15万元，主要用于以下方面：教育支出（类）2,088.79万元，占99.89%；社会保障和就业支出（类）2.36万元，占0.11%。</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2020年度财政拨款支出年初预算数为2,089.93万元，支出决算数为2,091.15万元，完成年初预算的100.06%，其中：</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1、教育支出（类）普通教育（款）学前教育（项）。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年初预算为18.74万元，支出决算为18.74万元，完成年初预算的100%。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2、教育支出（类）普通教育（款）小学教育（项）。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年初预算为2,066.23万元，支出决算为2,067.44万元，完成年初预算的100.06%，决算数大于预算数的主要原因是：收支基本持平。</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3、教育支出（类）普通教育（款）其他普通教育支出（项）。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年初预算为2.6万元，支出决算为2.6万元，完成年初预算的100%。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4、社会保障和就业支出（类）就业补助（款）其他就业补助支出（项）。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年初预算为2.36万元，支出决算为2.36万元，完成年初预算的100%。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2,091.15万元，其中：人员经费1,811.78万元，占基本支出的86.64%，主要包括：基本工资、津贴补贴、机关事业单位基本养老保险缴费、职工基本医疗保险缴费、其他社会保障缴费、退休费、生活补助、助学金、奖励金；公用经费279.37万元，占基本支出的13.36%，主要包括：办公费、印刷费、手续费、水费、电费、邮电费、物业管理费、差旅费、维修（护）费、租赁费、会议费、培训费、专用材料费、劳务费、工会经费、其他交通费用。</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本单位无政府性基金收支。</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1万元，用于召开用于学校教育教学级课题研究，课题评审，学生小型活动会议，人数120人，内容为党员活动看电影，学生小型游戏活动，；开支培训费3万元，用于开展用于教育教学研讨费培训，人数151人，内容为用于教师线上研讨培训，参加“国培”，教师信息技术提升培训，，“送教下乡，”党员培训等；举办用于教师线上研讨培训，参加“国培”，教师信息技术提升培训，，“送教下乡，”党员培训等等节庆、晚会、论坛、赛事活动，开支0万元，主要是因疫情不举办赛事活动。</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1296" w:firstLineChars="405"/>
        <w:jc w:val="both"/>
        <w:textAlignment w:val="auto"/>
        <w:rPr>
          <w:rFonts w:hint="eastAsia" w:eastAsia="黑体"/>
          <w:sz w:val="72"/>
          <w:szCs w:val="72"/>
          <w:lang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r>
        <w:rPr>
          <w:rFonts w:ascii="仿宋" w:hAnsi="仿宋" w:eastAsia="仿宋" w:cs="仿宋"/>
        </w:rPr>
        <w:t>本部门</w:t>
      </w:r>
      <w:r>
        <w:rPr>
          <w:rFonts w:hint="eastAsia" w:ascii="仿宋" w:hAnsi="仿宋" w:eastAsia="仿宋" w:cs="仿宋"/>
          <w:lang w:val="en-US" w:eastAsia="zh-CN"/>
        </w:rPr>
        <w:t>未开展</w:t>
      </w:r>
      <w:r>
        <w:rPr>
          <w:rFonts w:ascii="仿宋" w:hAnsi="仿宋" w:eastAsia="仿宋" w:cs="仿宋"/>
        </w:rPr>
        <w:t>预算绩效</w:t>
      </w:r>
      <w:r>
        <w:rPr>
          <w:rFonts w:hint="eastAsia" w:ascii="仿宋" w:hAnsi="仿宋" w:eastAsia="仿宋" w:cs="仿宋"/>
          <w:lang w:val="en-US" w:eastAsia="zh-CN"/>
        </w:rPr>
        <w:t>评价工作</w:t>
      </w:r>
      <w:r>
        <w:rPr>
          <w:rFonts w:ascii="仿宋" w:hAnsi="仿宋" w:eastAsia="仿宋" w:cs="仿宋"/>
        </w:rPr>
        <w:t>管理情况</w:t>
      </w:r>
    </w:p>
    <w:p>
      <w:pPr>
        <w:pStyle w:val="9"/>
        <w:jc w:val="both"/>
        <w:rPr>
          <w:sz w:val="72"/>
          <w:szCs w:val="72"/>
        </w:rPr>
      </w:pPr>
    </w:p>
    <w:p>
      <w:pPr>
        <w:pStyle w:val="9"/>
        <w:jc w:val="both"/>
        <w:rPr>
          <w:sz w:val="72"/>
          <w:szCs w:val="72"/>
        </w:rPr>
      </w:pPr>
    </w:p>
    <w:p>
      <w:pPr>
        <w:pStyle w:val="9"/>
        <w:jc w:val="center"/>
        <w:rPr>
          <w:rFonts w:hint="eastAsia" w:ascii="仿宋" w:hAnsi="仿宋" w:eastAsia="仿宋" w:cs="仿宋"/>
          <w:b/>
          <w:bCs/>
          <w:sz w:val="72"/>
          <w:szCs w:val="72"/>
        </w:rPr>
      </w:pPr>
    </w:p>
    <w:p>
      <w:pPr>
        <w:pStyle w:val="9"/>
        <w:jc w:val="center"/>
        <w:rPr>
          <w:rFonts w:hint="eastAsia" w:ascii="仿宋" w:hAnsi="仿宋" w:eastAsia="仿宋" w:cs="仿宋"/>
          <w:b/>
          <w:bCs/>
          <w:sz w:val="72"/>
          <w:szCs w:val="7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pPr>
        <w:jc w:val="center"/>
        <w:rPr>
          <w:rFonts w:hint="eastAsia" w:ascii="仿宋" w:hAnsi="仿宋" w:eastAsia="仿宋" w:cs="仿宋"/>
          <w:b/>
          <w:bCs/>
          <w:color w:val="000000"/>
          <w:kern w:val="0"/>
          <w:sz w:val="52"/>
          <w:szCs w:val="52"/>
        </w:rPr>
      </w:pPr>
    </w:p>
    <w:p>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ind w:firstLine="640" w:firstLineChars="200"/>
        <w:jc w:val="left"/>
        <w:rPr>
          <w:rFonts w:cs="黑体" w:asciiTheme="minorEastAsia" w:hAnsiTheme="minorEastAsia"/>
          <w:color w:val="000000"/>
          <w:kern w:val="0"/>
          <w:sz w:val="32"/>
          <w:szCs w:val="32"/>
        </w:rPr>
      </w:pP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二十一、社会保障和就业支出(类)就业补助(款)其他就业补助支出(项)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反映除上述项目以外按规定确定的其他用于促进就业的补助支出。</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483" w:hRule="atLeast"/>
        </w:trPr>
        <w:tc>
          <w:tcPr>
            <w:tcW w:w="8516" w:type="dxa"/>
            <w:tcBorders>
              <w:top w:val="nil"/>
              <w:left w:val="nil"/>
              <w:bottom w:val="nil"/>
              <w:right w:val="nil"/>
            </w:tcBorders>
            <w:vAlign w:val="center"/>
          </w:tcPr>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w:t>
            </w:r>
            <w:r>
              <w:rPr>
                <w:rFonts w:hint="eastAsia" w:ascii="仿宋" w:hAnsi="仿宋" w:eastAsia="仿宋" w:cs="仿宋"/>
                <w:b/>
                <w:bCs/>
                <w:sz w:val="52"/>
                <w:szCs w:val="52"/>
                <w:lang w:val="en-US" w:eastAsia="zh-CN"/>
              </w:rPr>
              <w:t>五</w:t>
            </w:r>
            <w:r>
              <w:rPr>
                <w:rFonts w:hint="eastAsia" w:ascii="仿宋" w:hAnsi="仿宋" w:eastAsia="仿宋" w:cs="仿宋"/>
                <w:b/>
                <w:bCs/>
                <w:sz w:val="52"/>
                <w:szCs w:val="52"/>
              </w:rPr>
              <w:t>部分</w:t>
            </w:r>
          </w:p>
          <w:p>
            <w:pPr>
              <w:pStyle w:val="9"/>
              <w:jc w:val="center"/>
              <w:rPr>
                <w:rFonts w:hint="eastAsia" w:ascii="仿宋" w:hAnsi="仿宋" w:eastAsia="仿宋" w:cs="仿宋"/>
                <w:b/>
                <w:bCs/>
                <w:sz w:val="52"/>
                <w:szCs w:val="52"/>
              </w:rPr>
            </w:pPr>
          </w:p>
          <w:p>
            <w:pPr>
              <w:pStyle w:val="9"/>
              <w:jc w:val="center"/>
              <w:rPr>
                <w:rFonts w:hint="default" w:ascii="仿宋" w:hAnsi="仿宋" w:eastAsia="仿宋" w:cs="仿宋"/>
                <w:b/>
                <w:bCs/>
                <w:sz w:val="52"/>
                <w:szCs w:val="52"/>
                <w:lang w:val="en-US"/>
              </w:rPr>
            </w:pPr>
            <w:r>
              <w:rPr>
                <w:rFonts w:hint="eastAsia" w:ascii="仿宋" w:hAnsi="仿宋" w:eastAsia="仿宋" w:cs="仿宋"/>
                <w:b/>
                <w:bCs/>
                <w:color w:val="000000"/>
                <w:kern w:val="0"/>
                <w:sz w:val="52"/>
                <w:szCs w:val="52"/>
                <w:lang w:val="en-US" w:eastAsia="zh-CN"/>
              </w:rPr>
              <w:t>附件（无）</w:t>
            </w:r>
            <w:bookmarkStart w:id="3" w:name="_GoBack"/>
            <w:bookmarkEnd w:id="3"/>
          </w:p>
        </w:tc>
      </w:tr>
    </w:tbl>
    <w:p/>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0C4401"/>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A758B9"/>
    <w:rsid w:val="30B44244"/>
    <w:rsid w:val="30B7715D"/>
    <w:rsid w:val="30C24F02"/>
    <w:rsid w:val="30D63CF2"/>
    <w:rsid w:val="310D7CC9"/>
    <w:rsid w:val="3172637E"/>
    <w:rsid w:val="317F3D67"/>
    <w:rsid w:val="31A35982"/>
    <w:rsid w:val="31A47F94"/>
    <w:rsid w:val="31B72549"/>
    <w:rsid w:val="31C85FD2"/>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981349"/>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7033</Words>
  <Characters>8467</Characters>
  <Lines>0</Lines>
  <Paragraphs>0</Paragraphs>
  <TotalTime>1</TotalTime>
  <ScaleCrop>false</ScaleCrop>
  <LinksUpToDate>false</LinksUpToDate>
  <CharactersWithSpaces>8737</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2021-08-31T01:09:00Z</dcterms:created>
  <dc:creator>Administrator</dc:creator>
  <cp:lastModifiedBy>坏脾气</cp:lastModifiedBy>
  <dcterms:modified xsi:type="dcterms:W3CDTF">2022-08-22T09:29:09Z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EED05CEA200D4403A3DCB0EFF85B6FE6</vt:lpwstr>
  </property>
</Properties>
</file>