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10"/>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10"/>
              <w:jc w:val="center"/>
              <w:rPr>
                <w:rFonts w:ascii="宋体" w:hAnsi="宋体" w:eastAsia="宋体" w:cs="宋体"/>
                <w:b/>
                <w:bCs/>
                <w:sz w:val="52"/>
                <w:szCs w:val="52"/>
              </w:rPr>
            </w:pPr>
            <w:r>
              <w:rPr>
                <w:rFonts w:ascii="宋体" w:hAnsi="宋体" w:eastAsia="宋体" w:cs="宋体"/>
                <w:b/>
                <w:bCs/>
                <w:sz w:val="52"/>
                <w:szCs w:val="52"/>
              </w:rPr>
              <w:t>中方县职业中等专业学校</w:t>
            </w:r>
            <w:r>
              <w:rPr>
                <w:rFonts w:ascii="宋体" w:hAnsi="宋体" w:eastAsia="宋体" w:cs="宋体"/>
                <w:b/>
                <w:sz w:val="52"/>
              </w:rPr>
              <w:t>单位</w:t>
            </w:r>
            <w:r>
              <w:rPr>
                <w:rFonts w:hint="eastAsia" w:ascii="宋体" w:hAnsi="宋体" w:eastAsia="宋体" w:cs="宋体"/>
                <w:b/>
                <w:bCs/>
                <w:sz w:val="52"/>
                <w:szCs w:val="52"/>
              </w:rPr>
              <w:t>决算</w:t>
            </w:r>
          </w:p>
          <w:p>
            <w:pPr>
              <w:pStyle w:val="10"/>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10"/>
              <w:jc w:val="both"/>
              <w:rPr>
                <w:sz w:val="44"/>
                <w:szCs w:val="44"/>
              </w:rPr>
            </w:pPr>
          </w:p>
        </w:tc>
      </w:tr>
    </w:tbl>
    <w:p>
      <w:pPr>
        <w:pStyle w:val="10"/>
        <w:rPr>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10"/>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中方县职业中等专业学校单位概况</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rPr>
        <w:t>五部分附件</w:t>
      </w:r>
    </w:p>
    <w:p>
      <w:pPr>
        <w:autoSpaceDE w:val="0"/>
        <w:autoSpaceDN w:val="0"/>
        <w:spacing w:line="440" w:lineRule="exact"/>
        <w:jc w:val="left"/>
        <w:rPr>
          <w:rFonts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中方县职业中等专业学校</w:t>
      </w:r>
    </w:p>
    <w:p>
      <w:pPr>
        <w:pStyle w:val="10"/>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主要职能：学校坚持“以服务为宗旨，以就业为导向，以质量求发展”的办学思路，以“培养适应产业化结构调整、科技进步、当地经济建设所需要的技能型、复合型、实用型人才”。</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职业中等专业学校内设机构包括：中方县职业中等专业学校是全额拨款事业单位。内设校长室、办公室、教务处、教科室、德育处、综治办、总务处、7个职能室。核定编制149人，其中事业编制149人，工勤编制0人，实有在职人员125人，退休人员32人。</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中方县职业中等专业学校2020年部门决算汇总公开单位构成包括：中方县职业中等专业学校</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7"/>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中方县职业中等专业学校</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1757.04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8.31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1,757.04</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8.31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1,765.35</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1,765.35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1,765.35</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1,765.35</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p>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中方县职业中等专业学校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1,765.35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1,765.35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1,757.04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1,757.04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职业教育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1,757.04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1,757.04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2050302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中等职业教育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1,757.04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1,757.04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234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抗疫特别国债安排的支出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8.31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8.31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23402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抗疫相关支出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8.31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8.31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2340299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其他抗疫相关支出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8.31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8.31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中方县职业中等专业学校</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1,765.35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1,765.35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1,757.04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1,757.04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职业教育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1,757.04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1,757.04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2050302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中等职业教育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1,757.04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1,757.04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234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抗疫特别国债安排的支出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8.31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8.31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23402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抗疫相关支出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8.31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8.31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2340299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其他抗疫相关支出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8.31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8.31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中方县职业中等专业学校</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1,757.04</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8.31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1,757.04</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1,757.04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8.31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8.31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1,765.35</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1,765.35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1,757.04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8.31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1,765.35</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1,765.35</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1,757.04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r>
              <w:rPr>
                <w:rFonts w:hint="eastAsia" w:ascii="仿宋" w:hAnsi="仿宋" w:eastAsia="仿宋" w:cs="仿宋"/>
              </w:rPr>
              <w:t>8.31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7"/>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中方县职业中等专业学校</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1,757.04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1,757.04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1,757.04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1,757.04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职业教育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1,757.04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1,757.04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2050302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中等职业教育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1,757.04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1,757.04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中方县职业中等专业学校</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1,275.89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422.26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604.72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17.86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39.19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16.00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45.05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313.67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25.00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154.54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25.00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73.49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30.24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25.00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65.40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15.00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58.89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8.00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13.00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60.00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16.75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55.00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38.81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65.00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0.87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2.46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40.00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1,334.78</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422.26</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中方县职业中等专业学校</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中方县职业中等专业学校</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8.31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8.31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8.31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234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抗疫特别国债安排的支出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8.31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8.31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8.31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23402</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抗疫相关支出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8.31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8.31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8.31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2340299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其他抗疫相关支出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8.31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8.31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8.31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中方县职业中等专业学校</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中方县职业中等专业学校</w:t>
            </w:r>
            <w:r>
              <w:rPr>
                <w:rFonts w:hint="eastAsia" w:ascii="仿宋" w:hAnsi="仿宋" w:eastAsia="仿宋" w:cs="仿宋"/>
                <w:kern w:val="0"/>
                <w:szCs w:val="21"/>
              </w:rPr>
              <w:t>没有国有资本经营预算财政拨款支出，故本表无数据。</w:t>
            </w:r>
          </w:p>
        </w:tc>
      </w:tr>
    </w:tbl>
    <w:p>
      <w:pPr>
        <w:pStyle w:val="10"/>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2020年度收入、支出总计1,765.35万元，与上年相比增加</w:t>
      </w:r>
      <w:r>
        <w:rPr>
          <w:rFonts w:hint="eastAsia" w:ascii="仿宋" w:hAnsi="仿宋" w:eastAsia="仿宋" w:cs="仿宋"/>
        </w:rPr>
        <w:t>65.85</w:t>
      </w:r>
      <w:r>
        <w:rPr>
          <w:rFonts w:ascii="仿宋" w:hAnsi="仿宋" w:eastAsia="仿宋" w:cs="仿宋"/>
        </w:rPr>
        <w:t>万元（去年决算数为</w:t>
      </w:r>
      <w:r>
        <w:rPr>
          <w:rFonts w:hint="eastAsia" w:ascii="仿宋" w:hAnsi="仿宋" w:eastAsia="仿宋" w:cs="仿宋"/>
        </w:rPr>
        <w:t>1699.5</w:t>
      </w:r>
      <w:r>
        <w:rPr>
          <w:rFonts w:ascii="仿宋" w:hAnsi="仿宋" w:eastAsia="仿宋" w:cs="仿宋"/>
        </w:rPr>
        <w:t>万元，</w:t>
      </w:r>
      <w:r>
        <w:rPr>
          <w:rFonts w:hint="eastAsia" w:ascii="仿宋" w:hAnsi="仿宋" w:eastAsia="仿宋" w:cs="仿宋"/>
        </w:rPr>
        <w:t>增长率为3.9%</w:t>
      </w:r>
      <w:r>
        <w:rPr>
          <w:rFonts w:ascii="仿宋" w:hAnsi="仿宋" w:eastAsia="仿宋" w:cs="仿宋"/>
        </w:rPr>
        <w:t>），主要是因为是</w:t>
      </w:r>
      <w:r>
        <w:rPr>
          <w:rFonts w:hint="eastAsia" w:ascii="仿宋" w:hAnsi="仿宋" w:eastAsia="仿宋" w:cs="仿宋"/>
        </w:rPr>
        <w:t>学生、教师人数增加，教师工资增长。其中收入：</w:t>
      </w:r>
      <w:r>
        <w:rPr>
          <w:rFonts w:ascii="仿宋" w:hAnsi="仿宋" w:eastAsia="仿宋" w:cs="仿宋"/>
        </w:rPr>
        <w:t>1,765.35万元，与上年相比增加</w:t>
      </w:r>
      <w:r>
        <w:rPr>
          <w:rFonts w:hint="eastAsia" w:ascii="仿宋" w:hAnsi="仿宋" w:eastAsia="仿宋" w:cs="仿宋"/>
        </w:rPr>
        <w:t>65.85</w:t>
      </w:r>
      <w:r>
        <w:rPr>
          <w:rFonts w:ascii="仿宋" w:hAnsi="仿宋" w:eastAsia="仿宋" w:cs="仿宋"/>
        </w:rPr>
        <w:t>万元（去年决算数为</w:t>
      </w:r>
      <w:r>
        <w:rPr>
          <w:rFonts w:hint="eastAsia" w:ascii="仿宋" w:hAnsi="仿宋" w:eastAsia="仿宋" w:cs="仿宋"/>
        </w:rPr>
        <w:t>1699.5</w:t>
      </w:r>
      <w:r>
        <w:rPr>
          <w:rFonts w:ascii="仿宋" w:hAnsi="仿宋" w:eastAsia="仿宋" w:cs="仿宋"/>
        </w:rPr>
        <w:t>万元，</w:t>
      </w:r>
      <w:r>
        <w:rPr>
          <w:rFonts w:hint="eastAsia" w:ascii="仿宋" w:hAnsi="仿宋" w:eastAsia="仿宋" w:cs="仿宋"/>
        </w:rPr>
        <w:t>增长率为3.9%</w:t>
      </w:r>
      <w:r>
        <w:rPr>
          <w:rFonts w:ascii="仿宋" w:hAnsi="仿宋" w:eastAsia="仿宋" w:cs="仿宋"/>
        </w:rPr>
        <w:t>），主要是因为是</w:t>
      </w:r>
      <w:r>
        <w:rPr>
          <w:rFonts w:hint="eastAsia" w:ascii="仿宋" w:hAnsi="仿宋" w:eastAsia="仿宋" w:cs="仿宋"/>
        </w:rPr>
        <w:t>学生、教师人数增加，教师工资增长</w:t>
      </w:r>
      <w:r>
        <w:rPr>
          <w:rFonts w:hint="eastAsia" w:ascii="仿宋" w:hAnsi="仿宋" w:eastAsia="仿宋" w:cs="仿宋"/>
          <w:lang w:eastAsia="zh-CN"/>
        </w:rPr>
        <w:t>，</w:t>
      </w:r>
      <w:r>
        <w:rPr>
          <w:rFonts w:hint="eastAsia" w:ascii="仿宋" w:hAnsi="仿宋" w:eastAsia="仿宋" w:cs="仿宋"/>
          <w:lang w:val="en-US" w:eastAsia="zh-CN"/>
        </w:rPr>
        <w:t>预算收入增加</w:t>
      </w:r>
      <w:r>
        <w:rPr>
          <w:rFonts w:hint="eastAsia" w:ascii="仿宋" w:hAnsi="仿宋" w:eastAsia="仿宋" w:cs="仿宋"/>
        </w:rPr>
        <w:t>；支出</w:t>
      </w:r>
      <w:r>
        <w:rPr>
          <w:rFonts w:ascii="仿宋" w:hAnsi="仿宋" w:eastAsia="仿宋" w:cs="仿宋"/>
        </w:rPr>
        <w:t>1,765.35万元，与上年相比增加</w:t>
      </w:r>
      <w:r>
        <w:rPr>
          <w:rFonts w:hint="eastAsia" w:ascii="仿宋" w:hAnsi="仿宋" w:eastAsia="仿宋" w:cs="仿宋"/>
        </w:rPr>
        <w:t>65.85</w:t>
      </w:r>
      <w:r>
        <w:rPr>
          <w:rFonts w:ascii="仿宋" w:hAnsi="仿宋" w:eastAsia="仿宋" w:cs="仿宋"/>
        </w:rPr>
        <w:t>万元（去年决算数为</w:t>
      </w:r>
      <w:r>
        <w:rPr>
          <w:rFonts w:hint="eastAsia" w:ascii="仿宋" w:hAnsi="仿宋" w:eastAsia="仿宋" w:cs="仿宋"/>
        </w:rPr>
        <w:t>1699.5</w:t>
      </w:r>
      <w:r>
        <w:rPr>
          <w:rFonts w:ascii="仿宋" w:hAnsi="仿宋" w:eastAsia="仿宋" w:cs="仿宋"/>
        </w:rPr>
        <w:t>万元，</w:t>
      </w:r>
      <w:r>
        <w:rPr>
          <w:rFonts w:hint="eastAsia" w:ascii="仿宋" w:hAnsi="仿宋" w:eastAsia="仿宋" w:cs="仿宋"/>
        </w:rPr>
        <w:t>增长率为3.9%</w:t>
      </w:r>
      <w:r>
        <w:rPr>
          <w:rFonts w:ascii="仿宋" w:hAnsi="仿宋" w:eastAsia="仿宋" w:cs="仿宋"/>
        </w:rPr>
        <w:t>），主要是因为是</w:t>
      </w:r>
      <w:r>
        <w:rPr>
          <w:rFonts w:hint="eastAsia" w:ascii="仿宋" w:hAnsi="仿宋" w:eastAsia="仿宋" w:cs="仿宋"/>
        </w:rPr>
        <w:t>学生、教师人数增加，教师工资增长</w:t>
      </w:r>
      <w:r>
        <w:rPr>
          <w:rFonts w:hint="eastAsia" w:ascii="仿宋" w:hAnsi="仿宋" w:eastAsia="仿宋" w:cs="仿宋"/>
          <w:lang w:eastAsia="zh-CN"/>
        </w:rPr>
        <w:t>，</w:t>
      </w:r>
      <w:r>
        <w:rPr>
          <w:rFonts w:hint="eastAsia" w:ascii="仿宋" w:hAnsi="仿宋" w:eastAsia="仿宋" w:cs="仿宋"/>
          <w:lang w:val="en-US" w:eastAsia="zh-CN"/>
        </w:rPr>
        <w:t>人员经费支出增加</w:t>
      </w:r>
      <w:r>
        <w:rPr>
          <w:rFonts w:hint="eastAsia"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本年收入合计1,765.35万元，其中：财政拨款收入1,765.35万元，占100%；上级补助收入0万元，占0%；事业收入0万元，占0%；经营收入0万元，占0%；附属单位上缴收入0万元，占0%；其他收入0万元，占0%。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本年支出合计1,765.35万元，其中：基本支出1,765.35万元，占100%；项目支出0万元，占0%；上缴上级支出0万元，占0%；经营支出0万元，占0%；对附属单位补助支出0万元，占0%。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2020年度财政拨款收入、支出总计1,765.35万元，与上年相比增加</w:t>
      </w:r>
      <w:r>
        <w:rPr>
          <w:rFonts w:hint="eastAsia" w:ascii="仿宋" w:hAnsi="仿宋" w:eastAsia="仿宋" w:cs="仿宋"/>
        </w:rPr>
        <w:t>65.85</w:t>
      </w:r>
      <w:r>
        <w:rPr>
          <w:rFonts w:ascii="仿宋" w:hAnsi="仿宋" w:eastAsia="仿宋" w:cs="仿宋"/>
        </w:rPr>
        <w:t>万元（去年决算数为</w:t>
      </w:r>
      <w:r>
        <w:rPr>
          <w:rFonts w:hint="eastAsia" w:ascii="仿宋" w:hAnsi="仿宋" w:eastAsia="仿宋" w:cs="仿宋"/>
        </w:rPr>
        <w:t>1699.5</w:t>
      </w:r>
      <w:r>
        <w:rPr>
          <w:rFonts w:ascii="仿宋" w:hAnsi="仿宋" w:eastAsia="仿宋" w:cs="仿宋"/>
        </w:rPr>
        <w:t>万元，</w:t>
      </w:r>
      <w:r>
        <w:rPr>
          <w:rFonts w:hint="eastAsia" w:ascii="仿宋" w:hAnsi="仿宋" w:eastAsia="仿宋" w:cs="仿宋"/>
        </w:rPr>
        <w:t>增长率为3.9%</w:t>
      </w:r>
      <w:r>
        <w:rPr>
          <w:rFonts w:ascii="仿宋" w:hAnsi="仿宋" w:eastAsia="仿宋" w:cs="仿宋"/>
        </w:rPr>
        <w:t>），主要是因为是</w:t>
      </w:r>
      <w:r>
        <w:rPr>
          <w:rFonts w:hint="eastAsia" w:ascii="仿宋" w:hAnsi="仿宋" w:eastAsia="仿宋" w:cs="仿宋"/>
        </w:rPr>
        <w:t>学生、教师人数增加，教师工资增长。其中收入：</w:t>
      </w:r>
      <w:r>
        <w:rPr>
          <w:rFonts w:ascii="仿宋" w:hAnsi="仿宋" w:eastAsia="仿宋" w:cs="仿宋"/>
        </w:rPr>
        <w:t>1,765.35万元，与上年相比增加</w:t>
      </w:r>
      <w:r>
        <w:rPr>
          <w:rFonts w:hint="eastAsia" w:ascii="仿宋" w:hAnsi="仿宋" w:eastAsia="仿宋" w:cs="仿宋"/>
        </w:rPr>
        <w:t>65.85</w:t>
      </w:r>
      <w:r>
        <w:rPr>
          <w:rFonts w:ascii="仿宋" w:hAnsi="仿宋" w:eastAsia="仿宋" w:cs="仿宋"/>
        </w:rPr>
        <w:t>万元（去年决算数为</w:t>
      </w:r>
      <w:r>
        <w:rPr>
          <w:rFonts w:hint="eastAsia" w:ascii="仿宋" w:hAnsi="仿宋" w:eastAsia="仿宋" w:cs="仿宋"/>
        </w:rPr>
        <w:t>1699.5</w:t>
      </w:r>
      <w:r>
        <w:rPr>
          <w:rFonts w:ascii="仿宋" w:hAnsi="仿宋" w:eastAsia="仿宋" w:cs="仿宋"/>
        </w:rPr>
        <w:t>万元，</w:t>
      </w:r>
      <w:r>
        <w:rPr>
          <w:rFonts w:hint="eastAsia" w:ascii="仿宋" w:hAnsi="仿宋" w:eastAsia="仿宋" w:cs="仿宋"/>
        </w:rPr>
        <w:t>增长率为3.9%</w:t>
      </w:r>
      <w:r>
        <w:rPr>
          <w:rFonts w:ascii="仿宋" w:hAnsi="仿宋" w:eastAsia="仿宋" w:cs="仿宋"/>
        </w:rPr>
        <w:t>），主要是因为是</w:t>
      </w:r>
      <w:r>
        <w:rPr>
          <w:rFonts w:hint="eastAsia" w:ascii="仿宋" w:hAnsi="仿宋" w:eastAsia="仿宋" w:cs="仿宋"/>
        </w:rPr>
        <w:t>学生、教师人数增加，教师工资增长</w:t>
      </w:r>
      <w:r>
        <w:rPr>
          <w:rFonts w:hint="eastAsia" w:ascii="仿宋" w:hAnsi="仿宋" w:eastAsia="仿宋" w:cs="仿宋"/>
          <w:lang w:eastAsia="zh-CN"/>
        </w:rPr>
        <w:t>，</w:t>
      </w:r>
      <w:r>
        <w:rPr>
          <w:rFonts w:hint="eastAsia" w:ascii="仿宋" w:hAnsi="仿宋" w:eastAsia="仿宋" w:cs="仿宋"/>
          <w:lang w:val="en-US" w:eastAsia="zh-CN"/>
        </w:rPr>
        <w:t>预算收入增加</w:t>
      </w:r>
      <w:r>
        <w:rPr>
          <w:rFonts w:hint="eastAsia" w:ascii="仿宋" w:hAnsi="仿宋" w:eastAsia="仿宋" w:cs="仿宋"/>
        </w:rPr>
        <w:t>；支出</w:t>
      </w:r>
      <w:r>
        <w:rPr>
          <w:rFonts w:ascii="仿宋" w:hAnsi="仿宋" w:eastAsia="仿宋" w:cs="仿宋"/>
        </w:rPr>
        <w:t>1,765.35万元，与上年相比增加</w:t>
      </w:r>
      <w:r>
        <w:rPr>
          <w:rFonts w:hint="eastAsia" w:ascii="仿宋" w:hAnsi="仿宋" w:eastAsia="仿宋" w:cs="仿宋"/>
        </w:rPr>
        <w:t>65.85</w:t>
      </w:r>
      <w:r>
        <w:rPr>
          <w:rFonts w:ascii="仿宋" w:hAnsi="仿宋" w:eastAsia="仿宋" w:cs="仿宋"/>
        </w:rPr>
        <w:t>万元（去年决算数为</w:t>
      </w:r>
      <w:r>
        <w:rPr>
          <w:rFonts w:hint="eastAsia" w:ascii="仿宋" w:hAnsi="仿宋" w:eastAsia="仿宋" w:cs="仿宋"/>
        </w:rPr>
        <w:t>1699.5</w:t>
      </w:r>
      <w:r>
        <w:rPr>
          <w:rFonts w:ascii="仿宋" w:hAnsi="仿宋" w:eastAsia="仿宋" w:cs="仿宋"/>
        </w:rPr>
        <w:t>万元，</w:t>
      </w:r>
      <w:r>
        <w:rPr>
          <w:rFonts w:hint="eastAsia" w:ascii="仿宋" w:hAnsi="仿宋" w:eastAsia="仿宋" w:cs="仿宋"/>
        </w:rPr>
        <w:t>增长率为3.9%</w:t>
      </w:r>
      <w:r>
        <w:rPr>
          <w:rFonts w:ascii="仿宋" w:hAnsi="仿宋" w:eastAsia="仿宋" w:cs="仿宋"/>
        </w:rPr>
        <w:t>），主要是因为是</w:t>
      </w:r>
      <w:r>
        <w:rPr>
          <w:rFonts w:hint="eastAsia" w:ascii="仿宋" w:hAnsi="仿宋" w:eastAsia="仿宋" w:cs="仿宋"/>
        </w:rPr>
        <w:t>学生、教师人数增加，教师工资增长</w:t>
      </w:r>
      <w:r>
        <w:rPr>
          <w:rFonts w:hint="eastAsia" w:ascii="仿宋" w:hAnsi="仿宋" w:eastAsia="仿宋" w:cs="仿宋"/>
          <w:lang w:eastAsia="zh-CN"/>
        </w:rPr>
        <w:t>，</w:t>
      </w:r>
      <w:r>
        <w:rPr>
          <w:rFonts w:hint="eastAsia" w:ascii="仿宋" w:hAnsi="仿宋" w:eastAsia="仿宋" w:cs="仿宋"/>
          <w:lang w:val="en-US" w:eastAsia="zh-CN"/>
        </w:rPr>
        <w:t>人员经费支出增加</w:t>
      </w:r>
      <w:r>
        <w:rPr>
          <w:rFonts w:hint="eastAsia"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bookmarkStart w:id="3" w:name="_GoBack"/>
      <w:bookmarkEnd w:id="3"/>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2020年度财政拨款支出1,757.04万元，占本年支出合计的99.53%，与上年相比，财政拨款支出增加</w:t>
      </w:r>
      <w:r>
        <w:rPr>
          <w:rFonts w:hint="eastAsia" w:ascii="仿宋" w:hAnsi="仿宋" w:eastAsia="仿宋" w:cs="仿宋"/>
        </w:rPr>
        <w:t>65.85</w:t>
      </w:r>
      <w:r>
        <w:rPr>
          <w:rFonts w:ascii="仿宋" w:hAnsi="仿宋" w:eastAsia="仿宋" w:cs="仿宋"/>
        </w:rPr>
        <w:t>万元，去年决算数为</w:t>
      </w:r>
      <w:r>
        <w:rPr>
          <w:rFonts w:hint="eastAsia" w:ascii="仿宋" w:hAnsi="仿宋" w:eastAsia="仿宋" w:cs="仿宋"/>
        </w:rPr>
        <w:t>1699.5</w:t>
      </w:r>
      <w:r>
        <w:rPr>
          <w:rFonts w:ascii="仿宋" w:hAnsi="仿宋" w:eastAsia="仿宋" w:cs="仿宋"/>
        </w:rPr>
        <w:t>万元，</w:t>
      </w:r>
      <w:r>
        <w:rPr>
          <w:rFonts w:hint="eastAsia" w:ascii="仿宋" w:hAnsi="仿宋" w:eastAsia="仿宋" w:cs="仿宋"/>
        </w:rPr>
        <w:t>增长率为3.9%</w:t>
      </w:r>
      <w:r>
        <w:rPr>
          <w:rFonts w:ascii="仿宋" w:hAnsi="仿宋" w:eastAsia="仿宋" w:cs="仿宋"/>
        </w:rPr>
        <w:t>，主要是因为是</w:t>
      </w:r>
      <w:r>
        <w:rPr>
          <w:rFonts w:hint="eastAsia" w:ascii="仿宋" w:hAnsi="仿宋" w:eastAsia="仿宋" w:cs="仿宋"/>
        </w:rPr>
        <w:t>学生、教师人数增加，教师工资增长等，造成财政拨款支出增加。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2020年度财政拨款支出1,757.04万元，主要用于以下方面：教育支出（类）1,757.04万元，占100%。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2020年度财政拨款支出年初预算数为1,399.14万元，支出决算数为1,757.04万元，完成年初预算的125.58%，其中：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1、教育支出（类）职业教育（款）中等职业教育（项）。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年初预算为1,399.14万元，支出决算为1,757.04万元，完成年初预算的125.58%，决算数大于预算数的主要原因是：中职免学费未列入预算编制，由教育局做预算。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1,757.04万元，其中：人员经费1,334.78万元，占基本支出的75.97%，主要包括：基本工资、津贴补贴、奖金、绩效工资、机关事业单位基本养老保险缴费、职工基本医疗保险缴费、其他社会保障缴费、其他工资福利支出、生活补助、助学金、奖励金、其他对个人和家庭的补助；公用经费422.26万元，占基本支出的24.03%，主要包括：办公费、印刷费、水费、电费、邮电费、差旅费、维修（护）费、会议费、培训费、专用材料费、劳务费、工会经费、公务用车运行维护费、其他商品和服务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“三公”经费财政拨款支出预算为3万元，支出决算为3万元，完成预算的100%，其中：因公出国（境）费支出预算为0万元，支出决算为0万元，与本年预算数相同，与上年决算数相同。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公务用车购置费及运行维护费支出预算为3万元，支出决算为3万元，与本年预算数相同，与上年相比增加3万元，去年决算数为0万元，无法计算增减比率，增长的主要原因是新增单位，所以无与上年对比数。</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2020年度“三公”经费财政拨款支出决算中，公务接待费支出决算0万元，占0%，因公出国（境）费支出决算0万元，占0%，公务用车购置费及运行维护费支出决算3万元，占100%。其中：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2、公务接待费支出决算为0万元，全年共接待来访团组0个，来宾0人次。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3万元，其中：公务用车购置费0万元。公务用车运行维护费3万元，主要是校务用车的汽车燃油费、保险费、维修费支出，截止2020年12月31日，我单位开支财政拨款的公务用车保有量为1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2020年度政府性基金预算财政拨款收入8.31万元；年初结转和结余0万元；支出8.31万元，其中基本支出8.31万元，项目支出0万元；年末结转和结余0万元。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本部门2020年度机关运行经费支出0万元，与年初预算数相同。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8万元，用于召开学生及教师各类会议活动等会议，人数800人，内容为学生校、县级运动会、班主任论谈、学生文明风采、职业教育宣传等；开支培训费13万元，用于开展教育教学教研培训，人数120人，内容为教学研讨培训、中职教师国培、教师信息技术提升集中培训等；举办0等节庆、晚会、论坛、赛事活动，开支0万元，主要是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1辆，其中，主要领导干部用车0辆、机要通信用车0辆、应急保障用车0辆、执法执勤用车0辆、特种专业技术用车0辆、其他用车1辆，其他用车主要是校务用车;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本部门无项目经费</w:t>
      </w:r>
      <w:r>
        <w:rPr>
          <w:rFonts w:hint="eastAsia" w:ascii="仿宋" w:hAnsi="仿宋" w:eastAsia="仿宋" w:cs="仿宋"/>
        </w:rPr>
        <w:t>，</w:t>
      </w:r>
      <w:r>
        <w:rPr>
          <w:rFonts w:ascii="仿宋" w:hAnsi="仿宋" w:eastAsia="仿宋" w:cs="仿宋"/>
        </w:rPr>
        <w:t>未开展预算绩效管理评价报告。</w:t>
      </w:r>
    </w:p>
    <w:p>
      <w:pPr>
        <w:pStyle w:val="10"/>
        <w:tabs>
          <w:tab w:val="left" w:pos="5967"/>
        </w:tabs>
        <w:rPr>
          <w:sz w:val="72"/>
          <w:szCs w:val="72"/>
        </w:rPr>
        <w:sectPr>
          <w:footerReference r:id="rId6" w:type="default"/>
          <w:pgSz w:w="11906" w:h="16838"/>
          <w:pgMar w:top="720" w:right="720" w:bottom="720" w:left="720" w:header="851" w:footer="992" w:gutter="0"/>
          <w:pgNumType w:fmt="numberInDash"/>
          <w:cols w:space="0" w:num="1"/>
          <w:docGrid w:type="lines" w:linePitch="319" w:charSpace="0"/>
        </w:sectPr>
      </w:pPr>
    </w:p>
    <w:p>
      <w:pPr>
        <w:pStyle w:val="10"/>
        <w:jc w:val="both"/>
        <w:rPr>
          <w:sz w:val="72"/>
          <w:szCs w:val="72"/>
        </w:rPr>
      </w:pPr>
    </w:p>
    <w:p>
      <w:pPr>
        <w:pStyle w:val="10"/>
        <w:jc w:val="both"/>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十八、教育支出(类)职业教育(款)中等职业教育(项)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反映各部门（不含人力资源社会保障部门）举办的中等职业学校支出。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十九、抗疫特别国债安排的支出(类)抗疫相关支出(款)其他抗疫相关支出(项)</w:t>
      </w:r>
      <w:r>
        <w:rPr>
          <w:rFonts w:ascii="仿宋" w:hAnsi="仿宋" w:eastAsia="仿宋" w:cs="仿宋"/>
          <w:b/>
          <w:color w:val="000000"/>
          <w:sz w:val="32"/>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3" w:hRule="atLeast"/>
        </w:trPr>
        <w:tc>
          <w:tcPr>
            <w:tcW w:w="8516" w:type="dxa"/>
            <w:tcBorders>
              <w:top w:val="nil"/>
              <w:left w:val="nil"/>
              <w:bottom w:val="nil"/>
              <w:right w:val="nil"/>
            </w:tcBorders>
            <w:vAlign w:val="center"/>
          </w:tcPr>
          <w:p>
            <w:pPr>
              <w:pStyle w:val="10"/>
              <w:jc w:val="left"/>
              <w:rPr>
                <w:rFonts w:ascii="仿宋" w:hAnsi="仿宋" w:eastAsia="仿宋" w:cs="仿宋"/>
                <w:b/>
                <w:bCs/>
                <w:sz w:val="52"/>
                <w:szCs w:val="52"/>
              </w:rPr>
            </w:pPr>
          </w:p>
        </w:tc>
      </w:tr>
    </w:tbl>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- 26 -</w:t>
                          </w:r>
                          <w:r>
                            <w:rPr>
                              <w:rFonts w:hint="eastAsia" w:ascii="黑体" w:hAnsi="黑体" w:eastAsia="黑体" w:cs="黑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- 26 -</w:t>
                    </w:r>
                    <w:r>
                      <w:rPr>
                        <w:rFonts w:hint="eastAsia" w:ascii="黑体" w:hAnsi="黑体" w:eastAsia="黑体" w:cs="黑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4771FD"/>
    <w:rsid w:val="00A57004"/>
    <w:rsid w:val="00A669ED"/>
    <w:rsid w:val="00EF3870"/>
    <w:rsid w:val="00F23908"/>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BFA6270"/>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150FD3"/>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CD68D0"/>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275175"/>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9"/>
    <w:qFormat/>
    <w:uiPriority w:val="0"/>
    <w:rPr>
      <w:rFonts w:ascii="Arial Unicode MS" w:hAnsi="Arial Unicode MS" w:eastAsia="Arial Unicode MS" w:cs="Arial Unicode MS"/>
      <w:sz w:val="18"/>
      <w:szCs w:val="18"/>
      <w:lang w:val="zh-CN" w:bidi="zh-CN"/>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7029</Words>
  <Characters>8430</Characters>
  <Lines>72</Lines>
  <Paragraphs>20</Paragraphs>
  <TotalTime>0</TotalTime>
  <ScaleCrop>false</ScaleCrop>
  <LinksUpToDate>false</LinksUpToDate>
  <CharactersWithSpaces>8676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2022-08-23T02:24:56Z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