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spacing w:after="34" w:line="34" w:lineRule="atLeast"/>
              <w:rPr>
                <w:rFonts w:ascii="仿宋" w:hAnsi="仿宋" w:eastAsia="仿宋" w:cs="仿宋"/>
                <w:b/>
                <w:bCs/>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10"/>
              <w:jc w:val="center"/>
              <w:rPr>
                <w:rFonts w:ascii="宋体" w:hAnsi="宋体" w:eastAsia="宋体" w:cs="宋体"/>
                <w:b/>
                <w:bCs/>
                <w:sz w:val="52"/>
                <w:szCs w:val="52"/>
              </w:rPr>
            </w:pPr>
            <w:r>
              <w:rPr>
                <w:rFonts w:hint="eastAsia" w:ascii="宋体" w:hAnsi="宋体" w:eastAsia="宋体" w:cs="宋体"/>
                <w:b/>
                <w:bCs/>
                <w:sz w:val="52"/>
                <w:szCs w:val="52"/>
              </w:rPr>
              <w:t>2020年度</w:t>
            </w:r>
          </w:p>
          <w:p>
            <w:pPr>
              <w:pStyle w:val="10"/>
              <w:jc w:val="center"/>
              <w:rPr>
                <w:rFonts w:ascii="宋体" w:hAnsi="宋体" w:eastAsia="宋体" w:cs="宋体"/>
                <w:b/>
                <w:bCs/>
                <w:sz w:val="52"/>
                <w:szCs w:val="52"/>
              </w:rPr>
            </w:pPr>
            <w:r>
              <w:rPr>
                <w:rFonts w:ascii="宋体" w:hAnsi="宋体" w:eastAsia="宋体" w:cs="宋体"/>
                <w:b/>
                <w:bCs/>
                <w:sz w:val="52"/>
                <w:szCs w:val="52"/>
              </w:rPr>
              <w:t>中方县第一中学</w:t>
            </w:r>
            <w:r>
              <w:rPr>
                <w:rFonts w:ascii="宋体" w:hAnsi="宋体" w:eastAsia="宋体" w:cs="宋体"/>
                <w:b/>
                <w:sz w:val="52"/>
              </w:rPr>
              <w:t>单位</w:t>
            </w:r>
            <w:r>
              <w:rPr>
                <w:rFonts w:hint="eastAsia" w:ascii="宋体" w:hAnsi="宋体" w:eastAsia="宋体" w:cs="宋体"/>
                <w:b/>
                <w:bCs/>
                <w:sz w:val="52"/>
                <w:szCs w:val="52"/>
              </w:rPr>
              <w:t>决算</w:t>
            </w:r>
          </w:p>
          <w:p>
            <w:pPr>
              <w:pStyle w:val="10"/>
              <w:jc w:val="center"/>
              <w:rPr>
                <w:rFonts w:ascii="宋体" w:hAnsi="宋体" w:eastAsia="宋体" w:cs="宋体"/>
                <w:b/>
                <w:bCs/>
                <w:sz w:val="52"/>
                <w:szCs w:val="5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10"/>
              <w:jc w:val="both"/>
              <w:rPr>
                <w:sz w:val="44"/>
                <w:szCs w:val="44"/>
              </w:rPr>
            </w:pPr>
          </w:p>
        </w:tc>
      </w:tr>
    </w:tbl>
    <w:p>
      <w:pPr>
        <w:pStyle w:val="10"/>
        <w:rPr>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10"/>
        <w:spacing w:line="500" w:lineRule="exact"/>
        <w:jc w:val="center"/>
        <w:rPr>
          <w:rFonts w:ascii="仿宋" w:hAnsi="仿宋" w:eastAsia="仿宋" w:cs="仿宋"/>
          <w:b/>
          <w:sz w:val="32"/>
          <w:szCs w:val="32"/>
        </w:rPr>
      </w:pPr>
      <w:r>
        <w:rPr>
          <w:rFonts w:hint="eastAsia" w:ascii="仿宋" w:hAnsi="仿宋" w:eastAsia="仿宋" w:cs="仿宋"/>
          <w:b/>
          <w:sz w:val="32"/>
          <w:szCs w:val="32"/>
        </w:rPr>
        <w:t>目录</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中方县第一中学单位概况</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单位职责</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二、机构设置</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第二部分2020年度部门决算表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10"/>
        <w:adjustRightInd/>
        <w:spacing w:line="440" w:lineRule="exact"/>
        <w:rPr>
          <w:rFonts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一、收入支出决算总体情况说明</w:t>
      </w:r>
    </w:p>
    <w:p>
      <w:pPr>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autoSpaceDE w:val="0"/>
        <w:autoSpaceDN w:val="0"/>
        <w:spacing w:line="44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pStyle w:val="10"/>
        <w:adjustRightInd/>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十三、关于2020年度预算绩效情况的说明</w:t>
      </w:r>
    </w:p>
    <w:p>
      <w:pPr>
        <w:autoSpaceDE w:val="0"/>
        <w:autoSpaceDN w:val="0"/>
        <w:spacing w:line="440" w:lineRule="exact"/>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autoSpaceDE w:val="0"/>
        <w:autoSpaceDN w:val="0"/>
        <w:spacing w:line="440" w:lineRule="exact"/>
        <w:jc w:val="left"/>
        <w:rPr>
          <w:rFonts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rPr>
        <w:t>五部分附件</w:t>
      </w:r>
    </w:p>
    <w:p>
      <w:pPr>
        <w:autoSpaceDE w:val="0"/>
        <w:autoSpaceDN w:val="0"/>
        <w:spacing w:line="440" w:lineRule="exact"/>
        <w:jc w:val="left"/>
        <w:rPr>
          <w:rFonts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第一部分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中方县第一中学</w:t>
      </w:r>
    </w:p>
    <w:p>
      <w:pPr>
        <w:pStyle w:val="10"/>
        <w:jc w:val="center"/>
        <w:rPr>
          <w:rFonts w:ascii="仿宋" w:hAnsi="仿宋" w:eastAsia="仿宋" w:cs="仿宋"/>
          <w:b/>
          <w:bCs/>
          <w:sz w:val="48"/>
          <w:szCs w:val="48"/>
        </w:rPr>
      </w:pPr>
      <w:r>
        <w:rPr>
          <w:rFonts w:hint="eastAsia" w:ascii="仿宋" w:hAnsi="仿宋" w:eastAsia="仿宋" w:cs="仿宋"/>
          <w:b/>
          <w:bCs/>
          <w:sz w:val="52"/>
          <w:szCs w:val="52"/>
        </w:rPr>
        <w:t>单位</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suppressAutoHyphens/>
        <w:spacing w:line="360" w:lineRule="auto"/>
        <w:ind w:left="420" w:leftChars="200" w:right="481" w:rightChars="229" w:firstLine="658"/>
        <w:rPr>
          <w:rFonts w:ascii="仿宋" w:hAnsi="仿宋" w:eastAsia="仿宋" w:cs="仿宋"/>
          <w:b/>
          <w:bCs/>
          <w:kern w:val="0"/>
          <w:lang w:bidi="zh-CN"/>
        </w:rPr>
      </w:pPr>
      <w:r>
        <w:rPr>
          <w:rFonts w:hint="eastAsia" w:ascii="仿宋" w:hAnsi="仿宋" w:eastAsia="仿宋" w:cs="仿宋"/>
          <w:b/>
          <w:bCs/>
          <w:kern w:val="0"/>
          <w:lang w:bidi="zh-CN"/>
        </w:rPr>
        <w:t>一</w:t>
      </w:r>
      <w:r>
        <w:rPr>
          <w:rFonts w:hint="eastAsia" w:ascii="仿宋" w:hAnsi="仿宋" w:eastAsia="仿宋" w:cs="仿宋"/>
          <w:b/>
          <w:bCs/>
          <w:kern w:val="0"/>
          <w:lang w:val="zh-CN" w:bidi="zh-CN"/>
        </w:rPr>
        <w:t>、</w:t>
      </w:r>
      <w:r>
        <w:rPr>
          <w:rFonts w:hint="eastAsia" w:ascii="仿宋" w:hAnsi="仿宋" w:eastAsia="仿宋" w:cs="仿宋"/>
          <w:b/>
          <w:bCs/>
          <w:kern w:val="0"/>
          <w:lang w:bidi="zh-CN"/>
        </w:rPr>
        <w:t>部门职责</w:t>
      </w:r>
    </w:p>
    <w:p>
      <w:pPr>
        <w:pStyle w:val="3"/>
        <w:suppressAutoHyphens/>
        <w:spacing w:line="360" w:lineRule="auto"/>
        <w:ind w:left="420" w:leftChars="200" w:right="481" w:rightChars="229" w:firstLine="658"/>
        <w:rPr>
          <w:rFonts w:ascii="仿宋" w:hAnsi="仿宋" w:eastAsia="仿宋" w:cs="仿宋"/>
          <w:kern w:val="0"/>
          <w:lang w:bidi="zh-CN"/>
        </w:rPr>
      </w:pPr>
      <w:r>
        <w:rPr>
          <w:rFonts w:ascii="仿宋" w:hAnsi="仿宋" w:eastAsia="仿宋" w:cs="仿宋"/>
        </w:rPr>
        <w:t>贯彻落实国家教育工作的方针、政策、法律、法规等，结合我校拟定具体实施办法和管理制定，并组织实施。研究制定学校教育改革与发展战略以及教育事业发展规划、年度计划，教育发展的内容、重点和步骤，并协调实施。领导师生的思想政治教育工作，坚持正确的教育原则，方法，按教育规律办事，培养思想过硬，敬业精业的教师队伍和勤学多思，勇于进取，拥有正确人生观价值观的新一代共产主义接班人。</w:t>
      </w:r>
    </w:p>
    <w:p>
      <w:pPr>
        <w:jc w:val="left"/>
        <w:rPr>
          <w:rFonts w:ascii="仿宋" w:hAnsi="仿宋" w:eastAsia="仿宋" w:cs="仿宋"/>
          <w:sz w:val="28"/>
          <w:szCs w:val="32"/>
        </w:rPr>
      </w:pPr>
    </w:p>
    <w:p>
      <w:pPr>
        <w:pStyle w:val="3"/>
        <w:suppressAutoHyphens/>
        <w:spacing w:line="360" w:lineRule="auto"/>
        <w:ind w:left="420" w:leftChars="200" w:right="481" w:rightChars="229" w:firstLine="658"/>
        <w:rPr>
          <w:rFonts w:ascii="仿宋" w:hAnsi="仿宋" w:eastAsia="仿宋" w:cs="仿宋"/>
          <w:b/>
          <w:bCs/>
          <w:kern w:val="0"/>
          <w:lang w:val="zh-CN" w:bidi="zh-CN"/>
        </w:rPr>
      </w:pPr>
      <w:r>
        <w:rPr>
          <w:rFonts w:hint="eastAsia" w:ascii="仿宋" w:hAnsi="仿宋" w:eastAsia="仿宋" w:cs="仿宋"/>
          <w:b/>
          <w:bCs/>
          <w:kern w:val="0"/>
          <w:lang w:val="zh-CN" w:bidi="zh-CN"/>
        </w:rPr>
        <w:t>二、机构设置及决算单位构成</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（一）内设机构设置。</w:t>
      </w:r>
      <w:r>
        <w:rPr>
          <w:rFonts w:ascii="仿宋" w:hAnsi="仿宋" w:eastAsia="仿宋" w:cs="仿宋"/>
        </w:rPr>
        <w:t>中方县第一中学内设机构包括：内设机构设置。中方县第一中学单位内设机构包括：校长室、办公室、教务处、总务处、德育处、教科室、督导室、团委、工会、党支部、综治办、信息中心等。</w:t>
      </w:r>
    </w:p>
    <w:p>
      <w:pPr>
        <w:pStyle w:val="3"/>
        <w:suppressAutoHyphens/>
        <w:spacing w:line="360" w:lineRule="auto"/>
        <w:ind w:left="420" w:leftChars="200" w:right="481" w:rightChars="229" w:firstLine="658"/>
        <w:rPr>
          <w:rFonts w:ascii="仿宋" w:hAnsi="仿宋" w:eastAsia="仿宋" w:cs="仿宋"/>
          <w:kern w:val="0"/>
          <w:lang w:bidi="zh-CN"/>
        </w:rPr>
      </w:pPr>
      <w:r>
        <w:rPr>
          <w:rFonts w:hint="eastAsia" w:ascii="仿宋" w:hAnsi="仿宋" w:eastAsia="仿宋" w:cs="仿宋"/>
          <w:kern w:val="0"/>
          <w:lang w:bidi="zh-CN"/>
        </w:rPr>
        <w:t>（二）决算单位构成。</w:t>
      </w:r>
      <w:r>
        <w:rPr>
          <w:rFonts w:ascii="仿宋" w:hAnsi="仿宋" w:eastAsia="仿宋" w:cs="仿宋"/>
        </w:rPr>
        <w:t>中方县第一中学2020年部门决算汇总公开单位构成包括：中方县第一中学,无二级预算单位。</w:t>
      </w:r>
    </w:p>
    <w:p>
      <w:pPr>
        <w:pStyle w:val="3"/>
        <w:spacing w:line="360" w:lineRule="auto"/>
        <w:ind w:right="481" w:rightChars="229" w:firstLine="640" w:firstLineChars="200"/>
        <w:rPr>
          <w:rFonts w:ascii="仿宋" w:hAnsi="仿宋" w:eastAsia="仿宋" w:cs="仿宋"/>
        </w:rPr>
      </w:pPr>
    </w:p>
    <w:p>
      <w:pPr>
        <w:widowControl/>
        <w:spacing w:line="600" w:lineRule="exact"/>
        <w:ind w:firstLine="838" w:firstLineChars="262"/>
        <w:rPr>
          <w:rFonts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ascii="仿宋" w:hAnsi="仿宋" w:eastAsia="仿宋" w:cs="仿宋"/>
          <w:b/>
          <w:bCs/>
          <w:sz w:val="52"/>
          <w:szCs w:val="52"/>
        </w:rPr>
      </w:pPr>
      <w:r>
        <w:rPr>
          <w:rFonts w:hint="eastAsia" w:ascii="仿宋" w:hAnsi="仿宋" w:eastAsia="仿宋" w:cs="仿宋"/>
          <w:b/>
          <w:bCs/>
          <w:sz w:val="52"/>
          <w:szCs w:val="52"/>
        </w:rPr>
        <w:t>第二部分</w:t>
      </w:r>
    </w:p>
    <w:p>
      <w:pPr>
        <w:jc w:val="center"/>
        <w:rPr>
          <w:rFonts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单位</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7"/>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widowControl/>
              <w:spacing w:line="2" w:lineRule="atLeast"/>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中方县第一中学</w:t>
            </w:r>
          </w:p>
        </w:tc>
        <w:tc>
          <w:tcPr>
            <w:tcW w:w="8660" w:type="dxa"/>
            <w:gridSpan w:val="4"/>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color w:val="000000"/>
                <w:sz w:val="22"/>
              </w:rPr>
            </w:pPr>
            <w:r>
              <w:rPr>
                <w:rFonts w:hint="eastAsia" w:ascii="仿宋" w:hAnsi="仿宋" w:eastAsia="仿宋" w:cs="仿宋"/>
                <w:color w:val="000000"/>
                <w:kern w:val="0"/>
                <w:sz w:val="22"/>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2367.05</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575.0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2,940.46</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1.60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2,942.05</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2,942.05</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lef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kern w:val="0"/>
                <w:sz w:val="22"/>
              </w:rPr>
            </w:pPr>
            <w:r>
              <w:rPr>
                <w:rFonts w:hint="eastAsia" w:ascii="仿宋" w:hAnsi="仿宋" w:eastAsia="仿宋" w:cs="仿宋"/>
              </w:rPr>
              <w:t>2,942.05</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napToGrid w:val="0"/>
              <w:spacing w:after="34" w:line="34" w:lineRule="atLeast"/>
              <w:jc w:val="center"/>
              <w:rPr>
                <w:rFonts w:ascii="仿宋" w:hAnsi="仿宋" w:eastAsia="仿宋" w:cs="仿宋"/>
                <w:kern w:val="0"/>
                <w:sz w:val="22"/>
              </w:rPr>
            </w:pPr>
            <w:r>
              <w:rPr>
                <w:rFonts w:hint="eastAsia" w:ascii="仿宋" w:hAnsi="仿宋" w:eastAsia="仿宋" w:cs="仿宋"/>
                <w:color w:val="000000"/>
                <w:kern w:val="0"/>
                <w:sz w:val="22"/>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after="34" w:line="34" w:lineRule="atLeast"/>
              <w:jc w:val="right"/>
              <w:rPr>
                <w:rFonts w:ascii="仿宋" w:hAnsi="仿宋" w:eastAsia="仿宋" w:cs="仿宋"/>
                <w:b/>
                <w:bCs/>
                <w:kern w:val="0"/>
                <w:sz w:val="22"/>
              </w:rPr>
            </w:pPr>
            <w:r>
              <w:rPr>
                <w:rFonts w:hint="eastAsia" w:ascii="仿宋" w:hAnsi="仿宋" w:eastAsia="仿宋" w:cs="仿宋"/>
              </w:rPr>
              <w:t>2,942.05</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spacing w:line="2" w:lineRule="atLeast"/>
              <w:jc w:val="center"/>
              <w:rPr>
                <w:rFonts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left"/>
              <w:rPr>
                <w:rFonts w:ascii="仿宋" w:hAnsi="仿宋" w:eastAsia="仿宋" w:cs="仿宋"/>
                <w:sz w:val="24"/>
                <w:szCs w:val="24"/>
              </w:rPr>
            </w:pPr>
            <w:r>
              <w:rPr>
                <w:rFonts w:hint="eastAsia" w:ascii="仿宋" w:hAnsi="仿宋" w:eastAsia="仿宋" w:cs="仿宋"/>
                <w:color w:val="000000"/>
                <w:sz w:val="20"/>
                <w:szCs w:val="20"/>
              </w:rPr>
              <w:t>单位：</w:t>
            </w:r>
            <w:r>
              <w:rPr>
                <w:rFonts w:ascii="仿宋" w:hAnsi="仿宋" w:eastAsia="仿宋" w:cs="仿宋"/>
                <w:color w:val="000000"/>
                <w:sz w:val="20"/>
              </w:rPr>
              <w:t>中方县第一中学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spacing w:after="34" w:line="34" w:lineRule="atLeast"/>
              <w:jc w:val="right"/>
              <w:rPr>
                <w:rFonts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附属单位</w:t>
            </w:r>
          </w:p>
          <w:p>
            <w:pPr>
              <w:spacing w:after="34" w:line="34" w:lineRule="atLeast"/>
              <w:jc w:val="center"/>
              <w:rPr>
                <w:rFonts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rPr>
            </w:pPr>
            <w:r>
              <w:rPr>
                <w:rFonts w:hint="eastAsia" w:ascii="仿宋" w:hAnsi="仿宋" w:eastAsia="仿宋" w:cs="仿宋"/>
              </w:rPr>
              <w:t>功能分类</w:t>
            </w:r>
          </w:p>
          <w:p>
            <w:pPr>
              <w:spacing w:after="34" w:line="34" w:lineRule="atLeast"/>
              <w:jc w:val="center"/>
              <w:rPr>
                <w:rFonts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353"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spacing w:after="34" w:line="34" w:lineRule="atLeast"/>
              <w:rPr>
                <w:rFonts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jc w:val="center"/>
              <w:rPr>
                <w:rFonts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2,942.05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2,367.05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575.00</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2,940.46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2,365.46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575.00</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2,940.46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2,365.46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575.00</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2050204</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高中教育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2,935.06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2,360.06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575.00</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5.40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5.40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20807</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就业补助</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 xml:space="preserve">    2080799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spacing w:after="34" w:line="34" w:lineRule="atLeast"/>
              <w:rPr>
                <w:rFonts w:ascii="仿宋" w:hAnsi="仿宋" w:eastAsia="仿宋" w:cs="仿宋"/>
                <w:sz w:val="24"/>
                <w:szCs w:val="24"/>
              </w:rPr>
            </w:pPr>
            <w:r>
              <w:rPr>
                <w:rFonts w:hint="eastAsia" w:ascii="仿宋" w:hAnsi="仿宋" w:eastAsia="仿宋" w:cs="仿宋"/>
              </w:rPr>
              <w:t>其他就业补助支出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r>
              <w:rPr>
                <w:rFonts w:hint="eastAsia" w:ascii="仿宋" w:hAnsi="仿宋" w:eastAsia="仿宋" w:cs="仿宋"/>
              </w:rPr>
              <w:t>1.60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spacing w:after="34" w:line="34" w:lineRule="atLeast"/>
              <w:jc w:val="right"/>
              <w:rPr>
                <w:rFonts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spacing w:after="34" w:line="34" w:lineRule="atLeast"/>
              <w:rPr>
                <w:rFonts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7"/>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中方县第一中学</w:t>
            </w:r>
          </w:p>
        </w:tc>
        <w:tc>
          <w:tcPr>
            <w:tcW w:w="1470"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2,942.05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2,942.05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2,940.46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2,940.46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2,940.46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2,940.46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2050204</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高中教育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2,935.06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2,935.06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5.40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5.40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20807</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就业补助</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 xml:space="preserve">    2080799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rPr>
              <w:t>其他就业补助支出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r>
              <w:rPr>
                <w:rFonts w:hint="eastAsia" w:ascii="仿宋" w:hAnsi="仿宋" w:eastAsia="仿宋" w:cs="仿宋"/>
              </w:rPr>
              <w:t>1.60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4"/>
                <w:szCs w:val="24"/>
              </w:rPr>
            </w:pPr>
            <w:r>
              <w:rPr>
                <w:rFonts w:hint="eastAsia" w:ascii="仿宋" w:hAnsi="仿宋" w:eastAsia="仿宋" w:cs="仿宋"/>
                <w:color w:val="000000"/>
                <w:kern w:val="0"/>
                <w:sz w:val="20"/>
                <w:szCs w:val="20"/>
              </w:rPr>
              <w:t>单位：</w:t>
            </w:r>
            <w:r>
              <w:rPr>
                <w:rFonts w:ascii="仿宋" w:hAnsi="仿宋" w:eastAsia="仿宋" w:cs="仿宋"/>
                <w:color w:val="000000"/>
                <w:sz w:val="20"/>
              </w:rPr>
              <w:t>中方县第一中学</w:t>
            </w:r>
          </w:p>
        </w:tc>
        <w:tc>
          <w:tcPr>
            <w:tcW w:w="1414" w:type="dxa"/>
            <w:tcBorders>
              <w:top w:val="nil"/>
              <w:left w:val="nil"/>
              <w:bottom w:val="single" w:color="auto" w:sz="4" w:space="0"/>
              <w:right w:val="nil"/>
            </w:tcBorders>
            <w:shd w:val="clear" w:color="000000" w:fill="FFFFFF"/>
            <w:noWrap/>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2,367.05</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2,365.46</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2,365.46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1.60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1.60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2,367.05</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2,367.05</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2,367.05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kern w:val="0"/>
                <w:sz w:val="22"/>
              </w:rPr>
              <w:t>2,367.05</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center"/>
              <w:rPr>
                <w:rFonts w:ascii="仿宋" w:hAnsi="仿宋" w:eastAsia="仿宋" w:cs="仿宋"/>
                <w:kern w:val="0"/>
                <w:sz w:val="22"/>
              </w:rPr>
            </w:pPr>
            <w:r>
              <w:rPr>
                <w:rFonts w:hint="eastAsia" w:ascii="仿宋" w:hAnsi="仿宋" w:eastAsia="仿宋" w:cs="仿宋"/>
                <w:kern w:val="0"/>
                <w:sz w:val="22"/>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2,367.05</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after="34" w:line="34" w:lineRule="atLeast"/>
              <w:jc w:val="right"/>
              <w:rPr>
                <w:rFonts w:ascii="仿宋" w:hAnsi="仿宋" w:eastAsia="仿宋" w:cs="仿宋"/>
                <w:kern w:val="0"/>
                <w:sz w:val="22"/>
              </w:rPr>
            </w:pPr>
            <w:r>
              <w:rPr>
                <w:rFonts w:hint="eastAsia" w:ascii="仿宋" w:hAnsi="仿宋" w:eastAsia="仿宋" w:cs="仿宋"/>
              </w:rPr>
              <w:t>2,367.05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docGrid w:type="lines" w:linePitch="319" w:charSpace="0"/>
        </w:sectPr>
      </w:pPr>
    </w:p>
    <w:bookmarkEnd w:id="1"/>
    <w:tbl>
      <w:tblPr>
        <w:tblStyle w:val="7"/>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中方县第一中学</w:t>
            </w:r>
          </w:p>
        </w:tc>
        <w:tc>
          <w:tcPr>
            <w:tcW w:w="7640" w:type="dxa"/>
            <w:gridSpan w:val="3"/>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功能分类</w:t>
            </w:r>
          </w:p>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353"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2,367.05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2,367.05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2,365.46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2,365.46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2,365.46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2,365.46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2050204</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高中教育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2,360.06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2,360.06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5.40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5.40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20807</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就业补助</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 xml:space="preserve">    2080799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rPr>
              <w:t>其他就业补助支出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rPr>
              <w:t>1.60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rPr>
          <w:trHeight w:val="90" w:hRule="atLeast"/>
        </w:trPr>
        <w:tc>
          <w:tcPr>
            <w:tcW w:w="15801" w:type="dxa"/>
            <w:gridSpan w:val="9"/>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color w:val="000000"/>
                <w:kern w:val="0"/>
                <w:szCs w:val="21"/>
              </w:rPr>
              <w:t>单位：</w:t>
            </w:r>
            <w:r>
              <w:rPr>
                <w:rFonts w:ascii="仿宋" w:hAnsi="仿宋" w:eastAsia="仿宋" w:cs="仿宋"/>
                <w:color w:val="000000"/>
              </w:rPr>
              <w:t>中方县第一中学</w:t>
            </w:r>
          </w:p>
        </w:tc>
        <w:tc>
          <w:tcPr>
            <w:tcW w:w="3820" w:type="dxa"/>
            <w:gridSpan w:val="2"/>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1"/>
              </w:rPr>
              <w:t>单位：万元</w:t>
            </w:r>
          </w:p>
        </w:tc>
      </w:tr>
      <w:tr>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决算数</w:t>
            </w: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2,023.54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330.64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889.68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57.25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606.29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14.91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112.07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10.80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36.64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245.84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61.97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0.20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118.77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11.92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40.10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1.39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38.86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12.87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11.49</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51.18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0.40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6.04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44.44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5.28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rPr>
              <w:t>1.56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left"/>
              <w:rPr>
                <w:rFonts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20"/>
              </w:rPr>
            </w:pPr>
            <w:r>
              <w:rPr>
                <w:rFonts w:hint="eastAsia" w:ascii="仿宋" w:hAnsi="仿宋" w:eastAsia="仿宋" w:cs="仿宋"/>
                <w:color w:val="000000"/>
                <w:kern w:val="0"/>
                <w:szCs w:val="20"/>
              </w:rPr>
              <w:t>2,036.41</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center"/>
              <w:rPr>
                <w:rFonts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34" w:line="34" w:lineRule="atLeast"/>
              <w:jc w:val="right"/>
              <w:rPr>
                <w:rFonts w:ascii="仿宋" w:hAnsi="仿宋" w:eastAsia="仿宋" w:cs="仿宋"/>
                <w:color w:val="000000"/>
                <w:kern w:val="0"/>
                <w:szCs w:val="18"/>
              </w:rPr>
            </w:pPr>
            <w:r>
              <w:rPr>
                <w:rFonts w:hint="eastAsia" w:ascii="仿宋" w:hAnsi="仿宋" w:eastAsia="仿宋" w:cs="仿宋"/>
                <w:color w:val="000000"/>
                <w:kern w:val="0"/>
                <w:szCs w:val="18"/>
              </w:rPr>
              <w:t>330.64</w:t>
            </w:r>
          </w:p>
        </w:tc>
      </w:tr>
      <w:tr>
        <w:trPr>
          <w:trHeight w:val="641" w:hRule="exact"/>
        </w:trPr>
        <w:tc>
          <w:tcPr>
            <w:tcW w:w="15801" w:type="dxa"/>
            <w:gridSpan w:val="9"/>
            <w:tcBorders>
              <w:top w:val="single" w:color="auto" w:sz="4" w:space="0"/>
              <w:left w:val="nil"/>
              <w:bottom w:val="nil"/>
              <w:right w:val="nil"/>
            </w:tcBorders>
            <w:shd w:val="clear" w:color="auto" w:fill="auto"/>
            <w:noWrap/>
            <w:vAlign w:val="center"/>
          </w:tcPr>
          <w:p>
            <w:pPr>
              <w:widowControl/>
              <w:spacing w:after="34" w:line="34" w:lineRule="atLeast"/>
              <w:jc w:val="left"/>
              <w:rPr>
                <w:rFonts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ascii="仿宋" w:hAnsi="仿宋" w:eastAsia="仿宋" w:cs="仿宋"/>
                <w:color w:val="000000"/>
                <w:kern w:val="0"/>
                <w:szCs w:val="24"/>
              </w:rPr>
            </w:pPr>
          </w:p>
          <w:p>
            <w:pPr>
              <w:widowControl/>
              <w:jc w:val="left"/>
              <w:rPr>
                <w:rFonts w:ascii="仿宋" w:hAnsi="仿宋" w:eastAsia="仿宋" w:cs="仿宋"/>
                <w:color w:val="000000"/>
                <w:kern w:val="0"/>
                <w:szCs w:val="24"/>
              </w:rPr>
            </w:pPr>
          </w:p>
        </w:tc>
      </w:tr>
    </w:tbl>
    <w:p>
      <w:pPr>
        <w:widowControl/>
        <w:jc w:val="center"/>
        <w:rPr>
          <w:rFonts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docGrid w:type="lines" w:linePitch="319" w:charSpace="0"/>
        </w:sectPr>
      </w:pP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widowControl/>
              <w:spacing w:after="34" w:line="34" w:lineRule="atLeast"/>
              <w:jc w:val="center"/>
              <w:rPr>
                <w:rFonts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中方县第一中学</w:t>
            </w:r>
          </w:p>
        </w:tc>
        <w:tc>
          <w:tcPr>
            <w:tcW w:w="7320" w:type="dxa"/>
            <w:gridSpan w:val="6"/>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w:t>
            </w:r>
          </w:p>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rPr>
            </w:pPr>
            <w:r>
              <w:rPr>
                <w:rFonts w:hint="eastAsia" w:ascii="仿宋" w:hAnsi="仿宋" w:eastAsia="仿宋" w:cs="仿宋"/>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spacing w:after="34" w:line="34" w:lineRule="atLeast"/>
        <w:jc w:val="left"/>
        <w:rPr>
          <w:rFonts w:ascii="仿宋" w:hAnsi="仿宋" w:eastAsia="仿宋" w:cs="仿宋"/>
          <w:kern w:val="0"/>
          <w:szCs w:val="21"/>
        </w:rPr>
      </w:pPr>
      <w:r>
        <w:rPr>
          <w:rFonts w:ascii="仿宋" w:hAnsi="仿宋" w:eastAsia="仿宋" w:cs="仿宋"/>
        </w:rPr>
        <w:t>中方县第一中学</w:t>
      </w:r>
      <w:r>
        <w:rPr>
          <w:rFonts w:hint="eastAsia" w:ascii="仿宋" w:hAnsi="仿宋" w:eastAsia="仿宋" w:cs="仿宋"/>
          <w:kern w:val="0"/>
          <w:szCs w:val="21"/>
        </w:rPr>
        <w:t>没有一般公共预算财政拨款“三公”经费支出，故本表无数据。</w:t>
      </w:r>
    </w:p>
    <w:p>
      <w:pPr>
        <w:widowControl/>
        <w:jc w:val="left"/>
        <w:rPr>
          <w:rFonts w:ascii="仿宋" w:hAnsi="仿宋" w:eastAsia="仿宋" w:cs="仿宋"/>
          <w:kern w:val="0"/>
          <w:szCs w:val="21"/>
        </w:rPr>
        <w:sectPr>
          <w:pgSz w:w="16838" w:h="11906" w:orient="landscape"/>
          <w:pgMar w:top="1803" w:right="1440" w:bottom="1803" w:left="1440" w:header="851" w:footer="992" w:gutter="0"/>
          <w:pgNumType w:fmt="numberInDash"/>
          <w:cols w:space="0" w:num="1"/>
          <w:docGrid w:type="lines" w:linePitch="319" w:charSpace="0"/>
        </w:sectPr>
      </w:pP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widowControl/>
              <w:spacing w:after="34" w:line="34" w:lineRule="atLeast"/>
              <w:jc w:val="left"/>
              <w:rPr>
                <w:rFonts w:ascii="仿宋" w:hAnsi="仿宋" w:eastAsia="仿宋" w:cs="仿宋"/>
                <w:b/>
                <w:kern w:val="0"/>
                <w:szCs w:val="21"/>
              </w:rPr>
            </w:pPr>
            <w:r>
              <w:rPr>
                <w:rFonts w:hint="eastAsia" w:ascii="仿宋" w:hAnsi="仿宋" w:eastAsia="仿宋" w:cs="仿宋"/>
                <w:color w:val="000000"/>
                <w:kern w:val="0"/>
                <w:szCs w:val="21"/>
              </w:rPr>
              <w:t>单位：</w:t>
            </w:r>
            <w:r>
              <w:rPr>
                <w:rFonts w:ascii="仿宋" w:hAnsi="仿宋" w:eastAsia="仿宋" w:cs="仿宋"/>
                <w:color w:val="000000"/>
              </w:rPr>
              <w:t>中方县第一中学</w:t>
            </w:r>
          </w:p>
        </w:tc>
        <w:tc>
          <w:tcPr>
            <w:tcW w:w="1339" w:type="dxa"/>
            <w:tcBorders>
              <w:top w:val="nil"/>
              <w:left w:val="nil"/>
              <w:bottom w:val="single" w:color="auto" w:sz="4" w:space="0"/>
              <w:right w:val="nil"/>
            </w:tcBorders>
            <w:shd w:val="clear" w:color="auto" w:fill="auto"/>
            <w:vAlign w:val="center"/>
          </w:tcPr>
          <w:p>
            <w:pPr>
              <w:widowControl/>
              <w:spacing w:after="34" w:line="34" w:lineRule="atLeast"/>
              <w:jc w:val="right"/>
              <w:rPr>
                <w:rFonts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center"/>
              <w:rPr>
                <w:rFonts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Cs w:val="21"/>
              </w:rPr>
            </w:pPr>
          </w:p>
        </w:tc>
      </w:tr>
    </w:tbl>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widowControl/>
              <w:spacing w:after="34" w:line="34" w:lineRule="atLeast"/>
              <w:jc w:val="left"/>
              <w:rPr>
                <w:rFonts w:ascii="仿宋" w:hAnsi="仿宋" w:eastAsia="仿宋" w:cs="仿宋"/>
                <w:kern w:val="0"/>
                <w:sz w:val="20"/>
                <w:szCs w:val="20"/>
              </w:rPr>
            </w:pPr>
            <w:r>
              <w:rPr>
                <w:rFonts w:hint="eastAsia" w:ascii="仿宋" w:hAnsi="仿宋" w:eastAsia="仿宋" w:cs="仿宋"/>
                <w:color w:val="000000"/>
                <w:kern w:val="0"/>
                <w:sz w:val="20"/>
                <w:szCs w:val="20"/>
              </w:rPr>
              <w:t>单位：</w:t>
            </w:r>
            <w:r>
              <w:rPr>
                <w:rFonts w:ascii="仿宋" w:hAnsi="仿宋" w:eastAsia="仿宋" w:cs="仿宋"/>
                <w:color w:val="000000"/>
                <w:sz w:val="20"/>
              </w:rPr>
              <w:t>中方县第一中学</w:t>
            </w:r>
          </w:p>
        </w:tc>
        <w:tc>
          <w:tcPr>
            <w:tcW w:w="7875" w:type="dxa"/>
            <w:gridSpan w:val="3"/>
            <w:tcBorders>
              <w:top w:val="nil"/>
              <w:left w:val="nil"/>
              <w:bottom w:val="single" w:color="auto" w:sz="4" w:space="0"/>
              <w:right w:val="nil"/>
            </w:tcBorders>
            <w:shd w:val="clear" w:color="000000" w:fill="FFFFFF"/>
            <w:vAlign w:val="center"/>
          </w:tcPr>
          <w:p>
            <w:pPr>
              <w:widowControl/>
              <w:spacing w:after="34" w:line="34" w:lineRule="atLeast"/>
              <w:jc w:val="right"/>
              <w:rPr>
                <w:rFonts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功能分类</w:t>
            </w:r>
          </w:p>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353"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34" w:line="34" w:lineRule="atLeast"/>
              <w:jc w:val="left"/>
              <w:rPr>
                <w:rFonts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center"/>
              <w:rPr>
                <w:rFonts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after="34" w:line="34" w:lineRule="atLeast"/>
              <w:jc w:val="right"/>
              <w:rPr>
                <w:rFonts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widowControl/>
              <w:spacing w:after="34" w:line="34" w:lineRule="atLeast"/>
              <w:jc w:val="left"/>
              <w:rPr>
                <w:rFonts w:ascii="仿宋" w:hAnsi="仿宋" w:eastAsia="仿宋" w:cs="仿宋"/>
                <w:kern w:val="0"/>
                <w:szCs w:val="21"/>
              </w:rPr>
            </w:pPr>
            <w:r>
              <w:rPr>
                <w:rFonts w:hint="eastAsia" w:ascii="仿宋" w:hAnsi="仿宋" w:eastAsia="仿宋" w:cs="仿宋"/>
                <w:kern w:val="0"/>
                <w:szCs w:val="21"/>
              </w:rPr>
              <w:t>注：本表反映部门本年度国有资本经营预算财政拨款支出情况。</w:t>
            </w:r>
          </w:p>
          <w:p>
            <w:pPr>
              <w:widowControl/>
              <w:spacing w:after="34" w:line="34" w:lineRule="atLeast"/>
              <w:jc w:val="left"/>
              <w:rPr>
                <w:rFonts w:ascii="仿宋" w:hAnsi="仿宋" w:eastAsia="仿宋" w:cs="仿宋"/>
                <w:kern w:val="0"/>
                <w:sz w:val="24"/>
                <w:szCs w:val="24"/>
              </w:rPr>
            </w:pPr>
            <w:r>
              <w:rPr>
                <w:rFonts w:ascii="仿宋" w:hAnsi="仿宋" w:eastAsia="仿宋" w:cs="仿宋"/>
              </w:rPr>
              <w:t>中方县第一中学</w:t>
            </w:r>
            <w:r>
              <w:rPr>
                <w:rFonts w:hint="eastAsia" w:ascii="仿宋" w:hAnsi="仿宋" w:eastAsia="仿宋" w:cs="仿宋"/>
                <w:kern w:val="0"/>
                <w:szCs w:val="21"/>
              </w:rPr>
              <w:t>没有国有资本经营预算财政拨款支出，故本表无数据。</w:t>
            </w:r>
          </w:p>
        </w:tc>
      </w:tr>
    </w:tbl>
    <w:p>
      <w:pPr>
        <w:pStyle w:val="10"/>
        <w:rPr>
          <w:sz w:val="72"/>
          <w:szCs w:val="72"/>
        </w:rPr>
        <w:sectPr>
          <w:pgSz w:w="16838" w:h="11906" w:orient="landscape"/>
          <w:pgMar w:top="1803" w:right="1440" w:bottom="1803" w:left="1440" w:header="851" w:footer="992" w:gutter="0"/>
          <w:pgNumType w:fmt="numberInDash"/>
          <w:cols w:space="0" w:num="1"/>
          <w:docGrid w:type="lines" w:linePitch="319"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第三部分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2020年度单位决算情况说明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lang w:val="en-US" w:eastAsia="zh-CN"/>
        </w:rPr>
      </w:pPr>
      <w:r>
        <w:rPr>
          <w:rFonts w:ascii="仿宋" w:hAnsi="仿宋" w:eastAsia="仿宋" w:cs="仿宋"/>
        </w:rPr>
        <w:t>2020年度收入2,942.05万元，与上年相比</w:t>
      </w:r>
      <w:r>
        <w:rPr>
          <w:rFonts w:hint="eastAsia" w:ascii="仿宋" w:hAnsi="仿宋" w:eastAsia="仿宋" w:cs="仿宋"/>
        </w:rPr>
        <w:t>增加195.37</w:t>
      </w:r>
      <w:r>
        <w:rPr>
          <w:rFonts w:ascii="仿宋" w:hAnsi="仿宋" w:eastAsia="仿宋" w:cs="仿宋"/>
        </w:rPr>
        <w:t>万元</w:t>
      </w:r>
      <w:r>
        <w:rPr>
          <w:rFonts w:hint="eastAsia" w:ascii="仿宋" w:hAnsi="仿宋" w:eastAsia="仿宋" w:cs="仿宋"/>
          <w:lang w:eastAsia="zh-CN"/>
        </w:rPr>
        <w:t>，</w:t>
      </w:r>
      <w:r>
        <w:rPr>
          <w:rFonts w:ascii="仿宋" w:hAnsi="仿宋" w:eastAsia="仿宋" w:cs="仿宋"/>
        </w:rPr>
        <w:t>增</w:t>
      </w:r>
      <w:r>
        <w:rPr>
          <w:rFonts w:hint="eastAsia" w:ascii="仿宋" w:hAnsi="仿宋" w:eastAsia="仿宋" w:cs="仿宋"/>
        </w:rPr>
        <w:t>加</w:t>
      </w:r>
      <w:r>
        <w:rPr>
          <w:rFonts w:ascii="仿宋" w:hAnsi="仿宋" w:eastAsia="仿宋" w:cs="仿宋"/>
        </w:rPr>
        <w:t>比率</w:t>
      </w:r>
      <w:r>
        <w:rPr>
          <w:rFonts w:hint="eastAsia" w:ascii="仿宋" w:hAnsi="仿宋" w:eastAsia="仿宋" w:cs="仿宋"/>
        </w:rPr>
        <w:t>为7.11%</w:t>
      </w:r>
      <w:r>
        <w:rPr>
          <w:rFonts w:ascii="仿宋" w:hAnsi="仿宋" w:eastAsia="仿宋" w:cs="仿宋"/>
        </w:rPr>
        <w:t>，主要因为</w:t>
      </w:r>
      <w:r>
        <w:rPr>
          <w:rFonts w:hint="eastAsia" w:ascii="仿宋" w:hAnsi="仿宋" w:eastAsia="仿宋" w:cs="仿宋"/>
        </w:rPr>
        <w:t>一是</w:t>
      </w:r>
      <w:r>
        <w:rPr>
          <w:rFonts w:ascii="仿宋" w:hAnsi="仿宋" w:eastAsia="仿宋" w:cs="仿宋"/>
        </w:rPr>
        <w:t>20</w:t>
      </w:r>
      <w:r>
        <w:rPr>
          <w:rFonts w:hint="eastAsia" w:ascii="仿宋" w:hAnsi="仿宋" w:eastAsia="仿宋" w:cs="仿宋"/>
        </w:rPr>
        <w:t>20年教师薪级工资增加，年终绩效奖人平标准增加；二是2019年年底入的部分非税收入在2020年返回做收入</w:t>
      </w:r>
      <w:r>
        <w:rPr>
          <w:rFonts w:hint="eastAsia" w:ascii="仿宋" w:hAnsi="仿宋" w:eastAsia="仿宋" w:cs="仿宋"/>
          <w:lang w:val="en-US" w:eastAsia="zh-CN"/>
        </w:rPr>
        <w:t>。</w:t>
      </w:r>
    </w:p>
    <w:p>
      <w:pPr>
        <w:pStyle w:val="3"/>
        <w:tabs>
          <w:tab w:val="left" w:pos="3864"/>
          <w:tab w:val="left" w:pos="6248"/>
          <w:tab w:val="left" w:pos="7386"/>
        </w:tabs>
        <w:overflowPunct w:val="0"/>
        <w:spacing w:before="1" w:line="360" w:lineRule="auto"/>
        <w:ind w:left="420" w:leftChars="200" w:right="420" w:firstLine="659" w:firstLineChars="206"/>
        <w:rPr>
          <w:rFonts w:hint="default" w:ascii="仿宋" w:hAnsi="仿宋" w:eastAsia="仿宋" w:cs="仿宋"/>
          <w:lang w:val="en-US" w:eastAsia="zh-CN"/>
        </w:rPr>
      </w:pPr>
      <w:r>
        <w:rPr>
          <w:rFonts w:ascii="仿宋" w:hAnsi="仿宋" w:eastAsia="仿宋" w:cs="仿宋"/>
        </w:rPr>
        <w:t>支出2,942.05万元，与上年相比</w:t>
      </w:r>
      <w:r>
        <w:rPr>
          <w:rFonts w:hint="eastAsia" w:ascii="仿宋" w:hAnsi="仿宋" w:eastAsia="仿宋" w:cs="仿宋"/>
        </w:rPr>
        <w:t>增加195.37</w:t>
      </w:r>
      <w:r>
        <w:rPr>
          <w:rFonts w:ascii="仿宋" w:hAnsi="仿宋" w:eastAsia="仿宋" w:cs="仿宋"/>
        </w:rPr>
        <w:t>万元</w:t>
      </w:r>
      <w:r>
        <w:rPr>
          <w:rFonts w:hint="eastAsia" w:ascii="仿宋" w:hAnsi="仿宋" w:eastAsia="仿宋" w:cs="仿宋"/>
          <w:lang w:eastAsia="zh-CN"/>
        </w:rPr>
        <w:t>，</w:t>
      </w:r>
      <w:r>
        <w:rPr>
          <w:rFonts w:ascii="仿宋" w:hAnsi="仿宋" w:eastAsia="仿宋" w:cs="仿宋"/>
        </w:rPr>
        <w:t>增</w:t>
      </w:r>
      <w:r>
        <w:rPr>
          <w:rFonts w:hint="eastAsia" w:ascii="仿宋" w:hAnsi="仿宋" w:eastAsia="仿宋" w:cs="仿宋"/>
        </w:rPr>
        <w:t>加</w:t>
      </w:r>
      <w:r>
        <w:rPr>
          <w:rFonts w:ascii="仿宋" w:hAnsi="仿宋" w:eastAsia="仿宋" w:cs="仿宋"/>
        </w:rPr>
        <w:t>比率</w:t>
      </w:r>
      <w:r>
        <w:rPr>
          <w:rFonts w:hint="eastAsia" w:ascii="仿宋" w:hAnsi="仿宋" w:eastAsia="仿宋" w:cs="仿宋"/>
        </w:rPr>
        <w:t>为7.11%</w:t>
      </w:r>
      <w:r>
        <w:rPr>
          <w:rFonts w:ascii="仿宋" w:hAnsi="仿宋" w:eastAsia="仿宋" w:cs="仿宋"/>
        </w:rPr>
        <w:t>，主要因为</w:t>
      </w:r>
      <w:r>
        <w:rPr>
          <w:rFonts w:hint="eastAsia" w:ascii="仿宋" w:hAnsi="仿宋" w:eastAsia="仿宋" w:cs="仿宋"/>
        </w:rPr>
        <w:t>一是</w:t>
      </w:r>
      <w:r>
        <w:rPr>
          <w:rFonts w:ascii="仿宋" w:hAnsi="仿宋" w:eastAsia="仿宋" w:cs="仿宋"/>
        </w:rPr>
        <w:t>20</w:t>
      </w:r>
      <w:r>
        <w:rPr>
          <w:rFonts w:hint="eastAsia" w:ascii="仿宋" w:hAnsi="仿宋" w:eastAsia="仿宋" w:cs="仿宋"/>
        </w:rPr>
        <w:t>20年教师薪级工资增加，年终绩效奖人平标准增加；二是2019年年底入的部分非税收入在2020年返回做收入</w:t>
      </w:r>
      <w:r>
        <w:rPr>
          <w:rFonts w:hint="eastAsia" w:ascii="仿宋" w:hAnsi="仿宋" w:eastAsia="仿宋" w:cs="仿宋"/>
          <w:lang w:eastAsia="zh-CN"/>
        </w:rPr>
        <w:t>，</w:t>
      </w:r>
      <w:r>
        <w:rPr>
          <w:rFonts w:hint="eastAsia" w:ascii="仿宋" w:hAnsi="仿宋" w:eastAsia="仿宋" w:cs="仿宋"/>
          <w:lang w:val="en-US" w:eastAsia="zh-CN"/>
        </w:rPr>
        <w:t>人员经费支出增加。</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二、收入决算情况说明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本年收入合计2,942.05万元，其中：财政拨款收入2,367.05万元，占80.46%；上级补助收入0万元，占0%；事业收入575万元，占19.54%；经营收入0万元，占0%；附属单位上缴收入0万元，占0%；其他收入0万元，占0%。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cstate="print"/>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本年支出合计2,942.05万元，其中：基本支出2,942.05万元，占100%；项目支出0万元，占0%；上缴上级支出0万元，占0%；经营支出0万元，占0%；对附属单位补助支出0万元，占0%。</w:t>
      </w:r>
    </w:p>
    <w:p>
      <w:pPr>
        <w:pStyle w:val="3"/>
        <w:tabs>
          <w:tab w:val="left" w:pos="3864"/>
          <w:tab w:val="left" w:pos="6248"/>
          <w:tab w:val="left" w:pos="7386"/>
        </w:tabs>
        <w:overflowPunct w:val="0"/>
        <w:spacing w:before="1" w:line="360" w:lineRule="auto"/>
        <w:ind w:right="420"/>
        <w:jc w:val="center"/>
        <w:rPr>
          <w:rFonts w:ascii="仿宋" w:hAnsi="仿宋" w:eastAsia="仿宋" w:cs="仿宋"/>
        </w:rPr>
      </w:pPr>
      <w:r>
        <w:rPr>
          <w:rFonts w:hint="eastAsia" w:ascii="仿宋" w:hAnsi="仿宋" w:eastAsia="仿宋" w:cs="仿宋"/>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cstate="print"/>
                    <a:stretch>
                      <a:fillRect/>
                    </a:stretch>
                  </pic:blipFill>
                  <pic:spPr>
                    <a:xfrm>
                      <a:off x="0" y="0"/>
                      <a:ext cx="6134100" cy="3429000"/>
                    </a:xfrm>
                    <a:prstGeom prst="rect">
                      <a:avLst/>
                    </a:prstGeom>
                  </pic:spPr>
                </pic:pic>
              </a:graphicData>
            </a:graphic>
          </wp:inline>
        </w:drawing>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四、财政拨款收入支出决算总体情况说明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lang w:val="en-US" w:eastAsia="zh-CN"/>
        </w:rPr>
      </w:pPr>
      <w:r>
        <w:rPr>
          <w:rFonts w:ascii="仿宋" w:hAnsi="仿宋" w:eastAsia="仿宋" w:cs="仿宋"/>
        </w:rPr>
        <w:t>2020年度财政拨款收入2,942.05万元，与上年相比</w:t>
      </w:r>
      <w:r>
        <w:rPr>
          <w:rFonts w:hint="eastAsia" w:ascii="仿宋" w:hAnsi="仿宋" w:eastAsia="仿宋" w:cs="仿宋"/>
        </w:rPr>
        <w:t>增加195.37</w:t>
      </w:r>
      <w:r>
        <w:rPr>
          <w:rFonts w:ascii="仿宋" w:hAnsi="仿宋" w:eastAsia="仿宋" w:cs="仿宋"/>
        </w:rPr>
        <w:t>万元</w:t>
      </w:r>
      <w:r>
        <w:rPr>
          <w:rFonts w:hint="eastAsia" w:ascii="仿宋" w:hAnsi="仿宋" w:eastAsia="仿宋" w:cs="仿宋"/>
          <w:lang w:eastAsia="zh-CN"/>
        </w:rPr>
        <w:t>，</w:t>
      </w:r>
      <w:r>
        <w:rPr>
          <w:rFonts w:ascii="仿宋" w:hAnsi="仿宋" w:eastAsia="仿宋" w:cs="仿宋"/>
        </w:rPr>
        <w:t>增</w:t>
      </w:r>
      <w:r>
        <w:rPr>
          <w:rFonts w:hint="eastAsia" w:ascii="仿宋" w:hAnsi="仿宋" w:eastAsia="仿宋" w:cs="仿宋"/>
        </w:rPr>
        <w:t>加</w:t>
      </w:r>
      <w:r>
        <w:rPr>
          <w:rFonts w:ascii="仿宋" w:hAnsi="仿宋" w:eastAsia="仿宋" w:cs="仿宋"/>
        </w:rPr>
        <w:t>比率</w:t>
      </w:r>
      <w:r>
        <w:rPr>
          <w:rFonts w:hint="eastAsia" w:ascii="仿宋" w:hAnsi="仿宋" w:eastAsia="仿宋" w:cs="仿宋"/>
        </w:rPr>
        <w:t>为7.11%</w:t>
      </w:r>
      <w:r>
        <w:rPr>
          <w:rFonts w:ascii="仿宋" w:hAnsi="仿宋" w:eastAsia="仿宋" w:cs="仿宋"/>
        </w:rPr>
        <w:t>，主要因为</w:t>
      </w:r>
      <w:r>
        <w:rPr>
          <w:rFonts w:hint="eastAsia" w:ascii="仿宋" w:hAnsi="仿宋" w:eastAsia="仿宋" w:cs="仿宋"/>
        </w:rPr>
        <w:t>一是</w:t>
      </w:r>
      <w:r>
        <w:rPr>
          <w:rFonts w:ascii="仿宋" w:hAnsi="仿宋" w:eastAsia="仿宋" w:cs="仿宋"/>
        </w:rPr>
        <w:t>20</w:t>
      </w:r>
      <w:r>
        <w:rPr>
          <w:rFonts w:hint="eastAsia" w:ascii="仿宋" w:hAnsi="仿宋" w:eastAsia="仿宋" w:cs="仿宋"/>
        </w:rPr>
        <w:t>20年教师薪级工资增加，年终绩效奖人平标准增加；二是2019年年底入的部分非税收入在2020年返回做收入</w:t>
      </w:r>
      <w:r>
        <w:rPr>
          <w:rFonts w:hint="eastAsia" w:ascii="仿宋" w:hAnsi="仿宋" w:eastAsia="仿宋" w:cs="仿宋"/>
          <w:lang w:val="en-US" w:eastAsia="zh-CN"/>
        </w:rPr>
        <w:t>。</w:t>
      </w:r>
    </w:p>
    <w:p>
      <w:pPr>
        <w:pStyle w:val="3"/>
        <w:tabs>
          <w:tab w:val="left" w:pos="3864"/>
          <w:tab w:val="left" w:pos="6248"/>
          <w:tab w:val="left" w:pos="7386"/>
        </w:tabs>
        <w:overflowPunct w:val="0"/>
        <w:spacing w:before="1" w:line="360" w:lineRule="auto"/>
        <w:ind w:left="420" w:leftChars="200" w:right="420" w:firstLine="659" w:firstLineChars="206"/>
        <w:rPr>
          <w:rFonts w:hint="default" w:ascii="仿宋" w:hAnsi="仿宋" w:eastAsia="仿宋" w:cs="仿宋"/>
          <w:lang w:val="en-US" w:eastAsia="zh-CN"/>
        </w:rPr>
      </w:pPr>
      <w:r>
        <w:rPr>
          <w:rFonts w:ascii="仿宋" w:hAnsi="仿宋" w:eastAsia="仿宋" w:cs="仿宋"/>
        </w:rPr>
        <w:t>支出2,942.05万元，与上年相比</w:t>
      </w:r>
      <w:r>
        <w:rPr>
          <w:rFonts w:hint="eastAsia" w:ascii="仿宋" w:hAnsi="仿宋" w:eastAsia="仿宋" w:cs="仿宋"/>
        </w:rPr>
        <w:t>增加195.37</w:t>
      </w:r>
      <w:r>
        <w:rPr>
          <w:rFonts w:ascii="仿宋" w:hAnsi="仿宋" w:eastAsia="仿宋" w:cs="仿宋"/>
        </w:rPr>
        <w:t>万元</w:t>
      </w:r>
      <w:r>
        <w:rPr>
          <w:rFonts w:hint="eastAsia" w:ascii="仿宋" w:hAnsi="仿宋" w:eastAsia="仿宋" w:cs="仿宋"/>
          <w:lang w:eastAsia="zh-CN"/>
        </w:rPr>
        <w:t>，</w:t>
      </w:r>
      <w:r>
        <w:rPr>
          <w:rFonts w:ascii="仿宋" w:hAnsi="仿宋" w:eastAsia="仿宋" w:cs="仿宋"/>
        </w:rPr>
        <w:t>增</w:t>
      </w:r>
      <w:r>
        <w:rPr>
          <w:rFonts w:hint="eastAsia" w:ascii="仿宋" w:hAnsi="仿宋" w:eastAsia="仿宋" w:cs="仿宋"/>
        </w:rPr>
        <w:t>加</w:t>
      </w:r>
      <w:r>
        <w:rPr>
          <w:rFonts w:ascii="仿宋" w:hAnsi="仿宋" w:eastAsia="仿宋" w:cs="仿宋"/>
        </w:rPr>
        <w:t>比率</w:t>
      </w:r>
      <w:r>
        <w:rPr>
          <w:rFonts w:hint="eastAsia" w:ascii="仿宋" w:hAnsi="仿宋" w:eastAsia="仿宋" w:cs="仿宋"/>
        </w:rPr>
        <w:t>为7.11%</w:t>
      </w:r>
      <w:r>
        <w:rPr>
          <w:rFonts w:ascii="仿宋" w:hAnsi="仿宋" w:eastAsia="仿宋" w:cs="仿宋"/>
        </w:rPr>
        <w:t>，主要因为</w:t>
      </w:r>
      <w:r>
        <w:rPr>
          <w:rFonts w:hint="eastAsia" w:ascii="仿宋" w:hAnsi="仿宋" w:eastAsia="仿宋" w:cs="仿宋"/>
        </w:rPr>
        <w:t>一是</w:t>
      </w:r>
      <w:r>
        <w:rPr>
          <w:rFonts w:ascii="仿宋" w:hAnsi="仿宋" w:eastAsia="仿宋" w:cs="仿宋"/>
        </w:rPr>
        <w:t>20</w:t>
      </w:r>
      <w:r>
        <w:rPr>
          <w:rFonts w:hint="eastAsia" w:ascii="仿宋" w:hAnsi="仿宋" w:eastAsia="仿宋" w:cs="仿宋"/>
        </w:rPr>
        <w:t>20年教师薪级工资增加，年终绩效奖人平标准增加；二是2019年年底入的部分非税收入在2020年返回做收入</w:t>
      </w:r>
      <w:r>
        <w:rPr>
          <w:rFonts w:hint="eastAsia" w:ascii="仿宋" w:hAnsi="仿宋" w:eastAsia="仿宋" w:cs="仿宋"/>
          <w:lang w:eastAsia="zh-CN"/>
        </w:rPr>
        <w:t>，</w:t>
      </w:r>
      <w:r>
        <w:rPr>
          <w:rFonts w:hint="eastAsia" w:ascii="仿宋" w:hAnsi="仿宋" w:eastAsia="仿宋" w:cs="仿宋"/>
          <w:lang w:val="en-US" w:eastAsia="zh-CN"/>
        </w:rPr>
        <w:t>人员经费支出增加。</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bookmarkStart w:id="3" w:name="_GoBack"/>
      <w:bookmarkEnd w:id="3"/>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五、一般公共预算财政拨款支出决算情况说明</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（一）财政拨款支出决算总体情况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2020年度财政拨款支出2,367.05万元，占本年支出合计的80.46%，与上年相比，财政拨款支出增加</w:t>
      </w:r>
      <w:r>
        <w:rPr>
          <w:rFonts w:hint="eastAsia" w:ascii="仿宋" w:hAnsi="仿宋" w:eastAsia="仿宋" w:cs="仿宋"/>
        </w:rPr>
        <w:t>114.74</w:t>
      </w:r>
      <w:r>
        <w:rPr>
          <w:rFonts w:ascii="仿宋" w:hAnsi="仿宋" w:eastAsia="仿宋" w:cs="仿宋"/>
        </w:rPr>
        <w:t>万元，去年决算数为</w:t>
      </w:r>
      <w:r>
        <w:rPr>
          <w:rFonts w:hint="eastAsia" w:ascii="仿宋" w:hAnsi="仿宋" w:eastAsia="仿宋" w:cs="仿宋"/>
        </w:rPr>
        <w:t>2252.31</w:t>
      </w:r>
      <w:r>
        <w:rPr>
          <w:rFonts w:ascii="仿宋" w:hAnsi="仿宋" w:eastAsia="仿宋" w:cs="仿宋"/>
        </w:rPr>
        <w:t>万元，增</w:t>
      </w:r>
      <w:r>
        <w:rPr>
          <w:rFonts w:hint="eastAsia" w:ascii="仿宋" w:hAnsi="仿宋" w:eastAsia="仿宋" w:cs="仿宋"/>
        </w:rPr>
        <w:t>加</w:t>
      </w:r>
      <w:r>
        <w:rPr>
          <w:rFonts w:ascii="仿宋" w:hAnsi="仿宋" w:eastAsia="仿宋" w:cs="仿宋"/>
        </w:rPr>
        <w:t>比率</w:t>
      </w:r>
      <w:r>
        <w:rPr>
          <w:rFonts w:hint="eastAsia" w:ascii="仿宋" w:hAnsi="仿宋" w:eastAsia="仿宋" w:cs="仿宋"/>
        </w:rPr>
        <w:t>为5.1%</w:t>
      </w:r>
      <w:r>
        <w:rPr>
          <w:rFonts w:ascii="仿宋" w:hAnsi="仿宋" w:eastAsia="仿宋" w:cs="仿宋"/>
        </w:rPr>
        <w:t>。主要是因为20</w:t>
      </w:r>
      <w:r>
        <w:rPr>
          <w:rFonts w:hint="eastAsia" w:ascii="仿宋" w:hAnsi="仿宋" w:eastAsia="仿宋" w:cs="仿宋"/>
        </w:rPr>
        <w:t>20年教师薪级工资增加，年终绩效奖人平标准增加。</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（二）财政拨款支出决算结构情况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2020年度财政拨款支出2,367.05万元，主要用于以下方面：教育支出（类）2,365.46万元，占99.93%；社会保障和就业支出（类）1.6万元，占0.07%。</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（三）财政拨款支出决算具体情况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2020年度财政拨款支出年初预算数为2,312.86万元，支出决算数为2,367.05万元，完成年初预算的102.34%，其中：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1、教育支出（类）普通教育（款）高中教育（项）。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年初预算为2,312.86万元，支出决算为2,360.06万元，完成年初预算的102.04%，决算数大于预算数的主要原因是：教职工人员工资按上年12月预算，在2020年实际支出时有薪级工资增加，形成财政拨款支出增加。</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2、教育支出（类）普通教育（款）其他普通教育支出（项）。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年初预算为0万元，支出决算为5.4万元，年初预算数为0万元，无法计算完成比率，决算数大于预算数的主要原因是：本支出是退休老师绩效奖，未列入预算。</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3、社会保障和就业支出（类）就业补助（款）其他就业补助支出（项）。</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年初预算为0万元，支出决算为1.6万元，年初预算数为0万元，无法计算完成比率，决算数大于预算数的主要原因是：本支出是公益性岗位工资，未列入预算，由教育局做预算。</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六、财政拨款基本支出决算情况说明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财政拨款基本支出2,367.05万元，其中：人员经费2,036.41万元，占基本支出的86.03%，主要包括：基本工资、津贴补贴、奖金、绩效工资、机关事业单位基本养老保险缴费、职工基本医疗保险缴费、其他社会保障缴费、生活补助、医疗费补助、奖励金；公用经费330.64万元，占基本支出的13.97%，主要包括：办公费、印刷费、水费、电费、邮电费、物业管理费、差旅费、维修（护）费、会议费、培训费、专用材料费、劳务费。</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七、一般公共预算财政拨款三公经费支出决算情况说明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（一）“三公”经费财政拨款支出决算总体情况说明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三公”经费财政拨款支出预算为0万元，支出决算为0万元，“三公”经费财政拨款支出预算为0万元，无法计算完成比率，其中：因公出国（境）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公务接待费支出预算为0万元，支出决算为0万元，与本年预算数相同，与上年决算数相同。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公务用车购置费及运行维护费支出预算为0万元，支出决算为0万元，与本年预算数相同，与上年预算数相同。</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（二）“三公”经费财政拨款支出决算具体情况说明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2020年度“三公”经费财政拨款支出决算中，公务接待费支出决算0万元，占0%，因公出国（境）费支出决算0万元，占0%，公务用车购置费及运行维护费支出决算0万元，占0%。其中：</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1、因公出国（境）费支出决算为0万元，全年安排因公出国（境）团组0个，累计0人次。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2、公务接待费支出决算为0万元，全年共接待来访团组0个，来宾0人次。</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3、公务用车购置费及运行维护费支出决算为0万元。截止2020年12月31日，我单位开支财政拨款的公务用车保有量为0辆。</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八、政府性基金预算收入支出决算情况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本单位无政府性基金收支。</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九、关于机关运行经费支出说明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本部门2020年度机关运行经费支出0万元，与年初预算数相同。</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十、一般性支出情况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2020年本部门开支会议费11.49万元，用于召开元旦晚会、五四青年会议，党员会议，学生文体活动会会议，人数2480人，内容为欢庆元旦文艺晚会、五四青年研学活动、党员牢记历史学先烈活动、学生心理减压活动、市级足球篮球比赛等；开支培训费51.18万元，用于开展教师培训培训，人数190人，内容为各学科省内培训，学本课堂培训等；未举办节庆、晚会、论坛、赛事等活动。</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十一、关于政府采购支出说明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本部门2020年度政府采购支出总额0万元，其中：政府采购货物支出0万元、政府采购工程支出0万元、政府采购服务支出0万元。授予中小企业合同金额0万元，其中：授予小微企业合同金额0万元，</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十二、国有资产占用情况说明</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截至2020年12月31日，本单位共有车辆1辆，其中，主要领导干部用车0辆、机要通信用车0辆、应急保障用车0辆、执法执勤用车0辆、特种专业技术用车0辆、其他用车1辆，其他用车主要是待报废的公务用车一台;单位价值50万元以上通用设备0台（套），单位价值100万元以上专用设备0台（套）。</w:t>
      </w:r>
    </w:p>
    <w:p>
      <w:pPr>
        <w:pStyle w:val="3"/>
        <w:tabs>
          <w:tab w:val="left" w:pos="3864"/>
          <w:tab w:val="left" w:pos="6248"/>
          <w:tab w:val="left" w:pos="7386"/>
        </w:tabs>
        <w:overflowPunct w:val="0"/>
        <w:spacing w:before="1" w:line="360" w:lineRule="auto"/>
        <w:ind w:left="420" w:leftChars="200" w:right="420" w:firstLine="662" w:firstLineChars="206"/>
        <w:rPr>
          <w:rFonts w:ascii="仿宋" w:hAnsi="仿宋" w:eastAsia="仿宋" w:cs="仿宋"/>
          <w:b/>
          <w:bCs/>
        </w:rPr>
      </w:pPr>
      <w:r>
        <w:rPr>
          <w:rFonts w:ascii="仿宋" w:hAnsi="仿宋" w:eastAsia="仿宋" w:cs="仿宋"/>
          <w:b/>
        </w:rPr>
        <w:t>十三、预算绩效评价工作开展情况</w:t>
      </w:r>
    </w:p>
    <w:p>
      <w:pPr>
        <w:pStyle w:val="3"/>
        <w:tabs>
          <w:tab w:val="left" w:pos="3864"/>
          <w:tab w:val="left" w:pos="6248"/>
          <w:tab w:val="left" w:pos="7386"/>
        </w:tabs>
        <w:overflowPunct w:val="0"/>
        <w:spacing w:before="1" w:line="360" w:lineRule="auto"/>
        <w:ind w:left="420" w:leftChars="200" w:right="420" w:firstLine="659" w:firstLineChars="206"/>
        <w:rPr>
          <w:rFonts w:ascii="仿宋" w:hAnsi="仿宋" w:eastAsia="仿宋" w:cs="仿宋"/>
        </w:rPr>
      </w:pPr>
      <w:r>
        <w:rPr>
          <w:rFonts w:ascii="仿宋" w:hAnsi="仿宋" w:eastAsia="仿宋" w:cs="仿宋"/>
        </w:rPr>
        <w:t>本部门未开展预算绩效管理</w:t>
      </w:r>
      <w:r>
        <w:rPr>
          <w:rFonts w:hint="eastAsia" w:ascii="仿宋" w:hAnsi="仿宋" w:eastAsia="仿宋" w:cs="仿宋"/>
        </w:rPr>
        <w:t>评价</w:t>
      </w:r>
      <w:r>
        <w:rPr>
          <w:rFonts w:ascii="仿宋" w:hAnsi="仿宋" w:eastAsia="仿宋" w:cs="仿宋"/>
        </w:rPr>
        <w:t>工作</w:t>
      </w:r>
    </w:p>
    <w:p>
      <w:pPr>
        <w:pStyle w:val="10"/>
        <w:tabs>
          <w:tab w:val="left" w:pos="5967"/>
        </w:tabs>
        <w:rPr>
          <w:sz w:val="72"/>
          <w:szCs w:val="72"/>
        </w:rPr>
        <w:sectPr>
          <w:footerReference r:id="rId6" w:type="default"/>
          <w:pgSz w:w="11906" w:h="16838"/>
          <w:pgMar w:top="720" w:right="720" w:bottom="720" w:left="720" w:header="851" w:footer="992" w:gutter="0"/>
          <w:pgNumType w:fmt="numberInDash"/>
          <w:cols w:space="0" w:num="1"/>
          <w:docGrid w:type="lines" w:linePitch="319" w:charSpace="0"/>
        </w:sectPr>
      </w:pPr>
    </w:p>
    <w:p>
      <w:pPr>
        <w:pStyle w:val="10"/>
        <w:jc w:val="both"/>
        <w:rPr>
          <w:sz w:val="72"/>
          <w:szCs w:val="72"/>
        </w:rPr>
      </w:pPr>
    </w:p>
    <w:p>
      <w:pPr>
        <w:pStyle w:val="10"/>
        <w:jc w:val="both"/>
        <w:rPr>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72"/>
          <w:szCs w:val="7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第四部分</w:t>
      </w:r>
    </w:p>
    <w:p>
      <w:pPr>
        <w:jc w:val="center"/>
        <w:rPr>
          <w:rFonts w:ascii="仿宋" w:hAnsi="仿宋" w:eastAsia="仿宋" w:cs="仿宋"/>
          <w:b/>
          <w:bCs/>
          <w:color w:val="000000"/>
          <w:kern w:val="0"/>
          <w:sz w:val="52"/>
          <w:szCs w:val="52"/>
        </w:rPr>
      </w:pPr>
    </w:p>
    <w:p>
      <w:pPr>
        <w:jc w:val="center"/>
        <w:rPr>
          <w:rFonts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十八、教育支出(类)普通教育(款)高中教育(项)</w:t>
      </w:r>
      <w:r>
        <w:rPr>
          <w:rFonts w:ascii="仿宋" w:hAnsi="仿宋" w:eastAsia="仿宋" w:cs="仿宋"/>
          <w:b/>
          <w:color w:val="000000"/>
          <w:sz w:val="32"/>
        </w:rPr>
        <w:t>：</w:t>
      </w:r>
      <w:r>
        <w:rPr>
          <w:rFonts w:hint="eastAsia" w:ascii="仿宋" w:hAnsi="仿宋" w:eastAsia="仿宋" w:cs="仿宋"/>
          <w:color w:val="000000"/>
          <w:kern w:val="0"/>
          <w:sz w:val="32"/>
          <w:szCs w:val="32"/>
        </w:rPr>
        <w:t>反映各部门举办的高级中学教育支出。政府各部门对社会中介组织等举办的高级中学的资助，如捐赠、补贴等，也在本科目中反映。</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十九、教育支出(类)普通教育(款)其他普通教育支出(项)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二十、社会保障和就业支出(类)就业补助(款)其他就业补助支出(项)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反映除上述项目以外按规定确定的其他用于促进就业的补助支出。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10"/>
              <w:jc w:val="center"/>
              <w:rPr>
                <w:rFonts w:ascii="仿宋" w:hAnsi="仿宋" w:eastAsia="仿宋" w:cs="仿宋"/>
                <w:b/>
                <w:bCs/>
                <w:sz w:val="52"/>
                <w:szCs w:val="52"/>
              </w:rPr>
            </w:pPr>
            <w:r>
              <w:rPr>
                <w:rFonts w:hint="eastAsia" w:ascii="仿宋" w:hAnsi="仿宋" w:eastAsia="仿宋" w:cs="仿宋"/>
                <w:b/>
                <w:bCs/>
                <w:sz w:val="52"/>
                <w:szCs w:val="52"/>
              </w:rPr>
              <w:t>第五部分</w:t>
            </w:r>
          </w:p>
          <w:p>
            <w:pPr>
              <w:pStyle w:val="10"/>
              <w:jc w:val="center"/>
              <w:rPr>
                <w:rFonts w:ascii="仿宋" w:hAnsi="仿宋" w:eastAsia="仿宋" w:cs="仿宋"/>
                <w:b/>
                <w:bCs/>
                <w:sz w:val="52"/>
                <w:szCs w:val="52"/>
              </w:rPr>
            </w:pPr>
          </w:p>
          <w:p>
            <w:pPr>
              <w:pStyle w:val="10"/>
              <w:jc w:val="center"/>
              <w:rPr>
                <w:rFonts w:ascii="仿宋" w:hAnsi="仿宋" w:eastAsia="仿宋" w:cs="仿宋"/>
                <w:b/>
                <w:bCs/>
                <w:sz w:val="52"/>
                <w:szCs w:val="52"/>
              </w:rPr>
            </w:pPr>
            <w:r>
              <w:rPr>
                <w:rFonts w:hint="eastAsia" w:ascii="仿宋" w:hAnsi="仿宋" w:eastAsia="仿宋" w:cs="仿宋"/>
                <w:b/>
                <w:bCs/>
                <w:sz w:val="52"/>
                <w:szCs w:val="52"/>
              </w:rPr>
              <w:t>附件（无）</w:t>
            </w:r>
          </w:p>
        </w:tc>
      </w:tr>
    </w:tbl>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125" cy="139700"/>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wps:spPr>
                    <wps:txbx>
                      <w:txbxContent>
                        <w:p>
                          <w:pPr>
                            <w:pStyle w:val="5"/>
                          </w:pPr>
                          <w:r>
                            <w:fldChar w:fldCharType="begin"/>
                          </w:r>
                          <w:r>
                            <w:instrText xml:space="preserve"> PAGE  \* MERGEFORMAT </w:instrText>
                          </w:r>
                          <w:r>
                            <w:fldChar w:fldCharType="separate"/>
                          </w:r>
                          <w:r>
                            <w:t>- 16 -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18.75pt;mso-position-horizontal:center;mso-position-horizontal-relative:margin;mso-wrap-style:none;z-index:251660288;mso-width-relative:page;mso-height-relative:page;" filled="f" stroked="f" coordsize="21600,21600" o:gfxdata="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2mZn0QAAAAMBAAAPAAAAAAAAAAEAIAAAACIAAABkcnMvZG93bnJldi54bWxQSwEC&#10;FAAUAAAACACHTuJA+f+M8fsBAAABBAAADgAAAAAAAAABACAAAAAgAQAAZHJzL2Uyb0RvYy54bWxQ&#10;SwUGAAAAAAYABgBZAQAAjQ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黑体" w:hAnsi="黑体" w:eastAsia="黑体" w:cs="黑体"/>
      </w:rPr>
    </w:pPr>
    <w:r>
      <w:rPr>
        <w:rFonts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43535" cy="147955"/>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pPr>
                            <w:pStyle w:val="5"/>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- 28 -</w:t>
                          </w:r>
                          <w:r>
                            <w:rPr>
                              <w:rFonts w:hint="eastAsia" w:ascii="黑体" w:hAnsi="黑体" w:eastAsia="黑体" w:cs="黑体"/>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65pt;width:27.05pt;mso-position-horizontal:center;mso-position-horizontal-relative:margin;mso-wrap-style:none;z-index:251659264;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26lT0gAAAAMBAAAPAAAAAAAAAAEAIAAAACIAAABkcnMvZG93bnJldi54bWxQSwEC&#10;FAAUAAAACACHTuJA/UxTzfoBAAABBAAADgAAAAAAAAABACAAAAAhAQAAZHJzL2Uyb0RvYy54bWxQ&#10;SwUGAAAAAAYABgBZAQAAjQUAAAAA&#10;">
              <v:fill on="f" focussize="0,0"/>
              <v:stroke on="f"/>
              <v:imagedata o:title=""/>
              <o:lock v:ext="edit" aspectratio="f"/>
              <v:textbox inset="0mm,0mm,0mm,0mm" style="mso-fit-shape-to-text:t;">
                <w:txbxContent>
                  <w:p>
                    <w:pPr>
                      <w:pStyle w:val="5"/>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rPr>
                      <w:t>- 28 -</w:t>
                    </w:r>
                    <w:r>
                      <w:rPr>
                        <w:rFonts w:hint="eastAsia" w:ascii="黑体" w:hAnsi="黑体" w:eastAsia="黑体" w:cs="黑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lNjViMzdkNzg4ODhmMTQ5NTk2YWFhMDY5ODkifQ=="/>
  </w:docVars>
  <w:rsids>
    <w:rsidRoot w:val="73D72D54"/>
    <w:rsid w:val="00034B45"/>
    <w:rsid w:val="000668D2"/>
    <w:rsid w:val="000A4A40"/>
    <w:rsid w:val="00112995"/>
    <w:rsid w:val="00235204"/>
    <w:rsid w:val="007B65FB"/>
    <w:rsid w:val="00983AD7"/>
    <w:rsid w:val="009A2FD9"/>
    <w:rsid w:val="009C69B1"/>
    <w:rsid w:val="00A57004"/>
    <w:rsid w:val="00A847BF"/>
    <w:rsid w:val="00EF3870"/>
    <w:rsid w:val="00FE74E3"/>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864AF1"/>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9C33A8"/>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35392"/>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页脚 字符"/>
    <w:basedOn w:val="9"/>
    <w:qFormat/>
    <w:uiPriority w:val="0"/>
    <w:rPr>
      <w:rFonts w:ascii="Arial Unicode MS" w:hAnsi="Arial Unicode MS" w:eastAsia="Arial Unicode MS" w:cs="Arial Unicode MS"/>
      <w:sz w:val="18"/>
      <w:szCs w:val="18"/>
      <w:lang w:val="zh-CN" w:bidi="zh-CN"/>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7380</Words>
  <Characters>8844</Characters>
  <Lines>75</Lines>
  <Paragraphs>21</Paragraphs>
  <TotalTime>0</TotalTime>
  <ScaleCrop>false</ScaleCrop>
  <LinksUpToDate>false</LinksUpToDate>
  <CharactersWithSpaces>9102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坏脾气</cp:lastModifiedBy>
  <cp:lastPrinted>2022-08-22T00:34:00Z</cp:lastPrinted>
  <dcterms:modified xsi:type="dcterms:W3CDTF">2022-08-23T02:45:20Z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EED05CEA200D4403A3DCB0EFF85B6FE6</vt:lpwstr>
  </property>
</Properties>
</file>