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中方县中兴学校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pPr>
              <w:pStyle w:val="9"/>
              <w:jc w:val="center"/>
              <w:rPr>
                <w:rFonts w:hint="default" w:ascii="宋体" w:hAnsi="宋体" w:eastAsia="宋体" w:cs="宋体"/>
                <w:b/>
                <w:bCs/>
                <w:sz w:val="52"/>
                <w:szCs w:val="5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pPr>
              <w:pStyle w:val="9"/>
              <w:jc w:val="both"/>
              <w:rPr>
                <w:rFonts w:hint="eastAsia"/>
                <w:sz w:val="44"/>
                <w:szCs w:val="44"/>
                <w:vertAlign w:val="baseline"/>
                <w:lang w:val="en-US" w:eastAsia="zh-CN"/>
              </w:rPr>
            </w:pPr>
          </w:p>
        </w:tc>
      </w:tr>
    </w:tbl>
    <w:p>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中方县中兴学校单位概况</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中方县中兴学校</w:t>
      </w:r>
    </w:p>
    <w:p>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pPr>
        <w:rPr>
          <w:rFonts w:ascii="黑体" w:hAnsi="黑体" w:eastAsia="黑体"/>
          <w:sz w:val="32"/>
          <w:szCs w:val="32"/>
        </w:rPr>
      </w:pPr>
      <w:r>
        <w:rPr>
          <w:rFonts w:ascii="黑体" w:hAnsi="黑体" w:eastAsia="黑体"/>
          <w:sz w:val="32"/>
          <w:szCs w:val="32"/>
        </w:rPr>
        <w:br w:type="page"/>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认真贯彻落实国家教育工作的方针、政策和法律、法规，执行上级党委及教育行政部门的决议，指示，努力按教育规律办学，全面完成教育教学任务。组织制定和实施学校发展规划和学年工作计划。领导师生的思想政治教育工作，引导教职工坚持正确的教育原则，方法，按教育规律办事。为国家培养爱国，爱家政治思想，身体素养过硬的社会主义接班人。</w:t>
      </w:r>
    </w:p>
    <w:p>
      <w:pPr>
        <w:jc w:val="left"/>
        <w:rPr>
          <w:rFonts w:hint="eastAsia" w:ascii="仿宋" w:hAnsi="仿宋" w:eastAsia="仿宋" w:cs="仿宋"/>
          <w:sz w:val="28"/>
          <w:szCs w:val="32"/>
        </w:rPr>
      </w:pP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中方县中兴学校内设机构包括：内设校长室、办公室、教务处、教科室、德育处、综治办、总务处、国学班办8个职能室。核定编制299人，其中事业编制294人，工勤编制5人，实有在职人员283人，退休人员6人。</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中方县中兴学校2020年部门决算汇总公开单位构成包括：中方县中兴学校</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pPr>
        <w:jc w:val="center"/>
        <w:rPr>
          <w:rFonts w:hint="eastAsia" w:ascii="仿宋" w:hAnsi="仿宋" w:eastAsia="仿宋" w:cs="仿宋"/>
          <w:b/>
          <w:bCs/>
          <w:sz w:val="52"/>
          <w:szCs w:val="52"/>
        </w:rPr>
      </w:pPr>
    </w:p>
    <w:p>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trPr>
          <w:cantSplit/>
          <w:trHeight w:val="90" w:hRule="atLeast"/>
        </w:trPr>
        <w:tc>
          <w:tcPr>
            <w:tcW w:w="13995" w:type="dxa"/>
            <w:gridSpan w:val="6"/>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8660" w:type="dxa"/>
            <w:gridSpan w:val="4"/>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2,906.38</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2,906.38</w:t>
            </w:r>
          </w:p>
        </w:tc>
      </w:tr>
      <w:tr>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中方县中兴学校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2,906.38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2,906.38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2,883.83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2,883.83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16.85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16.85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4.50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4.50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1470"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2,906.38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2,906.38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2,883.83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2,883.83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16.85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16.85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4.50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4.50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trPr>
          <w:trHeight w:val="90" w:hRule="atLeast"/>
        </w:trPr>
        <w:tc>
          <w:tcPr>
            <w:tcW w:w="14108" w:type="dxa"/>
            <w:gridSpan w:val="8"/>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1414"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2,906.38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2,906.38</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1.20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7640" w:type="dxa"/>
            <w:gridSpan w:val="3"/>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2,883.83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2,883.83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16.85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16.85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4.50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4.50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trPr>
          <w:trHeight w:val="113" w:hRule="atLeast"/>
        </w:trPr>
        <w:tc>
          <w:tcPr>
            <w:tcW w:w="15801" w:type="dxa"/>
            <w:gridSpan w:val="9"/>
            <w:tcBorders>
              <w:top w:val="nil"/>
              <w:left w:val="nil"/>
              <w:bottom w:val="nil"/>
              <w:right w:val="nil"/>
            </w:tcBorders>
            <w:shd w:val="clear" w:color="auto" w:fill="auto"/>
            <w:vAlign w:val="center"/>
          </w:tcPr>
          <w:p>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3820"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2,588.57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308.16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1,226.79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51.30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790.09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15.95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301.21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173.37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10.76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63.11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4.48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35.30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34.00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8.46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6.71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7.71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49.93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4.11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72.40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11.94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2,597.02</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308.16</w:t>
            </w:r>
          </w:p>
        </w:tc>
      </w:tr>
      <w:tr>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pPr>
              <w:widowControl/>
              <w:jc w:val="left"/>
              <w:rPr>
                <w:rFonts w:hint="eastAsia" w:ascii="仿宋" w:hAnsi="仿宋" w:eastAsia="仿宋" w:cs="仿宋"/>
                <w:color w:val="000000"/>
                <w:kern w:val="0"/>
                <w:szCs w:val="24"/>
              </w:rPr>
            </w:pPr>
          </w:p>
          <w:p>
            <w:pPr>
              <w:widowControl/>
              <w:jc w:val="left"/>
              <w:rPr>
                <w:rFonts w:hint="eastAsia" w:ascii="仿宋" w:hAnsi="仿宋" w:eastAsia="仿宋" w:cs="仿宋"/>
                <w:color w:val="000000"/>
                <w:kern w:val="0"/>
                <w:szCs w:val="24"/>
              </w:rPr>
            </w:pPr>
          </w:p>
        </w:tc>
      </w:tr>
    </w:tbl>
    <w:p>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trPr>
          <w:trHeight w:val="90" w:hRule="atLeast"/>
          <w:jc w:val="center"/>
        </w:trPr>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454" w:hRule="atLeast"/>
          <w:jc w:val="center"/>
        </w:trPr>
        <w:tc>
          <w:tcPr>
            <w:tcW w:w="14440" w:type="dxa"/>
            <w:gridSpan w:val="8"/>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1339" w:type="dxa"/>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7875" w:type="dxa"/>
            <w:gridSpan w:val="3"/>
            <w:tcBorders>
              <w:top w:val="nil"/>
              <w:left w:val="nil"/>
              <w:bottom w:val="single" w:color="auto" w:sz="4" w:space="0"/>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中方县中兴学校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2人、少了抚恤金、及助学金人数减少，造成财政收入减少</w:t>
      </w:r>
      <w:r>
        <w:rPr>
          <w:rFonts w:ascii="仿宋" w:hAnsi="仿宋" w:eastAsia="仿宋" w:cs="仿宋"/>
        </w:rPr>
        <w:t>。支出总计2,906.38万元，与上年相比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2人、少了抚恤金、及助学金人数减少，造成支出减少</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本年收入合计2,906.38万元，其中：财政拨款收入2,906.38万元，占100%；上级补助收入0万元，占0%；事业收入0万元，占0%；经营收入0万元，占0%；附属单位上缴收入0万元，占0%；其他收入0万元，占0%。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本年支出合计2,906.38万元，其中：基本支出2,906.38万元，占100%；项目支出0万元，占0%；上缴上级支出0万元，占0%；经营支出0万元，占0%；对附属单位补助支出0万元，占0%。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2人、少了抚恤金、及助学金人数减少，造成财政收入减少</w:t>
      </w:r>
      <w:r>
        <w:rPr>
          <w:rFonts w:ascii="仿宋" w:hAnsi="仿宋" w:eastAsia="仿宋" w:cs="仿宋"/>
        </w:rPr>
        <w:t>。支出总计2,906.38万元，与上年相比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2人、少了抚恤金、及助学金人数减少，造成支出减少</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2020年度财政拨款支出2,905.18万元，占本年支出合计的99.96%，与上年相比，财政拨款支出</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万元，去年决算数为</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2人、少了抚恤金、及助学金人数减少，造成财政收支减少</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2020年度财政拨款支出2,905.18万元，主要用于以下方面：教育支出（类）2,905.18万元，占100%。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2020年度财政拨款支出年初预算数为2,926.48万元，支出决算数为2,905.18万元，完成年初预算的99.27%，其中：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1、教育支出（类）普通教育（款）小学教育（项）。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年初预算为2,921.98万元，支出决算为2,883.83万元，完成年初预算的98.69%，决算数小于预算数的主要原因是：教职工人数预算时为283人决算时为271人其中有12人调出，人员经费减少，。</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2、教育支出（类）普通教育（款）初中教育（项）。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16.85万元，年初预算数为0万元，无法计算完成比率，决算数大于预算数的主要原因是：教职工人数预算时为283人决算时为271人其中有12人调出，人员经费减少，小学教育和初中教育的预算数区分不太明确。</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年初预算为4.5万元，支出决算为4.5万元，完成年初预算的100%。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2,905.18万元，其中：人员经费2,597.02万元，占基本支出的89.39%，主要包括：基本工资、津贴补贴、机关事业单位基本养老保险缴费、职工基本医疗保险缴费、其他社会保障缴费、其他工资福利支出、退休费、生活补助、奖励金；公用经费308.16万元，占基本支出的10.61%，主要包括：办公费、印刷费、水费、电费、邮电费、物业管理费、差旅费、维修（护）费、会议费、培训费、公务接待费、专用材料费、劳务费、工会经费、其他交通费用、其他商品和服务支出。</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“三公”经费财政拨款支出预算为0.22万元，支出决算为0.22万元，完成预算的100%，其中：因公出国（境）费支出预算为0万元，支出决算为0万元，与本年预算数相同，与上年决算数相同。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公务接待费支出预算为0.22万元，支出决算为0.22万元，与本年预算数相同，与上年相比增加0.22万元，去年决算数为0万元，无法计算增减比率，增长的主要原因是2019年没有做决算公开，2019年无数据。</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2020年度“三公”经费财政拨款支出决算中，公务接待费支出决算0.22万元，占100%，因公出国（境）费支出决算0万元，占0%，公务用车购置费及运行维护费支出决算0万元，占0%。其中：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2、公务接待费支出决算为0.22万元，全年共接待来访团组8个，来宾60人次，主要是兄弟学校篮球友谊赛，和教学教研探讨学习交流。</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2020年度政府性基金预算财政拨款收入1.2万元；年初结转和结余0万元；支出1.2万元，其中基本支出1.2万元，项目支出0万元；年末结转和结余0万元。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7.71万元，用于开展教师业务培训，继续教育，校本培训，信息技术培训培训，人数3226人，内容为教师业务培训，继续教育，校本培训，信息技术培训（培训按每人每天30元的标准开餐）；举办教师业务培训，继续教育，校本培训，信息技术培训（培训按每人每天30元的标准开餐）等节庆、晚会、论坛、赛事活动，开支6.71万元，主要是班主任论坛3次（97个班+校领导4人+中小学教科室工作人员4人+现场技术人员1人共2.3万元，全县运动会1场0.81万，校运会2场1.6万元，元旦文艺汇演服装道具开支2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eastAsia="仿宋"/>
          <w:sz w:val="72"/>
          <w:szCs w:val="72"/>
          <w:lang w:val="en-US"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预算绩效管理</w:t>
      </w:r>
      <w:r>
        <w:rPr>
          <w:rFonts w:hint="eastAsia" w:ascii="仿宋" w:hAnsi="仿宋" w:eastAsia="仿宋" w:cs="仿宋"/>
          <w:lang w:val="en-US" w:eastAsia="zh-CN"/>
        </w:rPr>
        <w:t>评价工作</w:t>
      </w:r>
    </w:p>
    <w:p>
      <w:pPr>
        <w:pStyle w:val="9"/>
        <w:jc w:val="both"/>
        <w:rPr>
          <w:sz w:val="72"/>
          <w:szCs w:val="72"/>
        </w:rPr>
      </w:pPr>
    </w:p>
    <w:p>
      <w:pPr>
        <w:pStyle w:val="9"/>
        <w:jc w:val="both"/>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pPr>
        <w:jc w:val="center"/>
        <w:rPr>
          <w:rFonts w:hint="eastAsia" w:ascii="仿宋" w:hAnsi="仿宋" w:eastAsia="仿宋" w:cs="仿宋"/>
          <w:b/>
          <w:bCs/>
          <w:color w:val="000000"/>
          <w:kern w:val="0"/>
          <w:sz w:val="52"/>
          <w:szCs w:val="52"/>
        </w:rPr>
      </w:pPr>
    </w:p>
    <w:p>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pPr>
              <w:pStyle w:val="9"/>
              <w:jc w:val="center"/>
              <w:rPr>
                <w:rFonts w:hint="eastAsia" w:ascii="仿宋" w:hAnsi="仿宋" w:eastAsia="仿宋" w:cs="仿宋"/>
                <w:b/>
                <w:bCs/>
                <w:sz w:val="52"/>
                <w:szCs w:val="52"/>
              </w:rPr>
            </w:pPr>
          </w:p>
          <w:p>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bookmarkStart w:id="3" w:name="_GoBack"/>
            <w:bookmarkEnd w:id="3"/>
          </w:p>
        </w:tc>
      </w:tr>
    </w:tbl>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2362B5"/>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265F9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081D"/>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C2459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AE3D58"/>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7388</Words>
  <Characters>8892</Characters>
  <Lines>0</Lines>
  <Paragraphs>0</Paragraphs>
  <TotalTime>1</TotalTime>
  <ScaleCrop>false</ScaleCrop>
  <LinksUpToDate>false</LinksUpToDate>
  <CharactersWithSpaces>9162</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2021-08-31T01:09:00Z</dcterms:created>
  <dc:creator>Administrator</dc:creator>
  <cp:lastModifiedBy>坏脾气</cp:lastModifiedBy>
  <dcterms:modified xsi:type="dcterms:W3CDTF">2022-08-23T02:33:25Z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EED05CEA200D4403A3DCB0EFF85B6FE6</vt:lpwstr>
  </property>
</Properties>
</file>