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中方县袁家镇小学</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中方县袁家镇小学单位概况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中方县袁家镇小学</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1、贯彻落实国家教育工作的方针、政策、法规、规章，结合我校拟定具体实施办法和管理制度，并组织实施。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2、研究拟定学校教育改革与发展战略和教育事业发展规划、年度计划及教育发展的重点、速度和步骤，并协调实施。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3、负责学校教育经费的统筹管理；负责教育经费的安排和预决算工作；对学校的各类国有资产进行宏观管理。</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4、负责全面实施素质教育，规划并指导学校的思想政治工作、教育工作、后勤保健与家园共育等工作。</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袁家镇小学内设机构包括：内设机构设置。本单位内设机构包括：校长室、办公室、财务室、教育室、德育室、集体办公室、后勤处、体育室、音乐室、实验室、多媒体室、少年宫室、图书室、计算机室、保教处等。</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中方县袁家镇小学2020年部门决算汇总公开单位构成包括：中方县袁家镇小学</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中方县袁家镇小学</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515.51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3.13</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515.51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3.13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518.63</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518.63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518.63</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518.63</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中方县袁家镇小学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518.63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518.63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515.51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515.51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515.51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515.51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5.28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5.28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509.98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509.98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0.25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0.25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3.13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3.13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3.13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3.13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3.13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3.13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中方县袁家镇小学</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518.63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518.63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515.51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515.51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515.51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515.51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5.28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5.28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509.98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509.98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0.25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0.25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3.13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3.13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3.13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3.13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3.13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3.13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中方县袁家镇小学</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515.51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3.13</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515.51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515.51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3.13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3.13</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518.63</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518.63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515.51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3.13</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518.63</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518.63</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515.51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r>
              <w:rPr>
                <w:rFonts w:hint="eastAsia" w:ascii="仿宋" w:hAnsi="仿宋" w:eastAsia="仿宋" w:cs="仿宋"/>
              </w:rPr>
              <w:t>3.13</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中方县袁家镇小学</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515.51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515.51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515.51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515.51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515.51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515.51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5.28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5.28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509.98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509.98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0.25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0.25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中方县袁家镇小学</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418.78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44.09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195.14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6.76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135.95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43.26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2.52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23.56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0.24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9.71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4.24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11.15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52.65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8.09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14.99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26.76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0.49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0.44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471.42</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44.09</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中方县袁家镇小学</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0.15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0.15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0.15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0.15</w:t>
            </w: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中方县袁家镇小学</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3.13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3.13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3.13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3.13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3.13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3.13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3.13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3.13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3.13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3.13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3.13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3.13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中方县袁家镇小学</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中方县袁家镇小学</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2020年度收入总计518.63万元，与上年相比</w:t>
      </w:r>
      <w:r>
        <w:rPr>
          <w:rFonts w:hint="eastAsia" w:ascii="仿宋" w:hAnsi="仿宋" w:eastAsia="仿宋" w:cs="仿宋"/>
        </w:rPr>
        <w:t>减少61.21</w:t>
      </w:r>
      <w:r>
        <w:rPr>
          <w:rFonts w:ascii="仿宋" w:hAnsi="仿宋" w:eastAsia="仿宋" w:cs="仿宋"/>
        </w:rPr>
        <w:t>万元，</w:t>
      </w:r>
      <w:r>
        <w:rPr>
          <w:rFonts w:hint="eastAsia" w:ascii="仿宋" w:hAnsi="仿宋" w:eastAsia="仿宋" w:cs="仿宋"/>
        </w:rPr>
        <w:t>减少11.80%。</w:t>
      </w:r>
      <w:r>
        <w:rPr>
          <w:rFonts w:ascii="仿宋" w:hAnsi="仿宋" w:eastAsia="仿宋" w:cs="仿宋"/>
        </w:rPr>
        <w:t>主要是因为</w:t>
      </w:r>
      <w:r>
        <w:rPr>
          <w:rFonts w:hint="eastAsia" w:ascii="仿宋" w:hAnsi="仿宋" w:eastAsia="仿宋" w:cs="仿宋"/>
        </w:rPr>
        <w:t>人员减少，造成财政收</w:t>
      </w:r>
      <w:r>
        <w:rPr>
          <w:rFonts w:hint="eastAsia" w:ascii="仿宋" w:hAnsi="仿宋" w:eastAsia="仿宋" w:cs="仿宋"/>
          <w:lang w:val="en-US" w:eastAsia="zh-CN"/>
        </w:rPr>
        <w:t>入</w:t>
      </w:r>
      <w:r>
        <w:rPr>
          <w:rFonts w:hint="eastAsia" w:ascii="仿宋" w:hAnsi="仿宋" w:eastAsia="仿宋" w:cs="仿宋"/>
        </w:rPr>
        <w:t>减少</w:t>
      </w:r>
      <w:r>
        <w:rPr>
          <w:rFonts w:ascii="仿宋" w:hAnsi="仿宋" w:eastAsia="仿宋" w:cs="仿宋"/>
        </w:rPr>
        <w:t>。支出总计518.63万元，与上年相比</w:t>
      </w:r>
      <w:r>
        <w:rPr>
          <w:rFonts w:hint="eastAsia" w:ascii="仿宋" w:hAnsi="仿宋" w:eastAsia="仿宋" w:cs="仿宋"/>
        </w:rPr>
        <w:t>减少61.21</w:t>
      </w:r>
      <w:r>
        <w:rPr>
          <w:rFonts w:ascii="仿宋" w:hAnsi="仿宋" w:eastAsia="仿宋" w:cs="仿宋"/>
        </w:rPr>
        <w:t>万元，</w:t>
      </w:r>
      <w:r>
        <w:rPr>
          <w:rFonts w:hint="eastAsia" w:ascii="仿宋" w:hAnsi="仿宋" w:eastAsia="仿宋" w:cs="仿宋"/>
        </w:rPr>
        <w:t>减少11.80%。</w:t>
      </w:r>
      <w:r>
        <w:rPr>
          <w:rFonts w:ascii="仿宋" w:hAnsi="仿宋" w:eastAsia="仿宋" w:cs="仿宋"/>
        </w:rPr>
        <w:t>主要是因为</w:t>
      </w:r>
      <w:r>
        <w:rPr>
          <w:rFonts w:hint="eastAsia" w:ascii="仿宋" w:hAnsi="仿宋" w:eastAsia="仿宋" w:cs="仿宋"/>
        </w:rPr>
        <w:t>人员减少，造成</w:t>
      </w:r>
      <w:r>
        <w:rPr>
          <w:rFonts w:hint="eastAsia" w:ascii="仿宋" w:hAnsi="仿宋" w:eastAsia="仿宋" w:cs="仿宋"/>
          <w:lang w:val="en-US" w:eastAsia="zh-CN"/>
        </w:rPr>
        <w:t>经费支出</w:t>
      </w:r>
      <w:r>
        <w:rPr>
          <w:rFonts w:hint="eastAsia" w:ascii="仿宋" w:hAnsi="仿宋" w:eastAsia="仿宋" w:cs="仿宋"/>
        </w:rPr>
        <w:t>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本年收入合计518.63万元，其中：财政拨款收入518.63万元，占100%；上级补助收入0万元，占0%；事业收入0万元，占0%；经营收入0万元，占0%；附属单位上缴收入0万元，占0%；其他收入0万元，占0%。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cstate="print"/>
                    <a:stretch>
                      <a:fillRect/>
                    </a:stretch>
                  </pic:blipFill>
                  <pic:spPr>
                    <a:xfrm>
                      <a:off x="0" y="0"/>
                      <a:ext cx="6143625"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本年支出合计518.63万元，其中：基本支出518.63万元，占100%；项目支出0万元，占0%；上缴上级支出0万元，占0%；经营支出0万元，占0%；对附属单位补助支出0万元，占0%。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cstate="print"/>
                    <a:stretch>
                      <a:fillRect/>
                    </a:stretch>
                  </pic:blipFill>
                  <pic:spPr>
                    <a:xfrm>
                      <a:off x="0" y="0"/>
                      <a:ext cx="6143625"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2020年度财政拨款收入总计518.63万元，与上年相比</w:t>
      </w:r>
      <w:r>
        <w:rPr>
          <w:rFonts w:hint="eastAsia" w:ascii="仿宋" w:hAnsi="仿宋" w:eastAsia="仿宋" w:cs="仿宋"/>
        </w:rPr>
        <w:t>减少61.21</w:t>
      </w:r>
      <w:r>
        <w:rPr>
          <w:rFonts w:ascii="仿宋" w:hAnsi="仿宋" w:eastAsia="仿宋" w:cs="仿宋"/>
        </w:rPr>
        <w:t>万元，</w:t>
      </w:r>
      <w:r>
        <w:rPr>
          <w:rFonts w:hint="eastAsia" w:ascii="仿宋" w:hAnsi="仿宋" w:eastAsia="仿宋" w:cs="仿宋"/>
        </w:rPr>
        <w:t>减少11.80%。</w:t>
      </w:r>
      <w:r>
        <w:rPr>
          <w:rFonts w:ascii="仿宋" w:hAnsi="仿宋" w:eastAsia="仿宋" w:cs="仿宋"/>
        </w:rPr>
        <w:t>主要是因为</w:t>
      </w:r>
      <w:r>
        <w:rPr>
          <w:rFonts w:hint="eastAsia" w:ascii="仿宋" w:hAnsi="仿宋" w:eastAsia="仿宋" w:cs="仿宋"/>
        </w:rPr>
        <w:t>人员减少，造成财政收</w:t>
      </w:r>
      <w:r>
        <w:rPr>
          <w:rFonts w:hint="eastAsia" w:ascii="仿宋" w:hAnsi="仿宋" w:eastAsia="仿宋" w:cs="仿宋"/>
          <w:lang w:val="en-US" w:eastAsia="zh-CN"/>
        </w:rPr>
        <w:t>入</w:t>
      </w:r>
      <w:r>
        <w:rPr>
          <w:rFonts w:hint="eastAsia" w:ascii="仿宋" w:hAnsi="仿宋" w:eastAsia="仿宋" w:cs="仿宋"/>
        </w:rPr>
        <w:t>减少</w:t>
      </w:r>
      <w:r>
        <w:rPr>
          <w:rFonts w:ascii="仿宋" w:hAnsi="仿宋" w:eastAsia="仿宋" w:cs="仿宋"/>
        </w:rPr>
        <w:t>。支出总计518.63万元，与上年相比</w:t>
      </w:r>
      <w:r>
        <w:rPr>
          <w:rFonts w:hint="eastAsia" w:ascii="仿宋" w:hAnsi="仿宋" w:eastAsia="仿宋" w:cs="仿宋"/>
        </w:rPr>
        <w:t>减少61.21</w:t>
      </w:r>
      <w:r>
        <w:rPr>
          <w:rFonts w:ascii="仿宋" w:hAnsi="仿宋" w:eastAsia="仿宋" w:cs="仿宋"/>
        </w:rPr>
        <w:t>万元，</w:t>
      </w:r>
      <w:r>
        <w:rPr>
          <w:rFonts w:hint="eastAsia" w:ascii="仿宋" w:hAnsi="仿宋" w:eastAsia="仿宋" w:cs="仿宋"/>
        </w:rPr>
        <w:t>减少11.80%。</w:t>
      </w:r>
      <w:r>
        <w:rPr>
          <w:rFonts w:ascii="仿宋" w:hAnsi="仿宋" w:eastAsia="仿宋" w:cs="仿宋"/>
        </w:rPr>
        <w:t>主要是因为</w:t>
      </w:r>
      <w:r>
        <w:rPr>
          <w:rFonts w:hint="eastAsia" w:ascii="仿宋" w:hAnsi="仿宋" w:eastAsia="仿宋" w:cs="仿宋"/>
        </w:rPr>
        <w:t>人员减少，造成</w:t>
      </w:r>
      <w:r>
        <w:rPr>
          <w:rFonts w:hint="eastAsia" w:ascii="仿宋" w:hAnsi="仿宋" w:eastAsia="仿宋" w:cs="仿宋"/>
          <w:lang w:val="en-US" w:eastAsia="zh-CN"/>
        </w:rPr>
        <w:t>经费支出</w:t>
      </w:r>
      <w:r>
        <w:rPr>
          <w:rFonts w:hint="eastAsia" w:ascii="仿宋" w:hAnsi="仿宋" w:eastAsia="仿宋" w:cs="仿宋"/>
        </w:rPr>
        <w:t>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bookmarkStart w:id="3" w:name="_GoBack"/>
      <w:bookmarkEnd w:id="3"/>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w:t>
      </w:r>
      <w:r>
        <w:rPr>
          <w:rFonts w:hint="eastAsia" w:ascii="仿宋" w:hAnsi="仿宋" w:eastAsia="仿宋" w:cs="仿宋"/>
        </w:rPr>
        <w:t>518.63</w:t>
      </w:r>
      <w:r>
        <w:rPr>
          <w:rFonts w:ascii="仿宋" w:hAnsi="仿宋" w:eastAsia="仿宋" w:cs="仿宋"/>
        </w:rPr>
        <w:t>万元，占本年支出合计的</w:t>
      </w:r>
      <w:r>
        <w:rPr>
          <w:rFonts w:hint="eastAsia" w:ascii="仿宋" w:hAnsi="仿宋" w:eastAsia="仿宋" w:cs="仿宋"/>
        </w:rPr>
        <w:t>100</w:t>
      </w:r>
      <w:r>
        <w:rPr>
          <w:rFonts w:ascii="仿宋" w:hAnsi="仿宋" w:eastAsia="仿宋" w:cs="仿宋"/>
        </w:rPr>
        <w:t>%，与上年相比，财政拨款支出</w:t>
      </w:r>
      <w:r>
        <w:rPr>
          <w:rFonts w:hint="eastAsia" w:ascii="仿宋" w:hAnsi="仿宋" w:eastAsia="仿宋" w:cs="仿宋"/>
        </w:rPr>
        <w:t>减少61.21</w:t>
      </w:r>
      <w:r>
        <w:rPr>
          <w:rFonts w:ascii="仿宋" w:hAnsi="仿宋" w:eastAsia="仿宋" w:cs="仿宋"/>
        </w:rPr>
        <w:t>万元，</w:t>
      </w:r>
      <w:r>
        <w:rPr>
          <w:rFonts w:hint="eastAsia" w:ascii="仿宋" w:hAnsi="仿宋" w:eastAsia="仿宋" w:cs="仿宋"/>
        </w:rPr>
        <w:t>减少11.80%</w:t>
      </w:r>
      <w:r>
        <w:rPr>
          <w:rFonts w:ascii="仿宋" w:hAnsi="仿宋" w:eastAsia="仿宋" w:cs="仿宋"/>
        </w:rPr>
        <w:t>。</w:t>
      </w:r>
      <w:r>
        <w:rPr>
          <w:rFonts w:hint="eastAsia" w:ascii="仿宋" w:hAnsi="仿宋" w:eastAsia="仿宋" w:cs="仿宋"/>
        </w:rPr>
        <w:t>主要是人员减少，造成财政支出减少。</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2020年度财政拨款支出515.51万元，主要用于以下方面：教育支出（类）515.51万元，占100%。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2020年度财政拨款支出年初预算数为493.97万元，支出决算数为515.51万元，完成年初预算的104.36%，其中：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1、教育支出（类）普通教育（款）学前教育（项）。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年初预算为5.28万元，支出决算为5.28万元，完成年初预算的100%。</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2、教育支出（类）普通教育（款）小学教育（项）。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年初预算为488.67万元，支出决算为509.98万元，完成年初预算的104.36%，决算数大于预算数的主要原因是：公用经费计入决算数据，而未计入预算数据。</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3、教育支出（类）普通教育（款）其他普通教育支出（项）。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年初预算为0.25万元，支出决算为0.25万元，完成年初预算的100%。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515.51万元，其中：人员经费471.42万元，占基本支出的91.45%，主要包括：基本工资、津贴补贴、机关事业单位基本养老保险缴费、职工基本医疗保险缴费、其他社会保障缴费、其他工资福利支出、退休费、抚恤金、生活补助、助学金、奖励金；公用经费44.09万元，占基本支出的8.55%，主要包括：办公费、印刷费、电费、邮电费、物业管理费、差旅费、维修（护）费、会议费、培训费、公务接待费、专用材料费、劳务费、工会经费、其他交通费用、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“三公”经费财政拨款支出预算为0.15万元，支出决算为0.15万元，完成预算的100%，其中：因公出国（境）费支出预算为0万元，支出决算为0万元，与本年预算数相同，与上年决算数相同。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公务接待费支出预算为0.15万元，支出决算为0.15万元，与本年预算数相同，与上年相比增加0.15万元，去年决算数为0万元，无法计算增减比率，增长的主要原因是公用经费未计入预算数据。</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2020年度“三公”经费财政拨款支出决算中，公务接待费支出决算0.15万元，占100%，因公出国（境）费支出决算0万元，占0%，公务用车购置费及运行维护费支出决算0万元，占0%。其中：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2、公务接待费支出决算为0.15万元，全年共接待来访团组3个，来宾55人次，主要是接待教育教学活动（水平测试）人员用餐；学校学生参加县级举办运动会、文艺汇演等教学活动用餐。</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2020年度政府性基金预算财政拨款收入3.13万元；年初结转和结余0万元；支出3.13万元，其中基本支出3.13万元，项目支出0万元；年末结转和结余0万元。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0.18万元，用于召开学校开展“六。一”儿童节活动经费会议，人数458人，内容为庆祝“六。一”儿童节；开支培训费1.08万元，用于开展教育教学教研培训培训，人数39人，内容为各科教师教学研讨会、参加“国培”培训、教师信息技术提升集中培训、参加项目县级“送教下乡”培训等；未举办节庆、晚会、论坛、赛事等活动。</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本部门没有开展预算绩效评价工作。</w:t>
      </w:r>
    </w:p>
    <w:p>
      <w:pPr>
        <w:pStyle w:val="10"/>
        <w:tabs>
          <w:tab w:val="left" w:pos="5967"/>
        </w:tabs>
        <w:rPr>
          <w:sz w:val="72"/>
          <w:szCs w:val="72"/>
        </w:rPr>
        <w:sectPr>
          <w:footerReference r:id="rId6" w:type="default"/>
          <w:pgSz w:w="11906" w:h="16838"/>
          <w:pgMar w:top="720" w:right="720" w:bottom="720" w:left="720" w:header="851" w:footer="992" w:gutter="0"/>
          <w:pgNumType w:fmt="numberInDash"/>
          <w:cols w:space="0" w:num="1"/>
          <w:docGrid w:type="lines" w:linePitch="319" w:charSpace="0"/>
        </w:sectPr>
      </w:pP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二十一、其他支出(类)彩票公益金安排的支出(款)用于教育事业的彩票公益金支出(项)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- 16 -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ascii="黑体" w:hAnsi="黑体" w:eastAsia="黑体" w:cs="黑体"/>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- 18 -</w:t>
                </w:r>
                <w:r>
                  <w:rPr>
                    <w:rFonts w:hint="eastAsia" w:ascii="黑体" w:hAnsi="黑体" w:eastAsia="黑体" w:cs="黑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zMGRlNjViMzdkNzg4ODhmMTQ5NTk2YWFhMDY5ODkifQ=="/>
  </w:docVars>
  <w:rsids>
    <w:rsidRoot w:val="73D72D54"/>
    <w:rsid w:val="00034B45"/>
    <w:rsid w:val="00087E07"/>
    <w:rsid w:val="000A4A40"/>
    <w:rsid w:val="00112995"/>
    <w:rsid w:val="00250064"/>
    <w:rsid w:val="005C6637"/>
    <w:rsid w:val="00600048"/>
    <w:rsid w:val="008F49F2"/>
    <w:rsid w:val="00A57004"/>
    <w:rsid w:val="00D64046"/>
    <w:rsid w:val="00EF3870"/>
    <w:rsid w:val="00F532F4"/>
    <w:rsid w:val="00FE7D4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465354"/>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7010</Words>
  <Characters>8297</Characters>
  <Lines>72</Lines>
  <Paragraphs>20</Paragraphs>
  <TotalTime>0</TotalTime>
  <ScaleCrop>false</ScaleCrop>
  <LinksUpToDate>false</LinksUpToDate>
  <CharactersWithSpaces>8567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2022-08-23T02:23:41Z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