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kinsoku/>
        <w:wordWrap/>
        <w:overflowPunct/>
        <w:topLinePunct w:val="0"/>
        <w:autoSpaceDE/>
        <w:autoSpaceDN/>
        <w:adjustRightInd/>
        <w:snapToGrid/>
        <w:spacing w:beforeAutospacing="0" w:afterAutospacing="0" w:line="560" w:lineRule="exact"/>
        <w:jc w:val="center"/>
        <w:rPr>
          <w:rFonts w:ascii="国标仿宋" w:eastAsia="国标仿宋" w:cs="国标仿宋" w:hAnsi="Times New Roman" w:hint="eastAsia"/>
          <w:b/>
          <w:bCs/>
          <w:sz w:val="36"/>
          <w:szCs w:val="36"/>
        </w:rPr>
      </w:pPr>
      <w:r>
        <w:rPr>
          <w:rFonts w:ascii="国标仿宋" w:eastAsia="国标仿宋" w:cs="国标仿宋" w:hAnsi="Times New Roman" w:hint="eastAsia"/>
          <w:b/>
          <w:bCs/>
          <w:sz w:val="36"/>
          <w:szCs w:val="36"/>
          <w:lang w:val="en-US" w:eastAsia="zh-CN"/>
        </w:rPr>
        <w:t>中方县教育局主动公开事项清单（2025）</w:t>
      </w:r>
    </w:p>
    <w:tbl>
      <w:tblPr>
        <w:jc w:val="left"/>
        <w:tblInd w:w="0" w:type="dxa"/>
        <w:tblW w:w="4970"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778"/>
        <w:gridCol w:w="1071"/>
        <w:gridCol w:w="1692"/>
        <w:gridCol w:w="1726"/>
        <w:gridCol w:w="2569"/>
        <w:gridCol w:w="738"/>
        <w:gridCol w:w="1501"/>
        <w:gridCol w:w="1177"/>
        <w:gridCol w:w="2613"/>
      </w:tblGrid>
      <w:tr>
        <w:trPr>
          <w:cantSplit/>
          <w:trHeight w:val="90"/>
          <w:tblHeader/>
        </w:trPr>
        <w:tc>
          <w:tcPr>
            <w:tcW w:w="778"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suppressLineNumbers w:val="0"/>
              <w:kinsoku/>
              <w:wordWrap/>
              <w:overflowPunct/>
              <w:topLinePunct w:val="0"/>
              <w:autoSpaceDE/>
              <w:autoSpaceDN/>
              <w:adjustRightInd/>
              <w:snapToGrid/>
              <w:spacing w:line="300" w:lineRule="exact"/>
              <w:jc w:val="center"/>
              <w:textAlignment w:val="center"/>
              <w:rPr>
                <w:rFonts w:ascii="Times New Roman" w:eastAsia="黑体" w:cs="Times New Roman" w:hAnsi="Times New Roman"/>
                <w:i w:val="0"/>
                <w:iCs w:val="0"/>
                <w:color w:val="000000"/>
                <w:kern w:val="0"/>
                <w:sz w:val="21"/>
                <w:szCs w:val="21"/>
                <w:u w:val="none"/>
                <w:lang w:val="en-US" w:eastAsia="zh-CN" w:bidi="ar-SA"/>
              </w:rPr>
            </w:pPr>
            <w:r>
              <w:rPr>
                <w:rFonts w:ascii="Times New Roman" w:eastAsia="黑体" w:cs="Times New Roman" w:hAnsi="Times New Roman"/>
                <w:i w:val="0"/>
                <w:iCs w:val="0"/>
                <w:color w:val="000000"/>
                <w:kern w:val="0"/>
                <w:sz w:val="21"/>
                <w:szCs w:val="21"/>
                <w:u w:val="none"/>
                <w:lang w:val="en-US" w:eastAsia="zh-CN" w:bidi="ar-SA"/>
              </w:rPr>
              <w:t>序号</w:t>
            </w:r>
          </w:p>
        </w:tc>
        <w:tc>
          <w:tcPr>
            <w:tcW w:w="1071"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suppressLineNumbers w:val="0"/>
              <w:kinsoku/>
              <w:wordWrap/>
              <w:overflowPunct/>
              <w:topLinePunct w:val="0"/>
              <w:autoSpaceDE/>
              <w:autoSpaceDN/>
              <w:adjustRightInd/>
              <w:snapToGrid/>
              <w:spacing w:line="300" w:lineRule="exact"/>
              <w:jc w:val="center"/>
              <w:textAlignment w:val="center"/>
              <w:rPr>
                <w:rFonts w:ascii="Times New Roman" w:eastAsia="黑体" w:cs="Times New Roman" w:hAnsi="Times New Roman"/>
                <w:i w:val="0"/>
                <w:iCs w:val="0"/>
                <w:color w:val="000000"/>
                <w:kern w:val="0"/>
                <w:sz w:val="21"/>
                <w:szCs w:val="21"/>
                <w:u w:val="none"/>
                <w:lang w:val="en-US" w:eastAsia="zh-CN" w:bidi="ar-SA"/>
              </w:rPr>
            </w:pPr>
            <w:r>
              <w:rPr>
                <w:rFonts w:ascii="Times New Roman" w:eastAsia="黑体" w:cs="Times New Roman" w:hAnsi="Times New Roman"/>
                <w:i w:val="0"/>
                <w:iCs w:val="0"/>
                <w:color w:val="000000"/>
                <w:kern w:val="0"/>
                <w:sz w:val="21"/>
                <w:szCs w:val="21"/>
                <w:u w:val="none"/>
                <w:lang w:val="en-US" w:eastAsia="zh-CN" w:bidi="ar-SA"/>
              </w:rPr>
              <w:t>事项类别</w:t>
            </w:r>
          </w:p>
        </w:tc>
        <w:tc>
          <w:tcPr>
            <w:tcW w:w="1692"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suppressLineNumbers w:val="0"/>
              <w:kinsoku/>
              <w:wordWrap/>
              <w:overflowPunct/>
              <w:topLinePunct w:val="0"/>
              <w:autoSpaceDE/>
              <w:autoSpaceDN/>
              <w:adjustRightInd/>
              <w:snapToGrid/>
              <w:spacing w:line="300" w:lineRule="exact"/>
              <w:jc w:val="center"/>
              <w:textAlignment w:val="center"/>
              <w:rPr>
                <w:rFonts w:ascii="Times New Roman" w:eastAsia="黑体" w:cs="Times New Roman" w:hAnsi="Times New Roman"/>
                <w:i w:val="0"/>
                <w:iCs w:val="0"/>
                <w:color w:val="000000"/>
                <w:kern w:val="0"/>
                <w:sz w:val="21"/>
                <w:szCs w:val="21"/>
                <w:u w:val="none"/>
                <w:lang w:val="en-US" w:eastAsia="zh-CN" w:bidi="ar-SA"/>
              </w:rPr>
            </w:pPr>
            <w:r>
              <w:rPr>
                <w:rFonts w:ascii="Times New Roman" w:eastAsia="黑体" w:cs="Times New Roman" w:hAnsi="Times New Roman"/>
                <w:i w:val="0"/>
                <w:iCs w:val="0"/>
                <w:color w:val="000000"/>
                <w:kern w:val="0"/>
                <w:sz w:val="21"/>
                <w:szCs w:val="21"/>
                <w:u w:val="none"/>
                <w:lang w:val="en-US" w:eastAsia="zh-CN" w:bidi="ar-SA"/>
              </w:rPr>
              <w:t>事项名称</w:t>
            </w:r>
          </w:p>
        </w:tc>
        <w:tc>
          <w:tcPr>
            <w:tcW w:w="1726"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suppressLineNumbers w:val="0"/>
              <w:kinsoku/>
              <w:wordWrap/>
              <w:overflowPunct/>
              <w:topLinePunct w:val="0"/>
              <w:autoSpaceDE/>
              <w:autoSpaceDN/>
              <w:adjustRightInd/>
              <w:snapToGrid/>
              <w:spacing w:line="300" w:lineRule="exact"/>
              <w:jc w:val="center"/>
              <w:textAlignment w:val="center"/>
              <w:rPr>
                <w:rFonts w:ascii="Times New Roman" w:eastAsia="黑体" w:cs="Times New Roman" w:hAnsi="Times New Roman"/>
                <w:i w:val="0"/>
                <w:iCs w:val="0"/>
                <w:color w:val="000000"/>
                <w:kern w:val="0"/>
                <w:sz w:val="21"/>
                <w:szCs w:val="21"/>
                <w:u w:val="none"/>
                <w:lang w:val="en-US" w:eastAsia="zh-CN" w:bidi="ar-SA"/>
              </w:rPr>
            </w:pPr>
            <w:r>
              <w:rPr>
                <w:rFonts w:ascii="Times New Roman" w:eastAsia="黑体" w:cs="Times New Roman" w:hAnsi="Times New Roman"/>
                <w:i w:val="0"/>
                <w:iCs w:val="0"/>
                <w:color w:val="000000"/>
                <w:kern w:val="0"/>
                <w:sz w:val="21"/>
                <w:szCs w:val="21"/>
                <w:u w:val="none"/>
                <w:lang w:val="en-US" w:eastAsia="zh-CN" w:bidi="ar-SA"/>
              </w:rPr>
              <w:t>公开内容</w:t>
            </w:r>
          </w:p>
        </w:tc>
        <w:tc>
          <w:tcPr>
            <w:tcW w:w="2569"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suppressLineNumbers w:val="0"/>
              <w:kinsoku/>
              <w:wordWrap/>
              <w:overflowPunct/>
              <w:topLinePunct w:val="0"/>
              <w:autoSpaceDE/>
              <w:autoSpaceDN/>
              <w:adjustRightInd/>
              <w:snapToGrid/>
              <w:spacing w:line="300" w:lineRule="exact"/>
              <w:jc w:val="center"/>
              <w:textAlignment w:val="center"/>
              <w:rPr>
                <w:rFonts w:ascii="Times New Roman" w:eastAsia="黑体" w:cs="Times New Roman" w:hAnsi="Times New Roman"/>
                <w:i w:val="0"/>
                <w:iCs w:val="0"/>
                <w:color w:val="000000"/>
                <w:kern w:val="0"/>
                <w:sz w:val="21"/>
                <w:szCs w:val="21"/>
                <w:u w:val="none"/>
                <w:lang w:val="en-US" w:eastAsia="zh-CN" w:bidi="ar-SA"/>
              </w:rPr>
            </w:pPr>
            <w:r>
              <w:rPr>
                <w:rFonts w:ascii="Times New Roman" w:eastAsia="黑体" w:cs="Times New Roman" w:hAnsi="Times New Roman"/>
                <w:i w:val="0"/>
                <w:iCs w:val="0"/>
                <w:color w:val="000000"/>
                <w:kern w:val="0"/>
                <w:sz w:val="21"/>
                <w:szCs w:val="21"/>
                <w:u w:val="none"/>
                <w:lang w:val="en-US" w:eastAsia="zh-CN" w:bidi="ar-SA"/>
              </w:rPr>
              <w:t>公开依据</w:t>
            </w:r>
          </w:p>
        </w:tc>
        <w:tc>
          <w:tcPr>
            <w:tcW w:w="738"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suppressLineNumbers w:val="0"/>
              <w:kinsoku/>
              <w:wordWrap/>
              <w:overflowPunct/>
              <w:topLinePunct w:val="0"/>
              <w:autoSpaceDE/>
              <w:autoSpaceDN/>
              <w:adjustRightInd/>
              <w:snapToGrid/>
              <w:spacing w:line="300" w:lineRule="exact"/>
              <w:jc w:val="center"/>
              <w:textAlignment w:val="center"/>
              <w:rPr>
                <w:rFonts w:ascii="Times New Roman" w:eastAsia="黑体" w:cs="Times New Roman" w:hAnsi="Times New Roman"/>
                <w:i w:val="0"/>
                <w:iCs w:val="0"/>
                <w:color w:val="000000"/>
                <w:kern w:val="0"/>
                <w:sz w:val="21"/>
                <w:szCs w:val="21"/>
                <w:u w:val="none"/>
                <w:lang w:val="en-US" w:eastAsia="zh-CN" w:bidi="ar-SA"/>
              </w:rPr>
            </w:pPr>
            <w:r>
              <w:rPr>
                <w:rFonts w:ascii="Times New Roman" w:eastAsia="黑体" w:cs="Times New Roman" w:hAnsi="Times New Roman"/>
                <w:i w:val="0"/>
                <w:iCs w:val="0"/>
                <w:color w:val="000000"/>
                <w:kern w:val="0"/>
                <w:sz w:val="21"/>
                <w:szCs w:val="21"/>
                <w:u w:val="none"/>
                <w:lang w:val="en-US" w:eastAsia="zh-CN" w:bidi="ar-SA"/>
              </w:rPr>
              <w:t>公开渠道</w:t>
            </w:r>
          </w:p>
        </w:tc>
        <w:tc>
          <w:tcPr>
            <w:tcW w:w="1501"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suppressLineNumbers w:val="0"/>
              <w:kinsoku/>
              <w:wordWrap/>
              <w:overflowPunct/>
              <w:topLinePunct w:val="0"/>
              <w:autoSpaceDE/>
              <w:autoSpaceDN/>
              <w:adjustRightInd/>
              <w:snapToGrid/>
              <w:spacing w:line="300" w:lineRule="exact"/>
              <w:jc w:val="center"/>
              <w:textAlignment w:val="center"/>
              <w:rPr>
                <w:rFonts w:ascii="Times New Roman" w:eastAsia="黑体" w:cs="Times New Roman" w:hAnsi="Times New Roman"/>
                <w:i w:val="0"/>
                <w:iCs w:val="0"/>
                <w:color w:val="000000"/>
                <w:kern w:val="0"/>
                <w:sz w:val="21"/>
                <w:szCs w:val="21"/>
                <w:u w:val="none"/>
                <w:lang w:val="en-US" w:eastAsia="zh-CN" w:bidi="ar-SA"/>
              </w:rPr>
            </w:pPr>
            <w:r>
              <w:rPr>
                <w:rFonts w:ascii="Times New Roman" w:eastAsia="黑体" w:cs="Times New Roman" w:hAnsi="Times New Roman"/>
                <w:i w:val="0"/>
                <w:iCs w:val="0"/>
                <w:color w:val="000000"/>
                <w:kern w:val="0"/>
                <w:sz w:val="21"/>
                <w:szCs w:val="21"/>
                <w:u w:val="none"/>
                <w:lang w:val="en-US" w:eastAsia="zh-CN" w:bidi="ar-SA"/>
              </w:rPr>
              <w:t>公开时限</w:t>
            </w:r>
          </w:p>
        </w:tc>
        <w:tc>
          <w:tcPr>
            <w:tcW w:w="1177"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suppressLineNumbers w:val="0"/>
              <w:kinsoku/>
              <w:wordWrap/>
              <w:overflowPunct/>
              <w:topLinePunct w:val="0"/>
              <w:autoSpaceDE/>
              <w:autoSpaceDN/>
              <w:adjustRightInd/>
              <w:snapToGrid/>
              <w:spacing w:line="300" w:lineRule="exact"/>
              <w:jc w:val="center"/>
              <w:textAlignment w:val="center"/>
              <w:rPr>
                <w:rFonts w:ascii="Times New Roman" w:eastAsia="黑体" w:cs="Times New Roman" w:hAnsi="Times New Roman"/>
                <w:i w:val="0"/>
                <w:iCs w:val="0"/>
                <w:color w:val="000000"/>
                <w:kern w:val="0"/>
                <w:sz w:val="21"/>
                <w:szCs w:val="21"/>
                <w:u w:val="none"/>
                <w:lang w:val="en-US" w:eastAsia="zh-CN" w:bidi="ar-SA"/>
              </w:rPr>
            </w:pPr>
            <w:r>
              <w:rPr>
                <w:rFonts w:ascii="Times New Roman" w:eastAsia="黑体" w:cs="Times New Roman" w:hAnsi="Times New Roman"/>
                <w:i w:val="0"/>
                <w:iCs w:val="0"/>
                <w:color w:val="000000"/>
                <w:kern w:val="0"/>
                <w:sz w:val="21"/>
                <w:szCs w:val="21"/>
                <w:u w:val="none"/>
                <w:lang w:val="en-US" w:eastAsia="zh-CN" w:bidi="ar-SA"/>
              </w:rPr>
              <w:t>公开责任</w:t>
            </w:r>
          </w:p>
        </w:tc>
        <w:tc>
          <w:tcPr>
            <w:tcW w:w="2613"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suppressLineNumbers w:val="0"/>
              <w:kinsoku/>
              <w:wordWrap/>
              <w:overflowPunct/>
              <w:topLinePunct w:val="0"/>
              <w:autoSpaceDE/>
              <w:autoSpaceDN/>
              <w:adjustRightInd/>
              <w:snapToGrid/>
              <w:spacing w:line="300" w:lineRule="exact"/>
              <w:jc w:val="center"/>
              <w:textAlignment w:val="center"/>
              <w:rPr>
                <w:rFonts w:ascii="Times New Roman" w:eastAsia="黑体" w:cs="Times New Roman" w:hAnsi="Times New Roman"/>
                <w:i w:val="0"/>
                <w:iCs w:val="0"/>
                <w:color w:val="000000"/>
                <w:kern w:val="0"/>
                <w:sz w:val="21"/>
                <w:szCs w:val="21"/>
                <w:u w:val="none"/>
                <w:lang w:val="en-US" w:eastAsia="zh-CN" w:bidi="ar-SA"/>
              </w:rPr>
            </w:pPr>
            <w:r>
              <w:rPr>
                <w:rFonts w:ascii="Times New Roman" w:eastAsia="黑体" w:cs="Times New Roman" w:hAnsi="Times New Roman"/>
                <w:i w:val="0"/>
                <w:iCs w:val="0"/>
                <w:color w:val="000000"/>
                <w:kern w:val="0"/>
                <w:sz w:val="21"/>
                <w:szCs w:val="21"/>
                <w:u w:val="none"/>
                <w:lang w:val="en-US" w:eastAsia="zh-CN" w:bidi="ar-SA"/>
              </w:rPr>
              <w:t>链接地址</w:t>
            </w:r>
          </w:p>
        </w:tc>
      </w:tr>
      <w:tr>
        <w:trPr>
          <w:cantSplit/>
          <w:trHeight w:val="1110"/>
        </w:trPr>
        <w:tc>
          <w:tcPr>
            <w:tcW w:w="778" w:type="dxa"/>
            <w:vMerge w:val="restart"/>
            <w:tcBorders>
              <w:top w:val="single" w:sz="4" w:space="0" w:color="auto"/>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kinsoku/>
              <w:wordWrap/>
              <w:overflowPunct w:val="0"/>
              <w:topLinePunct w:val="0"/>
              <w:autoSpaceDE/>
              <w:autoSpaceDN/>
              <w:adjustRightInd w:val="0"/>
              <w:snapToGrid w:val="0"/>
              <w:spacing w:line="300" w:lineRule="exact"/>
              <w:jc w:val="center"/>
              <w:textAlignment w:val="auto"/>
              <w:rPr>
                <w:rFonts w:ascii="Times New Roman" w:eastAsia="方正仿宋_GBK" w:cs="Times New Roman" w:hAnsi="Times New Roman"/>
                <w:snapToGrid w:val="0"/>
                <w:kern w:val="21"/>
                <w:sz w:val="20"/>
                <w:szCs w:val="20"/>
                <w:lang w:val="en-US" w:eastAsia="zh-CN"/>
              </w:rPr>
            </w:pPr>
            <w:r>
              <w:rPr>
                <w:rFonts w:ascii="Times New Roman" w:eastAsia="方正仿宋_GBK" w:cs="Times New Roman" w:hAnsi="Times New Roman"/>
                <w:snapToGrid w:val="0"/>
                <w:kern w:val="21"/>
                <w:sz w:val="20"/>
                <w:szCs w:val="20"/>
                <w:lang w:val="en-US" w:eastAsia="zh-CN"/>
              </w:rPr>
              <w:t>1</w:t>
            </w:r>
          </w:p>
        </w:tc>
        <w:tc>
          <w:tcPr>
            <w:tcW w:w="1071" w:type="dxa"/>
            <w:vMerge w:val="restart"/>
            <w:tcBorders>
              <w:top w:val="single" w:sz="4" w:space="0" w:color="auto"/>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jc w:val="lef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政策文件</w:t>
            </w:r>
          </w:p>
        </w:tc>
        <w:tc>
          <w:tcPr>
            <w:tcW w:w="1692" w:type="dxa"/>
            <w:tcBorders>
              <w:top w:val="single" w:sz="4" w:space="0" w:color="auto"/>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行政规范性文件</w:t>
            </w:r>
          </w:p>
        </w:tc>
        <w:tc>
          <w:tcPr>
            <w:tcW w:w="1726" w:type="dxa"/>
            <w:tcBorders>
              <w:top w:val="single" w:sz="4" w:space="0" w:color="auto"/>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行政规范性文件</w:t>
            </w:r>
          </w:p>
        </w:tc>
        <w:tc>
          <w:tcPr>
            <w:tcW w:w="2569" w:type="dxa"/>
            <w:tcBorders>
              <w:top w:val="single" w:sz="4" w:space="0" w:color="auto"/>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《中华人民共和国政府信息公开条例》（国务院令第711号）第二十条</w:t>
            </w:r>
          </w:p>
        </w:tc>
        <w:tc>
          <w:tcPr>
            <w:tcW w:w="738" w:type="dxa"/>
            <w:tcBorders>
              <w:top w:val="single" w:sz="4" w:space="0" w:color="auto"/>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政府网站</w:t>
            </w:r>
          </w:p>
        </w:tc>
        <w:tc>
          <w:tcPr>
            <w:tcW w:w="1501" w:type="dxa"/>
            <w:tcBorders>
              <w:top w:val="single" w:sz="4" w:space="0" w:color="auto"/>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自该政府信息形成或者变更之日起20个工作日内</w:t>
            </w:r>
          </w:p>
        </w:tc>
        <w:tc>
          <w:tcPr>
            <w:tcW w:w="1177" w:type="dxa"/>
            <w:tcBorders>
              <w:top w:val="single" w:sz="4" w:space="0" w:color="auto"/>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办公室</w:t>
            </w:r>
          </w:p>
        </w:tc>
        <w:tc>
          <w:tcPr>
            <w:tcW w:w="2613" w:type="dxa"/>
            <w:tcBorders>
              <w:top w:val="single" w:sz="4" w:space="0" w:color="auto"/>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国标仿宋" w:eastAsia="国标仿宋" w:cs="国标仿宋" w:hAnsi="Times New Roman" w:hint="eastAsia"/>
                <w:i w:val="0"/>
                <w:iCs w:val="0"/>
                <w:color w:val="000000"/>
                <w:sz w:val="20"/>
                <w:szCs w:val="20"/>
                <w:u w:val="none"/>
                <w:lang w:val="en-US" w:eastAsia="zh-CN"/>
              </w:rPr>
            </w:pPr>
            <w:r>
              <w:rPr>
                <w:rFonts w:ascii="国标仿宋" w:eastAsia="国标仿宋" w:cs="国标仿宋" w:hAnsi="Times New Roman"/>
                <w:i w:val="0"/>
                <w:iCs w:val="0"/>
                <w:color w:val="000000"/>
                <w:sz w:val="20"/>
                <w:szCs w:val="20"/>
                <w:u w:val="none"/>
                <w:lang w:val="en-US" w:eastAsia="zh-CN"/>
              </w:rPr>
              <w:t>http://www.zhongfang.gov.cn/zhongfang/c104891/bmxz_list.shtml</w:t>
            </w:r>
          </w:p>
        </w:tc>
      </w:tr>
      <w:tr>
        <w:trPr>
          <w:cantSplit/>
          <w:trHeight w:val="1131"/>
        </w:trPr>
        <w:tc>
          <w:tcPr>
            <w:tcW w:w="791"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88"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69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其他政策文件</w:t>
            </w:r>
          </w:p>
        </w:tc>
        <w:tc>
          <w:tcPr>
            <w:tcW w:w="172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除行政规范性文件以外的其他可以公开的文件</w:t>
            </w:r>
          </w:p>
        </w:tc>
        <w:tc>
          <w:tcPr>
            <w:tcW w:w="256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《中华人民共和国政府信息公开条例》（国务院令第711号）第二十条</w:t>
            </w:r>
          </w:p>
        </w:tc>
        <w:tc>
          <w:tcPr>
            <w:tcW w:w="73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政府网站</w:t>
            </w:r>
          </w:p>
        </w:tc>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自该政府信息形成或者变更之日起20个工作日内</w:t>
            </w:r>
          </w:p>
        </w:tc>
        <w:tc>
          <w:tcPr>
            <w:tcW w:w="11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办公室</w:t>
            </w:r>
          </w:p>
        </w:tc>
        <w:tc>
          <w:tcPr>
            <w:tcW w:w="261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国标仿宋" w:eastAsia="国标仿宋" w:cs="国标仿宋" w:hAnsi="Times New Roman"/>
                <w:i w:val="0"/>
                <w:iCs w:val="0"/>
                <w:color w:val="000000"/>
                <w:sz w:val="20"/>
                <w:szCs w:val="20"/>
                <w:u w:val="none"/>
                <w:lang w:val="en-US" w:eastAsia="zh-CN"/>
              </w:rPr>
              <w:t>http://www.zhongfang.gov.cn/zhongfang/c104891/bmxz_list.shtml</w:t>
            </w:r>
          </w:p>
        </w:tc>
      </w:tr>
      <w:tr>
        <w:trPr>
          <w:cantSplit/>
          <w:trHeight w:val="1296"/>
        </w:trPr>
        <w:tc>
          <w:tcPr>
            <w:tcW w:w="778"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kinsoku/>
              <w:wordWrap/>
              <w:overflowPunct w:val="0"/>
              <w:topLinePunct w:val="0"/>
              <w:autoSpaceDE/>
              <w:autoSpaceDN/>
              <w:adjustRightInd w:val="0"/>
              <w:snapToGrid w:val="0"/>
              <w:spacing w:line="300" w:lineRule="exact"/>
              <w:jc w:val="center"/>
              <w:textAlignment w:val="auto"/>
              <w:rPr>
                <w:rFonts w:ascii="Times New Roman" w:eastAsia="方正仿宋_GBK" w:cs="Times New Roman" w:hAnsi="Times New Roman"/>
                <w:snapToGrid w:val="0"/>
                <w:kern w:val="21"/>
                <w:sz w:val="20"/>
                <w:szCs w:val="20"/>
                <w:lang w:val="en-US" w:eastAsia="zh-CN"/>
              </w:rPr>
            </w:pPr>
            <w:r>
              <w:rPr>
                <w:rFonts w:ascii="Times New Roman" w:eastAsia="方正仿宋_GBK" w:cs="Times New Roman" w:hAnsi="Times New Roman"/>
                <w:snapToGrid w:val="0"/>
                <w:kern w:val="21"/>
                <w:sz w:val="20"/>
                <w:szCs w:val="20"/>
                <w:lang w:val="en-US" w:eastAsia="zh-CN"/>
              </w:rPr>
              <w:t>2</w:t>
            </w:r>
          </w:p>
        </w:tc>
        <w:tc>
          <w:tcPr>
            <w:tcW w:w="107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jc w:val="lef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机构概况</w:t>
            </w:r>
          </w:p>
        </w:tc>
        <w:tc>
          <w:tcPr>
            <w:tcW w:w="169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领导信息</w:t>
            </w:r>
          </w:p>
        </w:tc>
        <w:tc>
          <w:tcPr>
            <w:tcW w:w="172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单位负责人姓名、职务、主管或分管工作等</w:t>
            </w:r>
          </w:p>
        </w:tc>
        <w:tc>
          <w:tcPr>
            <w:tcW w:w="256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《中华人民共和国政府信息公开条例》（国务院令第711号）第二十条</w:t>
            </w:r>
          </w:p>
        </w:tc>
        <w:tc>
          <w:tcPr>
            <w:tcW w:w="73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政府网站</w:t>
            </w:r>
          </w:p>
        </w:tc>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自该政府信息形成或者变更之日起20个工作日内</w:t>
            </w:r>
          </w:p>
        </w:tc>
        <w:tc>
          <w:tcPr>
            <w:tcW w:w="11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办公室</w:t>
            </w:r>
          </w:p>
        </w:tc>
        <w:tc>
          <w:tcPr>
            <w:tcW w:w="261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国标仿宋" w:eastAsia="国标仿宋" w:cs="国标仿宋" w:hAnsi="Times New Roman" w:hint="eastAsia"/>
                <w:i w:val="0"/>
                <w:iCs w:val="0"/>
                <w:color w:val="000000"/>
                <w:sz w:val="20"/>
                <w:szCs w:val="20"/>
                <w:u w:val="none"/>
                <w:lang w:val="en-US" w:eastAsia="zh-CN"/>
              </w:rPr>
              <w:t>http://www.zhongfang.gov.cn/zhongfang/c104889/jgzn2020.shtml</w:t>
            </w:r>
          </w:p>
        </w:tc>
      </w:tr>
      <w:tr>
        <w:trPr>
          <w:cantSplit/>
          <w:trHeight w:val="1660"/>
        </w:trPr>
        <w:tc>
          <w:tcPr>
            <w:tcW w:w="791"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88"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69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机构信息</w:t>
            </w:r>
          </w:p>
        </w:tc>
        <w:tc>
          <w:tcPr>
            <w:tcW w:w="172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依据三定方案确定的机关职能，以及机构设置、办公地址、办公时间、联系方式等</w:t>
            </w:r>
          </w:p>
        </w:tc>
        <w:tc>
          <w:tcPr>
            <w:tcW w:w="256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《中华人民共和国政府信息公开条例》（国务院令第711号）第二十条</w:t>
            </w:r>
          </w:p>
        </w:tc>
        <w:tc>
          <w:tcPr>
            <w:tcW w:w="73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政府网站</w:t>
            </w:r>
          </w:p>
        </w:tc>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自该政府信息形成或者变更之日起20个工作日内</w:t>
            </w:r>
          </w:p>
        </w:tc>
        <w:tc>
          <w:tcPr>
            <w:tcW w:w="11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办公室</w:t>
            </w:r>
          </w:p>
        </w:tc>
        <w:tc>
          <w:tcPr>
            <w:tcW w:w="261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国标仿宋" w:eastAsia="国标仿宋" w:cs="国标仿宋" w:hAnsi="Times New Roman" w:hint="eastAsia"/>
                <w:i w:val="0"/>
                <w:iCs w:val="0"/>
                <w:color w:val="000000"/>
                <w:sz w:val="20"/>
                <w:szCs w:val="20"/>
                <w:u w:val="none"/>
                <w:lang w:val="en-US" w:eastAsia="zh-CN"/>
              </w:rPr>
              <w:t>http://www.zhongfang.gov.cn/zhongfang/c104889/jgzn2020.shtml</w:t>
            </w:r>
          </w:p>
        </w:tc>
      </w:tr>
      <w:tr>
        <w:trPr>
          <w:cantSplit/>
          <w:trHeight w:val="1325"/>
        </w:trPr>
        <w:tc>
          <w:tcPr>
            <w:tcW w:w="7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kinsoku/>
              <w:wordWrap/>
              <w:overflowPunct w:val="0"/>
              <w:topLinePunct w:val="0"/>
              <w:autoSpaceDE/>
              <w:autoSpaceDN/>
              <w:adjustRightInd w:val="0"/>
              <w:snapToGrid w:val="0"/>
              <w:spacing w:line="300" w:lineRule="exact"/>
              <w:jc w:val="center"/>
              <w:textAlignment w:val="auto"/>
              <w:rPr>
                <w:rFonts w:ascii="Times New Roman" w:eastAsia="方正仿宋_GBK" w:cs="Times New Roman" w:hAnsi="Times New Roman"/>
                <w:snapToGrid w:val="0"/>
                <w:kern w:val="21"/>
                <w:sz w:val="20"/>
                <w:szCs w:val="20"/>
                <w:lang w:val="en-US" w:eastAsia="zh-CN"/>
              </w:rPr>
            </w:pPr>
            <w:r>
              <w:rPr>
                <w:rFonts w:ascii="Times New Roman" w:eastAsia="方正仿宋_GBK" w:cs="Times New Roman" w:hAnsi="Times New Roman"/>
                <w:snapToGrid w:val="0"/>
                <w:kern w:val="21"/>
                <w:sz w:val="20"/>
                <w:szCs w:val="20"/>
                <w:lang w:val="en-US" w:eastAsia="zh-CN"/>
              </w:rPr>
              <w:t>3</w:t>
            </w:r>
          </w:p>
        </w:tc>
        <w:tc>
          <w:tcPr>
            <w:tcW w:w="107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jc w:val="lef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规划计划</w:t>
            </w:r>
          </w:p>
        </w:tc>
        <w:tc>
          <w:tcPr>
            <w:tcW w:w="169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教育领域发展规划</w:t>
            </w:r>
          </w:p>
        </w:tc>
        <w:tc>
          <w:tcPr>
            <w:tcW w:w="172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涉及教育业务职能的中长期规划、年度工作计划信息和规划执行情况</w:t>
            </w:r>
          </w:p>
        </w:tc>
        <w:tc>
          <w:tcPr>
            <w:tcW w:w="256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《中华人民共和国政府信息公开条例》（国务院令第711号）第二十条</w:t>
            </w:r>
          </w:p>
        </w:tc>
        <w:tc>
          <w:tcPr>
            <w:tcW w:w="73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政府网站</w:t>
            </w:r>
          </w:p>
        </w:tc>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自该政府信息形成或者变更之日起20个工作日内</w:t>
            </w:r>
          </w:p>
        </w:tc>
        <w:tc>
          <w:tcPr>
            <w:tcW w:w="11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办公室</w:t>
            </w:r>
          </w:p>
        </w:tc>
        <w:tc>
          <w:tcPr>
            <w:tcW w:w="261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http://www.zhongfang.gov.cn/zhongfang/c104894/bmxz_list.shtml</w:t>
            </w:r>
          </w:p>
        </w:tc>
      </w:tr>
      <w:tr>
        <w:trPr>
          <w:cantSplit/>
          <w:trHeight w:val="196"/>
        </w:trPr>
        <w:tc>
          <w:tcPr>
            <w:tcW w:w="7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kinsoku/>
              <w:wordWrap/>
              <w:overflowPunct w:val="0"/>
              <w:topLinePunct w:val="0"/>
              <w:autoSpaceDE/>
              <w:autoSpaceDN/>
              <w:adjustRightInd w:val="0"/>
              <w:snapToGrid w:val="0"/>
              <w:spacing w:line="300" w:lineRule="exact"/>
              <w:jc w:val="center"/>
              <w:textAlignment w:val="auto"/>
              <w:rPr>
                <w:rFonts w:ascii="Times New Roman" w:eastAsia="方正仿宋_GBK" w:cs="Times New Roman" w:hAnsi="Times New Roman"/>
                <w:snapToGrid w:val="0"/>
                <w:kern w:val="21"/>
                <w:sz w:val="20"/>
                <w:szCs w:val="20"/>
                <w:lang w:val="en-US" w:eastAsia="zh-CN"/>
              </w:rPr>
            </w:pPr>
            <w:r>
              <w:rPr>
                <w:rFonts w:ascii="Times New Roman" w:eastAsia="方正仿宋_GBK" w:cs="Times New Roman" w:hAnsi="Times New Roman"/>
                <w:snapToGrid w:val="0"/>
                <w:kern w:val="21"/>
                <w:sz w:val="20"/>
                <w:szCs w:val="20"/>
                <w:lang w:val="en-US" w:eastAsia="zh-CN"/>
              </w:rPr>
              <w:t>4</w:t>
            </w:r>
          </w:p>
        </w:tc>
        <w:tc>
          <w:tcPr>
            <w:tcW w:w="107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jc w:val="lef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财政信息</w:t>
            </w:r>
          </w:p>
        </w:tc>
        <w:tc>
          <w:tcPr>
            <w:tcW w:w="169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预算、决算、</w:t>
            </w:r>
            <w:r>
              <w:rPr>
                <w:rFonts w:ascii="Times New Roman" w:eastAsia="方正仿宋_GBK" w:cs="Times New Roman" w:hAnsi="Times New Roman" w:hint="eastAsia"/>
                <w:i w:val="0"/>
                <w:iCs w:val="0"/>
                <w:color w:val="000000"/>
                <w:sz w:val="20"/>
                <w:szCs w:val="20"/>
                <w:u w:val="none"/>
                <w:lang w:val="en-US" w:eastAsia="zh-CN"/>
              </w:rPr>
              <w:t>“三公”经费</w:t>
            </w:r>
          </w:p>
        </w:tc>
        <w:tc>
          <w:tcPr>
            <w:tcW w:w="172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部门预算、决算及执行情况、</w:t>
            </w:r>
            <w:r>
              <w:rPr>
                <w:rFonts w:ascii="Times New Roman" w:eastAsia="方正仿宋_GBK" w:cs="Times New Roman" w:hAnsi="Times New Roman" w:hint="eastAsia"/>
                <w:i w:val="0"/>
                <w:iCs w:val="0"/>
                <w:color w:val="000000"/>
                <w:sz w:val="20"/>
                <w:szCs w:val="20"/>
                <w:u w:val="none"/>
                <w:lang w:val="en-US" w:eastAsia="zh-CN"/>
              </w:rPr>
              <w:t>“三公”经费财政拨款预算总额和分项数额，对增减变化的原因说明</w:t>
            </w:r>
          </w:p>
        </w:tc>
        <w:tc>
          <w:tcPr>
            <w:tcW w:w="256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《中华人民共和国预算法》 第十四条；《中华人民共和国预算法实施条例》第六条；《中华人民共和国政府信息公开条例》（国务院令第711号）第二十条</w:t>
            </w:r>
          </w:p>
        </w:tc>
        <w:tc>
          <w:tcPr>
            <w:tcW w:w="73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政府网站</w:t>
            </w:r>
          </w:p>
        </w:tc>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rPr>
              <w:t>批准（批复）后20日内</w:t>
            </w:r>
          </w:p>
        </w:tc>
        <w:tc>
          <w:tcPr>
            <w:tcW w:w="11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计财股</w:t>
            </w:r>
          </w:p>
        </w:tc>
        <w:tc>
          <w:tcPr>
            <w:tcW w:w="261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http://www.zhongfang.gov.cn/zhongfang/c104895/bmxz_list.shtml</w:t>
            </w:r>
          </w:p>
        </w:tc>
      </w:tr>
      <w:tr>
        <w:trPr>
          <w:cantSplit/>
          <w:trHeight w:val="2165"/>
        </w:trPr>
        <w:tc>
          <w:tcPr>
            <w:tcW w:w="7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kinsoku/>
              <w:wordWrap/>
              <w:overflowPunct w:val="0"/>
              <w:topLinePunct w:val="0"/>
              <w:autoSpaceDE/>
              <w:autoSpaceDN/>
              <w:adjustRightInd w:val="0"/>
              <w:snapToGrid w:val="0"/>
              <w:spacing w:line="300" w:lineRule="exact"/>
              <w:jc w:val="center"/>
              <w:textAlignment w:val="auto"/>
              <w:rPr>
                <w:rFonts w:ascii="Times New Roman" w:eastAsia="方正仿宋_GBK" w:cs="Times New Roman" w:hAnsi="Times New Roman"/>
                <w:snapToGrid w:val="0"/>
                <w:kern w:val="21"/>
                <w:sz w:val="20"/>
                <w:szCs w:val="20"/>
                <w:lang w:val="en-US" w:eastAsia="zh-CN"/>
              </w:rPr>
            </w:pPr>
            <w:r>
              <w:rPr>
                <w:rFonts w:ascii="Times New Roman" w:eastAsia="方正仿宋_GBK" w:cs="Times New Roman" w:hAnsi="Times New Roman"/>
                <w:snapToGrid w:val="0"/>
                <w:kern w:val="21"/>
                <w:sz w:val="20"/>
                <w:szCs w:val="20"/>
                <w:lang w:val="en-US" w:eastAsia="zh-CN"/>
              </w:rPr>
              <w:t>5</w:t>
            </w:r>
          </w:p>
        </w:tc>
        <w:tc>
          <w:tcPr>
            <w:tcW w:w="107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jc w:val="lef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校园安全</w:t>
            </w:r>
          </w:p>
        </w:tc>
        <w:tc>
          <w:tcPr>
            <w:tcW w:w="169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突发公共事件的应急预案、预警信息及应对情况</w:t>
            </w:r>
          </w:p>
        </w:tc>
        <w:tc>
          <w:tcPr>
            <w:tcW w:w="172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教育领域突发公共事件应急预案，发布的预警信息和事件应对情况</w:t>
            </w:r>
          </w:p>
        </w:tc>
        <w:tc>
          <w:tcPr>
            <w:tcW w:w="256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《中华人民共和国政府信息公开条例》（国务院令第711号）第二十条；《国务院办公厅关于印发&lt;突发事件应急预案管理办法&gt;的通知》（国办发〔2024〕5号）第二十八条</w:t>
            </w:r>
          </w:p>
        </w:tc>
        <w:tc>
          <w:tcPr>
            <w:tcW w:w="73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政府网站</w:t>
            </w:r>
          </w:p>
        </w:tc>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自该政府信息形成或者变更之日起20个工作日内</w:t>
            </w:r>
          </w:p>
        </w:tc>
        <w:tc>
          <w:tcPr>
            <w:tcW w:w="11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安全股</w:t>
            </w:r>
          </w:p>
        </w:tc>
        <w:tc>
          <w:tcPr>
            <w:tcW w:w="261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http://www.zhongfang.gov.cn/zhongfang/c128065/bmxz_list.shtml</w:t>
            </w:r>
          </w:p>
        </w:tc>
      </w:tr>
      <w:tr>
        <w:trPr>
          <w:trHeight w:val="1714"/>
        </w:trPr>
        <w:tc>
          <w:tcPr>
            <w:tcW w:w="7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kinsoku/>
              <w:wordWrap/>
              <w:overflowPunct w:val="0"/>
              <w:topLinePunct w:val="0"/>
              <w:autoSpaceDE/>
              <w:autoSpaceDN/>
              <w:adjustRightInd w:val="0"/>
              <w:snapToGrid w:val="0"/>
              <w:spacing w:line="300" w:lineRule="exact"/>
              <w:jc w:val="center"/>
              <w:textAlignment w:val="auto"/>
              <w:rPr>
                <w:rFonts w:ascii="Times New Roman" w:eastAsia="方正仿宋_GBK" w:cs="Times New Roman" w:hAnsi="Times New Roman"/>
                <w:snapToGrid w:val="0"/>
                <w:kern w:val="21"/>
                <w:sz w:val="20"/>
                <w:szCs w:val="20"/>
                <w:lang w:val="en-US" w:eastAsia="zh-CN"/>
              </w:rPr>
            </w:pPr>
            <w:r>
              <w:rPr>
                <w:rFonts w:ascii="Times New Roman" w:eastAsia="方正仿宋_GBK" w:cs="Times New Roman" w:hAnsi="Times New Roman"/>
                <w:snapToGrid w:val="0"/>
                <w:kern w:val="21"/>
                <w:sz w:val="20"/>
                <w:szCs w:val="20"/>
                <w:lang w:val="en-US" w:eastAsia="zh-CN"/>
              </w:rPr>
              <w:t>6</w:t>
            </w:r>
          </w:p>
        </w:tc>
        <w:tc>
          <w:tcPr>
            <w:tcW w:w="107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jc w:val="left"/>
              <w:rPr>
                <w:rFonts w:ascii="Times New Roman" w:eastAsia="方正仿宋_GBK" w:cs="Times New Roman" w:hAnsi="Times New Roman"/>
                <w:i w:val="0"/>
                <w:iCs w:val="0"/>
                <w:sz w:val="20"/>
                <w:szCs w:val="20"/>
                <w:u w:val="none"/>
                <w:lang w:val="en-US" w:eastAsia="zh-CN"/>
              </w:rPr>
            </w:pPr>
            <w:r>
              <w:rPr>
                <w:rFonts w:ascii="Times New Roman" w:eastAsia="方正仿宋_GBK" w:cs="Times New Roman" w:hAnsi="Times New Roman"/>
                <w:i w:val="0"/>
                <w:iCs w:val="0"/>
                <w:sz w:val="20"/>
                <w:szCs w:val="20"/>
                <w:u w:val="none"/>
                <w:lang w:val="en-US" w:eastAsia="zh-CN"/>
              </w:rPr>
              <w:t xml:space="preserve">招生管理 </w:t>
            </w:r>
          </w:p>
        </w:tc>
        <w:tc>
          <w:tcPr>
            <w:tcW w:w="169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招生政策、招录情况</w:t>
            </w:r>
          </w:p>
        </w:tc>
        <w:tc>
          <w:tcPr>
            <w:tcW w:w="172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26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招生相关政策、发展规划，义务教育阶段招生入学相关信息</w:t>
            </w:r>
          </w:p>
        </w:tc>
        <w:tc>
          <w:tcPr>
            <w:tcW w:w="256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国务院办公厅关于推进社会公益事业建设领域政府信息公开的意见》（国办发〔2018〕10号）（国办发〔2018〕10号）第三部分第（三）条；《教育部办公厅关于开展义务教育阳光招生专项行动（2025）的通知》（教基厅函〔2025〕5号）</w:t>
            </w:r>
          </w:p>
        </w:tc>
        <w:tc>
          <w:tcPr>
            <w:tcW w:w="73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政府网站</w:t>
            </w:r>
          </w:p>
        </w:tc>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自该政府信息形成或者变更之日起20个工作日内</w:t>
            </w:r>
          </w:p>
        </w:tc>
        <w:tc>
          <w:tcPr>
            <w:tcW w:w="11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基教股</w:t>
            </w:r>
          </w:p>
        </w:tc>
        <w:tc>
          <w:tcPr>
            <w:tcW w:w="261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sz w:val="20"/>
                <w:szCs w:val="20"/>
                <w:u w:val="none"/>
                <w:lang w:val="en-US" w:eastAsia="zh-CN"/>
              </w:rPr>
            </w:pPr>
            <w:r>
              <w:rPr>
                <w:rFonts w:ascii="Times New Roman" w:eastAsia="方正仿宋_GBK" w:cs="Times New Roman" w:hAnsi="Times New Roman"/>
                <w:i w:val="0"/>
                <w:iCs w:val="0"/>
                <w:sz w:val="20"/>
                <w:szCs w:val="20"/>
                <w:u w:val="none"/>
                <w:lang w:val="en-US" w:eastAsia="zh-CN"/>
              </w:rPr>
              <w:t>http://www.zhongfang.gov.cn/zhongfang/c128062/bmxz_list.shtml</w:t>
            </w:r>
          </w:p>
        </w:tc>
      </w:tr>
      <w:tr>
        <w:trPr>
          <w:trHeight w:val="1714"/>
        </w:trPr>
        <w:tc>
          <w:tcPr>
            <w:tcW w:w="7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kinsoku/>
              <w:wordWrap/>
              <w:overflowPunct w:val="0"/>
              <w:topLinePunct w:val="0"/>
              <w:autoSpaceDE/>
              <w:autoSpaceDN/>
              <w:adjustRightInd w:val="0"/>
              <w:snapToGrid w:val="0"/>
              <w:spacing w:line="300" w:lineRule="exact"/>
              <w:jc w:val="center"/>
              <w:textAlignment w:val="auto"/>
              <w:rPr>
                <w:rFonts w:ascii="Times New Roman" w:eastAsia="方正仿宋_GBK" w:cs="Times New Roman" w:hAnsi="Times New Roman"/>
                <w:snapToGrid w:val="0"/>
                <w:kern w:val="21"/>
                <w:sz w:val="20"/>
                <w:szCs w:val="20"/>
                <w:lang w:val="en-US" w:eastAsia="zh-CN"/>
              </w:rPr>
            </w:pPr>
            <w:r>
              <w:rPr>
                <w:rFonts w:ascii="Times New Roman" w:eastAsia="方正仿宋_GBK" w:cs="Times New Roman" w:hAnsi="Times New Roman"/>
                <w:snapToGrid w:val="0"/>
                <w:kern w:val="21"/>
                <w:sz w:val="20"/>
                <w:szCs w:val="20"/>
                <w:lang w:val="en-US" w:eastAsia="zh-CN"/>
              </w:rPr>
              <w:t>7</w:t>
            </w:r>
          </w:p>
        </w:tc>
        <w:tc>
          <w:tcPr>
            <w:tcW w:w="107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jc w:val="left"/>
              <w:rPr>
                <w:rFonts w:ascii="Times New Roman" w:eastAsia="方正仿宋_GBK" w:cs="Times New Roman" w:hAnsi="Times New Roman"/>
                <w:i w:val="0"/>
                <w:iCs w:val="0"/>
                <w:sz w:val="20"/>
                <w:szCs w:val="20"/>
                <w:u w:val="none"/>
                <w:lang w:val="en-US" w:eastAsia="zh-CN"/>
              </w:rPr>
            </w:pPr>
            <w:r>
              <w:rPr>
                <w:rFonts w:ascii="Times New Roman" w:eastAsia="方正仿宋_GBK" w:cs="Times New Roman" w:hAnsi="Times New Roman"/>
                <w:i w:val="0"/>
                <w:iCs w:val="0"/>
                <w:sz w:val="20"/>
                <w:szCs w:val="20"/>
                <w:u w:val="none"/>
                <w:lang w:val="en-US" w:eastAsia="zh-CN"/>
              </w:rPr>
              <w:t>教师管理</w:t>
            </w:r>
          </w:p>
        </w:tc>
        <w:tc>
          <w:tcPr>
            <w:tcW w:w="1692" w:type="dxa"/>
            <w:tcBorders>
              <w:top w:val="single" w:sz="4" w:space="0" w:color="000000"/>
              <w:left w:val="single" w:sz="4" w:space="0" w:color="000000"/>
              <w:bottom w:val="single" w:sz="4" w:space="0" w:color="000000"/>
              <w:right w:val="single" w:sz="4" w:space="0" w:color="000000"/>
              <w:tl2br w:val="nil"/>
              <w:tr2bl w:val="nil"/>
            </w:tcBorders>
            <w:vAlign w:val="center"/>
          </w:tcPr>
          <w:p>
            <w:pPr>
              <w:jc w:val="center"/>
              <w:rPr>
                <w:rFonts w:ascii="方正仿宋_GBK" w:eastAsia="方正仿宋_GBK" w:cs="方正仿宋_GBK" w:hint="eastAsia"/>
                <w:sz w:val="20"/>
                <w:szCs w:val="20"/>
              </w:rPr>
            </w:pPr>
            <w:r>
              <w:rPr>
                <w:rFonts w:ascii="方正仿宋_GBK" w:eastAsia="方正仿宋_GBK" w:cs="方正仿宋_GBK" w:hint="eastAsia"/>
                <w:sz w:val="20"/>
                <w:szCs w:val="20"/>
              </w:rPr>
              <w:t>人员聘用</w:t>
            </w:r>
            <w:r>
              <w:rPr>
                <w:rFonts w:ascii="方正仿宋_GBK" w:eastAsia="方正仿宋_GBK" w:cs="方正仿宋_GBK"/>
                <w:sz w:val="20"/>
                <w:szCs w:val="20"/>
              </w:rPr>
              <w:t>、岗们异动</w:t>
            </w:r>
            <w:bookmarkStart w:id="0" w:name="_GoBack"/>
            <w:bookmarkEnd w:id="0"/>
          </w:p>
        </w:tc>
        <w:tc>
          <w:tcPr>
            <w:tcW w:w="1726"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方正仿宋_GBK" w:eastAsia="方正仿宋_GBK" w:cs="方正仿宋_GBK" w:hint="eastAsia"/>
                <w:sz w:val="20"/>
                <w:szCs w:val="20"/>
              </w:rPr>
            </w:pPr>
            <w:r>
              <w:rPr>
                <w:rFonts w:ascii="方正仿宋_GBK" w:eastAsia="方正仿宋_GBK" w:cs="方正仿宋_GBK" w:hint="eastAsia"/>
                <w:sz w:val="20"/>
                <w:szCs w:val="20"/>
              </w:rPr>
              <w:t>管理人员、专业技术人员和工</w:t>
            </w:r>
          </w:p>
          <w:p>
            <w:r>
              <w:rPr>
                <w:rFonts w:ascii="方正仿宋_GBK" w:eastAsia="方正仿宋_GBK" w:cs="方正仿宋_GBK" w:hint="eastAsia"/>
                <w:sz w:val="20"/>
                <w:szCs w:val="20"/>
              </w:rPr>
              <w:t>勤技能人员聘用情况</w:t>
            </w:r>
          </w:p>
        </w:tc>
        <w:tc>
          <w:tcPr>
            <w:tcW w:w="2569"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方正仿宋_GBK" w:eastAsia="方正仿宋_GBK" w:cs="方正仿宋_GBK" w:hint="eastAsia"/>
                <w:sz w:val="20"/>
                <w:szCs w:val="20"/>
              </w:rPr>
            </w:pPr>
            <w:r>
              <w:rPr>
                <w:rFonts w:ascii="方正仿宋_GBK" w:eastAsia="方正仿宋_GBK" w:cs="方正仿宋_GBK" w:hint="eastAsia"/>
                <w:sz w:val="20"/>
                <w:szCs w:val="20"/>
              </w:rPr>
              <w:t>《中共湖南省委组织部 湖南省人力资源和社会保障厅关于印发&lt;湖南省事业单位公开招聘人员办法&gt; 的通知》（湘人社规〔2025〕1号）第二条：事业单位(除参照公务员法管理的事业单位外)新聘用管理人员、专业技术人员和工勤技能人员,除国家政策性安置、按干部人事管理权限由上级任命及涉密岗位等确需使用其他方法选拔任用外,都须面向社会实行公开招聘。第十二条：招聘公告统一在事业单位人事综合管理部门门户网站面向社会公开发布,也可以同时在招聘单位及主管部门网站显著位置发布。</w:t>
            </w:r>
          </w:p>
        </w:tc>
        <w:tc>
          <w:tcPr>
            <w:tcW w:w="73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sz w:val="20"/>
                <w:szCs w:val="20"/>
                <w:u w:val="none"/>
                <w:lang w:val="en-US" w:eastAsia="zh-CN"/>
              </w:rPr>
            </w:pPr>
            <w:r>
              <w:rPr>
                <w:rFonts w:ascii="Times New Roman" w:eastAsia="方正仿宋_GBK" w:cs="Times New Roman" w:hAnsi="Times New Roman"/>
                <w:i w:val="0"/>
                <w:iCs w:val="0"/>
                <w:sz w:val="20"/>
                <w:szCs w:val="20"/>
                <w:u w:val="none"/>
                <w:lang w:val="en-US" w:eastAsia="zh-CN"/>
              </w:rPr>
              <w:t>政府网站</w:t>
            </w:r>
          </w:p>
        </w:tc>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sz w:val="20"/>
                <w:szCs w:val="20"/>
                <w:u w:val="none"/>
                <w:lang w:val="en-US" w:eastAsia="zh-CN"/>
              </w:rPr>
            </w:pPr>
            <w:r>
              <w:rPr>
                <w:rFonts w:ascii="Times New Roman" w:eastAsia="方正仿宋_GBK" w:cs="Times New Roman" w:hAnsi="Times New Roman"/>
                <w:i w:val="0"/>
                <w:iCs w:val="0"/>
                <w:sz w:val="20"/>
                <w:szCs w:val="20"/>
                <w:u w:val="none"/>
                <w:lang w:val="en-US" w:eastAsia="zh-CN"/>
              </w:rPr>
              <w:t>自该政府信息形成或者变更之日起20个工作日内</w:t>
            </w:r>
          </w:p>
        </w:tc>
        <w:tc>
          <w:tcPr>
            <w:tcW w:w="11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sz w:val="20"/>
                <w:szCs w:val="20"/>
                <w:u w:val="none"/>
                <w:lang w:val="en-US" w:eastAsia="zh-CN"/>
              </w:rPr>
            </w:pPr>
            <w:r>
              <w:rPr>
                <w:rFonts w:ascii="Times New Roman" w:eastAsia="方正仿宋_GBK" w:cs="Times New Roman" w:hAnsi="Times New Roman"/>
                <w:i w:val="0"/>
                <w:iCs w:val="0"/>
                <w:sz w:val="20"/>
                <w:szCs w:val="20"/>
                <w:u w:val="none"/>
                <w:lang w:val="en-US" w:eastAsia="zh-CN"/>
              </w:rPr>
              <w:t>人事股</w:t>
            </w:r>
          </w:p>
        </w:tc>
        <w:tc>
          <w:tcPr>
            <w:tcW w:w="261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sz w:val="20"/>
                <w:szCs w:val="20"/>
                <w:u w:val="none"/>
                <w:lang w:val="en-US" w:eastAsia="zh-CN"/>
              </w:rPr>
            </w:pPr>
            <w:r>
              <w:rPr>
                <w:rFonts w:ascii="Times New Roman" w:eastAsia="方正仿宋_GBK" w:cs="Times New Roman" w:hAnsi="Times New Roman"/>
                <w:i w:val="0"/>
                <w:iCs w:val="0"/>
                <w:sz w:val="20"/>
                <w:szCs w:val="20"/>
                <w:u w:val="none"/>
                <w:lang w:val="en-US" w:eastAsia="zh-CN"/>
              </w:rPr>
              <w:t>http://www.zhongfang.gov.cn/zhongfang/c128063/bmxz_list.shtml</w:t>
            </w:r>
          </w:p>
        </w:tc>
      </w:tr>
      <w:tr>
        <w:trPr>
          <w:cantSplit/>
          <w:trHeight w:val="850"/>
        </w:trPr>
        <w:tc>
          <w:tcPr>
            <w:tcW w:w="778"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kinsoku/>
              <w:wordWrap/>
              <w:overflowPunct w:val="0"/>
              <w:topLinePunct w:val="0"/>
              <w:autoSpaceDE/>
              <w:autoSpaceDN/>
              <w:adjustRightInd w:val="0"/>
              <w:snapToGrid w:val="0"/>
              <w:spacing w:line="300" w:lineRule="exact"/>
              <w:jc w:val="center"/>
              <w:textAlignment w:val="auto"/>
              <w:rPr>
                <w:rFonts w:ascii="Times New Roman" w:eastAsia="方正仿宋_GBK" w:cs="Times New Roman" w:hAnsi="Times New Roman"/>
                <w:snapToGrid w:val="0"/>
                <w:kern w:val="21"/>
                <w:sz w:val="20"/>
                <w:szCs w:val="20"/>
                <w:lang w:val="en-US" w:eastAsia="zh-CN"/>
              </w:rPr>
            </w:pPr>
            <w:r>
              <w:rPr>
                <w:rFonts w:ascii="Times New Roman" w:eastAsia="方正仿宋_GBK" w:cs="Times New Roman" w:hAnsi="Times New Roman"/>
                <w:snapToGrid w:val="0"/>
                <w:kern w:val="21"/>
                <w:sz w:val="20"/>
                <w:szCs w:val="20"/>
                <w:lang w:val="en-US" w:eastAsia="zh-CN"/>
              </w:rPr>
              <w:t>8</w:t>
            </w:r>
          </w:p>
        </w:tc>
        <w:tc>
          <w:tcPr>
            <w:tcW w:w="1071" w:type="dxa"/>
            <w:vMerge w:val="restart"/>
            <w:tcBorders>
              <w:top w:val="single" w:sz="4" w:space="0" w:color="000000"/>
              <w:left w:val="nil"/>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jc w:val="lef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政府信息公开</w:t>
            </w:r>
          </w:p>
        </w:tc>
        <w:tc>
          <w:tcPr>
            <w:tcW w:w="169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28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政府信息公开指南</w:t>
            </w:r>
          </w:p>
        </w:tc>
        <w:tc>
          <w:tcPr>
            <w:tcW w:w="172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28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政府信息主动公开、依申请公开有关情况，不予公开的内容，政府信息公开工作机构的名称、办公地址、办公时间、联系电话、传真号码、互联网联系方式等</w:t>
            </w:r>
          </w:p>
        </w:tc>
        <w:tc>
          <w:tcPr>
            <w:tcW w:w="256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28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《中华人民共和国政府信息公开条例》（国务院令第711号）第十二条</w:t>
            </w:r>
          </w:p>
        </w:tc>
        <w:tc>
          <w:tcPr>
            <w:tcW w:w="73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28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政府网站</w:t>
            </w:r>
          </w:p>
        </w:tc>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28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自该政府信息形成或者变更之日起20个工作日内</w:t>
            </w:r>
          </w:p>
        </w:tc>
        <w:tc>
          <w:tcPr>
            <w:tcW w:w="11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28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办公室</w:t>
            </w:r>
          </w:p>
        </w:tc>
        <w:tc>
          <w:tcPr>
            <w:tcW w:w="261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28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http://www.zhongfang.gov.cn/zhongfang/c104896/bmxz_list.shtml</w:t>
            </w:r>
          </w:p>
        </w:tc>
      </w:tr>
      <w:tr>
        <w:trPr>
          <w:cantSplit/>
          <w:trHeight w:val="744"/>
        </w:trPr>
        <w:tc>
          <w:tcPr>
            <w:tcW w:w="791"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88" w:type="dxa"/>
            <w:vMerge/>
            <w:tcBorders>
              <w:top w:val="single" w:sz="4" w:space="0" w:color="000000"/>
              <w:left w:val="nil"/>
              <w:bottom w:val="single" w:sz="4" w:space="0" w:color="000000"/>
              <w:right w:val="single" w:sz="4" w:space="0" w:color="000000"/>
              <w:tl2br w:val="nil"/>
              <w:tr2bl w:val="nil"/>
            </w:tcBorders>
            <w:vAlign w:val="center"/>
          </w:tcPr>
          <w:p/>
        </w:tc>
        <w:tc>
          <w:tcPr>
            <w:tcW w:w="169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政府信息公开目录</w:t>
            </w:r>
          </w:p>
        </w:tc>
        <w:tc>
          <w:tcPr>
            <w:tcW w:w="172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政府信息主动公开事项目录</w:t>
            </w:r>
          </w:p>
        </w:tc>
        <w:tc>
          <w:tcPr>
            <w:tcW w:w="256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《中华人民共和国政府信息公开条例》（国务院令第711号）第十二条</w:t>
            </w:r>
          </w:p>
        </w:tc>
        <w:tc>
          <w:tcPr>
            <w:tcW w:w="73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政府网站</w:t>
            </w:r>
          </w:p>
        </w:tc>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自该政府信息形成或者变更之日起20个工作日内</w:t>
            </w:r>
          </w:p>
        </w:tc>
        <w:tc>
          <w:tcPr>
            <w:tcW w:w="11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办公室</w:t>
            </w:r>
          </w:p>
        </w:tc>
        <w:tc>
          <w:tcPr>
            <w:tcW w:w="261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http://www.zhongfang.gov.cn/zhongfang/c104896/bmxz_list.shtml</w:t>
            </w:r>
          </w:p>
        </w:tc>
      </w:tr>
      <w:tr>
        <w:trPr>
          <w:cantSplit/>
          <w:trHeight w:val="744"/>
        </w:trPr>
        <w:tc>
          <w:tcPr>
            <w:tcW w:w="791"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88" w:type="dxa"/>
            <w:vMerge/>
            <w:tcBorders>
              <w:top w:val="single" w:sz="4" w:space="0" w:color="000000"/>
              <w:left w:val="nil"/>
              <w:bottom w:val="single" w:sz="4" w:space="0" w:color="000000"/>
              <w:right w:val="single" w:sz="4" w:space="0" w:color="000000"/>
              <w:tl2br w:val="nil"/>
              <w:tr2bl w:val="nil"/>
            </w:tcBorders>
            <w:vAlign w:val="center"/>
          </w:tcPr>
          <w:p/>
        </w:tc>
        <w:tc>
          <w:tcPr>
            <w:tcW w:w="169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政府信息公开工作年度报告</w:t>
            </w:r>
          </w:p>
        </w:tc>
        <w:tc>
          <w:tcPr>
            <w:tcW w:w="172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政府信息公开工作年度报告</w:t>
            </w:r>
          </w:p>
        </w:tc>
        <w:tc>
          <w:tcPr>
            <w:tcW w:w="256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《中华人民共和国政府信息公开条例》（国务院令第711号）第四十九条</w:t>
            </w:r>
          </w:p>
        </w:tc>
        <w:tc>
          <w:tcPr>
            <w:tcW w:w="73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政府网站</w:t>
            </w:r>
          </w:p>
        </w:tc>
        <w:tc>
          <w:tcPr>
            <w:tcW w:w="150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每年1月31日前向社会公布</w:t>
            </w:r>
          </w:p>
        </w:tc>
        <w:tc>
          <w:tcPr>
            <w:tcW w:w="11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办公室</w:t>
            </w:r>
          </w:p>
        </w:tc>
        <w:tc>
          <w:tcPr>
            <w:tcW w:w="261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adjustRightInd/>
              <w:snapToGrid/>
              <w:spacing w:line="300" w:lineRule="exact"/>
              <w:rPr>
                <w:rFonts w:ascii="Times New Roman" w:eastAsia="方正仿宋_GBK" w:cs="Times New Roman" w:hAnsi="Times New Roman"/>
                <w:i w:val="0"/>
                <w:iCs w:val="0"/>
                <w:color w:val="000000"/>
                <w:sz w:val="20"/>
                <w:szCs w:val="20"/>
                <w:u w:val="none"/>
                <w:lang w:val="en-US" w:eastAsia="zh-CN"/>
              </w:rPr>
            </w:pPr>
            <w:r>
              <w:rPr>
                <w:rFonts w:ascii="Times New Roman" w:eastAsia="方正仿宋_GBK" w:cs="Times New Roman" w:hAnsi="Times New Roman"/>
                <w:i w:val="0"/>
                <w:iCs w:val="0"/>
                <w:color w:val="000000"/>
                <w:sz w:val="20"/>
                <w:szCs w:val="20"/>
                <w:u w:val="none"/>
                <w:lang w:val="en-US" w:eastAsia="zh-CN"/>
              </w:rPr>
              <w:t>http://www.zhongfang.gov.cn/zhongfang/c104897/bmxz_list.shtml</w:t>
            </w:r>
          </w:p>
        </w:tc>
      </w:tr>
    </w:tbl>
    <w:p>
      <w:pPr>
        <w:jc w:val="center"/>
        <w:rPr>
          <w:rFonts w:ascii="Times New Roman" w:eastAsia="方正小标宋_GBK" w:cs="Times New Roman" w:hAnsi="Times New Roman"/>
          <w:i w:val="0"/>
          <w:iCs w:val="0"/>
          <w:color w:val="000000"/>
          <w:kern w:val="0"/>
          <w:sz w:val="36"/>
          <w:szCs w:val="36"/>
          <w:u w:val="none"/>
          <w:lang w:val="en-US" w:eastAsia="zh-CN" w:bidi="ar-SA"/>
        </w:rPr>
        <w:sectPr>
          <w:pgSz w:w="16838" w:h="11906" w:orient="landscape"/>
          <w:pgMar w:top="1800" w:right="1440" w:bottom="1800" w:left="1440" w:header="851" w:footer="992" w:gutter="0"/>
          <w:pgNumType w:chapStyle="1"/>
          <w:docGrid w:type="lines" w:linePitch="312" w:charSpace="0"/>
        </w:sectPr>
      </w:pPr>
    </w:p>
    <w:p>
      <w:pPr>
        <w:rPr>
          <w:rFonts w:hint="eastAsia"/>
        </w:rPr>
      </w:pPr>
    </w:p>
    <w:sectPr>
      <w:pgSz w:w="16839" w:h="11907" w:orient="landscape"/>
      <w:pgMar w:top="1800" w:right="1440" w:bottom="1800" w:left="1440" w:header="851" w:footer="992" w:gutter="0"/>
      <w:cols w:num="1" w:space="720"/>
      <w:docGrid w:type="lines" w:linePitch="312" w:charSpace="-5733"/>
    </w:sectPr>
  </w:body>
</w:document>
</file>

<file path=word/fontTable.xml><?xml version="1.0" encoding="utf-8"?>
<w:fonts xmlns:w="http://schemas.openxmlformats.org/wordprocessingml/2006/main" xmlns:r="http://schemas.openxmlformats.org/officeDocument/2006/relationships">
  <w:font w:name="国标仿宋">
    <w:panose1 w:val="02000500000000000000"/>
    <w:charset w:val="86"/>
    <w:family w:val="script"/>
    <w:pitch w:val="variable"/>
    <w:sig w:usb0="A00002BF" w:usb1="38C77CFA" w:usb2="00000016" w:usb3="00000000" w:csb0="00040000" w:csb1="00000000"/>
  </w:font>
  <w:font w:name="Times New Roman">
    <w:altName w:val="DejaVu Sans"/>
    <w:panose1 w:val="02020603050405020304"/>
    <w:charset w:val="00"/>
    <w:family w:val="roman"/>
    <w:pitch w:val="variable"/>
    <w:sig w:usb0="20007A87" w:usb1="80000000" w:usb2="00000008" w:usb3="00000000" w:csb0="000001FF" w:csb1="00000000"/>
  </w:font>
  <w:font w:name="黑体">
    <w:altName w:val="方正黑体_GBK"/>
    <w:panose1 w:val="02010609060101010101"/>
    <w:charset w:val="86"/>
    <w:family w:val="auto"/>
    <w:pitch w:val="variable"/>
    <w:sig w:usb0="800002BF" w:usb1="38CF7CFA" w:usb2="00000016" w:usb3="00000000" w:csb0="00040001" w:csb1="00000000"/>
  </w:font>
  <w:font w:name="方正仿宋_GBK">
    <w:altName w:val="微软雅黑"/>
    <w:panose1 w:val="02000000000000000000"/>
    <w:charset w:val="86"/>
    <w:family w:val="auto"/>
    <w:pitch w:val="variable"/>
    <w:sig w:usb0="00000001" w:usb1="08000000" w:usb2="00000000" w:usb3="00000000" w:csb0="00040000" w:csb1="00000000"/>
  </w:font>
  <w:font w:name="方正小标宋_GBK">
    <w:altName w:val="微软雅黑"/>
    <w:panose1 w:val="02000000000000000000"/>
    <w:charset w:val="86"/>
    <w:family w:val="auto"/>
    <w:pitch w:val="variable"/>
    <w:sig w:usb0="00000001" w:usb1="08000000" w:usb2="00000000" w:usb3="00000000" w:csb0="00040000" w:csb1="00000000"/>
  </w:font>
  <w:font w:name="宋体">
    <w:altName w:val="方正书宋_GBK"/>
    <w:panose1 w:val="00000000000000000000"/>
    <w:charset w:val="86"/>
    <w:family w:val="auto"/>
    <w:pitch w:val="variable"/>
    <w:sig w:usb0="00000000" w:usb1="00000000" w:usb2="00000000" w:usb3="00000000" w:csb0="00000000" w:csb1="00000000"/>
  </w:font>
  <w:font w:name="Lucida Sans">
    <w:altName w:val="DejaVu Sans"/>
    <w:panose1 w:val="020B0602030504020204"/>
    <w:charset w:val="00"/>
    <w:family w:val="auto"/>
    <w:pitch w:val="variable"/>
    <w:sig w:usb0="00000000" w:usb1="00000000" w:usb2="00000000" w:usb3="00000000" w:csb0="20000001" w:csb1="00000000"/>
  </w:font>
  <w:font w:name="Calibri">
    <w:altName w:val="DejaVu Sans"/>
    <w:panose1 w:val="020F0502020204030204"/>
    <w:charset w:val="00"/>
    <w:family w:val="swiss"/>
    <w:pitch w:val="variable"/>
    <w:sig w:usb0="E0002EFF" w:usb1="C000247B" w:usb2="00000009" w:usb3="00000000" w:csb0="2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5"/>
    <w:pPr>
      <w:jc w:val="both"/>
      <w:textAlignment w:val="baseline"/>
    </w:pPr>
    <w:rPr>
      <w:rFonts w:ascii="Calibri" w:eastAsia="宋体" w:cs="Times New Roman" w:hAnsi="Calibri"/>
      <w:kern w:val="2"/>
      <w:sz w:val="28"/>
      <w:szCs w:val="28"/>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kern w:val="2"/>
      <w:sz w:val="32"/>
      <w:szCs w:val="32"/>
      <w:lang w:val="en-US" w:eastAsia="zh-CN" w:bidi="ar-SA"/>
    </w:rPr>
  </w:style>
  <w:style w:type="paragraph" w:styleId="5">
    <w:name w:val="heading 5"/>
    <w:qFormat/>
    <w:basedOn w:val="0"/>
    <w:next w:val="0"/>
    <w:link w:val="5Char"/>
    <w:pPr>
      <w:keepNext/>
      <w:keepLines/>
      <w:spacing w:before="280" w:after="0" w:line="374" w:lineRule="auto"/>
      <w:jc w:val="both"/>
      <w:textAlignment w:val="baseline"/>
      <w:outlineLvl w:val="4"/>
    </w:pPr>
    <w:rPr>
      <w:rFonts w:ascii="Calibri" w:eastAsia="宋体" w:cs="Times New Roman" w:hAnsi="Calibri"/>
      <w:b/>
      <w:bCs/>
      <w:kern w:val="2"/>
      <w:sz w:val="28"/>
      <w:szCs w:val="28"/>
      <w:lang w:val="en-US" w:eastAsia="zh-CN" w:bidi="ar-SA"/>
    </w:rPr>
  </w:style>
  <w:style w:type="character" w:customStyle="1" w:styleId="5Char">
    <w:name w:val="heading 5 Char"/>
    <w:basedOn w:val="10"/>
    <w:link w:val="5"/>
    <w:rPr>
      <w:rFonts w:ascii="Calibri" w:eastAsia="宋体" w:cs="Times New Roman" w:hAnsi="Calibri"/>
      <w:b/>
      <w:bCs/>
      <w:kern w:val="2"/>
      <w:sz w:val="28"/>
      <w:szCs w:val="28"/>
      <w:lang w:val="en-US" w:eastAsia="zh-CN" w:bidi="ar-SA"/>
    </w:rPr>
  </w:style>
  <w:style w:type="character" w:default="1" w:styleId="10">
    <w:name w:val="Default Paragraph Font"/>
    <w:qFormat/>
  </w:style>
  <w:style w:type="paragraph" w:styleId="15">
    <w:name w:val="table of figures"/>
    <w:qFormat/>
    <w:basedOn w:val="0"/>
    <w:next w:val="0"/>
    <w:pPr>
      <w:ind w:leftChars="200" w:left="400" w:hangingChars="200" w:hanging="200"/>
    </w:pPr>
  </w:style>
  <w:style w:type="paragraph" w:styleId="16">
    <w:name w:val="index 6"/>
    <w:qFormat/>
    <w:basedOn w:val="0"/>
    <w:autoRedefine/>
    <w:next w:val="0"/>
    <w:pPr>
      <w:ind w:left="2100"/>
    </w:pPr>
  </w:style>
  <w:style w:type="character" w:customStyle="1" w:styleId="17">
    <w:name w:val="font61"/>
    <w:qFormat/>
    <w:basedOn w:val="0"/>
    <w:rPr>
      <w:rFonts w:ascii="Times New Roman" w:cs="Times New Roman" w:hAnsi="Times New Roman"/>
      <w:color w:val="000000"/>
      <w:sz w:val="20"/>
      <w:szCs w:val="20"/>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E2B0DCDE-828E-4FEF-815C-26DCBADEBADF}">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250</TotalTime>
  <Application>WPS_Yozo_Office9.0.5065.191ZH</Application>
  <Pages>5</Pages>
  <Words>0</Words>
  <Characters>1848</Characters>
  <Lines>0</Lines>
  <Paragraphs>4</Paragraphs>
  <CharactersWithSpaces>2465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greatwall</dc:creator>
  <cp:lastModifiedBy>greatwall</cp:lastModifiedBy>
  <cp:revision>1</cp:revision>
  <cp:lastPrinted>2024-11-15T09:15:00Z</cp:lastPrinted>
  <dcterms:created xsi:type="dcterms:W3CDTF">2024-11-14T09:18:00Z</dcterms:created>
  <dcterms:modified xsi:type="dcterms:W3CDTF">2025-12-17T08:33:21Z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2052-11.8.2.10953</vt:lpwstr>
  </property>
</Properties>
</file>