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</w:t>
      </w: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tabs>
          <w:tab w:val="left" w:pos="8620"/>
        </w:tabs>
        <w:spacing w:before="157" w:line="322" w:lineRule="auto"/>
        <w:ind w:right="182"/>
        <w:jc w:val="center"/>
        <w:rPr>
          <w:rFonts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2024年度</w:t>
      </w:r>
      <w:bookmarkStart w:id="0" w:name="OLE_LINK24"/>
      <w:bookmarkStart w:id="1" w:name="OLE_LINK23"/>
      <w:bookmarkStart w:id="2" w:name="OLE_LINK105"/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鹤中一体化连接线中方段建设项目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支</w:t>
      </w:r>
      <w:bookmarkEnd w:id="2"/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出</w:t>
      </w:r>
      <w:r>
        <w:rPr>
          <w:rFonts w:hint="eastAsia" w:ascii="方正小标宋简体" w:hAnsi="方正小标宋简体" w:eastAsia="方正小标宋简体" w:cs="方正小标宋简体"/>
          <w:spacing w:val="-10"/>
          <w:sz w:val="48"/>
          <w:szCs w:val="48"/>
          <w:lang w:eastAsia="zh-CN"/>
        </w:rPr>
        <w:t>绩效自评报告</w:t>
      </w: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rFonts w:eastAsiaTheme="minorEastAsia"/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before="111" w:line="374" w:lineRule="auto"/>
        <w:ind w:right="622" w:firstLine="423" w:firstLineChars="150"/>
        <w:jc w:val="both"/>
        <w:rPr>
          <w:rFonts w:ascii="楷体" w:hAnsi="楷体" w:eastAsia="楷体" w:cs="楷体"/>
          <w:sz w:val="34"/>
          <w:szCs w:val="34"/>
          <w:lang w:eastAsia="zh-CN"/>
        </w:rPr>
      </w:pPr>
      <w:r>
        <w:rPr>
          <w:rFonts w:hint="eastAsia" w:ascii="楷体" w:hAnsi="楷体" w:eastAsia="楷体" w:cs="楷体"/>
          <w:spacing w:val="-29"/>
          <w:sz w:val="34"/>
          <w:szCs w:val="34"/>
          <w:lang w:eastAsia="zh-CN"/>
        </w:rPr>
        <w:t>部门（单位）名称</w:t>
      </w:r>
      <w:r>
        <w:rPr>
          <w:rFonts w:ascii="楷体" w:hAnsi="楷体" w:eastAsia="楷体" w:cs="楷体"/>
          <w:spacing w:val="-29"/>
          <w:sz w:val="34"/>
          <w:szCs w:val="34"/>
          <w:lang w:eastAsia="zh-CN"/>
        </w:rPr>
        <w:t>：</w:t>
      </w:r>
      <w:r>
        <w:rPr>
          <w:rFonts w:hint="eastAsia" w:ascii="楷体" w:hAnsi="楷体" w:eastAsia="楷体" w:cs="楷体"/>
          <w:spacing w:val="-83"/>
          <w:sz w:val="34"/>
          <w:szCs w:val="34"/>
          <w:u w:val="single"/>
          <w:lang w:eastAsia="zh-CN"/>
        </w:rPr>
        <w:t xml:space="preserve">中方县临港产业园建设投资有限公司  </w:t>
      </w:r>
      <w:r>
        <w:rPr>
          <w:rFonts w:ascii="楷体" w:hAnsi="楷体" w:eastAsia="楷体" w:cs="楷体"/>
          <w:sz w:val="34"/>
          <w:szCs w:val="34"/>
          <w:lang w:eastAsia="zh-CN"/>
        </w:rPr>
        <w:t xml:space="preserve"> </w:t>
      </w:r>
    </w:p>
    <w:p>
      <w:pPr>
        <w:spacing w:before="111" w:line="374" w:lineRule="auto"/>
        <w:ind w:left="2100" w:leftChars="1000" w:right="2875"/>
        <w:jc w:val="center"/>
        <w:rPr>
          <w:rFonts w:ascii="楷体" w:hAnsi="楷体" w:eastAsia="楷体" w:cs="楷体"/>
          <w:sz w:val="25"/>
          <w:szCs w:val="25"/>
          <w:lang w:eastAsia="zh-CN"/>
        </w:rPr>
      </w:pPr>
      <w:r>
        <w:rPr>
          <w:rFonts w:hint="eastAsia" w:ascii="楷体" w:hAnsi="楷体" w:eastAsia="楷体" w:cs="楷体"/>
          <w:spacing w:val="-11"/>
          <w:sz w:val="32"/>
          <w:szCs w:val="32"/>
          <w:lang w:eastAsia="zh-CN"/>
        </w:rPr>
        <w:t xml:space="preserve">      </w:t>
      </w:r>
      <w:r>
        <w:rPr>
          <w:rFonts w:hint="eastAsia" w:ascii="楷体" w:hAnsi="楷体" w:eastAsia="楷体" w:cs="楷体"/>
          <w:spacing w:val="-11"/>
          <w:sz w:val="32"/>
          <w:szCs w:val="32"/>
          <w:lang w:val="en-US" w:eastAsia="zh-CN"/>
        </w:rPr>
        <w:t>2025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年</w:t>
      </w:r>
      <w:r>
        <w:rPr>
          <w:rFonts w:hint="eastAsia" w:ascii="楷体" w:hAnsi="楷体" w:eastAsia="楷体" w:cs="楷体"/>
          <w:spacing w:val="11"/>
          <w:sz w:val="32"/>
          <w:szCs w:val="32"/>
          <w:lang w:val="en-US" w:eastAsia="zh-CN"/>
        </w:rPr>
        <w:t>3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月</w:t>
      </w:r>
      <w:r>
        <w:rPr>
          <w:rFonts w:hint="eastAsia" w:ascii="楷体" w:hAnsi="楷体" w:eastAsia="楷体" w:cs="楷体"/>
          <w:spacing w:val="26"/>
          <w:sz w:val="32"/>
          <w:szCs w:val="32"/>
          <w:lang w:val="en-US" w:eastAsia="zh-CN"/>
        </w:rPr>
        <w:t>27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日</w:t>
      </w: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jc w:val="both"/>
        <w:rPr>
          <w:rFonts w:eastAsia="仿宋_GB2312"/>
          <w:sz w:val="32"/>
          <w:szCs w:val="32"/>
          <w:lang w:eastAsia="zh-CN"/>
        </w:rPr>
      </w:pPr>
    </w:p>
    <w:p>
      <w:pPr>
        <w:jc w:val="center"/>
        <w:rPr>
          <w:rFonts w:eastAsia="仿宋_GB2312"/>
          <w:sz w:val="32"/>
          <w:szCs w:val="32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  <w:sectPr>
          <w:footerReference r:id="rId3" w:type="default"/>
          <w:pgSz w:w="11900" w:h="16830"/>
          <w:pgMar w:top="1430" w:right="1785" w:bottom="1074" w:left="1313" w:header="0" w:footer="939" w:gutter="0"/>
          <w:pgNumType w:fmt="numberInDash"/>
          <w:cols w:space="720" w:num="1"/>
        </w:sectPr>
      </w:pPr>
    </w:p>
    <w:p>
      <w:pPr>
        <w:pStyle w:val="6"/>
        <w:spacing w:line="224" w:lineRule="auto"/>
        <w:ind w:firstLine="278" w:firstLineChars="100"/>
        <w:rPr>
          <w:spacing w:val="19"/>
          <w:sz w:val="24"/>
          <w:szCs w:val="24"/>
          <w:lang w:eastAsia="zh-CN"/>
        </w:rPr>
      </w:pPr>
    </w:p>
    <w:p>
      <w:pPr>
        <w:pStyle w:val="4"/>
        <w:kinsoku/>
        <w:autoSpaceDE/>
        <w:autoSpaceDN/>
        <w:spacing w:line="560" w:lineRule="exact"/>
        <w:textAlignment w:val="auto"/>
        <w:rPr>
          <w:rFonts w:hint="eastAsia" w:ascii="方正小标宋_GBK" w:hAnsi="方正小标宋_GBK" w:cs="方正小标宋_GBK"/>
          <w:b/>
          <w:bCs/>
          <w:lang w:eastAsia="zh-CN"/>
        </w:rPr>
      </w:pPr>
      <w:r>
        <w:rPr>
          <w:rFonts w:hint="eastAsia" w:ascii="方正小标宋_GBK" w:hAnsi="方正小标宋_GBK" w:cs="方正小标宋_GBK"/>
          <w:b/>
          <w:bCs/>
          <w:lang w:eastAsia="zh-CN"/>
        </w:rPr>
        <w:t>鹤中一体化连接线中方段建设项目支项目</w:t>
      </w:r>
    </w:p>
    <w:p>
      <w:pPr>
        <w:pStyle w:val="4"/>
        <w:kinsoku/>
        <w:autoSpaceDE/>
        <w:autoSpaceDN/>
        <w:spacing w:line="560" w:lineRule="exact"/>
        <w:textAlignment w:val="auto"/>
        <w:rPr>
          <w:rFonts w:ascii="黑体" w:hAnsi="黑体" w:eastAsia="黑体" w:cs="黑体"/>
          <w:spacing w:val="3"/>
          <w:kern w:val="0"/>
          <w:szCs w:val="44"/>
          <w:lang w:eastAsia="zh-CN"/>
        </w:rPr>
      </w:pPr>
      <w:r>
        <w:rPr>
          <w:rFonts w:hint="eastAsia" w:ascii="方正小标宋_GBK" w:hAnsi="方正小标宋_GBK" w:cs="方正小标宋_GBK"/>
          <w:b/>
          <w:bCs/>
          <w:lang w:eastAsia="zh-CN"/>
        </w:rPr>
        <w:t>支出绩效自评报告</w:t>
      </w:r>
    </w:p>
    <w:p>
      <w:pPr>
        <w:spacing w:line="400" w:lineRule="exact"/>
        <w:rPr>
          <w:rFonts w:ascii="黑体" w:hAnsi="黑体" w:eastAsia="黑体" w:cs="黑体"/>
          <w:spacing w:val="3"/>
          <w:sz w:val="44"/>
          <w:szCs w:val="44"/>
          <w:lang w:eastAsia="zh-CN"/>
        </w:rPr>
      </w:pPr>
    </w:p>
    <w:p>
      <w:pPr>
        <w:spacing w:line="560" w:lineRule="exact"/>
        <w:ind w:firstLine="652" w:firstLineChars="200"/>
        <w:outlineLvl w:val="0"/>
        <w:rPr>
          <w:rFonts w:ascii="黑体" w:hAnsi="黑体" w:eastAsia="黑体" w:cs="黑体"/>
          <w:spacing w:val="3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3"/>
          <w:sz w:val="32"/>
          <w:szCs w:val="32"/>
          <w:lang w:eastAsia="zh-CN"/>
        </w:rPr>
        <w:t>一、项目基本情况</w:t>
      </w:r>
    </w:p>
    <w:p>
      <w:pPr>
        <w:spacing w:line="560" w:lineRule="exact"/>
        <w:ind w:firstLine="712" w:firstLineChars="200"/>
        <w:outlineLvl w:val="0"/>
        <w:rPr>
          <w:rFonts w:ascii="仿宋" w:hAnsi="仿宋" w:eastAsia="仿宋" w:cs="仿宋"/>
          <w:b/>
          <w:snapToGrid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pacing w:val="18"/>
          <w:sz w:val="32"/>
          <w:szCs w:val="32"/>
          <w:lang w:eastAsia="zh-CN"/>
        </w:rPr>
        <w:t>(一)项目概况</w:t>
      </w:r>
    </w:p>
    <w:p>
      <w:pPr>
        <w:pStyle w:val="6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70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  <w:t>1.项目决策背景</w:t>
      </w:r>
    </w:p>
    <w:p>
      <w:pPr>
        <w:pStyle w:val="6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 xml:space="preserve">2021 年 11 月 22 日，省委、省政府发布《关于新时代推进湘西 地区开发形成新格局的意见》， 市委六届三次全会审议通过的《中共怀化市委关于加快建设怀化 国际陆港全力推动高水平开放高质量发展的决定》,明确了要做大做 强中心城区，加快推进鹤中一体化融合发展，深度融入怀化国际陆港 建设，全力推动高水平开放高质量发展，为全面落实“三高四新”战 略定位和使命任务、加快建设现代化新怀化。 </w:t>
      </w:r>
    </w:p>
    <w:p>
      <w:pPr>
        <w:pStyle w:val="6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70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  <w:t>2.项目的主要内容</w:t>
      </w:r>
    </w:p>
    <w:p>
      <w:pPr>
        <w:pStyle w:val="6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项目北起于舞水风暴K4+820，南止于高新区交界处K12+280.186全长7460.186m。施工内容包括</w:t>
      </w:r>
      <w:bookmarkStart w:id="3" w:name="OLE_LINK61"/>
      <w:bookmarkStart w:id="4" w:name="OLE_LINK62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K4+820-K12+280.186段的道路工程、桥梁工程、交通工程、管线综合工程(给排水工程、照明工程、燃气工程、强弱电工程等管线)、绿化工程等。</w:t>
      </w:r>
      <w:bookmarkEnd w:id="3"/>
      <w:bookmarkEnd w:id="4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项目总投资为46387.06万元（含征拆补偿费用），其中工程建安费21645.34万元，工程建设其他费用6737.58万元。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70" w:firstLineChars="200"/>
        <w:jc w:val="both"/>
        <w:textAlignment w:val="auto"/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  <w:t>3.项目组织管理机构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鹤中一体化发展领导小组：怀化市成立了以市委书记、市长任双组长的鹤中一体化发展领导小组，中方县成立了以县委书记、县长任双组长的县鹤中一体化发展领导小组，负责统筹协调项目相关重大事项，推动鹤中一体化发展战略实施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五年行动指挥部：中方县设立了由县委书记、县长任双指挥长的五年行动指挥部，形成了指挥部领导下的“一办七专班”工作构架，负责项目整体规划、调度和推进。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中方县鹤中一体化发展事务中心：承担鹤中一体化发展领导小组办公室的日常事务性工作，内设综合保障室、规划发展室、协调服务室、绩效评估室，负责推进鹤中一体化发展重点任务、重大项目相关事务性、服务性工作，制定干部职工联系项目制度，帮助解决项目中遇到的实际困难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代建单位：项目由中方县城发集团委托代建，具体负责项目的建设实施，包括工程进度、质量、安全等方面的管理，通过专班推进、精细管理，确保项目顺利建设。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设计单位：深圳市联合创艺建筑设计有限公司负责项目初步设计、湖南省建筑设计设计院集团股份有限公司负责项目施工图设计，为项目建设提供设计方案和技术支持。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施工单位及相关参与方：具体施工由湖南省绿林建设集团有限公司、五矿二十三冶建设集团有限公司负责现场施工，此外，项目还涉及监理单位等其他参与方，共同保障项目按照设计要求和施工规范进行建设，确保工程质量和进度。</w:t>
      </w:r>
    </w:p>
    <w:p>
      <w:pPr>
        <w:spacing w:line="560" w:lineRule="exact"/>
        <w:ind w:firstLine="712" w:firstLineChars="200"/>
        <w:outlineLvl w:val="0"/>
        <w:rPr>
          <w:rFonts w:hint="eastAsia" w:ascii="楷体_GB2312" w:hAnsi="楷体_GB2312" w:eastAsia="楷体_GB2312" w:cs="楷体_GB2312"/>
          <w:spacing w:val="18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pacing w:val="18"/>
          <w:sz w:val="32"/>
          <w:szCs w:val="32"/>
          <w:lang w:eastAsia="zh-CN"/>
        </w:rPr>
        <w:t>（二）预算资金使用管理情况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70" w:firstLineChars="200"/>
        <w:jc w:val="both"/>
        <w:textAlignment w:val="auto"/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</w:pPr>
      <w:bookmarkStart w:id="5" w:name="_Toc10810"/>
      <w:r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  <w:t>1.预算资金安排及管理情况</w:t>
      </w:r>
      <w:bookmarkEnd w:id="5"/>
    </w:p>
    <w:p>
      <w:pPr>
        <w:pStyle w:val="10"/>
        <w:shd w:val="clear" w:color="auto" w:fill="FFFFFF"/>
        <w:kinsoku/>
        <w:autoSpaceDE/>
        <w:autoSpaceDN/>
        <w:adjustRightInd/>
        <w:spacing w:beforeAutospacing="0" w:afterAutospacing="0" w:line="520" w:lineRule="exact"/>
        <w:ind w:firstLine="642" w:firstLineChars="200"/>
        <w:jc w:val="both"/>
        <w:textAlignment w:val="auto"/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（1）资金来源及拨付流程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beforeAutospacing="0" w:afterAutospacing="0" w:line="560" w:lineRule="exact"/>
        <w:ind w:firstLine="640" w:firstLineChars="200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资金来源：鹤中一体化连接线中方段建设资金来源主要为财政资金，包括一般债券和专项债券，部分资金可能由企业自筹。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beforeAutospacing="0" w:afterAutospacing="0" w:line="560" w:lineRule="exact"/>
        <w:ind w:firstLine="640" w:firstLineChars="200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拨付流程：项目资金拨付一般先由项目实施单位根据立项批准的项目计划书，制定详细经费预算方案，填写资金申请表并附上相关证明文件，报送主管财政部门。财政部门对资金申请的合理性等进行审核，审批通过后下达资金拨付文件。然后按照审批要求，通过国库集中支付方式，将资金划拨至指定账户，财务部门登记记账。资金支付时，可能还需报账人填报，经经办人、财务、分管领导审核签审等环节。</w:t>
      </w:r>
    </w:p>
    <w:p>
      <w:pPr>
        <w:pStyle w:val="10"/>
        <w:shd w:val="clear" w:color="auto" w:fill="FFFFFF"/>
        <w:kinsoku/>
        <w:autoSpaceDE/>
        <w:autoSpaceDN/>
        <w:adjustRightInd/>
        <w:spacing w:beforeAutospacing="0" w:afterAutospacing="0" w:line="520" w:lineRule="exact"/>
        <w:ind w:firstLine="642" w:firstLineChars="200"/>
        <w:jc w:val="both"/>
        <w:textAlignment w:val="auto"/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（2）、</w:t>
      </w:r>
      <w:r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beforeAutospacing="0" w:afterAutospacing="0" w:line="560" w:lineRule="exact"/>
        <w:ind w:firstLine="640" w:firstLineChars="200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截止2024年，</w:t>
      </w: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财政及时拨付项目资金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300万元，</w:t>
      </w: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到位情况良好，各项资金都能按照计划按时足额到位，为项目的持续稳定开展提供了充足的财力支持，资金到位率100%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。</w:t>
      </w:r>
    </w:p>
    <w:p>
      <w:pPr>
        <w:pStyle w:val="10"/>
        <w:shd w:val="clear" w:color="auto" w:fill="FFFFFF"/>
        <w:kinsoku/>
        <w:autoSpaceDE/>
        <w:autoSpaceDN/>
        <w:adjustRightInd/>
        <w:spacing w:beforeAutospacing="0" w:afterAutospacing="0" w:line="520" w:lineRule="exact"/>
        <w:ind w:firstLine="642" w:firstLineChars="200"/>
        <w:jc w:val="both"/>
        <w:textAlignment w:val="auto"/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（3）</w:t>
      </w:r>
      <w:r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资金使用情况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资金主要用于项目建设支出，</w:t>
      </w: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资金使用严格按照预算执行，专款专用，未出现挤占、挪用现象。项目实施单位定期报送资金使用情况报告，确保资金使用透明、规范。</w:t>
      </w:r>
    </w:p>
    <w:p>
      <w:pPr>
        <w:pStyle w:val="10"/>
        <w:shd w:val="clear" w:color="auto" w:fill="FFFFFF"/>
        <w:kinsoku/>
        <w:autoSpaceDE/>
        <w:autoSpaceDN/>
        <w:adjustRightInd/>
        <w:spacing w:beforeAutospacing="0" w:afterAutospacing="0" w:line="520" w:lineRule="exact"/>
        <w:ind w:firstLine="642" w:firstLineChars="200"/>
        <w:jc w:val="both"/>
        <w:textAlignment w:val="auto"/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（4）</w:t>
      </w:r>
      <w:r>
        <w:rPr>
          <w:rFonts w:hint="default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资金管理制度及执行情况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为规范项目资金使用，保障资金安全高效，中方县结合项目实际，建立了一套完善的资金管理制度体系，主要包括：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资金使用审批制度：明确资金拨付的流程和权限，要求项目实施单位根据工程进度提交资金申请，附工程计量单、发票等佐证材料，经项目管理部门审核、财政部门复核后，按程序拨付，确保每一笔资金使用都有据可依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专款专用制度：严格规定项目资金只能用于工程建设相关支出，如材料费、人工费、设备租赁费等，严禁挪作他用，从制度上杜绝资金挤占、挪用现象。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预算约束制度：资金使用严格遵循预算安排，超预算支出需履行报批程序，确保资金使用不偏离预算框架，有效控制项目成本。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财务核算制度：要求项目实施单位建立专门的财务台账，详细记录资金收支情况，做到账目清晰、凭证完整，便于追溯和审计。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70" w:firstLineChars="200"/>
        <w:jc w:val="both"/>
        <w:textAlignment w:val="auto"/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7"/>
          <w:sz w:val="32"/>
          <w:szCs w:val="32"/>
          <w:lang w:val="en-US" w:eastAsia="zh-CN" w:bidi="ar-SA"/>
        </w:rPr>
        <w:t>2.项目组织实施管理情况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项目按照预定计划有序推进，严格履行项目招投标、合同签订、施工监理等程序，确保项目实施过程公开透明、规范有序。定期召开项目推进会，及时协调解决项目实施过程中遇到的问题，确保项目按时保质完成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bidi w:val="0"/>
        <w:adjustRightInd/>
        <w:spacing w:beforeAutospacing="0" w:afterAutospacing="0" w:line="560" w:lineRule="exact"/>
        <w:ind w:firstLine="712" w:firstLineChars="200"/>
        <w:jc w:val="both"/>
        <w:rPr>
          <w:rFonts w:hint="eastAsia" w:ascii="楷体_GB2312" w:hAnsi="楷体_GB2312" w:eastAsia="楷体_GB2312" w:cs="楷体_GB2312"/>
          <w:snapToGrid w:val="0"/>
          <w:color w:val="000000"/>
          <w:spacing w:val="18"/>
          <w:sz w:val="32"/>
          <w:szCs w:val="32"/>
          <w:lang w:val="en-US" w:eastAsia="zh-CN" w:bidi="ar-SA"/>
        </w:rPr>
      </w:pPr>
      <w:bookmarkStart w:id="6" w:name="OLE_LINK31"/>
      <w:bookmarkStart w:id="7" w:name="OLE_LINK32"/>
      <w:r>
        <w:rPr>
          <w:rFonts w:hint="eastAsia" w:ascii="楷体_GB2312" w:hAnsi="楷体_GB2312" w:eastAsia="楷体_GB2312" w:cs="楷体_GB2312"/>
          <w:snapToGrid w:val="0"/>
          <w:color w:val="000000"/>
          <w:spacing w:val="18"/>
          <w:sz w:val="32"/>
          <w:szCs w:val="32"/>
          <w:lang w:val="en-US" w:eastAsia="zh-CN" w:bidi="ar-SA"/>
        </w:rPr>
        <w:t>(三)预算绩效目标情况</w:t>
      </w:r>
    </w:p>
    <w:bookmarkEnd w:id="6"/>
    <w:bookmarkEnd w:id="7"/>
    <w:p>
      <w:pPr>
        <w:widowControl w:val="0"/>
        <w:kinsoku/>
        <w:autoSpaceDE/>
        <w:autoSpaceDN/>
        <w:adjustRightInd/>
        <w:spacing w:line="520" w:lineRule="exact"/>
        <w:ind w:firstLine="642" w:firstLineChars="200"/>
        <w:textAlignment w:val="auto"/>
        <w:outlineLvl w:val="1"/>
        <w:rPr>
          <w:rFonts w:hint="eastAsia" w:ascii="仿宋" w:hAnsi="仿宋" w:eastAsia="仿宋" w:cs="仿宋"/>
          <w:b/>
          <w:bCs/>
          <w:kern w:val="4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44"/>
          <w:sz w:val="32"/>
          <w:szCs w:val="32"/>
          <w:lang w:val="en-US" w:eastAsia="zh-CN"/>
        </w:rPr>
        <w:t>1、项目总体绩效目标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在既定工期内，以高效、优质、安全为原则，全面建成鹤中一体化连接线中方段。通过打造高标准、现代化的交通通道，实现鹤城区与中方县交通的无缝对接与深度融合，带动区域经济协同发展，增强区域综合竞争力，提升沿线居民生活质量与幸福感，为鹤中一体化发展战略提供坚实交通支撑 ，促进区域在经济、社会、生态等多方面可持续发展。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2" w:firstLineChars="200"/>
        <w:jc w:val="both"/>
        <w:textAlignment w:val="auto"/>
        <w:rPr>
          <w:rFonts w:hint="eastAsia" w:ascii="仿宋" w:hAnsi="仿宋" w:eastAsia="仿宋" w:cs="仿宋"/>
          <w:snapToGrid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44"/>
          <w:sz w:val="32"/>
          <w:szCs w:val="32"/>
          <w:lang w:val="en-US" w:eastAsia="zh-CN" w:bidi="ar-SA"/>
        </w:rPr>
        <w:t>2、阶段性绩效目标（2024年度）</w:t>
      </w:r>
      <w:r>
        <w:rPr>
          <w:rFonts w:hint="eastAsia" w:ascii="仿宋" w:hAnsi="仿宋" w:eastAsia="仿宋" w:cs="仿宋"/>
          <w:snapToGrid/>
          <w:color w:val="auto"/>
          <w:sz w:val="32"/>
          <w:szCs w:val="32"/>
        </w:rPr>
        <w:t xml:space="preserve"> 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2" w:firstLineChars="200"/>
        <w:jc w:val="both"/>
        <w:textAlignment w:val="auto"/>
        <w:rPr>
          <w:rFonts w:hint="eastAsia" w:ascii="仿宋" w:hAnsi="仿宋" w:eastAsia="仿宋" w:cs="仿宋"/>
          <w:b/>
          <w:bCs/>
          <w:snapToGrid w:val="0"/>
          <w:color w:val="000000"/>
          <w:kern w:val="44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44"/>
          <w:sz w:val="32"/>
          <w:szCs w:val="32"/>
          <w:lang w:val="en-US" w:eastAsia="zh-CN" w:bidi="ar-SA"/>
        </w:rPr>
        <w:t xml:space="preserve">（1）产出目标 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数量目标：完成道路主体工程60%的建设任务，包括完成7.4公里道路主干道的沥青摊铺；完成全线管道工程铺设总量的60%；完成沿线100%的路灯基础施工；完成交通工程的70%、桥梁工程30%的施工 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 质量目标：严格按照《城镇道路工程施工与质量验收规范》等相关标准施工，各分项工程质量验收合格率达到100% ，杜绝出现因施工质量导致的返工现象；施工材料、构配件和设备的抽检合格率不低于95% ，确保使用合格材料建设优质工程。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时效目标：按季度施工计划稳步推进，每个季度末的实际进度偏差控制在正负5%以内；2024年度内不发生因施工组织不合理造成的工期延误超过15天的情况，保障项目按既定时间表有序开展 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成本目标：2024年度预算执行率达到95%以上，确保资金使用合理合规，无资金闲置或浪费；严格控制工程建设成本，各项费用支出控制在预算范围内，总成本偏差率控制在正负3%以内 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44"/>
          <w:sz w:val="32"/>
          <w:szCs w:val="32"/>
          <w:lang w:val="en-US" w:eastAsia="zh-CN" w:bidi="ar-SA"/>
        </w:rPr>
        <w:t>（2）效益目标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 经济效益：项目建成通车后，预计缩短鹤城与中方县之间货物运输时间30%，降低物流成本15%，刺激区域商业活跃度提升 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社会效益：施工期为当地创造临时性就业岗位200个以上，优先吸纳本地劳动力；建成后，道路通行能力提升40%，有效缓解区域交通拥堵状况 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生态效益：道路两侧绿化面积占比达到道路总面积的15%，选用本地适生植物品种，构建生态景观廊道；施工过程中严格控制扬尘、噪音、污水排放等，确保符合国家环保标准，不发生因施工造成的重大环境污染事件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44"/>
          <w:sz w:val="32"/>
          <w:szCs w:val="32"/>
          <w:lang w:val="en-US" w:eastAsia="zh-CN" w:bidi="ar-SA"/>
        </w:rPr>
        <w:t>（3）可持续影响目标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 建成后的连接线道路设计使用寿命不低于20年，通过科学合理的道路养护规划，每年养护费用控制在道路建设总投资的1% - 2%，确保道路长期保持良好通行状态 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rightChars="0" w:firstLine="640" w:firstLineChars="200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随着鹤中一体化进程的推进，该连接线持续发挥交通枢纽作用，支撑区域经济社会长期稳定发展，促进产业布局优化升级，推动区域人口、资源、环境协调发展 。</w:t>
      </w:r>
    </w:p>
    <w:p>
      <w:pPr>
        <w:spacing w:line="560" w:lineRule="exact"/>
        <w:ind w:firstLine="652" w:firstLineChars="200"/>
        <w:outlineLvl w:val="0"/>
        <w:rPr>
          <w:rFonts w:ascii="黑体" w:hAnsi="黑体" w:eastAsia="黑体" w:cs="黑体"/>
          <w:spacing w:val="3"/>
          <w:sz w:val="32"/>
          <w:szCs w:val="32"/>
          <w:lang w:eastAsia="zh-CN"/>
        </w:rPr>
      </w:pPr>
      <w:bookmarkStart w:id="8" w:name="_Toc11844"/>
      <w:r>
        <w:rPr>
          <w:rFonts w:hint="eastAsia" w:ascii="黑体" w:hAnsi="黑体" w:eastAsia="黑体" w:cs="黑体"/>
          <w:spacing w:val="3"/>
          <w:sz w:val="32"/>
          <w:szCs w:val="32"/>
          <w:lang w:eastAsia="zh-CN"/>
        </w:rPr>
        <w:t>二、绩效评价工作情况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bidi w:val="0"/>
        <w:adjustRightInd/>
        <w:spacing w:beforeAutospacing="0" w:afterAutospacing="0" w:line="560" w:lineRule="exact"/>
        <w:ind w:firstLine="640" w:firstLineChars="200"/>
        <w:jc w:val="both"/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  <w:t>（一）绩效评价目的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进一步改进和加强项目管理，提高资金的使用效益。主要是项目实施的必要性、公益性、收益性；项目建设投资合规性与项目成熟度;项目资金来源和到位可行性；项目收入、成本、收益预测合理性；绩效目标合理性等，积累资金项目管理的经验，探索专项资金的绩效评价的办法、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  <w:t>（二）被评价单位、绩效评价范围与时段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被评价单位：中方县临港产业园建设投资有限公司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绩效评价范围：2024年度所有纳入预算管理的专项资金及其使用情况。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320" w:firstLineChars="1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 xml:space="preserve">  时段：2024年1月1日-2024年12月31日。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  <w:t>（三）绩效评价原则、</w:t>
      </w:r>
      <w:bookmarkStart w:id="9" w:name="OLE_LINK2"/>
      <w:bookmarkStart w:id="10" w:name="OLE_LINK1"/>
      <w:r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  <w:t>评价指标体系</w:t>
      </w:r>
      <w:bookmarkEnd w:id="9"/>
      <w:bookmarkEnd w:id="10"/>
      <w:r>
        <w:rPr>
          <w:rFonts w:hint="eastAsia" w:ascii="楷体_GB2312" w:hAnsi="楷体_GB2312" w:eastAsia="楷体_GB2312" w:cs="楷体_GB2312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  <w:t>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bookmarkStart w:id="11" w:name="_Toc7615"/>
      <w:bookmarkStart w:id="12" w:name="_Toc32076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绩效评价原则：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科学规范原则：评价过程严格遵循相关法律法规、行业标准和绩效评价规范，采用科学的评价方法和程序，确保评价结果客观公正。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公正公开原则：评价指标、标准、过程及结果公开透明，接受社会监督，保障利益相关方的知情权和参与权。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突出重点原则：围绕项目核心目标和关键环节设置评价指标，重点关注项目产出、效益及预算执行等方面，避免评价内容过于繁琐。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绩效相关原则：评价指标与项目绩效目标紧密关联，指标设计紧扣项目建设内容、资金使用及产生的经济、社会、生态效益，确保评价结果能真实反映项目绩效。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动态调整原则：根据项目实施阶段、外部环境变化等因素，适时调整评价指标和标准，使评价更贴合项目实际进展。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评价指标体系、评价方法：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1.通用性和专用性兼顾；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2.定性与定量评价相结合；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3.坚持以绩效目标为导向。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三、主要绩效及评价结论</w:t>
      </w:r>
      <w:bookmarkEnd w:id="8"/>
      <w:bookmarkEnd w:id="11"/>
      <w:bookmarkEnd w:id="12"/>
      <w:r>
        <w:rPr>
          <w:rFonts w:hint="eastAsia" w:ascii="仿宋" w:hAnsi="仿宋" w:eastAsia="仿宋" w:cs="仿宋"/>
          <w:spacing w:val="-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主要绩效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（一）交通功能提升显著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项目建成后，直接改善了鹤中区域的交通状况。原本道路狭窄、通行能力有限的状况得到极大缓解，新建的机动车道宽敞平整，双向车道布局合理，有效提升了车辆通行效率 。非机动车道与人行道的建设，实现了机非分离、人车分流，保障了行人和非机动车骑行者的安全。道路的拓宽和交通设施的完善，使该路段的交通拥堵指数明显下降，极大便利了居民日常出行以及货物运输，为区域经济交流提供了更高效的交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（二）经济带动效应初显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推动产业发展：鹤中一体化连接线中方段的建设，带动了沿线产业的发展。便捷的交通吸引了更多企业入驻中方县，尤其是物流、仓储、加工制造等对交通便利性依赖较高的产业。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 xml:space="preserve">促进土地增值：道路的改善使得沿线土地价值大幅提升。原本一些闲置或利用率较低的土地，因交通条件改善，成为开发商和企业投资的热点。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（三）社会效益突出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居民满意度提升：通过问卷调查、实地走访等方式收集沿线居民意见，居民对道路建设的满意度达到95%以上。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区域形象提升：鹤中一体化连接线中方段作为展示鹤中区域形象的重要窗口，其高标准的建设和优美的景观，提升了整个区域的形象和知名度，增强了区域吸引力和竞争力，为招商引资和旅游发展创造了良好条件 。</w:t>
      </w:r>
      <w:r>
        <w:rPr>
          <w:rFonts w:hint="eastAsia" w:ascii="仿宋" w:hAnsi="仿宋" w:eastAsia="仿宋" w:cs="仿宋"/>
          <w:spacing w:val="-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（四）评价结论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spacing w:val="3"/>
          <w:sz w:val="36"/>
          <w:szCs w:val="36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经综合评价，鹤中一体化连接线中方段建设项目绩效评价结果为优，得分92分。项目在产出方面，按时、高质量完成了建设任务，成本控制有效；在效益方面，经济效益、社会效益和生态效益显著；在可持续影响方面，为鹤中一体化长期发展奠定了坚实基础 。但项目在细节管理上仍有提升空间，如进一步加强道路附属设施的维护管理等。未来，随着鹤中一体化发展战略的深入推进，该连接线将持续发挥重要作用，为区域发展做出更大贡献。</w:t>
      </w:r>
    </w:p>
    <w:p>
      <w:pPr>
        <w:widowControl w:val="0"/>
        <w:kinsoku/>
        <w:autoSpaceDE/>
        <w:autoSpaceDN/>
        <w:adjustRightInd/>
        <w:spacing w:line="520" w:lineRule="exact"/>
        <w:ind w:firstLine="648" w:firstLineChars="200"/>
        <w:textAlignment w:val="auto"/>
        <w:outlineLvl w:val="0"/>
        <w:rPr>
          <w:rFonts w:hint="eastAsia" w:ascii="黑体" w:hAnsi="黑体" w:eastAsia="黑体" w:cs="黑体"/>
          <w:spacing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2"/>
          <w:sz w:val="32"/>
          <w:szCs w:val="32"/>
          <w:lang w:eastAsia="zh-CN"/>
        </w:rPr>
        <w:t>四、绩效评价指标分析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3" w:name="_Toc17679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(一)项目决策情况</w:t>
      </w:r>
      <w:bookmarkEnd w:id="13"/>
      <w:bookmarkStart w:id="14" w:name="OLE_LINK68"/>
      <w:bookmarkStart w:id="15" w:name="OLE_LINK6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政策导向：响应区域一体化发展战略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鹤中一体化是湖南省及怀化市推动区域协调发展的重要战略，旨在通过整合鹤城区（市中心城区）与中方县的空间资源、产业布局和基础设施，提升区域整体竞争力。项目作为连接两地的关键交通纽带，是落实《怀化市鹤中一体化发展规划》中“交通先行”部署的核心工程，为打破行政壁垒、促进要素流动提供硬件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现实需求：破解区域交通瓶颈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空间联系薄弱：鹤城区与中方县虽地理邻近，但现有道路多为支线公路，存在等级低、绕行远、通行能力不足等问题，难以满足一体化发展对高效交通的需求。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经济协同不足：两地产业存在互补性（如鹤城的商贸服务业与中方的制造业），但交通不畅导致产业链衔接松散，资源共享效率低，制约了产业集群发展。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民生改善诉求：沿线居民通勤、出行不便，物流成本高，对提升交通便利性的需求迫切，项目建设可直接改善民生体验。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发展机遇：支撑城市格局拓展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随着怀化市城市规模扩大，中方县作为城市拓展的重要空间载体，亟需通过交通升级承接鹤城区的产业、人口外溢。项目建成后，将加速两地“同城化”进程，推动形成“一核引领、两区联动”的城市发展格局，为区域土地开发、城镇化建设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可行性基础：前期规划与论证支撑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项目经多轮可行性研究，已明确建设必要性和技术可行性：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符合国家“新基建”和交通强国建设政策导向，可争取上级资金支持；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沿线地质条件适宜道路建设，拆迁量较小，实施难度可控；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建成后预期经济效益、社会效益显著，投资回报周期合理。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综上，项目决策是政策要求、现实需求与发展机遇共同作用的结果，旨在通过交通基础设施升级，为鹤中一体化发展提供关键支撑。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（二）项目实施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项目组织实施得力，成立了专门的项目管理机构和工作小组，明确了职责分工，建立了有效的沟通协调机制。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项目进度控制较好，项目能够按照预定的时间节点完成，但项目资金在支付上存在进度滞后的问题，需要财政加强资金拨付。   项目质量监管到位，严格执行工程建设和验收的质量标准，确保了项目质量符合要求。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2024年鹤中一体化连接线中方段建设项目按计划推进，各分项工程有序实施，在工程数量、质量、进度及成本控制等方面均取得阶段性成果，为项目后续建设奠定了坚实基础。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 数量目标：完成道路主体工程60%的建设任务，包括完成7.4公里道路主干道的沥青摊铺；完成全线管道工程铺设总量的60%；完成沿线100%的路灯基础施工；完成交通工程的70%、桥梁工程30%的施工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质量目标：严格按照《城镇道路工程施工与质量验收规范》等相关标准施工，各分项工程质量验收合格率达到100% ，杜绝出现因施工质量导致的返工现象；施工材料、构配件和设备的抽检合格率不低于95% ，确保使用合格材料建设优质工程。</w:t>
      </w:r>
      <w:bookmarkStart w:id="16" w:name="_Toc2147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产出时效</w:t>
      </w:r>
      <w:bookmarkEnd w:id="1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按照预算批复及时支出专项资金，至2024年末，申请支付专项资金已支付到位。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7" w:name="_Toc12690"/>
      <w:bookmarkStart w:id="18" w:name="_Toc3072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(四)项目效益情况</w:t>
      </w:r>
      <w:bookmarkEnd w:id="17"/>
      <w:bookmarkEnd w:id="18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 xml:space="preserve"> 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 xml:space="preserve">经济效益： 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1.直接带动相关产业发展：项目施工期间，拉动了本地建材（如砂石、水泥、沥青等）、设备租赁、交通运输、劳务服务等行业需求，2024年带动相关产业增收约800万元，为地方经济注入短期活力。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2.降低区域物流成本：已建成路段初步提升了鹤城区与中方县的通行效率，货物运输时间平均缩短15%，物流企业运营成本降低约10%。随着项目推进，预计全线通车后，两地物流成本可进一步下降15%-20%，吸引更多企业在沿线布局。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3. 促进土地增值与投资吸引力：道路建设改善了沿线区域的交通可达性，带动周边土地价值稳步提升，2024年沿线部分地块溢价率较项目启动前增长约8%。同时，交通条件的优化增强了区域对外部投资的吸引力，已有3家企业表达了在沿线投资建厂的意向。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社会效益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1. 提升交通通行能力：已完成的机动车道修复和部分路段拓宽，使高峰时段通行效率提升30%，有效缓解了原有道路拥堵问题。非机动车道和人行道的建设，为市民提供了更安全的慢行空间，满足了多样化出行需求。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2. 创造就业机会：项目施工优先吸纳本地劳动力，2024年累计提供临时就业岗位220个，其中本地工人占比达75%。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3. 增强区域联系与民生便利：道路建设加速了鹤城与中方县的人员往来，两地居民通勤、就医、就学等出行更便捷，平均单程时间缩短约20分钟。沿线公交站亭的建设，进一步完善了公共交通网络。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生态效益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1. 改善沿线生态环境：已完成的绿化景观建设形成了初步的生态廊道，提升了道路沿线的植被覆盖率和景观品质。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 xml:space="preserve">2. 减少施工对环境的影响：施工过程中严格落实环保措施，采用低噪音设备、围挡降尘、污水沉淀处理等方式，将扬尘、噪音控制在国家标准范围内。2024年未发生因施工导致的环境污染投诉，周边生态环境保持稳定。 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可持续影响</w:t>
      </w:r>
    </w:p>
    <w:p>
      <w:pPr>
        <w:pStyle w:val="2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作为鹤中一体化的关键交通纽带，将长期支撑区域经济社会协同发展。建成后，预计可保障20年以上的稳定通行能力，通过科学养护方案，能持续发挥交通疏导、产业联动、民生服务等功能，为鹤中一体化进程提供持续动力，促进区域人口、资源、环境的协调发展。</w:t>
      </w:r>
    </w:p>
    <w:bookmarkEnd w:id="14"/>
    <w:bookmarkEnd w:id="15"/>
    <w:p>
      <w:pPr>
        <w:widowControl w:val="0"/>
        <w:kinsoku/>
        <w:autoSpaceDE/>
        <w:autoSpaceDN/>
        <w:adjustRightInd/>
        <w:spacing w:line="520" w:lineRule="exact"/>
        <w:ind w:firstLine="716" w:firstLineChars="200"/>
        <w:textAlignment w:val="auto"/>
        <w:outlineLvl w:val="0"/>
        <w:rPr>
          <w:rFonts w:ascii="黑体" w:hAnsi="黑体" w:eastAsia="黑体" w:cs="黑体"/>
          <w:spacing w:val="19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19"/>
          <w:sz w:val="32"/>
          <w:szCs w:val="32"/>
          <w:lang w:eastAsia="zh-CN"/>
        </w:rPr>
        <w:t>五、主要经验及做法、存在的问题及原因分析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 xml:space="preserve">（一）主要经验及做法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1. 强化组织领导，形成推进合力。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成立由市县两级主要领导牵头的领导小组和专项指挥部，构建“一办七专班”工作架构，明确各部门职责分工。通过定期召开调度会、现场办公会等方式，协调解决施工许可、管线迁移等跨部门问题，形成“高位推动、上下联动”的工作格局，确保项目高效推进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2. 科学规划设计，注重细节把控。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项目前期充分调研区域地质条件、地下管线分布和周边群众需求，邀请专业团队优化设计方案。例如，在非机动车道和人行道设计中兼顾通行安全与景观美观；针对地下管线复杂问题，提前进行探测和迁改规划，减少施工中的反复开挖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3. 严格质量监管，保障工程品质。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-SA"/>
        </w:rPr>
        <w:t>建立“施工单位自检+监理单位巡查+第三方检测+政府部门抽查”的四级质量管控体系。对关键工序（如路基压实、管道焊接）实行“样板引路”制度，合格后方可全面施工；定期开展质量培训，提高施工人员技术水平，确保各分项工程验收合格率100%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 精细化进度管理，应对突发情况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制定详细的季度、月度施工计划，将任务分解到具体路段和工序。针对施工场地狭窄、汛期影响等问题，采用分段施工、错峰作业等方式减少干扰；储备应急物资和备用施工方案，在恶劣天气后能快速复工，将进度偏差控制在可控范围内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 规范资金管理，提高使用效益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严格执行预算审批流程，资金拨付与工程进度、质量验收结果挂钩，避免超付或挪用。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1"/>
        <w:rPr>
          <w:rFonts w:hint="eastAsia" w:ascii="仿宋" w:hAnsi="仿宋" w:eastAsia="仿宋" w:cs="仿宋"/>
          <w:kern w:val="4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44"/>
          <w:sz w:val="32"/>
          <w:szCs w:val="32"/>
          <w:lang w:eastAsia="zh-CN"/>
        </w:rPr>
        <w:t xml:space="preserve">（二）存在的问题及原因分析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 部分施工细节有待提升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问题：个别路段非机动车道平整度不足，少数检查井周边出现轻微沉降。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原因：施工人员对新材料铺设工艺掌握不够熟练；检查井周边回填土压实度控制不够严格，后期受车辆碾压影响出现沉降。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 临时交通疏导压力较大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问题：施工期间部分路段需半幅封闭，导致高峰期局部拥堵，群众反映出行不便。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原因：项目沿线居民区、学校密集，原有道路通行量较大；临时交通标识设置不够清晰，疏导人员配置不足，未能及时引导车辆分流。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 管线迁改协调耗时较长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问题：通信、燃气等管线迁改进度滞后于施工计划，影响部分路段路基施工。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原因：涉及多家管线权属单位，协调流程繁琐；部分老旧管线图纸缺失，需现场探测确认，增加了迁改难度和时间。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通过总结经验、针对性解决问题，项目后续将进一步优化管理流程，提升工程质量和综合效益，确保如期实现鹤中一体化交通连接的战略目标。</w:t>
      </w:r>
    </w:p>
    <w:p>
      <w:pPr>
        <w:widowControl w:val="0"/>
        <w:kinsoku/>
        <w:autoSpaceDE/>
        <w:autoSpaceDN/>
        <w:adjustRightInd/>
        <w:spacing w:line="520" w:lineRule="exact"/>
        <w:ind w:firstLine="716" w:firstLineChars="200"/>
        <w:textAlignment w:val="auto"/>
        <w:outlineLvl w:val="0"/>
        <w:rPr>
          <w:rFonts w:hint="eastAsia" w:ascii="黑体" w:hAnsi="黑体" w:eastAsia="黑体" w:cs="黑体"/>
          <w:spacing w:val="19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9"/>
          <w:sz w:val="32"/>
          <w:szCs w:val="32"/>
          <w:lang w:val="en-US" w:eastAsia="zh-CN"/>
        </w:rPr>
        <w:t>六、有关建议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强化预算资金精细化管理，提高预算资金科学性、合理性。</w:t>
      </w:r>
    </w:p>
    <w:p>
      <w:pPr>
        <w:widowControl w:val="0"/>
        <w:kinsoku/>
        <w:autoSpaceDE/>
        <w:autoSpaceDN/>
        <w:adjustRightInd/>
        <w:spacing w:line="520" w:lineRule="exact"/>
        <w:ind w:firstLine="716" w:firstLineChars="200"/>
        <w:textAlignment w:val="auto"/>
        <w:outlineLvl w:val="0"/>
        <w:rPr>
          <w:rFonts w:hint="eastAsia" w:ascii="黑体" w:hAnsi="黑体" w:eastAsia="黑体" w:cs="黑体"/>
          <w:spacing w:val="19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9"/>
          <w:sz w:val="32"/>
          <w:szCs w:val="32"/>
          <w:lang w:val="en-US" w:eastAsia="zh-CN"/>
        </w:rPr>
        <w:t>七、其他需要说明的问题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无。</w:t>
      </w:r>
    </w:p>
    <w:p>
      <w:pPr>
        <w:widowControl w:val="0"/>
        <w:kinsoku/>
        <w:autoSpaceDE/>
        <w:autoSpaceDN/>
        <w:adjustRightInd/>
        <w:spacing w:line="520" w:lineRule="exact"/>
        <w:ind w:firstLine="716" w:firstLineChars="200"/>
        <w:textAlignment w:val="auto"/>
        <w:outlineLvl w:val="0"/>
        <w:rPr>
          <w:rFonts w:hint="eastAsia" w:ascii="黑体" w:hAnsi="黑体" w:eastAsia="黑体" w:cs="黑体"/>
          <w:spacing w:val="19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9"/>
          <w:sz w:val="32"/>
          <w:szCs w:val="32"/>
          <w:lang w:val="en-US" w:eastAsia="zh-CN"/>
        </w:rPr>
        <w:t>八、附件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2-1、2024年度项目支出绩效自评表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6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附件2-1</w:t>
      </w:r>
    </w:p>
    <w:p>
      <w:pPr>
        <w:spacing w:before="151" w:line="221" w:lineRule="auto"/>
        <w:ind w:left="1060"/>
        <w:jc w:val="center"/>
        <w:rPr>
          <w:rFonts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2"/>
          <w:sz w:val="32"/>
          <w:szCs w:val="32"/>
          <w:lang w:eastAsia="zh-CN"/>
        </w:rPr>
        <w:t>2024年度项目支出绩效自评表</w:t>
      </w:r>
    </w:p>
    <w:tbl>
      <w:tblPr>
        <w:tblStyle w:val="11"/>
        <w:tblW w:w="107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071"/>
        <w:gridCol w:w="1319"/>
        <w:gridCol w:w="2178"/>
        <w:gridCol w:w="993"/>
        <w:gridCol w:w="992"/>
        <w:gridCol w:w="677"/>
        <w:gridCol w:w="850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134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项目支</w:t>
            </w:r>
          </w:p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出名称</w:t>
            </w:r>
          </w:p>
        </w:tc>
        <w:tc>
          <w:tcPr>
            <w:tcW w:w="9597" w:type="dxa"/>
            <w:gridSpan w:val="8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鹤中一体化连接线中方段建设项目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34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主管部门</w:t>
            </w:r>
          </w:p>
        </w:tc>
        <w:tc>
          <w:tcPr>
            <w:tcW w:w="5561" w:type="dxa"/>
            <w:gridSpan w:val="4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中方县住房和城乡建设局</w:t>
            </w:r>
          </w:p>
        </w:tc>
        <w:tc>
          <w:tcPr>
            <w:tcW w:w="992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实施单位</w:t>
            </w:r>
          </w:p>
        </w:tc>
        <w:tc>
          <w:tcPr>
            <w:tcW w:w="3044" w:type="dxa"/>
            <w:gridSpan w:val="3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中方县临港产业园建设投资有限公司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（万元）</w:t>
            </w:r>
          </w:p>
        </w:tc>
        <w:tc>
          <w:tcPr>
            <w:tcW w:w="2390" w:type="dxa"/>
            <w:gridSpan w:val="2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2178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年初</w:t>
            </w:r>
          </w:p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993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992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67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51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年度资金总额　</w:t>
            </w:r>
          </w:p>
        </w:tc>
        <w:tc>
          <w:tcPr>
            <w:tcW w:w="2178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3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992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300</w:t>
            </w:r>
          </w:p>
        </w:tc>
        <w:tc>
          <w:tcPr>
            <w:tcW w:w="67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10</w:t>
            </w:r>
          </w:p>
        </w:tc>
        <w:tc>
          <w:tcPr>
            <w:tcW w:w="850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151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其中：当年财政拨款　</w:t>
            </w:r>
          </w:p>
        </w:tc>
        <w:tc>
          <w:tcPr>
            <w:tcW w:w="2178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993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300</w:t>
            </w:r>
          </w:p>
        </w:tc>
        <w:tc>
          <w:tcPr>
            <w:tcW w:w="992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200</w:t>
            </w:r>
          </w:p>
        </w:tc>
        <w:tc>
          <w:tcPr>
            <w:tcW w:w="67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0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151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2390" w:type="dxa"/>
            <w:gridSpan w:val="2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ind w:firstLine="600" w:firstLineChars="300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上年结转资金　</w:t>
            </w:r>
          </w:p>
        </w:tc>
        <w:tc>
          <w:tcPr>
            <w:tcW w:w="2178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93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92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67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0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51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ind w:firstLine="600" w:firstLineChars="300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其他资金</w:t>
            </w:r>
          </w:p>
        </w:tc>
        <w:tc>
          <w:tcPr>
            <w:tcW w:w="2178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93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92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67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0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517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年度总体目标</w:t>
            </w:r>
          </w:p>
        </w:tc>
        <w:tc>
          <w:tcPr>
            <w:tcW w:w="5561" w:type="dxa"/>
            <w:gridSpan w:val="4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预期目标</w:t>
            </w:r>
          </w:p>
        </w:tc>
        <w:tc>
          <w:tcPr>
            <w:tcW w:w="4036" w:type="dxa"/>
            <w:gridSpan w:val="4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5561" w:type="dxa"/>
            <w:gridSpan w:val="4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设改善城市基础设施供应状况，改善了招商 引资环境，促进中方县城市经济的发展。　　</w:t>
            </w:r>
          </w:p>
        </w:tc>
        <w:tc>
          <w:tcPr>
            <w:tcW w:w="4036" w:type="dxa"/>
            <w:gridSpan w:val="4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建设中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1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一级指标</w:t>
            </w: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二级指标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指标值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完成值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成本指标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（20分）</w:t>
            </w:r>
          </w:p>
        </w:tc>
        <w:tc>
          <w:tcPr>
            <w:tcW w:w="131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经济成本指标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项目成本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≤300万元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300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31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社会成本指标</w:t>
            </w:r>
          </w:p>
        </w:tc>
        <w:tc>
          <w:tcPr>
            <w:tcW w:w="2178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993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992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31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生态环境成本指标</w:t>
            </w:r>
          </w:p>
        </w:tc>
        <w:tc>
          <w:tcPr>
            <w:tcW w:w="2178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993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992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（3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0分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数量指标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工程建设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≥1个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1个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质量指标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验收合格率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时效指标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预算年度内完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按进度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按进度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0分）</w:t>
            </w: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带动经济收入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增加行车安全减少事故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改善城市居民居住水平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完成的绿化景观建设形成了初步的生态廊道，提升了道路沿线的植被覆盖率和景观品质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可持续影响指标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提升城市经济规模的进一步扩大，推动区域经济和社会发展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（10分）</w:t>
            </w: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服务对象满意度指标</w:t>
            </w:r>
          </w:p>
        </w:tc>
        <w:tc>
          <w:tcPr>
            <w:tcW w:w="21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群众满意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8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总分</w:t>
            </w:r>
          </w:p>
        </w:tc>
        <w:tc>
          <w:tcPr>
            <w:tcW w:w="6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bookmarkStart w:id="19" w:name="_GoBack"/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</w:t>
            </w:r>
            <w:bookmarkEnd w:id="19"/>
          </w:p>
        </w:tc>
        <w:tc>
          <w:tcPr>
            <w:tcW w:w="15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vanish/>
        </w:rPr>
      </w:pP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>填表人：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宋桥发   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2025.3.27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13467418656</w:t>
      </w:r>
    </w:p>
    <w:sectPr>
      <w:footerReference r:id="rId4" w:type="default"/>
      <w:pgSz w:w="11900" w:h="16830"/>
      <w:pgMar w:top="1440" w:right="1800" w:bottom="1440" w:left="1800" w:header="0" w:footer="969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059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266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w:pict>
        <v:shape id="_x0000_s1030" o:spid="_x0000_s103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615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- 7 -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isplayBackgroundShape w:val="true"/>
  <w:bordersDoNotSurroundHeader w:val="true"/>
  <w:bordersDoNotSurroundFooter w:val="true"/>
  <w:documentProtection w:enforcement="0"/>
  <w:defaultTabStop w:val="420"/>
  <w:characterSpacingControl w:val="doNotCompress"/>
  <w:hdrShapeDefaults>
    <o:shapelayout v:ext="edit">
      <o:idmap v:ext="edit" data="1"/>
    </o:shapelayout>
  </w:hdrShapeDefaults>
  <w:compat>
    <w:spaceForUL/>
    <w:ulTrailSpace/>
    <w:useFELayout/>
    <w:compatSetting w:name="compatibilityMode" w:uri="http://schemas.microsoft.com/office/word" w:val="12"/>
  </w:compat>
  <w:rsids>
    <w:rsidRoot w:val="007254EA"/>
    <w:rsid w:val="0001620E"/>
    <w:rsid w:val="00046DA0"/>
    <w:rsid w:val="00077122"/>
    <w:rsid w:val="000D2EF4"/>
    <w:rsid w:val="000F0D4B"/>
    <w:rsid w:val="00101C41"/>
    <w:rsid w:val="001068ED"/>
    <w:rsid w:val="001B221C"/>
    <w:rsid w:val="001D76E7"/>
    <w:rsid w:val="00232EBF"/>
    <w:rsid w:val="00267FBE"/>
    <w:rsid w:val="002831F6"/>
    <w:rsid w:val="00290543"/>
    <w:rsid w:val="002C76EF"/>
    <w:rsid w:val="00301A3D"/>
    <w:rsid w:val="00361EBB"/>
    <w:rsid w:val="003A18CA"/>
    <w:rsid w:val="00420A47"/>
    <w:rsid w:val="004830AD"/>
    <w:rsid w:val="0048622E"/>
    <w:rsid w:val="004A4433"/>
    <w:rsid w:val="004B7635"/>
    <w:rsid w:val="005A22C7"/>
    <w:rsid w:val="005C365E"/>
    <w:rsid w:val="005C59B9"/>
    <w:rsid w:val="005E3CCC"/>
    <w:rsid w:val="006256F7"/>
    <w:rsid w:val="0064227C"/>
    <w:rsid w:val="006446B5"/>
    <w:rsid w:val="0065277A"/>
    <w:rsid w:val="0068556B"/>
    <w:rsid w:val="00692381"/>
    <w:rsid w:val="006C4C6E"/>
    <w:rsid w:val="006D29FA"/>
    <w:rsid w:val="006D7217"/>
    <w:rsid w:val="006F2408"/>
    <w:rsid w:val="006F505D"/>
    <w:rsid w:val="00710CA7"/>
    <w:rsid w:val="007171B4"/>
    <w:rsid w:val="007254EA"/>
    <w:rsid w:val="007272CC"/>
    <w:rsid w:val="00727444"/>
    <w:rsid w:val="0075179C"/>
    <w:rsid w:val="007705AA"/>
    <w:rsid w:val="007A6192"/>
    <w:rsid w:val="007D0498"/>
    <w:rsid w:val="007E7F05"/>
    <w:rsid w:val="007F4924"/>
    <w:rsid w:val="00833323"/>
    <w:rsid w:val="008453CA"/>
    <w:rsid w:val="0086341F"/>
    <w:rsid w:val="00864398"/>
    <w:rsid w:val="008744B4"/>
    <w:rsid w:val="008836FF"/>
    <w:rsid w:val="008E5366"/>
    <w:rsid w:val="00902220"/>
    <w:rsid w:val="00904AD5"/>
    <w:rsid w:val="00907330"/>
    <w:rsid w:val="00914306"/>
    <w:rsid w:val="009A4702"/>
    <w:rsid w:val="009B0C5F"/>
    <w:rsid w:val="009C6ACA"/>
    <w:rsid w:val="009E73D6"/>
    <w:rsid w:val="00B043F8"/>
    <w:rsid w:val="00B56035"/>
    <w:rsid w:val="00B9143A"/>
    <w:rsid w:val="00BB04E9"/>
    <w:rsid w:val="00BB7BB6"/>
    <w:rsid w:val="00C1710C"/>
    <w:rsid w:val="00C37E69"/>
    <w:rsid w:val="00C57BD1"/>
    <w:rsid w:val="00C6736B"/>
    <w:rsid w:val="00C91B8B"/>
    <w:rsid w:val="00CA7E2D"/>
    <w:rsid w:val="00D61E1C"/>
    <w:rsid w:val="00D9528A"/>
    <w:rsid w:val="00D959E0"/>
    <w:rsid w:val="00D97E32"/>
    <w:rsid w:val="00DF2BFA"/>
    <w:rsid w:val="00DF3DF3"/>
    <w:rsid w:val="00E27356"/>
    <w:rsid w:val="00E806F8"/>
    <w:rsid w:val="00ED639B"/>
    <w:rsid w:val="00F7570A"/>
    <w:rsid w:val="014660C1"/>
    <w:rsid w:val="01610122"/>
    <w:rsid w:val="02375F66"/>
    <w:rsid w:val="024E0E9C"/>
    <w:rsid w:val="026659F0"/>
    <w:rsid w:val="02AE12FB"/>
    <w:rsid w:val="032F04D8"/>
    <w:rsid w:val="033124A2"/>
    <w:rsid w:val="035B575C"/>
    <w:rsid w:val="03725F44"/>
    <w:rsid w:val="039D7B38"/>
    <w:rsid w:val="03B46C2F"/>
    <w:rsid w:val="03C54999"/>
    <w:rsid w:val="03E372CE"/>
    <w:rsid w:val="04284333"/>
    <w:rsid w:val="04344818"/>
    <w:rsid w:val="0535762D"/>
    <w:rsid w:val="054D10EA"/>
    <w:rsid w:val="059B00A7"/>
    <w:rsid w:val="05B92B63"/>
    <w:rsid w:val="05D13AC9"/>
    <w:rsid w:val="05DF3F05"/>
    <w:rsid w:val="05E06971"/>
    <w:rsid w:val="05F95366"/>
    <w:rsid w:val="0648365F"/>
    <w:rsid w:val="06C675E3"/>
    <w:rsid w:val="06CC2B97"/>
    <w:rsid w:val="06FE6B3F"/>
    <w:rsid w:val="070E6657"/>
    <w:rsid w:val="071E0F8F"/>
    <w:rsid w:val="0721282E"/>
    <w:rsid w:val="07397B77"/>
    <w:rsid w:val="07576777"/>
    <w:rsid w:val="07952044"/>
    <w:rsid w:val="079B438E"/>
    <w:rsid w:val="07A33243"/>
    <w:rsid w:val="07B471FE"/>
    <w:rsid w:val="07E15B19"/>
    <w:rsid w:val="07EA70C4"/>
    <w:rsid w:val="07F50F6B"/>
    <w:rsid w:val="081952B3"/>
    <w:rsid w:val="082A3964"/>
    <w:rsid w:val="08444A26"/>
    <w:rsid w:val="08444D3B"/>
    <w:rsid w:val="086329D2"/>
    <w:rsid w:val="08D72A91"/>
    <w:rsid w:val="08E81855"/>
    <w:rsid w:val="09310F40"/>
    <w:rsid w:val="09457501"/>
    <w:rsid w:val="09683BE0"/>
    <w:rsid w:val="09727371"/>
    <w:rsid w:val="097F0B5A"/>
    <w:rsid w:val="0AC06FF5"/>
    <w:rsid w:val="0AD32091"/>
    <w:rsid w:val="0ADB2CF4"/>
    <w:rsid w:val="0B0A6285"/>
    <w:rsid w:val="0B105525"/>
    <w:rsid w:val="0B220922"/>
    <w:rsid w:val="0B3B3792"/>
    <w:rsid w:val="0B5635A2"/>
    <w:rsid w:val="0B896BF3"/>
    <w:rsid w:val="0BFC0384"/>
    <w:rsid w:val="0C1217F0"/>
    <w:rsid w:val="0C300B2E"/>
    <w:rsid w:val="0C3C77C2"/>
    <w:rsid w:val="0C7D6CA6"/>
    <w:rsid w:val="0C9F66CF"/>
    <w:rsid w:val="0CCC34EB"/>
    <w:rsid w:val="0D722AE9"/>
    <w:rsid w:val="0D9A13CE"/>
    <w:rsid w:val="0DA47D15"/>
    <w:rsid w:val="0DED346A"/>
    <w:rsid w:val="0DFA7935"/>
    <w:rsid w:val="0E0F009D"/>
    <w:rsid w:val="0E424B5A"/>
    <w:rsid w:val="0E4523C1"/>
    <w:rsid w:val="0E464928"/>
    <w:rsid w:val="0E5C239D"/>
    <w:rsid w:val="0EAA60E0"/>
    <w:rsid w:val="0ECA7307"/>
    <w:rsid w:val="0EF25639"/>
    <w:rsid w:val="0F063D14"/>
    <w:rsid w:val="0F0E1587"/>
    <w:rsid w:val="0F1F6A0C"/>
    <w:rsid w:val="0F59068B"/>
    <w:rsid w:val="0F672951"/>
    <w:rsid w:val="0F672DA8"/>
    <w:rsid w:val="0F707EAE"/>
    <w:rsid w:val="0FA60B26"/>
    <w:rsid w:val="0FC34DF0"/>
    <w:rsid w:val="0FD13037"/>
    <w:rsid w:val="0FDC3796"/>
    <w:rsid w:val="0FF85EDB"/>
    <w:rsid w:val="10565145"/>
    <w:rsid w:val="112453F4"/>
    <w:rsid w:val="11380EA0"/>
    <w:rsid w:val="114D46C0"/>
    <w:rsid w:val="115207E0"/>
    <w:rsid w:val="11C73FD2"/>
    <w:rsid w:val="11EC3A38"/>
    <w:rsid w:val="12130FC5"/>
    <w:rsid w:val="122E4051"/>
    <w:rsid w:val="128B1394"/>
    <w:rsid w:val="12CA5B28"/>
    <w:rsid w:val="1305347A"/>
    <w:rsid w:val="1360648C"/>
    <w:rsid w:val="13890CC4"/>
    <w:rsid w:val="13CC5A27"/>
    <w:rsid w:val="143C33E3"/>
    <w:rsid w:val="14454E03"/>
    <w:rsid w:val="148D32B1"/>
    <w:rsid w:val="14B33B02"/>
    <w:rsid w:val="14FC21E4"/>
    <w:rsid w:val="15433117"/>
    <w:rsid w:val="154F26B5"/>
    <w:rsid w:val="15A62D19"/>
    <w:rsid w:val="15DF4B06"/>
    <w:rsid w:val="16677B31"/>
    <w:rsid w:val="16DE7DF3"/>
    <w:rsid w:val="16FC64CC"/>
    <w:rsid w:val="17140673"/>
    <w:rsid w:val="17335AB8"/>
    <w:rsid w:val="17725B24"/>
    <w:rsid w:val="17D67188"/>
    <w:rsid w:val="17F92A0B"/>
    <w:rsid w:val="18117A91"/>
    <w:rsid w:val="183121A5"/>
    <w:rsid w:val="18470643"/>
    <w:rsid w:val="187F1162"/>
    <w:rsid w:val="18AA0F39"/>
    <w:rsid w:val="18C61BC8"/>
    <w:rsid w:val="18C80786"/>
    <w:rsid w:val="18E55A10"/>
    <w:rsid w:val="18FC0A05"/>
    <w:rsid w:val="190B2632"/>
    <w:rsid w:val="19106403"/>
    <w:rsid w:val="19277699"/>
    <w:rsid w:val="19297320"/>
    <w:rsid w:val="197B7B2D"/>
    <w:rsid w:val="19BC5265"/>
    <w:rsid w:val="19D11E91"/>
    <w:rsid w:val="19E6554B"/>
    <w:rsid w:val="1A3E56E2"/>
    <w:rsid w:val="1A513357"/>
    <w:rsid w:val="1A643017"/>
    <w:rsid w:val="1A8823FD"/>
    <w:rsid w:val="1AC47300"/>
    <w:rsid w:val="1B244243"/>
    <w:rsid w:val="1B3758EF"/>
    <w:rsid w:val="1B7C7BDB"/>
    <w:rsid w:val="1BC206A3"/>
    <w:rsid w:val="1BDA5895"/>
    <w:rsid w:val="1BFE2CE6"/>
    <w:rsid w:val="1C247350"/>
    <w:rsid w:val="1C580BFD"/>
    <w:rsid w:val="1CD53A47"/>
    <w:rsid w:val="1D1976A4"/>
    <w:rsid w:val="1DAFF741"/>
    <w:rsid w:val="1DB63878"/>
    <w:rsid w:val="1DDC5D8A"/>
    <w:rsid w:val="1E05035C"/>
    <w:rsid w:val="1E4733E3"/>
    <w:rsid w:val="1E5B61CE"/>
    <w:rsid w:val="1E8079E2"/>
    <w:rsid w:val="1E870D71"/>
    <w:rsid w:val="1ECC70CB"/>
    <w:rsid w:val="1ED35C11"/>
    <w:rsid w:val="1EE3611A"/>
    <w:rsid w:val="1F0423C1"/>
    <w:rsid w:val="1F4E188E"/>
    <w:rsid w:val="1F562301"/>
    <w:rsid w:val="1F5D0F05"/>
    <w:rsid w:val="1F7312F5"/>
    <w:rsid w:val="1F8F340E"/>
    <w:rsid w:val="20014C4D"/>
    <w:rsid w:val="201E3957"/>
    <w:rsid w:val="20C05F1B"/>
    <w:rsid w:val="20C77B4A"/>
    <w:rsid w:val="20D12777"/>
    <w:rsid w:val="21004E0A"/>
    <w:rsid w:val="21013A21"/>
    <w:rsid w:val="211A5ECC"/>
    <w:rsid w:val="21B614D3"/>
    <w:rsid w:val="21B865F5"/>
    <w:rsid w:val="21D17CF8"/>
    <w:rsid w:val="21DF6DEE"/>
    <w:rsid w:val="21E97C9E"/>
    <w:rsid w:val="22094EF8"/>
    <w:rsid w:val="221E19EC"/>
    <w:rsid w:val="222A65E3"/>
    <w:rsid w:val="22355B6E"/>
    <w:rsid w:val="22664026"/>
    <w:rsid w:val="226D26AF"/>
    <w:rsid w:val="22B67745"/>
    <w:rsid w:val="2318468D"/>
    <w:rsid w:val="232623FE"/>
    <w:rsid w:val="239C07D8"/>
    <w:rsid w:val="23A423C5"/>
    <w:rsid w:val="23BA1BE8"/>
    <w:rsid w:val="23DC390D"/>
    <w:rsid w:val="23FB6C61"/>
    <w:rsid w:val="24503617"/>
    <w:rsid w:val="24C17577"/>
    <w:rsid w:val="24C90617"/>
    <w:rsid w:val="250F356E"/>
    <w:rsid w:val="25830E85"/>
    <w:rsid w:val="25975FC6"/>
    <w:rsid w:val="259C56A9"/>
    <w:rsid w:val="25DF77C5"/>
    <w:rsid w:val="26061115"/>
    <w:rsid w:val="26141E39"/>
    <w:rsid w:val="261D0241"/>
    <w:rsid w:val="266F6CBA"/>
    <w:rsid w:val="26706298"/>
    <w:rsid w:val="271D1856"/>
    <w:rsid w:val="274665B7"/>
    <w:rsid w:val="274A3DA9"/>
    <w:rsid w:val="276D4C1B"/>
    <w:rsid w:val="27A47FDD"/>
    <w:rsid w:val="27CB488E"/>
    <w:rsid w:val="27DF5779"/>
    <w:rsid w:val="27F37B5A"/>
    <w:rsid w:val="299D42CA"/>
    <w:rsid w:val="299D58EC"/>
    <w:rsid w:val="29B42C36"/>
    <w:rsid w:val="29DA6B40"/>
    <w:rsid w:val="2A771ED4"/>
    <w:rsid w:val="2A862824"/>
    <w:rsid w:val="2AC9703A"/>
    <w:rsid w:val="2B470A4E"/>
    <w:rsid w:val="2B732DA8"/>
    <w:rsid w:val="2B990335"/>
    <w:rsid w:val="2BCC24B9"/>
    <w:rsid w:val="2BDE5221"/>
    <w:rsid w:val="2BF37A45"/>
    <w:rsid w:val="2BF770A9"/>
    <w:rsid w:val="2C171EF5"/>
    <w:rsid w:val="2C541BEC"/>
    <w:rsid w:val="2CA614FA"/>
    <w:rsid w:val="2CB5119F"/>
    <w:rsid w:val="2CE45F9B"/>
    <w:rsid w:val="2CF63C91"/>
    <w:rsid w:val="2CF7293F"/>
    <w:rsid w:val="2CF945C2"/>
    <w:rsid w:val="2CFC0B7C"/>
    <w:rsid w:val="2D200D0E"/>
    <w:rsid w:val="2D2834C5"/>
    <w:rsid w:val="2D346567"/>
    <w:rsid w:val="2D377615"/>
    <w:rsid w:val="2D571192"/>
    <w:rsid w:val="2D5A7455"/>
    <w:rsid w:val="2D6C3F53"/>
    <w:rsid w:val="2D6E3085"/>
    <w:rsid w:val="2D9E60D7"/>
    <w:rsid w:val="2DEC299E"/>
    <w:rsid w:val="2DFD4BAB"/>
    <w:rsid w:val="2E6102A1"/>
    <w:rsid w:val="2E673A30"/>
    <w:rsid w:val="2E884DBD"/>
    <w:rsid w:val="2E933762"/>
    <w:rsid w:val="2E992738"/>
    <w:rsid w:val="2E9C2616"/>
    <w:rsid w:val="2EB57234"/>
    <w:rsid w:val="2EFA1199"/>
    <w:rsid w:val="2F1403FE"/>
    <w:rsid w:val="2F1A5892"/>
    <w:rsid w:val="2F251407"/>
    <w:rsid w:val="2F8D01B1"/>
    <w:rsid w:val="2F8D0EA8"/>
    <w:rsid w:val="2F994DA8"/>
    <w:rsid w:val="2FAA48BF"/>
    <w:rsid w:val="2FD14541"/>
    <w:rsid w:val="2FF40574"/>
    <w:rsid w:val="30036FFF"/>
    <w:rsid w:val="30077F63"/>
    <w:rsid w:val="304E2C57"/>
    <w:rsid w:val="306F78E5"/>
    <w:rsid w:val="308A26A8"/>
    <w:rsid w:val="30997731"/>
    <w:rsid w:val="30B434BA"/>
    <w:rsid w:val="30D81900"/>
    <w:rsid w:val="30E014C3"/>
    <w:rsid w:val="30EB1633"/>
    <w:rsid w:val="30F82A24"/>
    <w:rsid w:val="3189350C"/>
    <w:rsid w:val="31A422DF"/>
    <w:rsid w:val="31DB3455"/>
    <w:rsid w:val="31E247E4"/>
    <w:rsid w:val="31E607C9"/>
    <w:rsid w:val="3200580A"/>
    <w:rsid w:val="320C1870"/>
    <w:rsid w:val="32127826"/>
    <w:rsid w:val="322E7A29"/>
    <w:rsid w:val="323F3D9E"/>
    <w:rsid w:val="325E6865"/>
    <w:rsid w:val="32C959A4"/>
    <w:rsid w:val="32FC18D5"/>
    <w:rsid w:val="33727DEA"/>
    <w:rsid w:val="33CA5530"/>
    <w:rsid w:val="33FC5905"/>
    <w:rsid w:val="33FF4486"/>
    <w:rsid w:val="34154A72"/>
    <w:rsid w:val="34352502"/>
    <w:rsid w:val="34691BF9"/>
    <w:rsid w:val="347413B3"/>
    <w:rsid w:val="34A32E3F"/>
    <w:rsid w:val="35683DE9"/>
    <w:rsid w:val="3574169A"/>
    <w:rsid w:val="357C4F4F"/>
    <w:rsid w:val="358E7A9E"/>
    <w:rsid w:val="35CF7305"/>
    <w:rsid w:val="36016994"/>
    <w:rsid w:val="36104B37"/>
    <w:rsid w:val="3659703F"/>
    <w:rsid w:val="368232B6"/>
    <w:rsid w:val="36C643E9"/>
    <w:rsid w:val="36F01751"/>
    <w:rsid w:val="370313A7"/>
    <w:rsid w:val="37123CED"/>
    <w:rsid w:val="37364881"/>
    <w:rsid w:val="373C39F1"/>
    <w:rsid w:val="37421881"/>
    <w:rsid w:val="37441A9D"/>
    <w:rsid w:val="375021F0"/>
    <w:rsid w:val="375B4F88"/>
    <w:rsid w:val="37BC6388"/>
    <w:rsid w:val="37C404E8"/>
    <w:rsid w:val="37FB060D"/>
    <w:rsid w:val="38431D54"/>
    <w:rsid w:val="385F7EA5"/>
    <w:rsid w:val="389C0A0B"/>
    <w:rsid w:val="38B92017"/>
    <w:rsid w:val="391159AF"/>
    <w:rsid w:val="39224D6F"/>
    <w:rsid w:val="392E59B4"/>
    <w:rsid w:val="39543D0A"/>
    <w:rsid w:val="39767B9A"/>
    <w:rsid w:val="39D639FE"/>
    <w:rsid w:val="3A175247"/>
    <w:rsid w:val="3A2550DD"/>
    <w:rsid w:val="3A2B0CF2"/>
    <w:rsid w:val="3A3E0A25"/>
    <w:rsid w:val="3A691396"/>
    <w:rsid w:val="3A831862"/>
    <w:rsid w:val="3A9E261D"/>
    <w:rsid w:val="3AAB3F75"/>
    <w:rsid w:val="3B9C1479"/>
    <w:rsid w:val="3C2F4917"/>
    <w:rsid w:val="3C3E2F5F"/>
    <w:rsid w:val="3CDC1D33"/>
    <w:rsid w:val="3CF17FD1"/>
    <w:rsid w:val="3D163594"/>
    <w:rsid w:val="3D2551B7"/>
    <w:rsid w:val="3D2A703F"/>
    <w:rsid w:val="3D2F0AD6"/>
    <w:rsid w:val="3D2F0AF9"/>
    <w:rsid w:val="3D3659E4"/>
    <w:rsid w:val="3D971EA2"/>
    <w:rsid w:val="3DC72AE0"/>
    <w:rsid w:val="3DF151A7"/>
    <w:rsid w:val="3E247F32"/>
    <w:rsid w:val="3E9776C5"/>
    <w:rsid w:val="3E9D3838"/>
    <w:rsid w:val="3EB42C76"/>
    <w:rsid w:val="3EDC6214"/>
    <w:rsid w:val="3F0A537A"/>
    <w:rsid w:val="3F4A1C1A"/>
    <w:rsid w:val="3F5B3E28"/>
    <w:rsid w:val="3F5E56C6"/>
    <w:rsid w:val="3F80388E"/>
    <w:rsid w:val="3FAC745B"/>
    <w:rsid w:val="3FB6105E"/>
    <w:rsid w:val="3FC306F2"/>
    <w:rsid w:val="3FC733A8"/>
    <w:rsid w:val="3FCB2D5B"/>
    <w:rsid w:val="3FCC4F7F"/>
    <w:rsid w:val="3FE45BCB"/>
    <w:rsid w:val="40436D96"/>
    <w:rsid w:val="40750F19"/>
    <w:rsid w:val="40793F3F"/>
    <w:rsid w:val="409A683A"/>
    <w:rsid w:val="40B437EF"/>
    <w:rsid w:val="40D043A1"/>
    <w:rsid w:val="40E12FE8"/>
    <w:rsid w:val="414D59F2"/>
    <w:rsid w:val="415154E2"/>
    <w:rsid w:val="41B82358"/>
    <w:rsid w:val="421B789E"/>
    <w:rsid w:val="42536B3D"/>
    <w:rsid w:val="429F0276"/>
    <w:rsid w:val="42B847B4"/>
    <w:rsid w:val="43411CF2"/>
    <w:rsid w:val="439F57A4"/>
    <w:rsid w:val="43C74575"/>
    <w:rsid w:val="43FA3ABF"/>
    <w:rsid w:val="447433C5"/>
    <w:rsid w:val="44F00032"/>
    <w:rsid w:val="45097E82"/>
    <w:rsid w:val="455416DC"/>
    <w:rsid w:val="45706093"/>
    <w:rsid w:val="45A81C96"/>
    <w:rsid w:val="45B42C24"/>
    <w:rsid w:val="45C33AC6"/>
    <w:rsid w:val="461B1C1B"/>
    <w:rsid w:val="46256F3D"/>
    <w:rsid w:val="464B24B1"/>
    <w:rsid w:val="464F1A25"/>
    <w:rsid w:val="46893028"/>
    <w:rsid w:val="469B0D50"/>
    <w:rsid w:val="46BC33FE"/>
    <w:rsid w:val="46D149CF"/>
    <w:rsid w:val="46E01EF3"/>
    <w:rsid w:val="46F830F8"/>
    <w:rsid w:val="4701087D"/>
    <w:rsid w:val="47046B53"/>
    <w:rsid w:val="470B1C8F"/>
    <w:rsid w:val="47490A0A"/>
    <w:rsid w:val="475E2707"/>
    <w:rsid w:val="476720F8"/>
    <w:rsid w:val="47A33F4F"/>
    <w:rsid w:val="47A34D37"/>
    <w:rsid w:val="47BD572C"/>
    <w:rsid w:val="47CD5197"/>
    <w:rsid w:val="4807074F"/>
    <w:rsid w:val="484A67E7"/>
    <w:rsid w:val="485E687F"/>
    <w:rsid w:val="486125B1"/>
    <w:rsid w:val="48A759E8"/>
    <w:rsid w:val="49396F88"/>
    <w:rsid w:val="496C0591"/>
    <w:rsid w:val="497D6CA8"/>
    <w:rsid w:val="498256B8"/>
    <w:rsid w:val="49A32653"/>
    <w:rsid w:val="49B66A74"/>
    <w:rsid w:val="49C11094"/>
    <w:rsid w:val="49CF169A"/>
    <w:rsid w:val="49DC3DB7"/>
    <w:rsid w:val="49E30CA1"/>
    <w:rsid w:val="49F11610"/>
    <w:rsid w:val="4A0D1AB3"/>
    <w:rsid w:val="4A1C41B3"/>
    <w:rsid w:val="4A5907A7"/>
    <w:rsid w:val="4A7E749E"/>
    <w:rsid w:val="4A9F10DB"/>
    <w:rsid w:val="4B0E268C"/>
    <w:rsid w:val="4B2E67E5"/>
    <w:rsid w:val="4B367F5F"/>
    <w:rsid w:val="4B3F0159"/>
    <w:rsid w:val="4B5E0F27"/>
    <w:rsid w:val="4B647BC0"/>
    <w:rsid w:val="4B826816"/>
    <w:rsid w:val="4B8F3432"/>
    <w:rsid w:val="4BCF3BD3"/>
    <w:rsid w:val="4BD905AE"/>
    <w:rsid w:val="4C107D48"/>
    <w:rsid w:val="4C404189"/>
    <w:rsid w:val="4C547C35"/>
    <w:rsid w:val="4CD32344"/>
    <w:rsid w:val="4D1D271C"/>
    <w:rsid w:val="4D904398"/>
    <w:rsid w:val="4D9B2D4C"/>
    <w:rsid w:val="4DCD5EF0"/>
    <w:rsid w:val="4DE24E53"/>
    <w:rsid w:val="4DF55447"/>
    <w:rsid w:val="4DF85023"/>
    <w:rsid w:val="4E1A4EAE"/>
    <w:rsid w:val="4E6A304A"/>
    <w:rsid w:val="4EAC01FC"/>
    <w:rsid w:val="4EB67E4F"/>
    <w:rsid w:val="4F180F6D"/>
    <w:rsid w:val="4F7D39F4"/>
    <w:rsid w:val="4FC13833"/>
    <w:rsid w:val="4FD277EE"/>
    <w:rsid w:val="5006393C"/>
    <w:rsid w:val="501669E8"/>
    <w:rsid w:val="50333639"/>
    <w:rsid w:val="503F314A"/>
    <w:rsid w:val="5049071F"/>
    <w:rsid w:val="5055523B"/>
    <w:rsid w:val="50B404AC"/>
    <w:rsid w:val="512A680F"/>
    <w:rsid w:val="51363DAD"/>
    <w:rsid w:val="51502C40"/>
    <w:rsid w:val="515311FD"/>
    <w:rsid w:val="51903ADB"/>
    <w:rsid w:val="51983176"/>
    <w:rsid w:val="51E7154B"/>
    <w:rsid w:val="51FB409D"/>
    <w:rsid w:val="521A722A"/>
    <w:rsid w:val="528C1D4E"/>
    <w:rsid w:val="529B480F"/>
    <w:rsid w:val="52A412CF"/>
    <w:rsid w:val="52B61649"/>
    <w:rsid w:val="52BC29D7"/>
    <w:rsid w:val="53165C44"/>
    <w:rsid w:val="531B22DB"/>
    <w:rsid w:val="537B293C"/>
    <w:rsid w:val="53A6721A"/>
    <w:rsid w:val="54324CFF"/>
    <w:rsid w:val="544E36B1"/>
    <w:rsid w:val="54873B96"/>
    <w:rsid w:val="54AF45A2"/>
    <w:rsid w:val="54BF1612"/>
    <w:rsid w:val="54D47B64"/>
    <w:rsid w:val="54F57361"/>
    <w:rsid w:val="551B39E5"/>
    <w:rsid w:val="55523002"/>
    <w:rsid w:val="557234F5"/>
    <w:rsid w:val="56080E28"/>
    <w:rsid w:val="563A7E9B"/>
    <w:rsid w:val="564156CE"/>
    <w:rsid w:val="567732E6"/>
    <w:rsid w:val="56B637B6"/>
    <w:rsid w:val="56F3629C"/>
    <w:rsid w:val="5733141F"/>
    <w:rsid w:val="578B1008"/>
    <w:rsid w:val="57FA0181"/>
    <w:rsid w:val="57FB47AE"/>
    <w:rsid w:val="58A37CF6"/>
    <w:rsid w:val="58C223CA"/>
    <w:rsid w:val="58E446C9"/>
    <w:rsid w:val="58F85DEC"/>
    <w:rsid w:val="59047560"/>
    <w:rsid w:val="59162E41"/>
    <w:rsid w:val="591E23E1"/>
    <w:rsid w:val="593C2BA3"/>
    <w:rsid w:val="594F0101"/>
    <w:rsid w:val="5975743C"/>
    <w:rsid w:val="59823B14"/>
    <w:rsid w:val="59B14918"/>
    <w:rsid w:val="59C33A3E"/>
    <w:rsid w:val="59C503C4"/>
    <w:rsid w:val="59D10B16"/>
    <w:rsid w:val="59DF059A"/>
    <w:rsid w:val="59EE525F"/>
    <w:rsid w:val="59F9295B"/>
    <w:rsid w:val="59FA1835"/>
    <w:rsid w:val="5A02006D"/>
    <w:rsid w:val="5A04713E"/>
    <w:rsid w:val="5A2A7B93"/>
    <w:rsid w:val="5A4E03B9"/>
    <w:rsid w:val="5A8121EE"/>
    <w:rsid w:val="5AA77DB5"/>
    <w:rsid w:val="5AB65EE9"/>
    <w:rsid w:val="5AC62645"/>
    <w:rsid w:val="5AE84831"/>
    <w:rsid w:val="5B155FCB"/>
    <w:rsid w:val="5B2E3D47"/>
    <w:rsid w:val="5B526448"/>
    <w:rsid w:val="5B9317DB"/>
    <w:rsid w:val="5B9C5AAD"/>
    <w:rsid w:val="5BBB7CD0"/>
    <w:rsid w:val="5BFB086D"/>
    <w:rsid w:val="5C0E2225"/>
    <w:rsid w:val="5C4C0240"/>
    <w:rsid w:val="5C61579B"/>
    <w:rsid w:val="5C735194"/>
    <w:rsid w:val="5C9F3FFC"/>
    <w:rsid w:val="5CA17555"/>
    <w:rsid w:val="5CA50038"/>
    <w:rsid w:val="5CCB7A9F"/>
    <w:rsid w:val="5CCD4100"/>
    <w:rsid w:val="5CE34B66"/>
    <w:rsid w:val="5D621868"/>
    <w:rsid w:val="5D634635"/>
    <w:rsid w:val="5D7013EE"/>
    <w:rsid w:val="5D867E6A"/>
    <w:rsid w:val="5DA62893"/>
    <w:rsid w:val="5DC5275A"/>
    <w:rsid w:val="5DFD637E"/>
    <w:rsid w:val="5E6E102A"/>
    <w:rsid w:val="5E824AD5"/>
    <w:rsid w:val="5EB96C36"/>
    <w:rsid w:val="5EBA426F"/>
    <w:rsid w:val="5ED85D88"/>
    <w:rsid w:val="5F313B53"/>
    <w:rsid w:val="5F385194"/>
    <w:rsid w:val="5FB152B9"/>
    <w:rsid w:val="5FB25344"/>
    <w:rsid w:val="5FEC48FC"/>
    <w:rsid w:val="605C0900"/>
    <w:rsid w:val="60885CA7"/>
    <w:rsid w:val="609C542E"/>
    <w:rsid w:val="616E1341"/>
    <w:rsid w:val="61A134C4"/>
    <w:rsid w:val="61D6007B"/>
    <w:rsid w:val="61F3516C"/>
    <w:rsid w:val="620D5E36"/>
    <w:rsid w:val="621625BE"/>
    <w:rsid w:val="622D4D58"/>
    <w:rsid w:val="62854B94"/>
    <w:rsid w:val="62952214"/>
    <w:rsid w:val="632077B4"/>
    <w:rsid w:val="63314817"/>
    <w:rsid w:val="635822A8"/>
    <w:rsid w:val="635C3B47"/>
    <w:rsid w:val="638D1F52"/>
    <w:rsid w:val="63FE1652"/>
    <w:rsid w:val="64061D04"/>
    <w:rsid w:val="645541F9"/>
    <w:rsid w:val="64CD637E"/>
    <w:rsid w:val="64E5123A"/>
    <w:rsid w:val="653428EA"/>
    <w:rsid w:val="65532D27"/>
    <w:rsid w:val="655F791E"/>
    <w:rsid w:val="65BC6B1F"/>
    <w:rsid w:val="65D33DA4"/>
    <w:rsid w:val="66482160"/>
    <w:rsid w:val="669F1927"/>
    <w:rsid w:val="66AF22B7"/>
    <w:rsid w:val="67277FC8"/>
    <w:rsid w:val="675379F3"/>
    <w:rsid w:val="67982FB2"/>
    <w:rsid w:val="67B62DCC"/>
    <w:rsid w:val="67EE6D37"/>
    <w:rsid w:val="680E73DA"/>
    <w:rsid w:val="68126ECA"/>
    <w:rsid w:val="682A65AB"/>
    <w:rsid w:val="68444BA9"/>
    <w:rsid w:val="684F3094"/>
    <w:rsid w:val="68886FC7"/>
    <w:rsid w:val="694330B3"/>
    <w:rsid w:val="694E624C"/>
    <w:rsid w:val="69605A13"/>
    <w:rsid w:val="698C734E"/>
    <w:rsid w:val="699543C8"/>
    <w:rsid w:val="69BD514B"/>
    <w:rsid w:val="6A301889"/>
    <w:rsid w:val="6A80346D"/>
    <w:rsid w:val="6AC71E7B"/>
    <w:rsid w:val="6ACA583A"/>
    <w:rsid w:val="6AE368FC"/>
    <w:rsid w:val="6AEC6501"/>
    <w:rsid w:val="6AF01018"/>
    <w:rsid w:val="6C02704F"/>
    <w:rsid w:val="6C0E1756"/>
    <w:rsid w:val="6C315445"/>
    <w:rsid w:val="6C5A499B"/>
    <w:rsid w:val="6C5C11C9"/>
    <w:rsid w:val="6CC36596"/>
    <w:rsid w:val="6CD3617E"/>
    <w:rsid w:val="6CFA6160"/>
    <w:rsid w:val="6D0B038C"/>
    <w:rsid w:val="6D1C5C94"/>
    <w:rsid w:val="6D727A37"/>
    <w:rsid w:val="6DA31507"/>
    <w:rsid w:val="6E19713D"/>
    <w:rsid w:val="6E5813AF"/>
    <w:rsid w:val="6E5D69C5"/>
    <w:rsid w:val="6E745C57"/>
    <w:rsid w:val="6E8D77E2"/>
    <w:rsid w:val="6E923C2D"/>
    <w:rsid w:val="6EBF1A77"/>
    <w:rsid w:val="6EC00BE2"/>
    <w:rsid w:val="6F59718C"/>
    <w:rsid w:val="6F915675"/>
    <w:rsid w:val="6F933AED"/>
    <w:rsid w:val="6FC7611B"/>
    <w:rsid w:val="6FEB735C"/>
    <w:rsid w:val="6FF5B2AA"/>
    <w:rsid w:val="6FFF9190"/>
    <w:rsid w:val="707F4466"/>
    <w:rsid w:val="70B22DC9"/>
    <w:rsid w:val="70CE3BAA"/>
    <w:rsid w:val="70DD3FC2"/>
    <w:rsid w:val="71436346"/>
    <w:rsid w:val="718E2D57"/>
    <w:rsid w:val="71C46F1C"/>
    <w:rsid w:val="7234691D"/>
    <w:rsid w:val="72610CC7"/>
    <w:rsid w:val="72856038"/>
    <w:rsid w:val="72895FDA"/>
    <w:rsid w:val="729624A5"/>
    <w:rsid w:val="72D0112D"/>
    <w:rsid w:val="72E773E5"/>
    <w:rsid w:val="73515B69"/>
    <w:rsid w:val="73625331"/>
    <w:rsid w:val="73656370"/>
    <w:rsid w:val="73A6496A"/>
    <w:rsid w:val="73EB22BF"/>
    <w:rsid w:val="74091FB6"/>
    <w:rsid w:val="742A570F"/>
    <w:rsid w:val="745145CE"/>
    <w:rsid w:val="74716D26"/>
    <w:rsid w:val="74890514"/>
    <w:rsid w:val="75083042"/>
    <w:rsid w:val="751E1C4C"/>
    <w:rsid w:val="75A7324B"/>
    <w:rsid w:val="75BA07D1"/>
    <w:rsid w:val="76DE43A6"/>
    <w:rsid w:val="773A3D47"/>
    <w:rsid w:val="777D3BB6"/>
    <w:rsid w:val="77DC1CC2"/>
    <w:rsid w:val="77EC344A"/>
    <w:rsid w:val="78762B5D"/>
    <w:rsid w:val="78B26C9C"/>
    <w:rsid w:val="78D67634"/>
    <w:rsid w:val="78E81581"/>
    <w:rsid w:val="79295E21"/>
    <w:rsid w:val="793F3897"/>
    <w:rsid w:val="79545F71"/>
    <w:rsid w:val="797D616D"/>
    <w:rsid w:val="79856DD0"/>
    <w:rsid w:val="79A22FCC"/>
    <w:rsid w:val="79E9735F"/>
    <w:rsid w:val="7AA35D0F"/>
    <w:rsid w:val="7AE5C40B"/>
    <w:rsid w:val="7AF27597"/>
    <w:rsid w:val="7B09415C"/>
    <w:rsid w:val="7B494B47"/>
    <w:rsid w:val="7B8D6BCE"/>
    <w:rsid w:val="7BDD1145"/>
    <w:rsid w:val="7BE70E9C"/>
    <w:rsid w:val="7BFE17E7"/>
    <w:rsid w:val="7C374CF9"/>
    <w:rsid w:val="7CB925E2"/>
    <w:rsid w:val="7CC813AA"/>
    <w:rsid w:val="7CE51182"/>
    <w:rsid w:val="7DA939D5"/>
    <w:rsid w:val="7DB748F3"/>
    <w:rsid w:val="7DBD2A9C"/>
    <w:rsid w:val="7DC76381"/>
    <w:rsid w:val="7DD13FA4"/>
    <w:rsid w:val="7DD56382"/>
    <w:rsid w:val="7DF33068"/>
    <w:rsid w:val="7E36223B"/>
    <w:rsid w:val="7E435E3D"/>
    <w:rsid w:val="7E4A0251"/>
    <w:rsid w:val="7E525E1A"/>
    <w:rsid w:val="7E5F2F81"/>
    <w:rsid w:val="7E7A4D36"/>
    <w:rsid w:val="7EC21F19"/>
    <w:rsid w:val="7EFB0260"/>
    <w:rsid w:val="7F4354EC"/>
    <w:rsid w:val="7F7626B0"/>
    <w:rsid w:val="7FB63D8B"/>
    <w:rsid w:val="7FD12D6F"/>
    <w:rsid w:val="B7BF7EAC"/>
    <w:rsid w:val="C7B72446"/>
    <w:rsid w:val="ECFF2EFC"/>
    <w:rsid w:val="F9B7F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line="700" w:lineRule="exact"/>
      <w:jc w:val="center"/>
      <w:outlineLvl w:val="0"/>
    </w:pPr>
    <w:rPr>
      <w:rFonts w:ascii="Calibri" w:hAnsi="Calibri" w:eastAsia="方正小标宋_GBK" w:cs="Times New Roman"/>
      <w:kern w:val="44"/>
      <w:sz w:val="44"/>
    </w:rPr>
  </w:style>
  <w:style w:type="paragraph" w:styleId="5">
    <w:name w:val="heading 3"/>
    <w:basedOn w:val="1"/>
    <w:next w:val="1"/>
    <w:unhideWhenUsed/>
    <w:qFormat/>
    <w:uiPriority w:val="9"/>
    <w:pPr>
      <w:spacing w:beforeLines="50" w:afterLines="50" w:line="600" w:lineRule="exact"/>
      <w:ind w:firstLine="863" w:firstLineChars="200"/>
      <w:outlineLvl w:val="2"/>
    </w:pPr>
    <w:rPr>
      <w:rFonts w:hint="eastAsia" w:ascii="宋体" w:hAnsi="宋体" w:eastAsia="黑体" w:cs="Times New Roman"/>
      <w:bCs/>
      <w:kern w:val="2"/>
      <w:sz w:val="32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/>
      <w:ind w:firstLine="420"/>
    </w:pPr>
    <w:rPr>
      <w:rFonts w:ascii="Calibri" w:hAnsi="Calibri"/>
    </w:rPr>
  </w:style>
  <w:style w:type="paragraph" w:styleId="3">
    <w:name w:val="Body Text Indent"/>
    <w:basedOn w:val="1"/>
    <w:next w:val="2"/>
    <w:unhideWhenUsed/>
    <w:qFormat/>
    <w:uiPriority w:val="0"/>
    <w:pPr>
      <w:spacing w:after="120"/>
      <w:ind w:left="420" w:leftChars="200"/>
    </w:pPr>
  </w:style>
  <w:style w:type="paragraph" w:styleId="6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9">
    <w:name w:val="toc 1"/>
    <w:basedOn w:val="1"/>
    <w:next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</w:style>
  <w:style w:type="paragraph" w:customStyle="1" w:styleId="15">
    <w:name w:val="BodyText1I"/>
    <w:basedOn w:val="1"/>
    <w:qFormat/>
    <w:uiPriority w:val="99"/>
    <w:pPr>
      <w:spacing w:line="360" w:lineRule="auto"/>
      <w:ind w:firstLine="420" w:firstLineChars="100"/>
    </w:pPr>
    <w:rPr>
      <w:sz w:val="28"/>
      <w:szCs w:val="20"/>
    </w:rPr>
  </w:style>
  <w:style w:type="paragraph" w:customStyle="1" w:styleId="16">
    <w:name w:val="Default"/>
    <w:basedOn w:val="1"/>
    <w:qFormat/>
    <w:uiPriority w:val="0"/>
    <w:pPr>
      <w:widowControl w:val="0"/>
      <w:kinsoku/>
      <w:snapToGrid/>
      <w:textAlignment w:val="auto"/>
    </w:pPr>
    <w:rPr>
      <w:rFonts w:ascii="黑体" w:hAnsi="Calibri" w:eastAsia="黑体" w:cs="宋体"/>
      <w:snapToGrid/>
      <w:sz w:val="24"/>
      <w:szCs w:val="24"/>
      <w:lang w:eastAsia="zh-CN"/>
    </w:rPr>
  </w:style>
  <w:style w:type="paragraph" w:styleId="17">
    <w:name w:val="List Paragraph"/>
    <w:basedOn w:val="1"/>
    <w:qFormat/>
    <w:uiPriority w:val="99"/>
    <w:pPr>
      <w:kinsoku/>
      <w:autoSpaceDE/>
      <w:autoSpaceDN/>
      <w:spacing w:after="200"/>
      <w:ind w:firstLine="420" w:firstLineChars="200"/>
      <w:textAlignment w:val="auto"/>
    </w:pPr>
    <w:rPr>
      <w:rFonts w:ascii="Tahoma" w:hAnsi="Tahoma" w:eastAsia="微软雅黑" w:cstheme="minorBidi"/>
      <w:snapToGrid/>
      <w:color w:val="auto"/>
      <w:sz w:val="22"/>
      <w:szCs w:val="22"/>
      <w:lang w:eastAsia="zh-CN"/>
    </w:rPr>
  </w:style>
  <w:style w:type="paragraph" w:customStyle="1" w:styleId="18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等线" w:hAnsi="等线" w:eastAsia="等线" w:cs="Times New Roman"/>
      <w:snapToGrid/>
      <w:color w:val="auto"/>
      <w:kern w:val="2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0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7177</Words>
  <Characters>7416</Characters>
  <Lines>22</Lines>
  <Paragraphs>6</Paragraphs>
  <TotalTime>1</TotalTime>
  <ScaleCrop>false</ScaleCrop>
  <LinksUpToDate>false</LinksUpToDate>
  <CharactersWithSpaces>7489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2025-02-27T06:59:00Z</dcterms:created>
  <dc:creator>Kingsoft-PDF</dc:creator>
  <cp:lastModifiedBy>thtf</cp:lastModifiedBy>
  <cp:lastPrinted>2025-03-12T02:39:00Z</cp:lastPrinted>
  <dcterms:modified xsi:type="dcterms:W3CDTF">2025-09-25T17:41:16Z</dcterms:modified>
  <dc:subject>pdfbuilder</dc:subject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2025-02-26T14:59:37Z</vt:filetime>
  </property>
  <property fmtid="{D5CDD505-2E9C-101B-9397-08002B2CF9AE}" pid="4" name="UsrData">
    <vt:lpwstr>67bebbd2db2cf3001fe95ab1wl</vt:lpwstr>
  </property>
  <property fmtid="{D5CDD505-2E9C-101B-9397-08002B2CF9AE}" pid="5" name="KSOTemplateDocerSaveRecord">
    <vt:lpwstr>eyJoZGlkIjoiYmE3N2Y4ZjMxMDlhNDJlYjVjODJmZGNkZmUzNjBhMGEiLCJ1c2VySWQiOiI4NTAxNjcyNTcifQ==</vt:lpwstr>
  </property>
  <property fmtid="{D5CDD505-2E9C-101B-9397-08002B2CF9AE}" pid="6" name="KSOProductBuildVer">
    <vt:lpwstr>2052-11.8.2.10125</vt:lpwstr>
  </property>
  <property fmtid="{D5CDD505-2E9C-101B-9397-08002B2CF9AE}" pid="7" name="ICV">
    <vt:lpwstr>7AAF754DC0A947628AB5F4330BDDD554_13</vt:lpwstr>
  </property>
</Properties>
</file>