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224" w:lineRule="auto"/>
        <w:rPr>
          <w:rFonts w:hint="eastAsia"/>
          <w:spacing w:val="19"/>
          <w:sz w:val="32"/>
          <w:szCs w:val="32"/>
          <w:lang w:eastAsia="zh-CN"/>
        </w:rPr>
      </w:pPr>
      <w:r>
        <w:rPr>
          <w:spacing w:val="19"/>
          <w:sz w:val="32"/>
          <w:szCs w:val="32"/>
          <w:lang w:eastAsia="zh-CN"/>
        </w:rPr>
        <w:t>附件2</w:t>
      </w: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rPr>
          <w:lang w:eastAsia="zh-CN"/>
        </w:rPr>
      </w:pPr>
    </w:p>
    <w:p>
      <w:pPr>
        <w:spacing w:line="248" w:lineRule="auto"/>
        <w:jc w:val="center"/>
        <w:rPr>
          <w:lang w:eastAsia="zh-CN"/>
        </w:rPr>
      </w:pPr>
    </w:p>
    <w:p>
      <w:pPr>
        <w:spacing w:line="248" w:lineRule="auto"/>
        <w:jc w:val="center"/>
        <w:rPr>
          <w:lang w:eastAsia="zh-CN"/>
        </w:rPr>
      </w:pPr>
    </w:p>
    <w:p>
      <w:pPr>
        <w:spacing w:line="248" w:lineRule="auto"/>
        <w:jc w:val="center"/>
        <w:rPr>
          <w:lang w:eastAsia="zh-CN"/>
        </w:rPr>
      </w:pPr>
    </w:p>
    <w:p>
      <w:pPr>
        <w:tabs>
          <w:tab w:val="left" w:pos="8620"/>
        </w:tabs>
        <w:spacing w:before="157" w:line="322" w:lineRule="auto"/>
        <w:ind w:right="182"/>
        <w:jc w:val="center"/>
        <w:rPr>
          <w:rFonts w:hint="eastAsia"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z w:val="48"/>
          <w:szCs w:val="48"/>
          <w:lang w:eastAsia="zh-CN"/>
        </w:rPr>
        <w:t>2024年度中方县城区停车场及充电桩项目支出</w:t>
      </w:r>
      <w:r>
        <w:rPr>
          <w:rFonts w:hint="eastAsia" w:ascii="方正小标宋简体" w:hAnsi="方正小标宋简体" w:eastAsia="方正小标宋简体" w:cs="方正小标宋简体"/>
          <w:spacing w:val="-10"/>
          <w:sz w:val="48"/>
          <w:szCs w:val="48"/>
          <w:lang w:eastAsia="zh-CN"/>
        </w:rPr>
        <w:t>绩效自评报告</w:t>
      </w: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0"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line="251" w:lineRule="auto"/>
        <w:rPr>
          <w:lang w:eastAsia="zh-CN"/>
        </w:rPr>
      </w:pPr>
    </w:p>
    <w:p>
      <w:pPr>
        <w:spacing w:before="111" w:line="374" w:lineRule="auto"/>
        <w:ind w:right="622" w:firstLine="846" w:firstLineChars="300"/>
        <w:jc w:val="both"/>
        <w:rPr>
          <w:rFonts w:hint="eastAsia" w:ascii="楷体" w:hAnsi="楷体" w:eastAsia="楷体" w:cs="楷体"/>
          <w:sz w:val="34"/>
          <w:szCs w:val="34"/>
          <w:lang w:eastAsia="zh-CN"/>
        </w:rPr>
      </w:pPr>
      <w:r>
        <w:rPr>
          <w:rFonts w:hint="eastAsia" w:ascii="楷体" w:hAnsi="楷体" w:eastAsia="楷体" w:cs="楷体"/>
          <w:spacing w:val="-29"/>
          <w:sz w:val="34"/>
          <w:szCs w:val="34"/>
          <w:lang w:eastAsia="zh-CN"/>
        </w:rPr>
        <w:t>部门（单位）名称</w:t>
      </w:r>
      <w:r>
        <w:rPr>
          <w:rFonts w:ascii="楷体" w:hAnsi="楷体" w:eastAsia="楷体" w:cs="楷体"/>
          <w:spacing w:val="-29"/>
          <w:sz w:val="34"/>
          <w:szCs w:val="34"/>
          <w:lang w:eastAsia="zh-CN"/>
        </w:rPr>
        <w:t>：</w:t>
      </w:r>
      <w:r>
        <w:rPr>
          <w:rFonts w:hint="eastAsia" w:ascii="楷体" w:hAnsi="楷体" w:eastAsia="楷体" w:cs="楷体"/>
          <w:spacing w:val="-83"/>
          <w:sz w:val="34"/>
          <w:szCs w:val="34"/>
          <w:u w:val="single"/>
          <w:lang w:val="en-US" w:eastAsia="zh-CN"/>
        </w:rPr>
        <w:t>中方县城乡建设发展集团有限公司</w:t>
      </w:r>
      <w:r>
        <w:rPr>
          <w:rFonts w:ascii="楷体" w:hAnsi="楷体" w:eastAsia="楷体" w:cs="楷体"/>
          <w:spacing w:val="-29"/>
          <w:sz w:val="34"/>
          <w:szCs w:val="34"/>
          <w:u w:val="single"/>
          <w:lang w:eastAsia="zh-CN"/>
        </w:rPr>
        <w:t xml:space="preserve"> </w:t>
      </w:r>
      <w:r>
        <w:rPr>
          <w:rFonts w:ascii="楷体" w:hAnsi="楷体" w:eastAsia="楷体" w:cs="楷体"/>
          <w:sz w:val="34"/>
          <w:szCs w:val="34"/>
          <w:lang w:eastAsia="zh-CN"/>
        </w:rPr>
        <w:t xml:space="preserve"> </w:t>
      </w:r>
    </w:p>
    <w:p>
      <w:pPr>
        <w:spacing w:before="111" w:line="374" w:lineRule="auto"/>
        <w:ind w:left="2100" w:leftChars="1000" w:right="2875"/>
        <w:jc w:val="center"/>
        <w:rPr>
          <w:rFonts w:hint="eastAsia" w:ascii="楷体" w:hAnsi="楷体" w:eastAsia="楷体" w:cs="楷体"/>
          <w:sz w:val="25"/>
          <w:szCs w:val="25"/>
          <w:lang w:eastAsia="zh-CN"/>
        </w:rPr>
      </w:pPr>
      <w:r>
        <w:rPr>
          <w:rFonts w:hint="eastAsia" w:ascii="楷体" w:hAnsi="楷体" w:eastAsia="楷体" w:cs="楷体"/>
          <w:spacing w:val="-11"/>
          <w:sz w:val="32"/>
          <w:szCs w:val="32"/>
          <w:lang w:eastAsia="zh-CN"/>
        </w:rPr>
        <w:t xml:space="preserve">         </w:t>
      </w:r>
      <w:r>
        <w:rPr>
          <w:rFonts w:hint="eastAsia" w:ascii="楷体" w:hAnsi="楷体" w:eastAsia="楷体" w:cs="楷体"/>
          <w:spacing w:val="-11"/>
          <w:sz w:val="32"/>
          <w:szCs w:val="32"/>
          <w:lang w:val="en-US" w:eastAsia="zh-CN"/>
        </w:rPr>
        <w:t>2025</w:t>
      </w:r>
      <w:r>
        <w:rPr>
          <w:rFonts w:ascii="楷体" w:hAnsi="楷体" w:eastAsia="楷体" w:cs="楷体"/>
          <w:spacing w:val="-11"/>
          <w:sz w:val="32"/>
          <w:szCs w:val="32"/>
          <w:lang w:eastAsia="zh-CN"/>
        </w:rPr>
        <w:t>年</w:t>
      </w:r>
      <w:r>
        <w:rPr>
          <w:rFonts w:hint="eastAsia" w:ascii="楷体" w:hAnsi="楷体" w:eastAsia="楷体" w:cs="楷体"/>
          <w:spacing w:val="11"/>
          <w:sz w:val="32"/>
          <w:szCs w:val="32"/>
          <w:lang w:val="en-US" w:eastAsia="zh-CN"/>
        </w:rPr>
        <w:t>3</w:t>
      </w:r>
      <w:r>
        <w:rPr>
          <w:rFonts w:ascii="楷体" w:hAnsi="楷体" w:eastAsia="楷体" w:cs="楷体"/>
          <w:spacing w:val="-11"/>
          <w:sz w:val="32"/>
          <w:szCs w:val="32"/>
          <w:lang w:eastAsia="zh-CN"/>
        </w:rPr>
        <w:t>月</w:t>
      </w:r>
      <w:r>
        <w:rPr>
          <w:rFonts w:hint="eastAsia" w:ascii="楷体" w:hAnsi="楷体" w:eastAsia="楷体" w:cs="楷体"/>
          <w:spacing w:val="26"/>
          <w:sz w:val="32"/>
          <w:szCs w:val="32"/>
          <w:lang w:val="en-US" w:eastAsia="zh-CN"/>
        </w:rPr>
        <w:t>27</w:t>
      </w:r>
      <w:r>
        <w:rPr>
          <w:rFonts w:ascii="楷体" w:hAnsi="楷体" w:eastAsia="楷体" w:cs="楷体"/>
          <w:spacing w:val="-11"/>
          <w:sz w:val="32"/>
          <w:szCs w:val="32"/>
          <w:lang w:eastAsia="zh-CN"/>
        </w:rPr>
        <w:t>日</w:t>
      </w:r>
    </w:p>
    <w:p>
      <w:pPr>
        <w:pStyle w:val="2"/>
        <w:rPr>
          <w:rFonts w:hint="eastAsia" w:ascii="楷体" w:hAnsi="楷体" w:eastAsia="楷体" w:cs="楷体"/>
          <w:sz w:val="25"/>
          <w:szCs w:val="25"/>
          <w:lang w:eastAsia="zh-CN"/>
        </w:rPr>
      </w:pPr>
    </w:p>
    <w:p>
      <w:pPr>
        <w:pStyle w:val="2"/>
        <w:rPr>
          <w:rFonts w:hint="eastAsia" w:ascii="楷体" w:hAnsi="楷体" w:eastAsia="楷体" w:cs="楷体"/>
          <w:sz w:val="25"/>
          <w:szCs w:val="25"/>
          <w:lang w:eastAsia="zh-CN"/>
        </w:rPr>
      </w:pPr>
    </w:p>
    <w:p>
      <w:pPr>
        <w:pStyle w:val="2"/>
        <w:rPr>
          <w:rFonts w:hint="eastAsia" w:ascii="楷体" w:hAnsi="楷体" w:eastAsia="楷体" w:cs="楷体"/>
          <w:sz w:val="25"/>
          <w:szCs w:val="25"/>
          <w:lang w:eastAsia="zh-CN"/>
        </w:rPr>
      </w:pPr>
    </w:p>
    <w:p>
      <w:pPr>
        <w:pStyle w:val="2"/>
        <w:rPr>
          <w:rFonts w:hint="eastAsia" w:ascii="楷体" w:hAnsi="楷体" w:eastAsia="楷体" w:cs="楷体"/>
          <w:sz w:val="25"/>
          <w:szCs w:val="25"/>
          <w:lang w:eastAsia="zh-CN"/>
        </w:rPr>
      </w:pPr>
    </w:p>
    <w:p>
      <w:pPr>
        <w:jc w:val="both"/>
        <w:rPr>
          <w:rFonts w:eastAsia="仿宋_GB2312"/>
          <w:sz w:val="32"/>
          <w:szCs w:val="32"/>
          <w:lang w:eastAsia="zh-CN"/>
        </w:rPr>
      </w:pPr>
    </w:p>
    <w:p>
      <w:pPr>
        <w:jc w:val="center"/>
        <w:rPr>
          <w:rFonts w:eastAsia="仿宋_GB2312"/>
          <w:sz w:val="32"/>
          <w:szCs w:val="32"/>
          <w:lang w:eastAsia="zh-CN"/>
        </w:rPr>
      </w:pPr>
    </w:p>
    <w:p>
      <w:pPr>
        <w:pStyle w:val="2"/>
        <w:rPr>
          <w:rFonts w:hint="eastAsia" w:ascii="楷体" w:hAnsi="楷体" w:eastAsia="楷体" w:cs="楷体"/>
          <w:sz w:val="25"/>
          <w:szCs w:val="25"/>
          <w:lang w:eastAsia="zh-CN"/>
        </w:rPr>
        <w:sectPr>
          <w:footerReference r:id="rId3" w:type="default"/>
          <w:pgSz w:w="11900" w:h="16830"/>
          <w:pgMar w:top="1430" w:right="1785" w:bottom="1074" w:left="1313" w:header="0" w:footer="939" w:gutter="0"/>
          <w:pgNumType w:fmt="numberInDash"/>
          <w:cols w:space="720" w:num="1"/>
        </w:sectPr>
      </w:pPr>
    </w:p>
    <w:p>
      <w:pPr>
        <w:pStyle w:val="6"/>
        <w:spacing w:line="224" w:lineRule="auto"/>
        <w:ind w:firstLine="278" w:firstLineChars="100"/>
        <w:rPr>
          <w:rFonts w:hint="eastAsia"/>
          <w:spacing w:val="19"/>
          <w:sz w:val="24"/>
          <w:szCs w:val="24"/>
          <w:lang w:eastAsia="zh-CN"/>
        </w:rPr>
      </w:pPr>
    </w:p>
    <w:p>
      <w:pPr>
        <w:pStyle w:val="4"/>
        <w:kinsoku/>
        <w:autoSpaceDE/>
        <w:autoSpaceDN/>
        <w:spacing w:line="560" w:lineRule="exact"/>
        <w:textAlignment w:val="auto"/>
        <w:rPr>
          <w:rFonts w:hint="eastAsia" w:ascii="方正小标宋_GBK" w:hAnsi="方正小标宋_GBK" w:cs="方正小标宋_GBK"/>
          <w:lang w:eastAsia="zh-CN"/>
        </w:rPr>
      </w:pPr>
      <w:r>
        <w:rPr>
          <w:rFonts w:hint="eastAsia" w:ascii="方正小标宋简体" w:hAnsi="方正小标宋简体" w:eastAsia="方正小标宋简体" w:cs="方正小标宋简体"/>
          <w:sz w:val="48"/>
          <w:szCs w:val="48"/>
          <w:lang w:eastAsia="zh-CN"/>
        </w:rPr>
        <w:t>中方县城区停车场及充电桩</w:t>
      </w:r>
      <w:r>
        <w:rPr>
          <w:rFonts w:hint="eastAsia" w:ascii="方正小标宋_GBK" w:hAnsi="方正小标宋_GBK" w:cs="方正小标宋_GBK"/>
          <w:lang w:eastAsia="zh-CN"/>
        </w:rPr>
        <w:t>项目</w:t>
      </w:r>
    </w:p>
    <w:p>
      <w:pPr>
        <w:pStyle w:val="4"/>
        <w:kinsoku/>
        <w:autoSpaceDE/>
        <w:autoSpaceDN/>
        <w:spacing w:line="560" w:lineRule="exact"/>
        <w:textAlignment w:val="auto"/>
        <w:rPr>
          <w:rFonts w:hint="eastAsia" w:ascii="方正小标宋_GBK" w:hAnsi="方正小标宋_GBK" w:cs="方正小标宋_GBK"/>
          <w:lang w:eastAsia="zh-CN"/>
        </w:rPr>
      </w:pPr>
      <w:r>
        <w:rPr>
          <w:rFonts w:hint="eastAsia" w:ascii="方正小标宋_GBK" w:hAnsi="方正小标宋_GBK" w:cs="方正小标宋_GBK"/>
          <w:lang w:eastAsia="zh-CN"/>
        </w:rPr>
        <w:t>支出绩效自评报告</w:t>
      </w:r>
    </w:p>
    <w:p>
      <w:pPr>
        <w:kinsoku/>
        <w:autoSpaceDE/>
        <w:autoSpaceDN/>
        <w:spacing w:line="480" w:lineRule="exact"/>
        <w:jc w:val="center"/>
        <w:textAlignment w:val="auto"/>
        <w:rPr>
          <w:rFonts w:hint="eastAsia" w:ascii="楷体" w:hAnsi="楷体" w:eastAsia="楷体" w:cs="楷体"/>
          <w:bCs/>
          <w:sz w:val="32"/>
          <w:szCs w:val="32"/>
          <w:lang w:eastAsia="zh-CN"/>
        </w:rPr>
      </w:pPr>
    </w:p>
    <w:p>
      <w:pPr>
        <w:spacing w:line="400" w:lineRule="exact"/>
        <w:rPr>
          <w:lang w:eastAsia="zh-CN"/>
        </w:rPr>
      </w:pPr>
    </w:p>
    <w:p>
      <w:pPr>
        <w:spacing w:line="560" w:lineRule="exact"/>
        <w:ind w:firstLine="652" w:firstLineChars="200"/>
        <w:outlineLvl w:val="0"/>
        <w:rPr>
          <w:rFonts w:hint="eastAsia" w:ascii="黑体" w:hAnsi="黑体" w:eastAsia="黑体" w:cs="黑体"/>
          <w:spacing w:val="3"/>
          <w:sz w:val="32"/>
          <w:szCs w:val="32"/>
          <w:lang w:eastAsia="zh-CN"/>
        </w:rPr>
      </w:pPr>
      <w:r>
        <w:rPr>
          <w:rFonts w:ascii="黑体" w:hAnsi="黑体" w:eastAsia="黑体" w:cs="黑体"/>
          <w:spacing w:val="3"/>
          <w:sz w:val="32"/>
          <w:szCs w:val="32"/>
          <w:lang w:eastAsia="zh-CN"/>
        </w:rPr>
        <w:t>一、项目基本情况</w:t>
      </w:r>
    </w:p>
    <w:p>
      <w:pPr>
        <w:spacing w:line="560" w:lineRule="exact"/>
        <w:ind w:firstLine="712" w:firstLineChars="200"/>
        <w:outlineLvl w:val="0"/>
        <w:rPr>
          <w:rFonts w:hint="eastAsia" w:ascii="楷体_GB2312" w:hAnsi="楷体_GB2312" w:eastAsia="楷体_GB2312" w:cs="楷体_GB2312"/>
          <w:spacing w:val="18"/>
          <w:sz w:val="32"/>
          <w:szCs w:val="32"/>
          <w:lang w:eastAsia="zh-CN"/>
        </w:rPr>
      </w:pPr>
      <w:r>
        <w:rPr>
          <w:rFonts w:hint="eastAsia" w:ascii="楷体_GB2312" w:hAnsi="楷体_GB2312" w:eastAsia="楷体_GB2312" w:cs="楷体_GB2312"/>
          <w:spacing w:val="18"/>
          <w:sz w:val="32"/>
          <w:szCs w:val="32"/>
          <w:lang w:eastAsia="zh-CN"/>
        </w:rPr>
        <w:t>( 一)项目概况</w:t>
      </w:r>
    </w:p>
    <w:p>
      <w:pPr>
        <w:pStyle w:val="6"/>
        <w:keepNext w:val="0"/>
        <w:keepLines w:val="0"/>
        <w:pageBreakBefore w:val="0"/>
        <w:kinsoku/>
        <w:wordWrap/>
        <w:overflowPunct/>
        <w:topLinePunct w:val="0"/>
        <w:bidi w:val="0"/>
        <w:snapToGrid w:val="0"/>
        <w:spacing w:line="560" w:lineRule="exact"/>
        <w:ind w:firstLine="670" w:firstLineChars="200"/>
        <w:jc w:val="both"/>
        <w:textAlignment w:val="bottom"/>
        <w:rPr>
          <w:rFonts w:hint="eastAsia" w:ascii="仿宋" w:hAnsi="仿宋" w:eastAsia="仿宋" w:cs="仿宋"/>
          <w:b/>
          <w:bCs/>
          <w:snapToGrid w:val="0"/>
          <w:color w:val="000000"/>
          <w:spacing w:val="7"/>
          <w:sz w:val="32"/>
          <w:szCs w:val="32"/>
          <w:lang w:val="en-US" w:eastAsia="zh-CN" w:bidi="ar-SA"/>
        </w:rPr>
      </w:pPr>
      <w:r>
        <w:rPr>
          <w:rFonts w:hint="eastAsia" w:ascii="仿宋" w:hAnsi="仿宋" w:eastAsia="仿宋" w:cs="仿宋"/>
          <w:b/>
          <w:bCs/>
          <w:snapToGrid w:val="0"/>
          <w:color w:val="000000"/>
          <w:spacing w:val="7"/>
          <w:sz w:val="32"/>
          <w:szCs w:val="32"/>
          <w:lang w:val="en-US" w:eastAsia="zh-CN" w:bidi="ar-SA"/>
        </w:rPr>
        <w:t>1.项目决策背景</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随着汽车保有量的不断增加，停车位公共资源严重不足问题凸显，供需关系不平衡，停车场设施落后，空间结构不合理，现有的公共停车场尚未作智能化改造，停车信息闭塞，利用率和周转率低。同时，随着中方县生态文件建设的不断推进及绿色出行目标的不断深入，全县新能源汽车正在逐年增长，但目前全县新能源汽车充电设施尚未完善。本项目的落地，能进一步改善城市交通环境，提升城市运行管理和服务水平，完善中方县充电基础设施建设，加快中方县新能源汽车基础设施的布局，满足全县新能源汽车充电需求。</w:t>
      </w:r>
    </w:p>
    <w:p>
      <w:pPr>
        <w:pStyle w:val="6"/>
        <w:keepNext w:val="0"/>
        <w:keepLines w:val="0"/>
        <w:pageBreakBefore w:val="0"/>
        <w:kinsoku/>
        <w:wordWrap/>
        <w:overflowPunct/>
        <w:topLinePunct w:val="0"/>
        <w:bidi w:val="0"/>
        <w:snapToGrid w:val="0"/>
        <w:spacing w:line="560" w:lineRule="exact"/>
        <w:ind w:firstLine="670" w:firstLineChars="200"/>
        <w:jc w:val="both"/>
        <w:textAlignment w:val="bottom"/>
        <w:rPr>
          <w:rFonts w:hint="eastAsia" w:ascii="仿宋" w:hAnsi="仿宋" w:eastAsia="仿宋" w:cs="仿宋"/>
          <w:b/>
          <w:bCs/>
          <w:snapToGrid w:val="0"/>
          <w:color w:val="000000"/>
          <w:spacing w:val="7"/>
          <w:sz w:val="32"/>
          <w:szCs w:val="32"/>
          <w:lang w:val="en-US" w:eastAsia="zh-CN" w:bidi="ar-SA"/>
        </w:rPr>
      </w:pPr>
      <w:r>
        <w:rPr>
          <w:rFonts w:hint="eastAsia" w:ascii="仿宋" w:hAnsi="仿宋" w:eastAsia="仿宋" w:cs="仿宋"/>
          <w:b/>
          <w:bCs/>
          <w:snapToGrid w:val="0"/>
          <w:color w:val="000000"/>
          <w:spacing w:val="7"/>
          <w:sz w:val="32"/>
          <w:szCs w:val="32"/>
          <w:lang w:val="en-US" w:eastAsia="zh-CN" w:bidi="ar-SA"/>
        </w:rPr>
        <w:t>2.项目的主要内容、实施依据</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本项目一期建设内容为：</w:t>
      </w:r>
      <w:r>
        <w:rPr>
          <w:rFonts w:cs="宋体"/>
          <w:spacing w:val="5"/>
          <w:sz w:val="32"/>
          <w:szCs w:val="32"/>
          <w:lang w:eastAsia="zh-CN"/>
        </w:rPr>
        <w:t>(</w:t>
      </w:r>
      <w:r>
        <w:rPr>
          <w:rFonts w:hint="eastAsia" w:cs="宋体"/>
          <w:spacing w:val="5"/>
          <w:sz w:val="32"/>
          <w:szCs w:val="32"/>
          <w:lang w:eastAsia="zh-CN"/>
        </w:rPr>
        <w:t>一</w:t>
      </w:r>
      <w:r>
        <w:rPr>
          <w:rFonts w:cs="宋体"/>
          <w:spacing w:val="5"/>
          <w:sz w:val="32"/>
          <w:szCs w:val="32"/>
          <w:lang w:eastAsia="zh-CN"/>
        </w:rPr>
        <w:t>)</w:t>
      </w:r>
      <w:r>
        <w:rPr>
          <w:rFonts w:hint="eastAsia" w:cs="宋体"/>
          <w:spacing w:val="5"/>
          <w:sz w:val="32"/>
          <w:szCs w:val="32"/>
          <w:lang w:eastAsia="zh-CN"/>
        </w:rPr>
        <w:t>充电桩改造及道路改造</w:t>
      </w:r>
      <w:r>
        <w:rPr>
          <w:rFonts w:cs="宋体"/>
          <w:spacing w:val="5"/>
          <w:sz w:val="32"/>
          <w:szCs w:val="32"/>
          <w:lang w:eastAsia="zh-CN"/>
        </w:rPr>
        <w:t>:</w:t>
      </w:r>
      <w:r>
        <w:rPr>
          <w:rFonts w:hint="eastAsia" w:cs="宋体"/>
          <w:spacing w:val="5"/>
          <w:sz w:val="32"/>
          <w:szCs w:val="32"/>
          <w:lang w:eastAsia="zh-CN"/>
        </w:rPr>
        <w:t>滨江路停车场</w:t>
      </w:r>
      <w:r>
        <w:rPr>
          <w:rFonts w:cs="宋体"/>
          <w:spacing w:val="5"/>
          <w:sz w:val="32"/>
          <w:szCs w:val="32"/>
          <w:lang w:eastAsia="zh-CN"/>
        </w:rPr>
        <w:t>1</w:t>
      </w:r>
      <w:r>
        <w:rPr>
          <w:rFonts w:hint="eastAsia" w:cs="宋体"/>
          <w:spacing w:val="5"/>
          <w:sz w:val="32"/>
          <w:szCs w:val="32"/>
          <w:lang w:eastAsia="zh-CN"/>
        </w:rPr>
        <w:t>负荷总安装容量约为</w:t>
      </w:r>
      <w:r>
        <w:rPr>
          <w:rFonts w:cs="宋体"/>
          <w:spacing w:val="5"/>
          <w:sz w:val="32"/>
          <w:szCs w:val="32"/>
          <w:lang w:eastAsia="zh-CN"/>
        </w:rPr>
        <w:t>480kW</w:t>
      </w:r>
      <w:r>
        <w:rPr>
          <w:rFonts w:hint="eastAsia" w:cs="宋体"/>
          <w:spacing w:val="5"/>
          <w:sz w:val="32"/>
          <w:szCs w:val="32"/>
          <w:lang w:eastAsia="zh-CN"/>
        </w:rPr>
        <w:t>、滨江路停车场</w:t>
      </w:r>
      <w:r>
        <w:rPr>
          <w:rFonts w:cs="宋体"/>
          <w:spacing w:val="5"/>
          <w:sz w:val="32"/>
          <w:szCs w:val="32"/>
          <w:lang w:eastAsia="zh-CN"/>
        </w:rPr>
        <w:t>2</w:t>
      </w:r>
      <w:r>
        <w:rPr>
          <w:rFonts w:hint="eastAsia" w:cs="宋体"/>
          <w:spacing w:val="5"/>
          <w:sz w:val="32"/>
          <w:szCs w:val="32"/>
          <w:lang w:eastAsia="zh-CN"/>
        </w:rPr>
        <w:t>负荷总安装容量约为</w:t>
      </w:r>
      <w:r>
        <w:rPr>
          <w:rFonts w:cs="宋体"/>
          <w:spacing w:val="5"/>
          <w:sz w:val="32"/>
          <w:szCs w:val="32"/>
          <w:lang w:eastAsia="zh-CN"/>
        </w:rPr>
        <w:t>480KW</w:t>
      </w:r>
      <w:r>
        <w:rPr>
          <w:rFonts w:hint="eastAsia" w:cs="宋体"/>
          <w:spacing w:val="5"/>
          <w:sz w:val="32"/>
          <w:szCs w:val="32"/>
          <w:lang w:eastAsia="zh-CN"/>
        </w:rPr>
        <w:t>、交管局停车场负荷息安装容量约为</w:t>
      </w:r>
      <w:r>
        <w:rPr>
          <w:rFonts w:cs="宋体"/>
          <w:spacing w:val="5"/>
          <w:sz w:val="32"/>
          <w:szCs w:val="32"/>
          <w:lang w:eastAsia="zh-CN"/>
        </w:rPr>
        <w:t>960W</w:t>
      </w:r>
      <w:r>
        <w:rPr>
          <w:rFonts w:hint="eastAsia" w:cs="宋体"/>
          <w:spacing w:val="5"/>
          <w:sz w:val="32"/>
          <w:szCs w:val="32"/>
          <w:lang w:eastAsia="zh-CN"/>
        </w:rPr>
        <w:t>，金大地公寓停车场负荷总安装容量约为</w:t>
      </w:r>
      <w:r>
        <w:rPr>
          <w:rFonts w:cs="宋体"/>
          <w:spacing w:val="5"/>
          <w:sz w:val="32"/>
          <w:szCs w:val="32"/>
          <w:lang w:eastAsia="zh-CN"/>
        </w:rPr>
        <w:t>900kW</w:t>
      </w:r>
      <w:r>
        <w:rPr>
          <w:rFonts w:hint="eastAsia" w:cs="宋体"/>
          <w:spacing w:val="5"/>
          <w:sz w:val="32"/>
          <w:szCs w:val="32"/>
          <w:lang w:eastAsia="zh-CN"/>
        </w:rPr>
        <w:t>、县政府停车场负荷总安装容量约为</w:t>
      </w:r>
      <w:r>
        <w:rPr>
          <w:rFonts w:cs="宋体"/>
          <w:spacing w:val="5"/>
          <w:sz w:val="32"/>
          <w:szCs w:val="32"/>
          <w:lang w:eastAsia="zh-CN"/>
        </w:rPr>
        <w:t>480KW</w:t>
      </w:r>
      <w:r>
        <w:rPr>
          <w:rFonts w:hint="eastAsia" w:cs="宋体"/>
          <w:spacing w:val="5"/>
          <w:sz w:val="32"/>
          <w:szCs w:val="32"/>
          <w:lang w:eastAsia="zh-CN"/>
        </w:rPr>
        <w:t>、新妇幼保健院停车场负荷总安装容量约为</w:t>
      </w:r>
      <w:r>
        <w:rPr>
          <w:rFonts w:cs="宋体"/>
          <w:spacing w:val="5"/>
          <w:sz w:val="32"/>
          <w:szCs w:val="32"/>
          <w:lang w:eastAsia="zh-CN"/>
        </w:rPr>
        <w:t>480kW:(</w:t>
      </w:r>
      <w:r>
        <w:rPr>
          <w:rFonts w:hint="eastAsia" w:cs="宋体"/>
          <w:spacing w:val="5"/>
          <w:sz w:val="32"/>
          <w:szCs w:val="32"/>
          <w:lang w:eastAsia="zh-CN"/>
        </w:rPr>
        <w:t>二</w:t>
      </w:r>
      <w:r>
        <w:rPr>
          <w:rFonts w:cs="宋体"/>
          <w:spacing w:val="5"/>
          <w:sz w:val="32"/>
          <w:szCs w:val="32"/>
          <w:lang w:eastAsia="zh-CN"/>
        </w:rPr>
        <w:t>)</w:t>
      </w:r>
      <w:r>
        <w:rPr>
          <w:rFonts w:hint="eastAsia" w:cs="宋体"/>
          <w:spacing w:val="5"/>
          <w:sz w:val="32"/>
          <w:szCs w:val="32"/>
          <w:lang w:eastAsia="zh-CN"/>
        </w:rPr>
        <w:t>路内停车泊位</w:t>
      </w:r>
      <w:r>
        <w:rPr>
          <w:rFonts w:cs="宋体"/>
          <w:spacing w:val="5"/>
          <w:sz w:val="32"/>
          <w:szCs w:val="32"/>
          <w:lang w:eastAsia="zh-CN"/>
        </w:rPr>
        <w:t>;</w:t>
      </w:r>
      <w:r>
        <w:rPr>
          <w:rFonts w:hint="eastAsia" w:cs="宋体"/>
          <w:spacing w:val="5"/>
          <w:sz w:val="32"/>
          <w:szCs w:val="32"/>
          <w:lang w:eastAsia="zh-CN"/>
        </w:rPr>
        <w:t>对县城区现有的</w:t>
      </w:r>
      <w:r>
        <w:rPr>
          <w:rFonts w:cs="宋体"/>
          <w:spacing w:val="5"/>
          <w:sz w:val="32"/>
          <w:szCs w:val="32"/>
          <w:lang w:eastAsia="zh-CN"/>
        </w:rPr>
        <w:t>2000</w:t>
      </w:r>
      <w:r>
        <w:rPr>
          <w:rFonts w:hint="eastAsia" w:cs="宋体"/>
          <w:spacing w:val="5"/>
          <w:sz w:val="32"/>
          <w:szCs w:val="32"/>
          <w:lang w:eastAsia="zh-CN"/>
        </w:rPr>
        <w:t>个路内停车泊位进行智慧停车改造。</w:t>
      </w:r>
      <w:r>
        <w:rPr>
          <w:rFonts w:cs="宋体"/>
          <w:spacing w:val="5"/>
          <w:sz w:val="32"/>
          <w:szCs w:val="32"/>
          <w:lang w:eastAsia="zh-CN"/>
        </w:rPr>
        <w:t>(</w:t>
      </w:r>
      <w:r>
        <w:rPr>
          <w:rFonts w:hint="eastAsia" w:cs="宋体"/>
          <w:spacing w:val="5"/>
          <w:sz w:val="32"/>
          <w:szCs w:val="32"/>
          <w:lang w:eastAsia="zh-CN"/>
        </w:rPr>
        <w:t>三</w:t>
      </w:r>
      <w:r>
        <w:rPr>
          <w:rFonts w:cs="宋体"/>
          <w:spacing w:val="5"/>
          <w:sz w:val="32"/>
          <w:szCs w:val="32"/>
          <w:lang w:eastAsia="zh-CN"/>
        </w:rPr>
        <w:t>)</w:t>
      </w:r>
      <w:r>
        <w:rPr>
          <w:rFonts w:hint="eastAsia" w:cs="宋体"/>
          <w:spacing w:val="5"/>
          <w:sz w:val="32"/>
          <w:szCs w:val="32"/>
          <w:lang w:eastAsia="zh-CN"/>
        </w:rPr>
        <w:t>城市更新</w:t>
      </w:r>
      <w:r>
        <w:rPr>
          <w:rFonts w:cs="宋体"/>
          <w:spacing w:val="5"/>
          <w:sz w:val="32"/>
          <w:szCs w:val="32"/>
          <w:lang w:eastAsia="zh-CN"/>
        </w:rPr>
        <w:t>(</w:t>
      </w:r>
      <w:r>
        <w:rPr>
          <w:rFonts w:hint="eastAsia" w:cs="宋体"/>
          <w:spacing w:val="5"/>
          <w:sz w:val="32"/>
          <w:szCs w:val="32"/>
          <w:lang w:eastAsia="zh-CN"/>
        </w:rPr>
        <w:t>道路提质改造</w:t>
      </w:r>
      <w:r>
        <w:rPr>
          <w:rFonts w:cs="宋体"/>
          <w:spacing w:val="5"/>
          <w:sz w:val="32"/>
          <w:szCs w:val="32"/>
          <w:lang w:eastAsia="zh-CN"/>
        </w:rPr>
        <w:t>)</w:t>
      </w:r>
      <w:r>
        <w:rPr>
          <w:rFonts w:hint="eastAsia" w:cs="宋体"/>
          <w:spacing w:val="5"/>
          <w:sz w:val="32"/>
          <w:szCs w:val="32"/>
          <w:lang w:eastAsia="zh-CN"/>
        </w:rPr>
        <w:t>工程</w:t>
      </w:r>
      <w:r>
        <w:rPr>
          <w:rFonts w:cs="宋体"/>
          <w:spacing w:val="5"/>
          <w:sz w:val="32"/>
          <w:szCs w:val="32"/>
          <w:lang w:eastAsia="zh-CN"/>
        </w:rPr>
        <w:t>:</w:t>
      </w:r>
      <w:r>
        <w:rPr>
          <w:rFonts w:hint="eastAsia" w:cs="宋体"/>
          <w:spacing w:val="5"/>
          <w:sz w:val="32"/>
          <w:szCs w:val="32"/>
          <w:lang w:eastAsia="zh-CN"/>
        </w:rPr>
        <w:t>对丹桂路</w:t>
      </w:r>
      <w:r>
        <w:rPr>
          <w:rFonts w:cs="宋体"/>
          <w:spacing w:val="5"/>
          <w:sz w:val="32"/>
          <w:szCs w:val="32"/>
          <w:lang w:eastAsia="zh-CN"/>
        </w:rPr>
        <w:t>(</w:t>
      </w:r>
      <w:r>
        <w:rPr>
          <w:rFonts w:hint="eastAsia" w:cs="宋体"/>
          <w:spacing w:val="5"/>
          <w:sz w:val="32"/>
          <w:szCs w:val="32"/>
          <w:lang w:eastAsia="zh-CN"/>
        </w:rPr>
        <w:t>隆平大道至陆港大道段</w:t>
      </w:r>
      <w:r>
        <w:rPr>
          <w:rFonts w:cs="宋体"/>
          <w:spacing w:val="5"/>
          <w:sz w:val="32"/>
          <w:szCs w:val="32"/>
          <w:lang w:eastAsia="zh-CN"/>
        </w:rPr>
        <w:t>)</w:t>
      </w:r>
      <w:r>
        <w:rPr>
          <w:rFonts w:hint="eastAsia" w:cs="宋体"/>
          <w:spacing w:val="5"/>
          <w:sz w:val="32"/>
          <w:szCs w:val="32"/>
          <w:lang w:eastAsia="zh-CN"/>
        </w:rPr>
        <w:t>、迎松路</w:t>
      </w:r>
      <w:r>
        <w:rPr>
          <w:rFonts w:cs="宋体"/>
          <w:spacing w:val="5"/>
          <w:sz w:val="32"/>
          <w:szCs w:val="32"/>
          <w:lang w:eastAsia="zh-CN"/>
        </w:rPr>
        <w:t>(</w:t>
      </w:r>
      <w:r>
        <w:rPr>
          <w:rFonts w:hint="eastAsia" w:cs="宋体"/>
          <w:spacing w:val="5"/>
          <w:sz w:val="32"/>
          <w:szCs w:val="32"/>
          <w:lang w:eastAsia="zh-CN"/>
        </w:rPr>
        <w:t>隆平大道至滨江中路段</w:t>
      </w:r>
      <w:r>
        <w:rPr>
          <w:rFonts w:cs="宋体"/>
          <w:spacing w:val="5"/>
          <w:sz w:val="32"/>
          <w:szCs w:val="32"/>
          <w:lang w:eastAsia="zh-CN"/>
        </w:rPr>
        <w:t>)</w:t>
      </w:r>
      <w:r>
        <w:rPr>
          <w:rFonts w:hint="eastAsia" w:cs="宋体"/>
          <w:spacing w:val="5"/>
          <w:sz w:val="32"/>
          <w:szCs w:val="32"/>
          <w:lang w:eastAsia="zh-CN"/>
        </w:rPr>
        <w:t>、芙蓉路</w:t>
      </w:r>
      <w:r>
        <w:rPr>
          <w:rFonts w:cs="宋体"/>
          <w:spacing w:val="5"/>
          <w:sz w:val="32"/>
          <w:szCs w:val="32"/>
          <w:lang w:eastAsia="zh-CN"/>
        </w:rPr>
        <w:t>(</w:t>
      </w:r>
      <w:r>
        <w:rPr>
          <w:rFonts w:hint="eastAsia" w:cs="宋体"/>
          <w:spacing w:val="5"/>
          <w:sz w:val="32"/>
          <w:szCs w:val="32"/>
          <w:lang w:eastAsia="zh-CN"/>
        </w:rPr>
        <w:t>滨江路至茶花中路段</w:t>
      </w:r>
      <w:r>
        <w:rPr>
          <w:rFonts w:cs="宋体"/>
          <w:spacing w:val="5"/>
          <w:sz w:val="32"/>
          <w:szCs w:val="32"/>
          <w:lang w:eastAsia="zh-CN"/>
        </w:rPr>
        <w:t>)</w:t>
      </w:r>
      <w:r>
        <w:rPr>
          <w:rFonts w:hint="eastAsia" w:cs="宋体"/>
          <w:spacing w:val="5"/>
          <w:sz w:val="32"/>
          <w:szCs w:val="32"/>
          <w:lang w:eastAsia="zh-CN"/>
        </w:rPr>
        <w:t>、陆港大道</w:t>
      </w:r>
      <w:r>
        <w:rPr>
          <w:rFonts w:cs="宋体"/>
          <w:spacing w:val="5"/>
          <w:sz w:val="32"/>
          <w:szCs w:val="32"/>
          <w:lang w:eastAsia="zh-CN"/>
        </w:rPr>
        <w:t>(</w:t>
      </w:r>
      <w:r>
        <w:rPr>
          <w:rFonts w:hint="eastAsia" w:cs="宋体"/>
          <w:spacing w:val="5"/>
          <w:sz w:val="32"/>
          <w:szCs w:val="32"/>
          <w:lang w:eastAsia="zh-CN"/>
        </w:rPr>
        <w:t>丹桂路至芙蓉路段</w:t>
      </w:r>
      <w:r>
        <w:rPr>
          <w:rFonts w:cs="宋体"/>
          <w:spacing w:val="5"/>
          <w:sz w:val="32"/>
          <w:szCs w:val="32"/>
          <w:lang w:eastAsia="zh-CN"/>
        </w:rPr>
        <w:t>)</w:t>
      </w:r>
      <w:r>
        <w:rPr>
          <w:rFonts w:hint="eastAsia" w:cs="宋体"/>
          <w:spacing w:val="5"/>
          <w:sz w:val="32"/>
          <w:szCs w:val="32"/>
          <w:lang w:eastAsia="zh-CN"/>
        </w:rPr>
        <w:t>、滨江路</w:t>
      </w:r>
      <w:r>
        <w:rPr>
          <w:rFonts w:cs="宋体"/>
          <w:spacing w:val="5"/>
          <w:sz w:val="32"/>
          <w:szCs w:val="32"/>
          <w:lang w:eastAsia="zh-CN"/>
        </w:rPr>
        <w:t>(</w:t>
      </w:r>
      <w:r>
        <w:rPr>
          <w:rFonts w:hint="eastAsia" w:cs="宋体"/>
          <w:spacing w:val="5"/>
          <w:sz w:val="32"/>
          <w:szCs w:val="32"/>
          <w:lang w:eastAsia="zh-CN"/>
        </w:rPr>
        <w:t>迎松路至高新区交界段</w:t>
      </w:r>
      <w:r>
        <w:rPr>
          <w:rFonts w:cs="宋体"/>
          <w:spacing w:val="5"/>
          <w:sz w:val="32"/>
          <w:szCs w:val="32"/>
          <w:lang w:eastAsia="zh-CN"/>
        </w:rPr>
        <w:t>)</w:t>
      </w:r>
      <w:r>
        <w:rPr>
          <w:rFonts w:hint="eastAsia" w:cs="宋体"/>
          <w:spacing w:val="5"/>
          <w:sz w:val="32"/>
          <w:szCs w:val="32"/>
          <w:lang w:eastAsia="zh-CN"/>
        </w:rPr>
        <w:t>香樟东路</w:t>
      </w:r>
      <w:r>
        <w:rPr>
          <w:rFonts w:cs="宋体"/>
          <w:spacing w:val="5"/>
          <w:sz w:val="32"/>
          <w:szCs w:val="32"/>
          <w:lang w:eastAsia="zh-CN"/>
        </w:rPr>
        <w:t>(</w:t>
      </w:r>
      <w:r>
        <w:rPr>
          <w:rFonts w:hint="eastAsia" w:cs="宋体"/>
          <w:spacing w:val="5"/>
          <w:sz w:val="32"/>
          <w:szCs w:val="32"/>
          <w:lang w:eastAsia="zh-CN"/>
        </w:rPr>
        <w:t>隆平大道至茶花北路段</w:t>
      </w:r>
      <w:r>
        <w:rPr>
          <w:rFonts w:cs="宋体"/>
          <w:spacing w:val="5"/>
          <w:sz w:val="32"/>
          <w:szCs w:val="32"/>
          <w:lang w:eastAsia="zh-CN"/>
        </w:rPr>
        <w:t>)</w:t>
      </w:r>
      <w:r>
        <w:rPr>
          <w:rFonts w:hint="eastAsia" w:cs="宋体"/>
          <w:spacing w:val="5"/>
          <w:sz w:val="32"/>
          <w:szCs w:val="32"/>
          <w:lang w:eastAsia="zh-CN"/>
        </w:rPr>
        <w:t>等</w:t>
      </w:r>
      <w:r>
        <w:rPr>
          <w:rFonts w:cs="宋体"/>
          <w:spacing w:val="5"/>
          <w:sz w:val="32"/>
          <w:szCs w:val="32"/>
          <w:lang w:eastAsia="zh-CN"/>
        </w:rPr>
        <w:t>6</w:t>
      </w:r>
      <w:r>
        <w:rPr>
          <w:rFonts w:hint="eastAsia" w:cs="宋体"/>
          <w:spacing w:val="5"/>
          <w:sz w:val="32"/>
          <w:szCs w:val="32"/>
          <w:lang w:eastAsia="zh-CN"/>
        </w:rPr>
        <w:t>条主次干道约</w:t>
      </w:r>
      <w:r>
        <w:rPr>
          <w:rFonts w:cs="宋体"/>
          <w:spacing w:val="5"/>
          <w:sz w:val="32"/>
          <w:szCs w:val="32"/>
          <w:lang w:eastAsia="zh-CN"/>
        </w:rPr>
        <w:t>19.8</w:t>
      </w:r>
      <w:r>
        <w:rPr>
          <w:rFonts w:hint="eastAsia" w:cs="宋体"/>
          <w:spacing w:val="5"/>
          <w:sz w:val="32"/>
          <w:szCs w:val="32"/>
          <w:lang w:eastAsia="zh-CN"/>
        </w:rPr>
        <w:t>万㎡的路面破损较重的路面进行修复，铺设</w:t>
      </w:r>
      <w:r>
        <w:rPr>
          <w:rFonts w:cs="宋体"/>
          <w:spacing w:val="5"/>
          <w:sz w:val="32"/>
          <w:szCs w:val="32"/>
          <w:lang w:eastAsia="zh-CN"/>
        </w:rPr>
        <w:t>4cnt3cm</w:t>
      </w:r>
      <w:r>
        <w:rPr>
          <w:rFonts w:hint="eastAsia" w:cs="宋体"/>
          <w:spacing w:val="5"/>
          <w:sz w:val="32"/>
          <w:szCs w:val="32"/>
          <w:lang w:eastAsia="zh-CN"/>
        </w:rPr>
        <w:t>两层共</w:t>
      </w:r>
      <w:r>
        <w:rPr>
          <w:rFonts w:cs="宋体"/>
          <w:spacing w:val="5"/>
          <w:sz w:val="32"/>
          <w:szCs w:val="32"/>
          <w:lang w:eastAsia="zh-CN"/>
        </w:rPr>
        <w:t>7cm</w:t>
      </w:r>
      <w:r>
        <w:rPr>
          <w:rFonts w:hint="eastAsia" w:cs="宋体"/>
          <w:spacing w:val="5"/>
          <w:sz w:val="32"/>
          <w:szCs w:val="32"/>
          <w:lang w:eastAsia="zh-CN"/>
        </w:rPr>
        <w:t>的改性沥青，包括管网建设、路面沥青铺设、人行道板维修、绿化工程。</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项目实施依据：</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cs="宋体"/>
          <w:spacing w:val="5"/>
          <w:sz w:val="32"/>
          <w:szCs w:val="32"/>
          <w:lang w:eastAsia="zh-CN"/>
        </w:rPr>
        <w:t>1</w:t>
      </w:r>
      <w:r>
        <w:rPr>
          <w:rFonts w:hint="eastAsia" w:cs="宋体"/>
          <w:spacing w:val="5"/>
          <w:sz w:val="32"/>
          <w:szCs w:val="32"/>
          <w:lang w:eastAsia="zh-CN"/>
        </w:rPr>
        <w:t>）《建设项目可行性研究报告内容和深度的规定》（修订版）；</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2</w:t>
      </w:r>
      <w:r>
        <w:rPr>
          <w:rFonts w:hint="eastAsia" w:cs="宋体"/>
          <w:spacing w:val="5"/>
          <w:sz w:val="32"/>
          <w:szCs w:val="32"/>
          <w:lang w:eastAsia="zh-CN"/>
        </w:rPr>
        <w:t>）《建设项目经济评价方法与参数》（第三版）及国家现行财税制度和价格体系；</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3</w:t>
      </w:r>
      <w:r>
        <w:rPr>
          <w:rFonts w:hint="eastAsia" w:cs="宋体"/>
          <w:spacing w:val="5"/>
          <w:sz w:val="32"/>
          <w:szCs w:val="32"/>
          <w:lang w:eastAsia="zh-CN"/>
        </w:rPr>
        <w:t>）《国民经济和社会发展第十四个五年规划和</w:t>
      </w:r>
      <w:r>
        <w:rPr>
          <w:rFonts w:cs="宋体"/>
          <w:spacing w:val="5"/>
          <w:sz w:val="32"/>
          <w:szCs w:val="32"/>
          <w:lang w:eastAsia="zh-CN"/>
        </w:rPr>
        <w:t xml:space="preserve"> 2035 </w:t>
      </w:r>
      <w:r>
        <w:rPr>
          <w:rFonts w:hint="eastAsia" w:cs="宋体"/>
          <w:spacing w:val="5"/>
          <w:sz w:val="32"/>
          <w:szCs w:val="32"/>
          <w:lang w:eastAsia="zh-CN"/>
        </w:rPr>
        <w:t>年远景目标纲要》；</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4</w:t>
      </w:r>
      <w:r>
        <w:rPr>
          <w:rFonts w:hint="eastAsia" w:cs="宋体"/>
          <w:spacing w:val="5"/>
          <w:sz w:val="32"/>
          <w:szCs w:val="32"/>
          <w:lang w:eastAsia="zh-CN"/>
        </w:rPr>
        <w:t>）《住房和城乡建设部等</w:t>
      </w:r>
      <w:r>
        <w:rPr>
          <w:rFonts w:cs="宋体"/>
          <w:spacing w:val="5"/>
          <w:sz w:val="32"/>
          <w:szCs w:val="32"/>
          <w:lang w:eastAsia="zh-CN"/>
        </w:rPr>
        <w:t xml:space="preserve"> 15 </w:t>
      </w:r>
      <w:r>
        <w:rPr>
          <w:rFonts w:hint="eastAsia" w:cs="宋体"/>
          <w:spacing w:val="5"/>
          <w:sz w:val="32"/>
          <w:szCs w:val="32"/>
          <w:lang w:eastAsia="zh-CN"/>
        </w:rPr>
        <w:t>部门关于加强县城绿色低碳建设的意见》（建村〔</w:t>
      </w:r>
      <w:r>
        <w:rPr>
          <w:rFonts w:cs="宋体"/>
          <w:spacing w:val="5"/>
          <w:sz w:val="32"/>
          <w:szCs w:val="32"/>
          <w:lang w:eastAsia="zh-CN"/>
        </w:rPr>
        <w:t>2021</w:t>
      </w:r>
      <w:r>
        <w:rPr>
          <w:rFonts w:hint="eastAsia" w:cs="宋体"/>
          <w:spacing w:val="5"/>
          <w:sz w:val="32"/>
          <w:szCs w:val="32"/>
          <w:lang w:eastAsia="zh-CN"/>
        </w:rPr>
        <w:t>〕</w:t>
      </w:r>
      <w:r>
        <w:rPr>
          <w:rFonts w:cs="宋体"/>
          <w:spacing w:val="5"/>
          <w:sz w:val="32"/>
          <w:szCs w:val="32"/>
          <w:lang w:eastAsia="zh-CN"/>
        </w:rPr>
        <w:t xml:space="preserve">45 </w:t>
      </w:r>
      <w:r>
        <w:rPr>
          <w:rFonts w:hint="eastAsia" w:cs="宋体"/>
          <w:spacing w:val="5"/>
          <w:sz w:val="32"/>
          <w:szCs w:val="32"/>
          <w:lang w:eastAsia="zh-CN"/>
        </w:rPr>
        <w:t>号）；</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5</w:t>
      </w:r>
      <w:r>
        <w:rPr>
          <w:rFonts w:hint="eastAsia" w:cs="宋体"/>
          <w:spacing w:val="5"/>
          <w:sz w:val="32"/>
          <w:szCs w:val="32"/>
          <w:lang w:eastAsia="zh-CN"/>
        </w:rPr>
        <w:t>）《关于推进以县城为重要载体的城镇化建设的意见》；</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6</w:t>
      </w:r>
      <w:r>
        <w:rPr>
          <w:rFonts w:hint="eastAsia" w:cs="宋体"/>
          <w:spacing w:val="5"/>
          <w:sz w:val="32"/>
          <w:szCs w:val="32"/>
          <w:lang w:eastAsia="zh-CN"/>
        </w:rPr>
        <w:t>）《关于推动停车设施发展的意见》（国办函〔</w:t>
      </w:r>
      <w:r>
        <w:rPr>
          <w:rFonts w:cs="宋体"/>
          <w:spacing w:val="5"/>
          <w:sz w:val="32"/>
          <w:szCs w:val="32"/>
          <w:lang w:eastAsia="zh-CN"/>
        </w:rPr>
        <w:t>2021</w:t>
      </w:r>
      <w:r>
        <w:rPr>
          <w:rFonts w:hint="eastAsia" w:cs="宋体"/>
          <w:spacing w:val="5"/>
          <w:sz w:val="32"/>
          <w:szCs w:val="32"/>
          <w:lang w:eastAsia="zh-CN"/>
        </w:rPr>
        <w:t>〕</w:t>
      </w:r>
      <w:r>
        <w:rPr>
          <w:rFonts w:cs="宋体"/>
          <w:spacing w:val="5"/>
          <w:sz w:val="32"/>
          <w:szCs w:val="32"/>
          <w:lang w:eastAsia="zh-CN"/>
        </w:rPr>
        <w:t xml:space="preserve">46 </w:t>
      </w:r>
      <w:r>
        <w:rPr>
          <w:rFonts w:hint="eastAsia" w:cs="宋体"/>
          <w:spacing w:val="5"/>
          <w:sz w:val="32"/>
          <w:szCs w:val="32"/>
          <w:lang w:eastAsia="zh-CN"/>
        </w:rPr>
        <w:t>号）；</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7</w:t>
      </w:r>
      <w:r>
        <w:rPr>
          <w:rFonts w:hint="eastAsia" w:cs="宋体"/>
          <w:spacing w:val="5"/>
          <w:sz w:val="32"/>
          <w:szCs w:val="32"/>
          <w:lang w:eastAsia="zh-CN"/>
        </w:rPr>
        <w:t>）《新能源汽车产业发展规划》（</w:t>
      </w:r>
      <w:r>
        <w:rPr>
          <w:rFonts w:cs="宋体"/>
          <w:spacing w:val="5"/>
          <w:sz w:val="32"/>
          <w:szCs w:val="32"/>
          <w:lang w:eastAsia="zh-CN"/>
        </w:rPr>
        <w:t xml:space="preserve">2021―2035 </w:t>
      </w:r>
      <w:r>
        <w:rPr>
          <w:rFonts w:hint="eastAsia" w:cs="宋体"/>
          <w:spacing w:val="5"/>
          <w:sz w:val="32"/>
          <w:szCs w:val="32"/>
          <w:lang w:eastAsia="zh-CN"/>
        </w:rPr>
        <w:t>年）；</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8</w:t>
      </w:r>
      <w:r>
        <w:rPr>
          <w:rFonts w:hint="eastAsia" w:cs="宋体"/>
          <w:spacing w:val="5"/>
          <w:sz w:val="32"/>
          <w:szCs w:val="32"/>
          <w:lang w:eastAsia="zh-CN"/>
        </w:rPr>
        <w:t>）《交通运输领域新型基础设施建设行动方案》（</w:t>
      </w:r>
      <w:r>
        <w:rPr>
          <w:rFonts w:cs="宋体"/>
          <w:spacing w:val="5"/>
          <w:sz w:val="32"/>
          <w:szCs w:val="32"/>
          <w:lang w:eastAsia="zh-CN"/>
        </w:rPr>
        <w:t xml:space="preserve">2021—2025 </w:t>
      </w:r>
      <w:r>
        <w:rPr>
          <w:rFonts w:hint="eastAsia" w:cs="宋体"/>
          <w:spacing w:val="5"/>
          <w:sz w:val="32"/>
          <w:szCs w:val="32"/>
          <w:lang w:eastAsia="zh-CN"/>
        </w:rPr>
        <w:t>年）；</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9</w:t>
      </w:r>
      <w:r>
        <w:rPr>
          <w:rFonts w:hint="eastAsia" w:cs="宋体"/>
          <w:spacing w:val="5"/>
          <w:sz w:val="32"/>
          <w:szCs w:val="32"/>
          <w:lang w:eastAsia="zh-CN"/>
        </w:rPr>
        <w:t>）《交通运输部关于推动交通运输领域新型基础设施建设的指导意见》（交规划发〔</w:t>
      </w:r>
      <w:r>
        <w:rPr>
          <w:rFonts w:cs="宋体"/>
          <w:spacing w:val="5"/>
          <w:sz w:val="32"/>
          <w:szCs w:val="32"/>
          <w:lang w:eastAsia="zh-CN"/>
        </w:rPr>
        <w:t>2020</w:t>
      </w:r>
      <w:r>
        <w:rPr>
          <w:rFonts w:hint="eastAsia" w:cs="宋体"/>
          <w:spacing w:val="5"/>
          <w:sz w:val="32"/>
          <w:szCs w:val="32"/>
          <w:lang w:eastAsia="zh-CN"/>
        </w:rPr>
        <w:t>〕</w:t>
      </w:r>
      <w:r>
        <w:rPr>
          <w:rFonts w:cs="宋体"/>
          <w:spacing w:val="5"/>
          <w:sz w:val="32"/>
          <w:szCs w:val="32"/>
          <w:lang w:eastAsia="zh-CN"/>
        </w:rPr>
        <w:t xml:space="preserve">75 </w:t>
      </w:r>
      <w:r>
        <w:rPr>
          <w:rFonts w:hint="eastAsia" w:cs="宋体"/>
          <w:spacing w:val="5"/>
          <w:sz w:val="32"/>
          <w:szCs w:val="32"/>
          <w:lang w:eastAsia="zh-CN"/>
        </w:rPr>
        <w:t>号）；</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10</w:t>
      </w:r>
      <w:r>
        <w:rPr>
          <w:rFonts w:hint="eastAsia" w:cs="宋体"/>
          <w:spacing w:val="5"/>
          <w:sz w:val="32"/>
          <w:szCs w:val="32"/>
          <w:lang w:eastAsia="zh-CN"/>
        </w:rPr>
        <w:t>）《湖南省国民经济和社会发展第十四个五年规划和</w:t>
      </w:r>
      <w:r>
        <w:rPr>
          <w:rFonts w:cs="宋体"/>
          <w:spacing w:val="5"/>
          <w:sz w:val="32"/>
          <w:szCs w:val="32"/>
          <w:lang w:eastAsia="zh-CN"/>
        </w:rPr>
        <w:t>2035</w:t>
      </w:r>
      <w:r>
        <w:rPr>
          <w:rFonts w:hint="eastAsia" w:cs="宋体"/>
          <w:spacing w:val="5"/>
          <w:sz w:val="32"/>
          <w:szCs w:val="32"/>
          <w:lang w:eastAsia="zh-CN"/>
        </w:rPr>
        <w:t>年远景目标纲要》；</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11</w:t>
      </w:r>
      <w:r>
        <w:rPr>
          <w:rFonts w:hint="eastAsia" w:cs="宋体"/>
          <w:spacing w:val="5"/>
          <w:sz w:val="32"/>
          <w:szCs w:val="32"/>
          <w:lang w:eastAsia="zh-CN"/>
        </w:rPr>
        <w:t>）《湖南省电动汽车充电基础设施建设与运营管理办法》（湘发改能源〔</w:t>
      </w:r>
      <w:r>
        <w:rPr>
          <w:rFonts w:cs="宋体"/>
          <w:spacing w:val="5"/>
          <w:sz w:val="32"/>
          <w:szCs w:val="32"/>
          <w:lang w:eastAsia="zh-CN"/>
        </w:rPr>
        <w:t>2021</w:t>
      </w:r>
      <w:r>
        <w:rPr>
          <w:rFonts w:hint="eastAsia" w:cs="宋体"/>
          <w:spacing w:val="5"/>
          <w:sz w:val="32"/>
          <w:szCs w:val="32"/>
          <w:lang w:eastAsia="zh-CN"/>
        </w:rPr>
        <w:t>〕</w:t>
      </w:r>
      <w:r>
        <w:rPr>
          <w:rFonts w:cs="宋体"/>
          <w:spacing w:val="5"/>
          <w:sz w:val="32"/>
          <w:szCs w:val="32"/>
          <w:lang w:eastAsia="zh-CN"/>
        </w:rPr>
        <w:t xml:space="preserve">916 </w:t>
      </w:r>
      <w:r>
        <w:rPr>
          <w:rFonts w:hint="eastAsia" w:cs="宋体"/>
          <w:spacing w:val="5"/>
          <w:sz w:val="32"/>
          <w:szCs w:val="32"/>
          <w:lang w:eastAsia="zh-CN"/>
        </w:rPr>
        <w:t>号）；</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12</w:t>
      </w:r>
      <w:r>
        <w:rPr>
          <w:rFonts w:hint="eastAsia" w:cs="宋体"/>
          <w:spacing w:val="5"/>
          <w:sz w:val="32"/>
          <w:szCs w:val="32"/>
          <w:lang w:eastAsia="zh-CN"/>
        </w:rPr>
        <w:t>）《湖南省发展和改革委员会湖南省住房和城乡建设厅湖南省公</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安厅湖南省自然资源厅关于印发〈关于推动城市停车设施加快发展的实施意见〉的通知》（湘发改基础规〔</w:t>
      </w:r>
      <w:r>
        <w:rPr>
          <w:rFonts w:cs="宋体"/>
          <w:spacing w:val="5"/>
          <w:sz w:val="32"/>
          <w:szCs w:val="32"/>
          <w:lang w:eastAsia="zh-CN"/>
        </w:rPr>
        <w:t>2021</w:t>
      </w:r>
      <w:r>
        <w:rPr>
          <w:rFonts w:hint="eastAsia" w:cs="宋体"/>
          <w:spacing w:val="5"/>
          <w:sz w:val="32"/>
          <w:szCs w:val="32"/>
          <w:lang w:eastAsia="zh-CN"/>
        </w:rPr>
        <w:t>〕</w:t>
      </w:r>
      <w:r>
        <w:rPr>
          <w:rFonts w:cs="宋体"/>
          <w:spacing w:val="5"/>
          <w:sz w:val="32"/>
          <w:szCs w:val="32"/>
          <w:lang w:eastAsia="zh-CN"/>
        </w:rPr>
        <w:t xml:space="preserve">951 </w:t>
      </w:r>
      <w:r>
        <w:rPr>
          <w:rFonts w:hint="eastAsia" w:cs="宋体"/>
          <w:spacing w:val="5"/>
          <w:sz w:val="32"/>
          <w:szCs w:val="32"/>
          <w:lang w:eastAsia="zh-CN"/>
        </w:rPr>
        <w:t>号）；</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13</w:t>
      </w:r>
      <w:r>
        <w:rPr>
          <w:rFonts w:hint="eastAsia" w:cs="宋体"/>
          <w:spacing w:val="5"/>
          <w:sz w:val="32"/>
          <w:szCs w:val="32"/>
          <w:lang w:eastAsia="zh-CN"/>
        </w:rPr>
        <w:t>）《湖南省“十四五”新型城镇化规划》（湘发改规划〔</w:t>
      </w:r>
      <w:r>
        <w:rPr>
          <w:rFonts w:cs="宋体"/>
          <w:spacing w:val="5"/>
          <w:sz w:val="32"/>
          <w:szCs w:val="32"/>
          <w:lang w:eastAsia="zh-CN"/>
        </w:rPr>
        <w:t>2021</w:t>
      </w:r>
      <w:r>
        <w:rPr>
          <w:rFonts w:hint="eastAsia" w:cs="宋体"/>
          <w:spacing w:val="5"/>
          <w:sz w:val="32"/>
          <w:szCs w:val="32"/>
          <w:lang w:eastAsia="zh-CN"/>
        </w:rPr>
        <w:t>〕</w:t>
      </w:r>
      <w:r>
        <w:rPr>
          <w:rFonts w:cs="宋体"/>
          <w:spacing w:val="5"/>
          <w:sz w:val="32"/>
          <w:szCs w:val="32"/>
          <w:lang w:eastAsia="zh-CN"/>
        </w:rPr>
        <w:t xml:space="preserve">661 </w:t>
      </w:r>
      <w:r>
        <w:rPr>
          <w:rFonts w:hint="eastAsia" w:cs="宋体"/>
          <w:spacing w:val="5"/>
          <w:sz w:val="32"/>
          <w:szCs w:val="32"/>
          <w:lang w:eastAsia="zh-CN"/>
        </w:rPr>
        <w:t>号）；</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14</w:t>
      </w:r>
      <w:r>
        <w:rPr>
          <w:rFonts w:hint="eastAsia" w:cs="宋体"/>
          <w:spacing w:val="5"/>
          <w:sz w:val="32"/>
          <w:szCs w:val="32"/>
          <w:lang w:eastAsia="zh-CN"/>
        </w:rPr>
        <w:t>）《怀化市机动车停车条例》（</w:t>
      </w:r>
      <w:r>
        <w:rPr>
          <w:rFonts w:cs="宋体"/>
          <w:spacing w:val="5"/>
          <w:sz w:val="32"/>
          <w:szCs w:val="32"/>
          <w:lang w:eastAsia="zh-CN"/>
        </w:rPr>
        <w:t xml:space="preserve">2022 </w:t>
      </w:r>
      <w:r>
        <w:rPr>
          <w:rFonts w:hint="eastAsia" w:cs="宋体"/>
          <w:spacing w:val="5"/>
          <w:sz w:val="32"/>
          <w:szCs w:val="32"/>
          <w:lang w:eastAsia="zh-CN"/>
        </w:rPr>
        <w:t>年</w:t>
      </w:r>
      <w:r>
        <w:rPr>
          <w:rFonts w:cs="宋体"/>
          <w:spacing w:val="5"/>
          <w:sz w:val="32"/>
          <w:szCs w:val="32"/>
          <w:lang w:eastAsia="zh-CN"/>
        </w:rPr>
        <w:t xml:space="preserve"> 1 </w:t>
      </w:r>
      <w:r>
        <w:rPr>
          <w:rFonts w:hint="eastAsia" w:cs="宋体"/>
          <w:spacing w:val="5"/>
          <w:sz w:val="32"/>
          <w:szCs w:val="32"/>
          <w:lang w:eastAsia="zh-CN"/>
        </w:rPr>
        <w:t>月</w:t>
      </w:r>
      <w:r>
        <w:rPr>
          <w:rFonts w:cs="宋体"/>
          <w:spacing w:val="5"/>
          <w:sz w:val="32"/>
          <w:szCs w:val="32"/>
          <w:lang w:eastAsia="zh-CN"/>
        </w:rPr>
        <w:t xml:space="preserve"> 1 </w:t>
      </w:r>
      <w:r>
        <w:rPr>
          <w:rFonts w:hint="eastAsia" w:cs="宋体"/>
          <w:spacing w:val="5"/>
          <w:sz w:val="32"/>
          <w:szCs w:val="32"/>
          <w:lang w:eastAsia="zh-CN"/>
        </w:rPr>
        <w:t>日施行）；</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15</w:t>
      </w:r>
      <w:r>
        <w:rPr>
          <w:rFonts w:hint="eastAsia" w:cs="宋体"/>
          <w:spacing w:val="5"/>
          <w:sz w:val="32"/>
          <w:szCs w:val="32"/>
          <w:lang w:eastAsia="zh-CN"/>
        </w:rPr>
        <w:t>）《中方县国民经济和社会发展第十四个五年规划和二</w:t>
      </w:r>
      <w:r>
        <w:rPr>
          <w:rFonts w:cs="宋体"/>
          <w:spacing w:val="5"/>
          <w:sz w:val="32"/>
          <w:szCs w:val="32"/>
          <w:lang w:eastAsia="zh-CN"/>
        </w:rPr>
        <w:t xml:space="preserve"> O </w:t>
      </w:r>
      <w:r>
        <w:rPr>
          <w:rFonts w:hint="eastAsia" w:cs="宋体"/>
          <w:spacing w:val="5"/>
          <w:sz w:val="32"/>
          <w:szCs w:val="32"/>
          <w:lang w:eastAsia="zh-CN"/>
        </w:rPr>
        <w:t>三五年远景目标纲要》；</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16</w:t>
      </w:r>
      <w:r>
        <w:rPr>
          <w:rFonts w:hint="eastAsia" w:cs="宋体"/>
          <w:spacing w:val="5"/>
          <w:sz w:val="32"/>
          <w:szCs w:val="32"/>
          <w:lang w:eastAsia="zh-CN"/>
        </w:rPr>
        <w:t>）《中方县土地利用总体规划（</w:t>
      </w:r>
      <w:r>
        <w:rPr>
          <w:rFonts w:cs="宋体"/>
          <w:spacing w:val="5"/>
          <w:sz w:val="32"/>
          <w:szCs w:val="32"/>
          <w:lang w:eastAsia="zh-CN"/>
        </w:rPr>
        <w:t xml:space="preserve">2006-2020 </w:t>
      </w:r>
      <w:r>
        <w:rPr>
          <w:rFonts w:hint="eastAsia" w:cs="宋体"/>
          <w:spacing w:val="5"/>
          <w:sz w:val="32"/>
          <w:szCs w:val="32"/>
          <w:lang w:eastAsia="zh-CN"/>
        </w:rPr>
        <w:t>年）》；</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w:t>
      </w:r>
      <w:r>
        <w:rPr>
          <w:rFonts w:cs="宋体"/>
          <w:spacing w:val="5"/>
          <w:sz w:val="32"/>
          <w:szCs w:val="32"/>
          <w:lang w:eastAsia="zh-CN"/>
        </w:rPr>
        <w:t>17</w:t>
      </w:r>
      <w:r>
        <w:rPr>
          <w:rFonts w:hint="eastAsia" w:cs="宋体"/>
          <w:spacing w:val="5"/>
          <w:sz w:val="32"/>
          <w:szCs w:val="32"/>
          <w:lang w:eastAsia="zh-CN"/>
        </w:rPr>
        <w:t>）现行的国家其他各有关专业规范规程及项目单位提供的相关基础资料。</w:t>
      </w:r>
    </w:p>
    <w:p>
      <w:pPr>
        <w:pStyle w:val="6"/>
        <w:spacing w:line="560" w:lineRule="exact"/>
        <w:ind w:firstLine="670" w:firstLineChars="200"/>
        <w:rPr>
          <w:rFonts w:hint="eastAsia"/>
          <w:b/>
          <w:bCs/>
          <w:spacing w:val="7"/>
          <w:sz w:val="32"/>
          <w:szCs w:val="32"/>
          <w:lang w:val="en-US" w:eastAsia="zh-CN"/>
        </w:rPr>
      </w:pPr>
      <w:r>
        <w:rPr>
          <w:rFonts w:hint="eastAsia"/>
          <w:b/>
          <w:bCs/>
          <w:spacing w:val="7"/>
          <w:sz w:val="32"/>
          <w:szCs w:val="32"/>
          <w:lang w:val="en-US" w:eastAsia="zh-CN"/>
        </w:rPr>
        <w:t>3.项目组织管理机构</w:t>
      </w:r>
    </w:p>
    <w:p>
      <w:pPr>
        <w:pStyle w:val="6"/>
        <w:keepNext w:val="0"/>
        <w:keepLines w:val="0"/>
        <w:pageBreakBefore w:val="0"/>
        <w:kinsoku/>
        <w:wordWrap/>
        <w:overflowPunct/>
        <w:topLinePunct w:val="0"/>
        <w:bidi w:val="0"/>
        <w:snapToGrid w:val="0"/>
        <w:spacing w:line="560" w:lineRule="exact"/>
        <w:ind w:firstLine="640" w:firstLineChars="200"/>
        <w:jc w:val="both"/>
        <w:textAlignment w:val="bottom"/>
        <w:rPr>
          <w:rFonts w:hint="eastAsia" w:cs="宋体"/>
          <w:spacing w:val="5"/>
          <w:sz w:val="32"/>
          <w:szCs w:val="32"/>
          <w:lang w:eastAsia="zh-CN"/>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为确保项目的顺利实施和有效管理，我公司成立了由总经理担任组长，副总经理担任副组长，各部室负责人为成员的项目工作领导小组和绩效评价工作小组。项目工作领导小组负责项目的统筹规划、协调指导、监督检查等工作，定期召开会议研究解决项目实施过程中遇到的重大问题。同时，明确了各部室职责分工，形成了各司其职、密切配合、协同推进的工作格局。项目工作小组负责管理制度和工作流程，对项目的立项申报、组织实施、资金管理、监督检查、等环节进行了规范和约束，确保项目实施的科学性、规范性和有效性，绩效评价工作小组负责项目绩效自评工作，及项目实施前的绩效评估相关事项。</w:t>
      </w:r>
    </w:p>
    <w:p>
      <w:pPr>
        <w:pStyle w:val="10"/>
        <w:shd w:val="clear" w:color="auto" w:fill="FFFFFF"/>
        <w:kinsoku/>
        <w:autoSpaceDE/>
        <w:autoSpaceDN/>
        <w:adjustRightInd/>
        <w:spacing w:beforeAutospacing="0" w:afterAutospacing="0" w:line="520" w:lineRule="exact"/>
        <w:ind w:firstLine="640" w:firstLineChars="200"/>
        <w:jc w:val="both"/>
        <w:textAlignment w:val="auto"/>
        <w:rPr>
          <w:rFonts w:hint="eastAsia" w:ascii="楷体_GB2312" w:hAnsi="楷体_GB2312" w:eastAsia="楷体_GB2312" w:cs="楷体_GB2312"/>
          <w:sz w:val="32"/>
          <w:szCs w:val="32"/>
          <w:shd w:val="clear" w:color="auto" w:fill="FFFFFF"/>
        </w:rPr>
      </w:pPr>
      <w:r>
        <w:rPr>
          <w:rFonts w:hint="eastAsia" w:ascii="楷体_GB2312" w:hAnsi="楷体_GB2312" w:eastAsia="楷体_GB2312" w:cs="楷体_GB2312"/>
          <w:sz w:val="32"/>
          <w:szCs w:val="32"/>
          <w:shd w:val="clear" w:color="auto" w:fill="FFFFFF"/>
        </w:rPr>
        <w:t>（二）预算资金使用管理情况</w:t>
      </w:r>
    </w:p>
    <w:p>
      <w:pPr>
        <w:widowControl w:val="0"/>
        <w:kinsoku/>
        <w:autoSpaceDE/>
        <w:autoSpaceDN/>
        <w:adjustRightInd/>
        <w:spacing w:line="520" w:lineRule="exact"/>
        <w:ind w:firstLine="642" w:firstLineChars="200"/>
        <w:textAlignment w:val="auto"/>
        <w:outlineLvl w:val="1"/>
        <w:rPr>
          <w:rFonts w:hint="eastAsia" w:ascii="仿宋" w:hAnsi="仿宋" w:eastAsia="仿宋" w:cs="仿宋"/>
          <w:b/>
          <w:bCs/>
          <w:kern w:val="44"/>
          <w:sz w:val="32"/>
          <w:szCs w:val="32"/>
          <w:lang w:eastAsia="zh-CN"/>
        </w:rPr>
      </w:pPr>
      <w:r>
        <w:rPr>
          <w:rFonts w:hint="eastAsia" w:ascii="仿宋" w:hAnsi="仿宋" w:eastAsia="仿宋" w:cs="仿宋"/>
          <w:b/>
          <w:bCs/>
          <w:kern w:val="44"/>
          <w:sz w:val="32"/>
          <w:szCs w:val="32"/>
          <w:lang w:eastAsia="zh-CN"/>
        </w:rPr>
        <w:t>1.预算资金安排及管理情况</w:t>
      </w:r>
    </w:p>
    <w:p>
      <w:pPr>
        <w:pStyle w:val="10"/>
        <w:shd w:val="clear" w:color="auto" w:fill="FFFFFF"/>
        <w:kinsoku/>
        <w:autoSpaceDE/>
        <w:autoSpaceDN/>
        <w:adjustRightInd/>
        <w:spacing w:beforeAutospacing="0" w:afterAutospacing="0" w:line="520" w:lineRule="exact"/>
        <w:ind w:firstLine="642" w:firstLineChars="200"/>
        <w:jc w:val="both"/>
        <w:textAlignment w:val="auto"/>
        <w:rPr>
          <w:rFonts w:hint="eastAsia" w:ascii="仿宋" w:hAnsi="仿宋" w:eastAsia="仿宋" w:cs="仿宋"/>
          <w:b/>
          <w:bCs/>
          <w:kern w:val="44"/>
          <w:sz w:val="32"/>
          <w:szCs w:val="32"/>
        </w:rPr>
      </w:pPr>
      <w:r>
        <w:rPr>
          <w:rFonts w:hint="eastAsia" w:ascii="仿宋" w:hAnsi="仿宋" w:eastAsia="仿宋" w:cs="仿宋"/>
          <w:b/>
          <w:bCs/>
          <w:kern w:val="44"/>
          <w:sz w:val="32"/>
          <w:szCs w:val="32"/>
        </w:rPr>
        <w:t>（1）资金来源及拨付流程</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default"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SA"/>
        </w:rPr>
        <w:t>资金来源为申请政府专项债券和地方财政配套资金。该项目所有资金实行专款专用。项目支出均有相关的授权审批，资金拨付严格审批程序，使用规范，会计核算结果真实、准确。建立健全项目实施预算方案、财务管理制度和会计核算制度。</w:t>
      </w:r>
    </w:p>
    <w:p>
      <w:pPr>
        <w:pStyle w:val="10"/>
        <w:shd w:val="clear" w:color="auto" w:fill="FFFFFF"/>
        <w:kinsoku/>
        <w:autoSpaceDE/>
        <w:autoSpaceDN/>
        <w:adjustRightInd/>
        <w:spacing w:beforeAutospacing="0" w:afterAutospacing="0" w:line="520" w:lineRule="exact"/>
        <w:ind w:firstLine="642" w:firstLineChars="200"/>
        <w:jc w:val="both"/>
        <w:textAlignment w:val="auto"/>
        <w:rPr>
          <w:rFonts w:ascii="仿宋_GB2312" w:eastAsia="仿宋_GB2312" w:cs="仿宋_GB2312" w:hAnsiTheme="minorHAnsi"/>
          <w:b/>
          <w:bCs/>
          <w:sz w:val="32"/>
          <w:szCs w:val="32"/>
          <w:shd w:val="clear" w:color="auto" w:fill="FFFFFF"/>
        </w:rPr>
      </w:pPr>
      <w:r>
        <w:rPr>
          <w:rFonts w:ascii="仿宋_GB2312" w:eastAsia="仿宋_GB2312" w:cs="仿宋_GB2312" w:hAnsiTheme="minorHAnsi"/>
          <w:b/>
          <w:bCs/>
          <w:sz w:val="32"/>
          <w:szCs w:val="32"/>
          <w:shd w:val="clear" w:color="auto" w:fill="FFFFFF"/>
        </w:rPr>
        <w:t>（2）资金到位情况</w:t>
      </w:r>
    </w:p>
    <w:p>
      <w:pPr>
        <w:pStyle w:val="10"/>
        <w:shd w:val="clear" w:color="auto" w:fill="FFFFFF"/>
        <w:kinsoku/>
        <w:autoSpaceDE/>
        <w:autoSpaceDN/>
        <w:adjustRightInd/>
        <w:spacing w:beforeAutospacing="0" w:afterAutospacing="0" w:line="520" w:lineRule="exact"/>
        <w:ind w:firstLine="640" w:firstLineChars="200"/>
        <w:jc w:val="both"/>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rPr>
        <w:t>截至2024年12月31日，</w:t>
      </w:r>
      <w:r>
        <w:rPr>
          <w:rFonts w:hint="eastAsia" w:ascii="仿宋" w:hAnsi="仿宋" w:eastAsia="仿宋" w:cs="仿宋"/>
          <w:kern w:val="44"/>
          <w:sz w:val="32"/>
          <w:szCs w:val="32"/>
          <w:lang w:val="en-US" w:eastAsia="zh-CN"/>
        </w:rPr>
        <w:t>政府专项债券到位资金</w:t>
      </w:r>
      <w:r>
        <w:rPr>
          <w:rFonts w:ascii="仿宋" w:hAnsi="仿宋" w:eastAsia="仿宋" w:cs="仿宋_GB2312"/>
          <w:sz w:val="32"/>
          <w:szCs w:val="32"/>
          <w:shd w:val="clear" w:color="auto" w:fill="FFFFFF"/>
        </w:rPr>
        <w:t>4645</w:t>
      </w:r>
      <w:r>
        <w:rPr>
          <w:rFonts w:hint="eastAsia" w:ascii="仿宋" w:hAnsi="仿宋" w:eastAsia="仿宋" w:cs="仿宋"/>
          <w:kern w:val="44"/>
          <w:sz w:val="32"/>
          <w:szCs w:val="32"/>
          <w:lang w:val="en-US" w:eastAsia="zh-CN"/>
        </w:rPr>
        <w:t>万元，</w:t>
      </w:r>
      <w:r>
        <w:rPr>
          <w:rFonts w:hint="eastAsia" w:ascii="仿宋" w:hAnsi="仿宋" w:eastAsia="仿宋" w:cs="仿宋"/>
          <w:kern w:val="44"/>
          <w:sz w:val="32"/>
          <w:szCs w:val="32"/>
        </w:rPr>
        <w:t>到位情况良好，各项资金都能按照计划按时足额到位，为项目的持续稳定开展提供了充足的财力支持，资金到位率100%</w:t>
      </w:r>
      <w:r>
        <w:rPr>
          <w:rFonts w:hint="eastAsia" w:ascii="仿宋" w:hAnsi="仿宋" w:eastAsia="仿宋" w:cs="仿宋"/>
          <w:kern w:val="44"/>
          <w:sz w:val="32"/>
          <w:szCs w:val="32"/>
          <w:lang w:eastAsia="zh-CN"/>
        </w:rPr>
        <w:t>。</w:t>
      </w:r>
    </w:p>
    <w:p>
      <w:pPr>
        <w:pStyle w:val="10"/>
        <w:shd w:val="clear" w:color="auto" w:fill="FFFFFF"/>
        <w:kinsoku/>
        <w:autoSpaceDE/>
        <w:autoSpaceDN/>
        <w:adjustRightInd/>
        <w:spacing w:beforeAutospacing="0" w:afterAutospacing="0" w:line="520" w:lineRule="exact"/>
        <w:ind w:firstLine="642" w:firstLineChars="200"/>
        <w:jc w:val="both"/>
        <w:textAlignment w:val="auto"/>
        <w:rPr>
          <w:rFonts w:ascii="仿宋_GB2312" w:eastAsia="仿宋_GB2312" w:cs="仿宋_GB2312" w:hAnsiTheme="minorHAnsi"/>
          <w:b/>
          <w:bCs/>
          <w:sz w:val="32"/>
          <w:szCs w:val="32"/>
          <w:shd w:val="clear" w:color="auto" w:fill="FFFFFF"/>
        </w:rPr>
      </w:pPr>
      <w:bookmarkStart w:id="0" w:name="_Toc10810"/>
      <w:r>
        <w:rPr>
          <w:rFonts w:ascii="仿宋_GB2312" w:eastAsia="仿宋_GB2312" w:cs="仿宋_GB2312" w:hAnsiTheme="minorHAnsi"/>
          <w:b/>
          <w:bCs/>
          <w:sz w:val="32"/>
          <w:szCs w:val="32"/>
          <w:shd w:val="clear" w:color="auto" w:fill="FFFFFF"/>
        </w:rPr>
        <w:t>（</w:t>
      </w:r>
      <w:r>
        <w:rPr>
          <w:rFonts w:hint="eastAsia" w:ascii="仿宋_GB2312" w:eastAsia="仿宋_GB2312" w:cs="仿宋_GB2312" w:hAnsiTheme="minorHAnsi"/>
          <w:b/>
          <w:bCs/>
          <w:sz w:val="32"/>
          <w:szCs w:val="32"/>
          <w:shd w:val="clear" w:color="auto" w:fill="FFFFFF"/>
          <w:lang w:val="en-US" w:eastAsia="zh-CN"/>
        </w:rPr>
        <w:t>3</w:t>
      </w:r>
      <w:r>
        <w:rPr>
          <w:rFonts w:ascii="仿宋_GB2312" w:eastAsia="仿宋_GB2312" w:cs="仿宋_GB2312" w:hAnsiTheme="minorHAnsi"/>
          <w:b/>
          <w:bCs/>
          <w:sz w:val="32"/>
          <w:szCs w:val="32"/>
          <w:shd w:val="clear" w:color="auto" w:fill="FFFFFF"/>
        </w:rPr>
        <w:t>）资金使用情况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1"/>
        <w:rPr>
          <w:rFonts w:hint="eastAsia" w:ascii="仿宋" w:hAnsi="仿宋" w:eastAsia="仿宋" w:cs="仿宋"/>
          <w:kern w:val="44"/>
          <w:sz w:val="32"/>
          <w:szCs w:val="32"/>
        </w:rPr>
      </w:pPr>
      <w:r>
        <w:rPr>
          <w:rFonts w:hint="eastAsia" w:ascii="仿宋" w:hAnsi="仿宋" w:eastAsia="仿宋" w:cs="仿宋"/>
          <w:kern w:val="44"/>
          <w:sz w:val="32"/>
          <w:szCs w:val="32"/>
        </w:rPr>
        <w:t>202</w:t>
      </w:r>
      <w:r>
        <w:rPr>
          <w:rFonts w:hint="eastAsia" w:ascii="仿宋" w:hAnsi="仿宋" w:eastAsia="仿宋" w:cs="仿宋"/>
          <w:kern w:val="44"/>
          <w:sz w:val="32"/>
          <w:szCs w:val="32"/>
          <w:lang w:val="en-US" w:eastAsia="zh-CN"/>
        </w:rPr>
        <w:t>4</w:t>
      </w:r>
      <w:r>
        <w:rPr>
          <w:rFonts w:hint="eastAsia" w:ascii="仿宋" w:hAnsi="仿宋" w:eastAsia="仿宋" w:cs="仿宋"/>
          <w:kern w:val="44"/>
          <w:sz w:val="32"/>
          <w:szCs w:val="32"/>
        </w:rPr>
        <w:t>年，上级下达</w:t>
      </w:r>
      <w:r>
        <w:rPr>
          <w:rFonts w:hint="eastAsia" w:ascii="仿宋" w:hAnsi="仿宋" w:eastAsia="仿宋" w:cs="仿宋"/>
          <w:kern w:val="44"/>
          <w:sz w:val="32"/>
          <w:szCs w:val="32"/>
          <w:lang w:eastAsia="zh-CN"/>
        </w:rPr>
        <w:t>项目</w:t>
      </w:r>
      <w:r>
        <w:rPr>
          <w:rFonts w:hint="eastAsia" w:ascii="仿宋" w:hAnsi="仿宋" w:eastAsia="仿宋" w:cs="仿宋"/>
          <w:kern w:val="44"/>
          <w:sz w:val="32"/>
          <w:szCs w:val="32"/>
          <w:lang w:val="en-US" w:eastAsia="zh-CN"/>
        </w:rPr>
        <w:t>资金</w:t>
      </w:r>
      <w:r>
        <w:rPr>
          <w:rFonts w:ascii="仿宋" w:hAnsi="仿宋" w:eastAsia="仿宋" w:cs="仿宋_GB2312"/>
          <w:sz w:val="32"/>
          <w:szCs w:val="32"/>
          <w:shd w:val="clear" w:color="auto" w:fill="FFFFFF"/>
        </w:rPr>
        <w:t>4645</w:t>
      </w:r>
      <w:r>
        <w:rPr>
          <w:rFonts w:hint="eastAsia" w:ascii="仿宋" w:hAnsi="仿宋" w:eastAsia="仿宋" w:cs="仿宋"/>
          <w:kern w:val="44"/>
          <w:sz w:val="32"/>
          <w:szCs w:val="32"/>
        </w:rPr>
        <w:t>万元，该资金全部用于本项目建设。所有资金实行专款专用。</w:t>
      </w:r>
    </w:p>
    <w:bookmarkEnd w:id="0"/>
    <w:p>
      <w:pPr>
        <w:pStyle w:val="10"/>
        <w:shd w:val="clear" w:color="auto" w:fill="FFFFFF"/>
        <w:kinsoku/>
        <w:autoSpaceDE/>
        <w:autoSpaceDN/>
        <w:adjustRightInd/>
        <w:spacing w:beforeAutospacing="0" w:afterAutospacing="0" w:line="520" w:lineRule="exact"/>
        <w:ind w:firstLine="642" w:firstLineChars="200"/>
        <w:jc w:val="both"/>
        <w:textAlignment w:val="auto"/>
        <w:rPr>
          <w:rFonts w:ascii="仿宋_GB2312" w:eastAsia="仿宋_GB2312" w:cs="仿宋_GB2312" w:hAnsiTheme="minorHAnsi"/>
          <w:b/>
          <w:bCs/>
          <w:sz w:val="32"/>
          <w:szCs w:val="32"/>
          <w:shd w:val="clear" w:color="auto" w:fill="FFFFFF"/>
        </w:rPr>
      </w:pPr>
      <w:r>
        <w:rPr>
          <w:rFonts w:ascii="仿宋_GB2312" w:eastAsia="仿宋_GB2312" w:cs="仿宋_GB2312" w:hAnsiTheme="minorHAnsi"/>
          <w:b/>
          <w:bCs/>
          <w:sz w:val="32"/>
          <w:szCs w:val="32"/>
          <w:shd w:val="clear" w:color="auto" w:fill="FFFFFF"/>
        </w:rPr>
        <w:t>（</w:t>
      </w:r>
      <w:r>
        <w:rPr>
          <w:rFonts w:hint="eastAsia" w:ascii="仿宋_GB2312" w:eastAsia="仿宋_GB2312" w:cs="仿宋_GB2312" w:hAnsiTheme="minorHAnsi"/>
          <w:b/>
          <w:bCs/>
          <w:sz w:val="32"/>
          <w:szCs w:val="32"/>
          <w:shd w:val="clear" w:color="auto" w:fill="FFFFFF"/>
          <w:lang w:val="en-US" w:eastAsia="zh-CN"/>
        </w:rPr>
        <w:t>4</w:t>
      </w:r>
      <w:r>
        <w:rPr>
          <w:rFonts w:ascii="仿宋_GB2312" w:eastAsia="仿宋_GB2312" w:cs="仿宋_GB2312" w:hAnsiTheme="minorHAnsi"/>
          <w:b/>
          <w:bCs/>
          <w:sz w:val="32"/>
          <w:szCs w:val="32"/>
          <w:shd w:val="clear" w:color="auto" w:fill="FFFFFF"/>
        </w:rPr>
        <w:t>）资金管理制度及执行情况</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eastAsia="仿宋_GB2312" w:cs="仿宋_GB2312" w:hAnsiTheme="minorHAnsi"/>
          <w:sz w:val="32"/>
          <w:szCs w:val="32"/>
          <w:shd w:val="clear" w:color="auto" w:fill="FFFFFF"/>
          <w:lang w:val="en-US" w:eastAsia="zh-CN"/>
        </w:rPr>
      </w:pPr>
      <w:r>
        <w:rPr>
          <w:rFonts w:hint="eastAsia" w:ascii="仿宋" w:hAnsi="仿宋" w:eastAsia="仿宋" w:cs="仿宋"/>
          <w:kern w:val="44"/>
          <w:sz w:val="32"/>
          <w:szCs w:val="32"/>
          <w:lang w:eastAsia="zh-CN"/>
        </w:rPr>
        <w:t>按照《中方县专项资金管理办法实施细则》，经费由财政局严格审核下拨，程序规范。我</w:t>
      </w:r>
      <w:r>
        <w:rPr>
          <w:rFonts w:hint="eastAsia" w:ascii="仿宋" w:hAnsi="仿宋" w:eastAsia="仿宋" w:cs="仿宋"/>
          <w:kern w:val="44"/>
          <w:sz w:val="32"/>
          <w:szCs w:val="32"/>
          <w:lang w:val="en-US" w:eastAsia="zh-CN"/>
        </w:rPr>
        <w:t>公司</w:t>
      </w:r>
      <w:r>
        <w:rPr>
          <w:rFonts w:hint="eastAsia" w:ascii="仿宋" w:hAnsi="仿宋" w:eastAsia="仿宋" w:cs="仿宋"/>
          <w:kern w:val="44"/>
          <w:sz w:val="32"/>
          <w:szCs w:val="32"/>
          <w:lang w:eastAsia="zh-CN"/>
        </w:rPr>
        <w:t>制定了专项资金管理办法，在项目实施过程中，严格执行各项资金管理制度，确保资金使用合法、合规、合理。具体包括：专项资金实行“专项指标管理、专项项目核算、专项使用”。资金的拨付本着专款专用的原则，严格执行项目资金批准的使用计划和项目批复资料，不准擅自调项、扩项、缩项，更不准拆借、挪用、挤占和随意扣压；资金拨付动向，按不一样专项资金的要求执行，不准任意改变；特殊状况，务必请示。严格专项资金初审、审核制度，不准缺项和越程序办理手续，各类专项资金审批程序，以该专项资金审批表所列资料和文件要求为准。专项资金报账拨付要附真实、有效、合法的凭证。加强审计监督，实行单项工程决算审计，整体项目验收审计。对专项资金定期或不定期进行督查，确保项目资金专款专用，全程参与项目验收和采购项目接交。</w:t>
      </w:r>
    </w:p>
    <w:p>
      <w:pPr>
        <w:widowControl w:val="0"/>
        <w:kinsoku/>
        <w:autoSpaceDE/>
        <w:autoSpaceDN/>
        <w:adjustRightInd/>
        <w:spacing w:line="520" w:lineRule="exact"/>
        <w:ind w:firstLine="642" w:firstLineChars="200"/>
        <w:textAlignment w:val="auto"/>
        <w:outlineLvl w:val="1"/>
        <w:rPr>
          <w:rFonts w:ascii="仿宋_GB2312" w:eastAsia="仿宋_GB2312" w:cs="仿宋_GB2312" w:hAnsiTheme="minorHAnsi"/>
          <w:sz w:val="32"/>
          <w:szCs w:val="32"/>
          <w:shd w:val="clear" w:color="auto" w:fill="FFFFFF"/>
        </w:rPr>
      </w:pPr>
      <w:r>
        <w:rPr>
          <w:rFonts w:hint="eastAsia" w:ascii="仿宋" w:hAnsi="仿宋" w:eastAsia="仿宋" w:cs="仿宋"/>
          <w:b/>
          <w:bCs/>
          <w:kern w:val="44"/>
          <w:sz w:val="32"/>
          <w:szCs w:val="32"/>
          <w:lang w:val="en-US" w:eastAsia="zh-CN"/>
        </w:rPr>
        <w:t>2.项目组织实施管理情况</w:t>
      </w:r>
    </w:p>
    <w:p>
      <w:pPr>
        <w:pStyle w:val="10"/>
        <w:shd w:val="clear" w:color="auto" w:fill="FFFFFF"/>
        <w:kinsoku/>
        <w:autoSpaceDE/>
        <w:autoSpaceDN/>
        <w:adjustRightInd/>
        <w:spacing w:beforeAutospacing="0" w:afterAutospacing="0" w:line="520" w:lineRule="exact"/>
        <w:ind w:firstLine="800" w:firstLineChars="250"/>
        <w:jc w:val="both"/>
        <w:textAlignment w:val="auto"/>
        <w:rPr>
          <w:rFonts w:ascii="仿宋" w:hAnsi="仿宋" w:eastAsia="仿宋" w:cs="仿宋"/>
          <w:kern w:val="44"/>
          <w:sz w:val="32"/>
          <w:szCs w:val="32"/>
        </w:rPr>
      </w:pP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1</w:t>
      </w: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项目实施方案制定：在项目实施前，深入开展调研，充分了解项目需求和目标，结合实际情况，制定详细、科学、可行的项目实施方案。实施方案包括项目的背景、目标、任务、实施步骤、时间安排、资金预算、保障措施等内容，为项目的顺利实施提供了明确的指导和依据。</w:t>
      </w:r>
    </w:p>
    <w:p>
      <w:pPr>
        <w:pStyle w:val="10"/>
        <w:shd w:val="clear" w:color="auto" w:fill="FFFFFF"/>
        <w:kinsoku/>
        <w:autoSpaceDE/>
        <w:autoSpaceDN/>
        <w:adjustRightInd/>
        <w:spacing w:beforeAutospacing="0" w:afterAutospacing="0" w:line="520" w:lineRule="exact"/>
        <w:ind w:firstLine="800" w:firstLineChars="250"/>
        <w:jc w:val="both"/>
        <w:textAlignment w:val="auto"/>
        <w:rPr>
          <w:rFonts w:ascii="仿宋" w:hAnsi="仿宋" w:eastAsia="仿宋" w:cs="仿宋"/>
          <w:kern w:val="44"/>
          <w:sz w:val="32"/>
          <w:szCs w:val="32"/>
        </w:rPr>
      </w:pP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2</w:t>
      </w: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项目实施过程监督：建立了完善的项目实施过程监督机制，加强对项目实施进度、质量、资金使用等方面的监督检查。具体措施包括：实行项目进度月报制度，每月定期向</w:t>
      </w:r>
      <w:r>
        <w:rPr>
          <w:rFonts w:hint="eastAsia" w:ascii="仿宋" w:hAnsi="仿宋" w:eastAsia="仿宋" w:cs="仿宋"/>
          <w:kern w:val="44"/>
          <w:sz w:val="32"/>
          <w:szCs w:val="32"/>
          <w:lang w:val="en-US" w:eastAsia="zh-CN"/>
        </w:rPr>
        <w:t>公司</w:t>
      </w:r>
      <w:r>
        <w:rPr>
          <w:rFonts w:hint="eastAsia" w:ascii="仿宋" w:hAnsi="仿宋" w:eastAsia="仿宋" w:cs="仿宋"/>
          <w:kern w:val="44"/>
          <w:sz w:val="32"/>
          <w:szCs w:val="32"/>
        </w:rPr>
        <w:t>项目工作领导小组报送项目进展情况，包括项目进度、资金使用、存在问题及下一步工作计划等。</w:t>
      </w:r>
      <w:r>
        <w:rPr>
          <w:rFonts w:hint="eastAsia" w:ascii="仿宋" w:hAnsi="仿宋" w:eastAsia="仿宋" w:cs="仿宋"/>
          <w:kern w:val="44"/>
          <w:sz w:val="32"/>
          <w:szCs w:val="32"/>
          <w:lang w:val="en-US" w:eastAsia="zh-CN"/>
        </w:rPr>
        <w:t>公司</w:t>
      </w:r>
      <w:r>
        <w:rPr>
          <w:rFonts w:hint="eastAsia" w:ascii="仿宋" w:hAnsi="仿宋" w:eastAsia="仿宋" w:cs="仿宋"/>
          <w:kern w:val="44"/>
          <w:sz w:val="32"/>
          <w:szCs w:val="32"/>
        </w:rPr>
        <w:t>项目工作领导小组定期或不定期组织开展项目检查，通过听取汇报、查阅资料、实地查看等方式，对项目实施情况进行全面了解和评估，及时发现问题并提出整改意见。加强对项目资金使用的监督，严格按照资金管理制度和财务核算制度的要求，规范资金支付流程，确保资金安全、合理使用。</w:t>
      </w:r>
    </w:p>
    <w:p>
      <w:pPr>
        <w:pStyle w:val="10"/>
        <w:keepNext w:val="0"/>
        <w:keepLines w:val="0"/>
        <w:pageBreakBefore w:val="0"/>
        <w:shd w:val="clear" w:color="auto" w:fill="FFFFFF"/>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 w:hAnsi="仿宋" w:eastAsia="仿宋" w:cs="仿宋"/>
          <w:kern w:val="44"/>
          <w:sz w:val="32"/>
          <w:szCs w:val="32"/>
        </w:rPr>
      </w:pP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3</w:t>
      </w:r>
      <w:r>
        <w:rPr>
          <w:rFonts w:hint="eastAsia" w:ascii="仿宋" w:hAnsi="仿宋" w:eastAsia="仿宋" w:cs="仿宋"/>
          <w:kern w:val="44"/>
          <w:sz w:val="32"/>
          <w:szCs w:val="32"/>
          <w:lang w:eastAsia="zh-CN"/>
        </w:rPr>
        <w:t>）</w:t>
      </w:r>
      <w:r>
        <w:rPr>
          <w:rFonts w:hint="eastAsia" w:ascii="仿宋" w:hAnsi="仿宋" w:eastAsia="仿宋" w:cs="仿宋"/>
          <w:kern w:val="44"/>
          <w:sz w:val="32"/>
          <w:szCs w:val="32"/>
        </w:rPr>
        <w:t>项目验收与评估：项目完成后，及时组织开展项目验收和评估工作。验收和评估工作由</w:t>
      </w:r>
      <w:r>
        <w:rPr>
          <w:rFonts w:hint="eastAsia" w:ascii="仿宋" w:hAnsi="仿宋" w:eastAsia="仿宋" w:cs="仿宋"/>
          <w:kern w:val="44"/>
          <w:sz w:val="32"/>
          <w:szCs w:val="32"/>
          <w:lang w:val="en-US" w:eastAsia="zh-CN"/>
        </w:rPr>
        <w:t>公司</w:t>
      </w:r>
      <w:r>
        <w:rPr>
          <w:rFonts w:hint="eastAsia" w:ascii="仿宋" w:hAnsi="仿宋" w:eastAsia="仿宋" w:cs="仿宋"/>
          <w:kern w:val="44"/>
          <w:sz w:val="32"/>
          <w:szCs w:val="32"/>
        </w:rPr>
        <w:t>项目工作领导小组牵头，组织相关专家和业务骨干组成验收评估小组，按照项目实施方案和相关标准，对项目的完成情况、质量效果、资金使用、社会效益等方面进行全面验收和评估。验收评估结果作为项目资金结算和后续项目安排的重要依据。对于验收评估不合格的项目，要求项目实施单位限期整改，整改完成后重新组织验收，直至验收合格。</w:t>
      </w:r>
    </w:p>
    <w:p>
      <w:pPr>
        <w:pStyle w:val="10"/>
        <w:shd w:val="clear" w:color="auto" w:fill="FFFFFF"/>
        <w:kinsoku/>
        <w:autoSpaceDE/>
        <w:autoSpaceDN/>
        <w:adjustRightInd/>
        <w:spacing w:beforeAutospacing="0" w:afterAutospacing="0" w:line="520" w:lineRule="exact"/>
        <w:ind w:firstLine="640" w:firstLineChars="200"/>
        <w:jc w:val="both"/>
        <w:textAlignment w:val="auto"/>
        <w:rPr>
          <w:rFonts w:hint="eastAsia" w:ascii="楷体_GB2312" w:hAnsi="楷体_GB2312" w:eastAsia="楷体_GB2312" w:cs="楷体_GB2312"/>
          <w:sz w:val="32"/>
          <w:szCs w:val="32"/>
          <w:shd w:val="clear" w:color="auto" w:fill="FFFFFF"/>
        </w:rPr>
      </w:pPr>
      <w:r>
        <w:rPr>
          <w:rFonts w:hint="eastAsia" w:ascii="楷体_GB2312" w:hAnsi="楷体_GB2312" w:eastAsia="楷体_GB2312" w:cs="楷体_GB2312"/>
          <w:sz w:val="32"/>
          <w:szCs w:val="32"/>
          <w:shd w:val="clear" w:color="auto" w:fill="FFFFFF"/>
        </w:rPr>
        <w:t>(三)预算绩效目标情况</w:t>
      </w:r>
    </w:p>
    <w:p>
      <w:pPr>
        <w:widowControl w:val="0"/>
        <w:kinsoku/>
        <w:autoSpaceDE/>
        <w:autoSpaceDN/>
        <w:adjustRightInd/>
        <w:spacing w:line="520" w:lineRule="exact"/>
        <w:ind w:firstLine="642" w:firstLineChars="200"/>
        <w:textAlignment w:val="auto"/>
        <w:outlineLvl w:val="1"/>
        <w:rPr>
          <w:rFonts w:hint="eastAsia" w:ascii="仿宋" w:hAnsi="仿宋" w:eastAsia="仿宋" w:cs="仿宋"/>
          <w:b/>
          <w:bCs/>
          <w:kern w:val="44"/>
          <w:sz w:val="32"/>
          <w:szCs w:val="32"/>
          <w:lang w:val="en-US" w:eastAsia="zh-CN"/>
        </w:rPr>
      </w:pPr>
      <w:r>
        <w:rPr>
          <w:rFonts w:hint="eastAsia" w:ascii="仿宋" w:hAnsi="仿宋" w:eastAsia="仿宋" w:cs="仿宋"/>
          <w:b/>
          <w:bCs/>
          <w:kern w:val="44"/>
          <w:sz w:val="32"/>
          <w:szCs w:val="32"/>
          <w:lang w:val="en-US" w:eastAsia="zh-CN"/>
        </w:rPr>
        <w:t>1.绩效目标</w:t>
      </w:r>
    </w:p>
    <w:p>
      <w:pPr>
        <w:pStyle w:val="6"/>
        <w:keepNext w:val="0"/>
        <w:keepLines w:val="0"/>
        <w:pageBreakBefore w:val="0"/>
        <w:kinsoku/>
        <w:wordWrap/>
        <w:overflowPunct/>
        <w:topLinePunct w:val="0"/>
        <w:bidi w:val="0"/>
        <w:snapToGrid w:val="0"/>
        <w:spacing w:line="560" w:lineRule="exact"/>
        <w:ind w:firstLine="660" w:firstLineChars="200"/>
        <w:jc w:val="both"/>
        <w:textAlignment w:val="bottom"/>
        <w:rPr>
          <w:rFonts w:cs="宋体"/>
          <w:spacing w:val="5"/>
          <w:sz w:val="32"/>
          <w:szCs w:val="32"/>
          <w:lang w:eastAsia="zh-CN"/>
        </w:rPr>
      </w:pPr>
      <w:r>
        <w:rPr>
          <w:rFonts w:hint="eastAsia" w:cs="宋体"/>
          <w:spacing w:val="5"/>
          <w:sz w:val="32"/>
          <w:szCs w:val="32"/>
          <w:lang w:eastAsia="zh-CN"/>
        </w:rPr>
        <w:t>本项目的落地，能进一步改善城市交通环境，提升城市运行管理和服务水平，完善中方县充电基础设施建设，加快中方县新能源汽车基础设施的布局，满足全县新能源汽车充电需求。</w:t>
      </w:r>
    </w:p>
    <w:p>
      <w:pPr>
        <w:widowControl w:val="0"/>
        <w:kinsoku/>
        <w:autoSpaceDE/>
        <w:autoSpaceDN/>
        <w:adjustRightInd/>
        <w:spacing w:line="520" w:lineRule="exact"/>
        <w:ind w:firstLine="642" w:firstLineChars="200"/>
        <w:textAlignment w:val="auto"/>
        <w:outlineLvl w:val="1"/>
        <w:rPr>
          <w:rFonts w:hint="eastAsia" w:ascii="仿宋" w:hAnsi="仿宋" w:eastAsia="仿宋" w:cs="仿宋"/>
          <w:b/>
          <w:bCs/>
          <w:kern w:val="44"/>
          <w:sz w:val="32"/>
          <w:szCs w:val="32"/>
          <w:lang w:val="en-US" w:eastAsia="zh-CN"/>
        </w:rPr>
      </w:pPr>
      <w:r>
        <w:rPr>
          <w:rFonts w:hint="eastAsia" w:ascii="仿宋" w:hAnsi="仿宋" w:eastAsia="仿宋" w:cs="仿宋"/>
          <w:b/>
          <w:bCs/>
          <w:kern w:val="44"/>
          <w:sz w:val="32"/>
          <w:szCs w:val="32"/>
          <w:lang w:val="en-US" w:eastAsia="zh-CN"/>
        </w:rPr>
        <w:t>2.绩效指标</w:t>
      </w:r>
    </w:p>
    <w:p>
      <w:pPr>
        <w:pStyle w:val="10"/>
        <w:shd w:val="clear" w:color="auto" w:fill="FFFFFF"/>
        <w:kinsoku/>
        <w:autoSpaceDE/>
        <w:autoSpaceDN/>
        <w:adjustRightInd/>
        <w:spacing w:beforeAutospacing="0" w:afterAutospacing="0" w:line="520" w:lineRule="exact"/>
        <w:ind w:firstLine="800" w:firstLineChars="250"/>
        <w:jc w:val="both"/>
        <w:textAlignment w:val="auto"/>
        <w:rPr>
          <w:rFonts w:ascii="仿宋" w:hAnsi="仿宋" w:eastAsia="仿宋" w:cs="仿宋"/>
          <w:kern w:val="44"/>
          <w:sz w:val="32"/>
          <w:szCs w:val="32"/>
        </w:rPr>
      </w:pPr>
      <w:r>
        <w:rPr>
          <w:rFonts w:hint="eastAsia" w:ascii="仿宋" w:hAnsi="仿宋" w:eastAsia="仿宋" w:cs="仿宋"/>
          <w:kern w:val="44"/>
          <w:sz w:val="32"/>
          <w:szCs w:val="32"/>
        </w:rPr>
        <w:t>（1）成本指标</w:t>
      </w:r>
    </w:p>
    <w:p>
      <w:pPr>
        <w:pStyle w:val="17"/>
        <w:spacing w:line="560" w:lineRule="exact"/>
        <w:ind w:left="560" w:firstLine="0" w:firstLineChars="0"/>
        <w:jc w:val="both"/>
        <w:rPr>
          <w:rFonts w:ascii="仿宋" w:hAnsi="仿宋" w:eastAsia="仿宋" w:cs="仿宋"/>
          <w:kern w:val="44"/>
          <w:sz w:val="32"/>
          <w:szCs w:val="32"/>
          <w:lang w:eastAsia="zh-CN"/>
        </w:rPr>
      </w:pPr>
      <w:r>
        <w:rPr>
          <w:rFonts w:hint="eastAsia" w:ascii="仿宋" w:hAnsi="仿宋" w:eastAsia="仿宋" w:cs="仿宋"/>
          <w:kern w:val="44"/>
          <w:sz w:val="32"/>
          <w:szCs w:val="32"/>
          <w:lang w:eastAsia="zh-CN"/>
        </w:rPr>
        <w:t>成本指标：项目总成本控制在预算范围内。</w:t>
      </w:r>
    </w:p>
    <w:p>
      <w:pPr>
        <w:pStyle w:val="17"/>
        <w:spacing w:line="560" w:lineRule="exact"/>
        <w:ind w:left="560" w:firstLine="0" w:firstLineChars="0"/>
        <w:jc w:val="both"/>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社会成本指标：社会成本节约率。</w:t>
      </w:r>
    </w:p>
    <w:p>
      <w:pPr>
        <w:pStyle w:val="17"/>
        <w:spacing w:line="560" w:lineRule="exact"/>
        <w:ind w:left="560" w:firstLine="0" w:firstLineChars="0"/>
        <w:jc w:val="both"/>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生态环境成本指标：生态环境成本节约率。</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（2）产出指标</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数量指标：包括面积、</w:t>
      </w:r>
      <w:r>
        <w:rPr>
          <w:rFonts w:hint="eastAsia" w:ascii="仿宋" w:hAnsi="仿宋" w:eastAsia="仿宋" w:cs="仿宋"/>
          <w:kern w:val="44"/>
          <w:sz w:val="32"/>
          <w:szCs w:val="32"/>
          <w:lang w:val="en-US" w:eastAsia="zh-CN"/>
        </w:rPr>
        <w:t>车位个数、单位工程</w:t>
      </w:r>
      <w:r>
        <w:rPr>
          <w:rFonts w:hint="eastAsia" w:ascii="仿宋" w:hAnsi="仿宋" w:eastAsia="仿宋" w:cs="仿宋"/>
          <w:kern w:val="44"/>
          <w:sz w:val="32"/>
          <w:szCs w:val="32"/>
          <w:lang w:eastAsia="zh-CN"/>
        </w:rPr>
        <w:t>、</w:t>
      </w:r>
      <w:r>
        <w:rPr>
          <w:rFonts w:hint="eastAsia" w:ascii="仿宋" w:hAnsi="仿宋" w:eastAsia="仿宋" w:cs="仿宋"/>
          <w:kern w:val="44"/>
          <w:sz w:val="32"/>
          <w:szCs w:val="32"/>
          <w:lang w:val="en-US" w:eastAsia="zh-CN"/>
        </w:rPr>
        <w:t>分部分项工程</w:t>
      </w:r>
      <w:r>
        <w:rPr>
          <w:rFonts w:hint="eastAsia" w:ascii="仿宋" w:hAnsi="仿宋" w:eastAsia="仿宋" w:cs="仿宋"/>
          <w:kern w:val="44"/>
          <w:sz w:val="32"/>
          <w:szCs w:val="32"/>
          <w:lang w:eastAsia="zh-CN"/>
        </w:rPr>
        <w:t>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质量指标：如项目验收合格率，项目完成率、资金支付合理合规性、资金到位率等。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时效指标：项目完成时间及时性、资金拨付时间及时性等。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（3）效益指标</w:t>
      </w:r>
    </w:p>
    <w:p>
      <w:pPr>
        <w:kinsoku/>
        <w:autoSpaceDE/>
        <w:autoSpaceDN/>
        <w:adjustRightInd/>
        <w:snapToGrid/>
        <w:spacing w:line="560" w:lineRule="exact"/>
        <w:ind w:firstLine="708"/>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经济效益：充分发挥资金使用效益。</w:t>
      </w:r>
    </w:p>
    <w:p>
      <w:pPr>
        <w:kinsoku/>
        <w:autoSpaceDE/>
        <w:autoSpaceDN/>
        <w:adjustRightInd/>
        <w:snapToGrid/>
        <w:spacing w:line="560" w:lineRule="exact"/>
        <w:ind w:firstLine="708"/>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社会效益：提升城市运行管理和服务水平，完善中方县充电基础设施建设，加快中方县新能源汽车基础设施的布局，促进区域经济增长等。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生态效益：改善区域的生态环境、保护生态环境安全、维护生态平衡等。</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可持续影响：提升城市运行管理和服务水平，完善中方县充电基础设施建设，加快中方县新能源汽车基础设施的布局，促进区域经济增长等，</w:t>
      </w:r>
      <w:r>
        <w:rPr>
          <w:rFonts w:hint="eastAsia" w:ascii="仿宋" w:hAnsi="仿宋" w:eastAsia="仿宋" w:cs="仿宋"/>
          <w:kern w:val="44"/>
          <w:sz w:val="32"/>
          <w:szCs w:val="32"/>
          <w:lang w:val="en-US" w:eastAsia="zh-CN"/>
        </w:rPr>
        <w:t>促进</w:t>
      </w:r>
      <w:r>
        <w:rPr>
          <w:rFonts w:hint="eastAsia" w:ascii="仿宋" w:hAnsi="仿宋" w:eastAsia="仿宋" w:cs="仿宋"/>
          <w:kern w:val="44"/>
          <w:sz w:val="32"/>
          <w:szCs w:val="32"/>
          <w:lang w:eastAsia="zh-CN"/>
        </w:rPr>
        <w:t>区域经济可持续</w:t>
      </w:r>
      <w:r>
        <w:rPr>
          <w:rFonts w:hint="eastAsia" w:ascii="仿宋" w:hAnsi="仿宋" w:eastAsia="仿宋" w:cs="仿宋"/>
          <w:kern w:val="44"/>
          <w:sz w:val="32"/>
          <w:szCs w:val="32"/>
          <w:lang w:val="en-US" w:eastAsia="zh-CN"/>
        </w:rPr>
        <w:t>发展</w:t>
      </w:r>
      <w:r>
        <w:rPr>
          <w:rFonts w:hint="eastAsia" w:ascii="仿宋" w:hAnsi="仿宋" w:eastAsia="仿宋" w:cs="仿宋"/>
          <w:kern w:val="44"/>
          <w:sz w:val="32"/>
          <w:szCs w:val="32"/>
          <w:lang w:eastAsia="zh-CN"/>
        </w:rPr>
        <w:t>。</w:t>
      </w:r>
    </w:p>
    <w:p>
      <w:pPr>
        <w:kinsoku/>
        <w:autoSpaceDE/>
        <w:autoSpaceDN/>
        <w:adjustRightInd/>
        <w:snapToGrid/>
        <w:spacing w:line="560" w:lineRule="exact"/>
        <w:ind w:firstLine="708"/>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（4）满意度指标</w:t>
      </w:r>
    </w:p>
    <w:p>
      <w:pPr>
        <w:pStyle w:val="10"/>
        <w:keepNext w:val="0"/>
        <w:keepLines w:val="0"/>
        <w:pageBreakBefore w:val="0"/>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服务对象的满意度。</w:t>
      </w:r>
    </w:p>
    <w:p>
      <w:pPr>
        <w:spacing w:line="560" w:lineRule="exact"/>
        <w:ind w:firstLine="652" w:firstLineChars="200"/>
        <w:outlineLvl w:val="0"/>
        <w:rPr>
          <w:rFonts w:hint="eastAsia" w:ascii="黑体" w:hAnsi="黑体" w:eastAsia="黑体" w:cs="黑体"/>
          <w:spacing w:val="3"/>
          <w:sz w:val="32"/>
          <w:szCs w:val="32"/>
          <w:lang w:eastAsia="zh-CN"/>
        </w:rPr>
      </w:pPr>
      <w:r>
        <w:rPr>
          <w:rFonts w:ascii="黑体" w:hAnsi="黑体" w:eastAsia="黑体" w:cs="黑体"/>
          <w:spacing w:val="3"/>
          <w:sz w:val="32"/>
          <w:szCs w:val="32"/>
          <w:lang w:eastAsia="zh-CN"/>
        </w:rPr>
        <w:t>二、绩效评价工作情况</w:t>
      </w:r>
    </w:p>
    <w:p>
      <w:pPr>
        <w:widowControl w:val="0"/>
        <w:kinsoku/>
        <w:autoSpaceDE/>
        <w:autoSpaceDN/>
        <w:adjustRightInd/>
        <w:spacing w:line="520" w:lineRule="exact"/>
        <w:ind w:firstLine="640" w:firstLineChars="200"/>
        <w:textAlignment w:val="auto"/>
        <w:rPr>
          <w:rFonts w:hint="eastAsia"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（一）绩效评价目的</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kern w:val="44"/>
          <w:sz w:val="32"/>
          <w:szCs w:val="32"/>
          <w:lang w:eastAsia="zh-CN"/>
        </w:rPr>
      </w:pPr>
      <w:bookmarkStart w:id="1" w:name="_Toc11844"/>
      <w:r>
        <w:rPr>
          <w:rFonts w:hint="eastAsia" w:ascii="仿宋" w:hAnsi="仿宋" w:eastAsia="仿宋" w:cs="仿宋"/>
          <w:kern w:val="44"/>
          <w:sz w:val="32"/>
          <w:szCs w:val="32"/>
          <w:lang w:eastAsia="zh-CN"/>
        </w:rPr>
        <w:t>开展项目支出绩效评价，旨在全面、客观、公正地反映项目实施的成效和存在的问题，总结经验教训，为改进项目管理、提高资金使用效益提供决策依据，同时也为进一步优化资源配置、完善</w:t>
      </w:r>
      <w:r>
        <w:rPr>
          <w:rFonts w:hint="eastAsia" w:ascii="仿宋" w:hAnsi="仿宋" w:eastAsia="仿宋" w:cs="仿宋"/>
          <w:sz w:val="32"/>
          <w:szCs w:val="32"/>
        </w:rPr>
        <w:t>项目管理</w:t>
      </w:r>
      <w:r>
        <w:rPr>
          <w:rFonts w:hint="eastAsia" w:ascii="仿宋" w:hAnsi="仿宋" w:eastAsia="仿宋" w:cs="仿宋"/>
          <w:kern w:val="44"/>
          <w:sz w:val="32"/>
          <w:szCs w:val="32"/>
          <w:lang w:eastAsia="zh-CN"/>
        </w:rPr>
        <w:t>制度、提升</w:t>
      </w:r>
      <w:r>
        <w:rPr>
          <w:rFonts w:hint="eastAsia" w:ascii="仿宋" w:hAnsi="仿宋" w:eastAsia="仿宋" w:cs="仿宋"/>
          <w:kern w:val="44"/>
          <w:sz w:val="32"/>
          <w:szCs w:val="32"/>
          <w:lang w:val="en-US" w:eastAsia="zh-CN"/>
        </w:rPr>
        <w:t>项目的社会经济效益</w:t>
      </w:r>
      <w:r>
        <w:rPr>
          <w:rFonts w:hint="eastAsia" w:ascii="仿宋" w:hAnsi="仿宋" w:eastAsia="仿宋" w:cs="仿宋"/>
          <w:kern w:val="44"/>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（二）被评价单位、绩效评价范围与时段</w:t>
      </w:r>
      <w:bookmarkEnd w:id="1"/>
    </w:p>
    <w:p>
      <w:pPr>
        <w:kinsoku/>
        <w:autoSpaceDE/>
        <w:autoSpaceDN/>
        <w:adjustRightInd/>
        <w:snapToGrid/>
        <w:spacing w:line="560" w:lineRule="atLeast"/>
        <w:ind w:firstLine="640" w:firstLineChars="200"/>
        <w:jc w:val="both"/>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被评价单位：</w:t>
      </w:r>
      <w:r>
        <w:rPr>
          <w:rFonts w:hint="eastAsia" w:ascii="仿宋" w:hAnsi="仿宋" w:eastAsia="仿宋" w:cs="仿宋"/>
          <w:kern w:val="44"/>
          <w:sz w:val="32"/>
          <w:szCs w:val="32"/>
          <w:lang w:val="en-US" w:eastAsia="zh-CN"/>
        </w:rPr>
        <w:t>中方县城乡建设发展集团有限公司</w:t>
      </w:r>
      <w:r>
        <w:rPr>
          <w:rFonts w:hint="eastAsia" w:ascii="仿宋" w:hAnsi="仿宋" w:eastAsia="仿宋" w:cs="仿宋"/>
          <w:kern w:val="44"/>
          <w:sz w:val="32"/>
          <w:szCs w:val="32"/>
          <w:lang w:eastAsia="zh-CN"/>
        </w:rPr>
        <w:t xml:space="preserve"> </w:t>
      </w:r>
    </w:p>
    <w:p>
      <w:pPr>
        <w:kinsoku/>
        <w:autoSpaceDE/>
        <w:autoSpaceDN/>
        <w:adjustRightInd/>
        <w:snapToGrid/>
        <w:spacing w:line="560" w:lineRule="atLeas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绩效评价范围：2024年度所有纳入预算管理的专项资金及其使用情况。</w:t>
      </w:r>
    </w:p>
    <w:p>
      <w:pPr>
        <w:keepNext w:val="0"/>
        <w:keepLines w:val="0"/>
        <w:pageBreakBefore w:val="0"/>
        <w:wordWrap/>
        <w:overflowPunct/>
        <w:topLinePunct w:val="0"/>
        <w:bidi w:val="0"/>
        <w:snapToGrid w:val="0"/>
        <w:spacing w:line="560" w:lineRule="exact"/>
        <w:ind w:firstLine="640" w:firstLineChars="200"/>
        <w:jc w:val="both"/>
        <w:rPr>
          <w:rFonts w:ascii="仿宋" w:hAnsi="仿宋" w:eastAsia="仿宋" w:cs="仿宋"/>
          <w:spacing w:val="-2"/>
          <w:sz w:val="32"/>
          <w:szCs w:val="32"/>
        </w:rPr>
      </w:pPr>
      <w:r>
        <w:rPr>
          <w:rFonts w:hint="eastAsia" w:ascii="仿宋" w:hAnsi="仿宋" w:eastAsia="仿宋" w:cs="仿宋"/>
          <w:kern w:val="44"/>
          <w:sz w:val="32"/>
          <w:szCs w:val="32"/>
          <w:lang w:eastAsia="zh-CN"/>
        </w:rPr>
        <w:t>时段：2024年1月1日至2024年12月31日。</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2" w:name="_Toc31835"/>
      <w:r>
        <w:rPr>
          <w:rFonts w:hint="eastAsia" w:ascii="楷体_GB2312" w:hAnsi="楷体_GB2312" w:eastAsia="楷体_GB2312" w:cs="楷体_GB2312"/>
          <w:sz w:val="32"/>
          <w:szCs w:val="32"/>
          <w:shd w:val="clear" w:color="auto" w:fill="FFFFFF"/>
          <w:lang w:eastAsia="zh-CN"/>
        </w:rPr>
        <w:t>（三）绩效评价原则、评价指标体系、评价方法</w:t>
      </w:r>
      <w:bookmarkEnd w:id="2"/>
    </w:p>
    <w:p>
      <w:pPr>
        <w:kinsoku/>
        <w:autoSpaceDE/>
        <w:autoSpaceDN/>
        <w:adjustRightInd/>
        <w:snapToGrid/>
        <w:spacing w:line="560" w:lineRule="atLeast"/>
        <w:ind w:firstLine="640" w:firstLineChars="200"/>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绩效评价原则：</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1.统一领导原则。绩效评价由本单位统一领导，统一组织管理。</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2.科学规范原则。绩效评价应当严格执行规定的程序，按照科学可行的要求，采用定量与定性分析相结合的方法。</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3.公正公开原则。绩效评价应当符合真实、客观、公正的要求，依法公开接接受监督。</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4.绩效相关原则。绩效评价应当针对具体专项资金及其产出绩效进行，评价结果应当清晰反映专项资金和产出绩效这间的紧密对应关系。</w:t>
      </w:r>
    </w:p>
    <w:p>
      <w:pPr>
        <w:kinsoku/>
        <w:autoSpaceDE/>
        <w:autoSpaceDN/>
        <w:adjustRightInd/>
        <w:snapToGrid/>
        <w:spacing w:line="560" w:lineRule="atLeast"/>
        <w:ind w:firstLine="800" w:firstLineChars="25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5.权责统一原则。绩效评价应当明确各级财政部门和预算部门的权责关系，确保资金绩效评价工作的职权和责任相统一。</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评价指标体系：围绕项目决策、过程、产出、效益四个维度构建指标体系，涵盖资金管理、组织实施、项目完成情况、社会效益、生态效益、可持续影响及满意度等多个方面。</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评价方法：</w:t>
      </w:r>
    </w:p>
    <w:p>
      <w:pPr>
        <w:widowControl w:val="0"/>
        <w:kinsoku/>
        <w:autoSpaceDE/>
        <w:autoSpaceDN/>
        <w:adjustRightInd/>
        <w:spacing w:line="560" w:lineRule="atLeast"/>
        <w:ind w:firstLine="640" w:firstLineChars="200"/>
        <w:textAlignment w:val="auto"/>
        <w:outlineLvl w:val="0"/>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（1）定量分析法：通过财务数据、项目统计报表等量化指标计算完成率、资金使用率等。</w:t>
      </w:r>
    </w:p>
    <w:p>
      <w:pPr>
        <w:widowControl w:val="0"/>
        <w:kinsoku/>
        <w:autoSpaceDE/>
        <w:autoSpaceDN/>
        <w:adjustRightInd/>
        <w:spacing w:line="560" w:lineRule="atLeast"/>
        <w:ind w:firstLine="640" w:firstLineChars="200"/>
        <w:textAlignment w:val="auto"/>
        <w:outlineLvl w:val="0"/>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（2）定性分析法：采用实地调研、访谈、问卷调查等方式，评估制度健全性、群众满意度等。</w:t>
      </w:r>
    </w:p>
    <w:p>
      <w:pPr>
        <w:widowControl w:val="0"/>
        <w:kinsoku/>
        <w:autoSpaceDE/>
        <w:autoSpaceDN/>
        <w:adjustRightInd/>
        <w:spacing w:line="560" w:lineRule="atLeast"/>
        <w:ind w:firstLine="640" w:firstLineChars="200"/>
        <w:textAlignment w:val="auto"/>
        <w:outlineLvl w:val="0"/>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（3）比较分析法：横向对比同类项目或历年数据，分析绩效差异及原因。</w:t>
      </w:r>
    </w:p>
    <w:p>
      <w:pPr>
        <w:widowControl w:val="0"/>
        <w:kinsoku/>
        <w:autoSpaceDE/>
        <w:autoSpaceDN/>
        <w:adjustRightInd/>
        <w:spacing w:line="560" w:lineRule="atLeast"/>
        <w:ind w:firstLine="640" w:firstLineChars="200"/>
        <w:textAlignment w:val="auto"/>
        <w:outlineLvl w:val="0"/>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（4）成本效益法：评估资金投入与产出的性价比。</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left"/>
        <w:textAlignment w:val="auto"/>
        <w:outlineLvl w:val="0"/>
        <w:rPr>
          <w:rFonts w:hint="eastAsia" w:ascii="黑体" w:hAnsi="黑体" w:eastAsia="黑体" w:cs="黑体"/>
          <w:i w:val="0"/>
          <w:iCs w:val="0"/>
          <w:caps w:val="0"/>
          <w:color w:val="000000"/>
          <w:spacing w:val="0"/>
          <w:kern w:val="0"/>
          <w:sz w:val="32"/>
          <w:szCs w:val="32"/>
          <w:shd w:val="clear" w:fill="FFFFFF"/>
          <w:lang w:val="en-US" w:eastAsia="zh-CN" w:bidi="ar"/>
        </w:rPr>
      </w:pPr>
      <w:bookmarkStart w:id="3" w:name="_Toc7615"/>
      <w:bookmarkStart w:id="4" w:name="_Toc32076"/>
      <w:r>
        <w:rPr>
          <w:rFonts w:hint="eastAsia" w:ascii="黑体" w:hAnsi="黑体" w:eastAsia="黑体" w:cs="黑体"/>
          <w:i w:val="0"/>
          <w:iCs w:val="0"/>
          <w:caps w:val="0"/>
          <w:color w:val="000000"/>
          <w:spacing w:val="0"/>
          <w:kern w:val="0"/>
          <w:sz w:val="32"/>
          <w:szCs w:val="32"/>
          <w:shd w:val="clear" w:fill="FFFFFF"/>
          <w:lang w:val="en-US" w:eastAsia="zh-CN" w:bidi="ar"/>
        </w:rPr>
        <w:t>三、主要绩效及评价结论</w:t>
      </w:r>
      <w:bookmarkEnd w:id="3"/>
      <w:bookmarkEnd w:id="4"/>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jc w:val="left"/>
        <w:textAlignment w:val="auto"/>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pPr>
      <w:r>
        <w:rPr>
          <w:rFonts w:hint="eastAsia" w:ascii="方正仿宋_GB2312" w:hAnsi="方正仿宋_GB2312" w:eastAsia="方正仿宋_GB2312" w:cs="方正仿宋_GB2312"/>
          <w:b w:val="0"/>
          <w:bCs w:val="0"/>
          <w:i w:val="0"/>
          <w:iCs w:val="0"/>
          <w:caps w:val="0"/>
          <w:snapToGrid w:val="0"/>
          <w:color w:val="000000"/>
          <w:spacing w:val="0"/>
          <w:kern w:val="0"/>
          <w:sz w:val="32"/>
          <w:szCs w:val="32"/>
          <w:shd w:val="clear" w:fill="FFFFFF"/>
          <w:lang w:val="en-US" w:eastAsia="zh-CN" w:bidi="ar"/>
        </w:rPr>
        <w:t>（一）社会效益</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楷体_GB2312"/>
          <w:sz w:val="32"/>
          <w:szCs w:val="32"/>
          <w:shd w:val="clear" w:color="auto" w:fill="FFFFFF"/>
          <w:lang w:eastAsia="zh-CN"/>
        </w:rPr>
      </w:pPr>
      <w:r>
        <w:rPr>
          <w:rFonts w:hint="eastAsia" w:ascii="仿宋" w:hAnsi="仿宋" w:eastAsia="仿宋" w:cs="楷体_GB2312"/>
          <w:sz w:val="32"/>
          <w:szCs w:val="32"/>
          <w:shd w:val="clear" w:color="auto" w:fill="FFFFFF"/>
          <w:lang w:eastAsia="zh-CN"/>
        </w:rPr>
        <w:t>本项目是根据相关规划要求，结合中方县发展实际，为加快补齐中方县城市停车供给短板，进一步改善城市交通环境，提升城市运行管理和服务水平，建设精美中方，推动高质量发展，为完善中方县充电基础设施建设，加快中方县新能源汽车基础设施的布局，满足全县新能源汽车充电需求，为加速构建中方县绿色出行体系，不断深化全民绿色出行理念，推动交通运输行业节能减排，进一步提升城区环境质量，为大力推进生态文明建设，打赢打好污染防治攻坚战，进一步放大中方县生态优势，推动城市扩容提质，为提升城市品位、改善人居环境，提高居民的生活环境和质量，促进经济社会可持续发展，加快建设产业新城、生态美城、文化古城、生活慢城，打造乡村振兴示范区、三产融合先导区，奋力谱写新时代坚持和发展中国特色社会主义中方县新篇章而提出的。</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（二）生态效益</w:t>
      </w:r>
    </w:p>
    <w:p>
      <w:pPr>
        <w:pStyle w:val="2"/>
        <w:keepNext w:val="0"/>
        <w:keepLines w:val="0"/>
        <w:pageBreakBefore w:val="0"/>
        <w:wordWrap/>
        <w:overflowPunct/>
        <w:topLinePunct w:val="0"/>
        <w:bidi w:val="0"/>
        <w:snapToGrid w:val="0"/>
        <w:spacing w:line="560" w:lineRule="exact"/>
        <w:ind w:left="0" w:leftChars="0" w:firstLine="640" w:firstLineChars="200"/>
        <w:rPr>
          <w:rFonts w:hint="eastAsia" w:ascii="仿宋" w:hAnsi="仿宋" w:eastAsia="仿宋" w:cs="楷体_GB2312"/>
          <w:snapToGrid w:val="0"/>
          <w:color w:val="000000"/>
          <w:sz w:val="32"/>
          <w:szCs w:val="32"/>
          <w:shd w:val="clear" w:color="auto" w:fill="FFFFFF"/>
          <w:lang w:val="en-US" w:eastAsia="zh-CN" w:bidi="ar-SA"/>
        </w:rPr>
      </w:pPr>
      <w:r>
        <w:rPr>
          <w:rFonts w:hint="eastAsia" w:ascii="仿宋" w:hAnsi="仿宋" w:eastAsia="仿宋" w:cs="楷体_GB2312"/>
          <w:snapToGrid w:val="0"/>
          <w:color w:val="000000"/>
          <w:sz w:val="32"/>
          <w:szCs w:val="32"/>
          <w:shd w:val="clear" w:color="auto" w:fill="FFFFFF"/>
          <w:lang w:val="en-US" w:eastAsia="zh-CN" w:bidi="ar-SA"/>
        </w:rPr>
        <w:t>项目建成后，将完成配套建设域城镇基础设施，完善区域间路网结构和功能，提升城镇形象，明显改善区域交通条件和出行环境，加快项目片区经济繁荣和人口聚集，提升社会服务容量，提高城镇的承载能力，对加快推进项目区域城镇化进程具有极为重要的意义。项目建成后，直接经济效益比较显著，对项目区域国民经济发展具有较大的贡献，对保障建设地经济和社会可持续发展起到了带动作用，促进上下游相关产业的发展，改善区域环境质量，统筹人和自然和谐相处，加快建设节约型社会，加快实现生态文明建设与社会均衡发展，对加快推动构建和谐社会建设具有重要的意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（三）可持续影响</w:t>
      </w:r>
    </w:p>
    <w:p>
      <w:pPr>
        <w:pStyle w:val="2"/>
        <w:keepNext w:val="0"/>
        <w:keepLines w:val="0"/>
        <w:pageBreakBefore w:val="0"/>
        <w:wordWrap/>
        <w:overflowPunct/>
        <w:topLinePunct w:val="0"/>
        <w:bidi w:val="0"/>
        <w:snapToGrid w:val="0"/>
        <w:spacing w:line="560" w:lineRule="exact"/>
        <w:ind w:left="0" w:leftChars="0" w:firstLine="640" w:firstLineChars="200"/>
        <w:rPr>
          <w:rFonts w:hint="eastAsia"/>
          <w:lang w:eastAsia="zh-CN"/>
        </w:rPr>
      </w:pPr>
      <w:r>
        <w:rPr>
          <w:rFonts w:hint="eastAsia" w:ascii="仿宋" w:hAnsi="仿宋" w:eastAsia="仿宋" w:cs="仿宋"/>
          <w:snapToGrid w:val="0"/>
          <w:color w:val="000000"/>
          <w:sz w:val="32"/>
          <w:szCs w:val="32"/>
          <w:lang w:val="en-US" w:eastAsia="zh-CN" w:bidi="ar-SA"/>
        </w:rPr>
        <w:t>本项目土建工程属于劳动密集型行业，具有较强的外部效应，对带动当地居民的就业能产生积极作用，主要表现为两个方面：一是项目建设过程中，要雇用大量当地的居民，提供就业岗位；二是项目建成后，需要大量的固定工人，有利于解决城乡剩余劳动力，同时项目运营后能带动周边的餐饮、休闲、交通、宾馆等多行业的快速发展，从而产生一定量的工作岗位和创业机会，有效的缓解了中方县的就业压力。所以，本项目建设有利于带动当地剩余劳动力就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（四）满意度情况</w:t>
      </w:r>
    </w:p>
    <w:p>
      <w:pPr>
        <w:pStyle w:val="2"/>
        <w:keepNext w:val="0"/>
        <w:keepLines w:val="0"/>
        <w:pageBreakBefore w:val="0"/>
        <w:wordWrap/>
        <w:overflowPunct/>
        <w:topLinePunct w:val="0"/>
        <w:bidi w:val="0"/>
        <w:snapToGrid w:val="0"/>
        <w:spacing w:line="560" w:lineRule="exact"/>
        <w:ind w:left="0" w:leftChars="0" w:firstLine="960" w:firstLineChars="300"/>
        <w:rPr>
          <w:rFonts w:hint="eastAsia" w:ascii="仿宋" w:hAnsi="仿宋" w:eastAsia="仿宋" w:cs="仿宋"/>
          <w:snapToGrid w:val="0"/>
          <w:color w:val="000000"/>
          <w:sz w:val="32"/>
          <w:szCs w:val="32"/>
          <w:lang w:val="en-US" w:eastAsia="zh-CN" w:bidi="ar-SA"/>
        </w:rPr>
      </w:pPr>
      <w:r>
        <w:rPr>
          <w:rFonts w:hint="eastAsia" w:ascii="仿宋" w:hAnsi="仿宋" w:eastAsia="仿宋" w:cs="仿宋"/>
          <w:snapToGrid w:val="0"/>
          <w:color w:val="000000"/>
          <w:sz w:val="32"/>
          <w:szCs w:val="32"/>
          <w:lang w:val="en-US" w:eastAsia="zh-CN" w:bidi="ar-SA"/>
        </w:rPr>
        <w:t>项目建成后能够完善城市基础设施，提升城市形象，促进区域经济发展。所以，本项目与当地文化能形成良好的互适性。</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（五）评价结论</w:t>
      </w:r>
    </w:p>
    <w:p>
      <w:pPr>
        <w:pStyle w:val="2"/>
        <w:keepNext w:val="0"/>
        <w:keepLines w:val="0"/>
        <w:pageBreakBefore w:val="0"/>
        <w:wordWrap/>
        <w:overflowPunct/>
        <w:topLinePunct w:val="0"/>
        <w:bidi w:val="0"/>
        <w:snapToGrid w:val="0"/>
        <w:spacing w:line="560" w:lineRule="exact"/>
        <w:ind w:left="0" w:leftChars="0" w:firstLine="640" w:firstLineChars="200"/>
        <w:rPr>
          <w:rFonts w:hint="eastAsia" w:ascii="仿宋" w:hAnsi="仿宋" w:eastAsia="仿宋" w:cs="仿宋"/>
          <w:snapToGrid w:val="0"/>
          <w:color w:val="000000"/>
          <w:sz w:val="32"/>
          <w:szCs w:val="32"/>
          <w:lang w:val="en-US" w:eastAsia="zh-CN" w:bidi="ar-SA"/>
        </w:rPr>
      </w:pPr>
      <w:r>
        <w:rPr>
          <w:rFonts w:hint="eastAsia" w:ascii="仿宋" w:hAnsi="仿宋" w:eastAsia="仿宋" w:cs="仿宋"/>
          <w:snapToGrid w:val="0"/>
          <w:color w:val="000000"/>
          <w:sz w:val="32"/>
          <w:szCs w:val="32"/>
          <w:lang w:val="en-US" w:eastAsia="zh-CN" w:bidi="ar-SA"/>
        </w:rPr>
        <w:t>通过对项目社会影响分析可见，本项目的社会正面效益远大于负面影响。对于负面影响在施工前优选施工方案，做好风险防范预案，能确保将有风险的情况降到最低程度。因此，从社会评价上来讲，本项目是可行的。</w:t>
      </w:r>
    </w:p>
    <w:p>
      <w:pPr>
        <w:widowControl w:val="0"/>
        <w:kinsoku/>
        <w:autoSpaceDE/>
        <w:autoSpaceDN/>
        <w:adjustRightInd/>
        <w:spacing w:line="520" w:lineRule="exact"/>
        <w:ind w:firstLine="648" w:firstLineChars="200"/>
        <w:textAlignment w:val="auto"/>
        <w:outlineLvl w:val="0"/>
        <w:rPr>
          <w:rFonts w:hint="eastAsia" w:ascii="黑体" w:hAnsi="黑体" w:eastAsia="黑体" w:cs="黑体"/>
          <w:spacing w:val="2"/>
          <w:sz w:val="32"/>
          <w:szCs w:val="32"/>
          <w:lang w:eastAsia="zh-CN"/>
        </w:rPr>
      </w:pPr>
      <w:r>
        <w:rPr>
          <w:rFonts w:hint="eastAsia" w:ascii="黑体" w:hAnsi="黑体" w:eastAsia="黑体" w:cs="黑体"/>
          <w:spacing w:val="2"/>
          <w:sz w:val="32"/>
          <w:szCs w:val="32"/>
          <w:lang w:eastAsia="zh-CN"/>
        </w:rPr>
        <w:t>四、绩效评价指标分析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5" w:name="_Toc17679"/>
      <w:r>
        <w:rPr>
          <w:rFonts w:hint="eastAsia" w:ascii="楷体_GB2312" w:hAnsi="楷体_GB2312" w:eastAsia="楷体_GB2312" w:cs="楷体_GB2312"/>
          <w:sz w:val="32"/>
          <w:szCs w:val="32"/>
          <w:shd w:val="clear" w:color="auto" w:fill="FFFFFF"/>
          <w:lang w:eastAsia="zh-CN"/>
        </w:rPr>
        <w:t>(一)项目决策情况</w:t>
      </w:r>
      <w:bookmarkEnd w:id="5"/>
    </w:p>
    <w:p>
      <w:pPr>
        <w:widowControl w:val="0"/>
        <w:kinsoku/>
        <w:autoSpaceDE/>
        <w:autoSpaceDN/>
        <w:adjustRightInd/>
        <w:spacing w:line="560" w:lineRule="exact"/>
        <w:ind w:firstLine="640" w:firstLineChars="200"/>
        <w:jc w:val="both"/>
        <w:textAlignment w:val="auto"/>
        <w:rPr>
          <w:rFonts w:hint="eastAsia" w:ascii="仿宋" w:hAnsi="仿宋" w:eastAsia="仿宋" w:cs="仿宋"/>
          <w:snapToGrid w:val="0"/>
          <w:color w:val="000000"/>
          <w:sz w:val="32"/>
          <w:szCs w:val="32"/>
          <w:lang w:val="en-US" w:eastAsia="zh-CN" w:bidi="ar-SA"/>
        </w:rPr>
      </w:pPr>
      <w:r>
        <w:rPr>
          <w:rFonts w:hint="eastAsia" w:ascii="仿宋" w:hAnsi="仿宋" w:eastAsia="仿宋" w:cs="仿宋"/>
          <w:kern w:val="44"/>
          <w:sz w:val="32"/>
          <w:szCs w:val="32"/>
          <w:lang w:eastAsia="zh-CN"/>
        </w:rPr>
        <w:t>项目立项充分依据省、市、县文件要求，具有较强的前瞻性和必要性。目标设定明确、具体、可衡量，且与项目的实际需求和预期效果相匹配。但部分目标在细化和量化方面还有待进一步加强，以提高目标的可操作性和考核的准确性。</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sz w:val="32"/>
          <w:szCs w:val="32"/>
          <w:shd w:val="clear" w:color="auto" w:fill="FFFFFF"/>
          <w:lang w:eastAsia="zh-CN"/>
        </w:rPr>
      </w:pPr>
      <w:bookmarkStart w:id="6" w:name="_Toc28411"/>
      <w:r>
        <w:rPr>
          <w:rFonts w:hint="eastAsia" w:ascii="楷体_GB2312" w:hAnsi="楷体_GB2312" w:eastAsia="楷体_GB2312" w:cs="楷体_GB2312"/>
          <w:sz w:val="32"/>
          <w:szCs w:val="32"/>
          <w:shd w:val="clear" w:color="auto" w:fill="FFFFFF"/>
          <w:lang w:eastAsia="zh-CN"/>
        </w:rPr>
        <w:t>(二)项目过程情况</w:t>
      </w:r>
      <w:bookmarkEnd w:id="6"/>
    </w:p>
    <w:p>
      <w:pPr>
        <w:keepNext w:val="0"/>
        <w:keepLines w:val="0"/>
        <w:pageBreakBefore w:val="0"/>
        <w:widowControl w:val="0"/>
        <w:kinsoku/>
        <w:wordWrap/>
        <w:overflowPunct/>
        <w:topLinePunct w:val="0"/>
        <w:autoSpaceDE/>
        <w:autoSpaceDN/>
        <w:bidi w:val="0"/>
        <w:adjustRightInd/>
        <w:snapToGrid w:val="0"/>
        <w:spacing w:line="560" w:lineRule="exact"/>
        <w:ind w:firstLine="960" w:firstLineChars="300"/>
        <w:textAlignment w:val="auto"/>
        <w:outlineLvl w:val="2"/>
        <w:rPr>
          <w:rFonts w:hint="eastAsia" w:ascii="仿宋_GB2312" w:eastAsia="仿宋_GB2312" w:cs="仿宋_GB2312" w:hAnsiTheme="minorHAnsi"/>
          <w:sz w:val="32"/>
          <w:szCs w:val="32"/>
          <w:shd w:val="clear" w:color="auto" w:fill="FFFFFF"/>
          <w:lang w:eastAsia="zh-CN"/>
        </w:rPr>
      </w:pPr>
      <w:bookmarkStart w:id="7" w:name="_Toc10140"/>
      <w:r>
        <w:rPr>
          <w:rFonts w:hint="eastAsia" w:ascii="仿宋_GB2312" w:eastAsia="仿宋_GB2312" w:cs="仿宋_GB2312" w:hAnsiTheme="minorHAnsi"/>
          <w:sz w:val="32"/>
          <w:szCs w:val="32"/>
          <w:shd w:val="clear" w:color="auto" w:fill="FFFFFF"/>
          <w:lang w:eastAsia="zh-CN"/>
        </w:rPr>
        <w:t>1.资金管理</w:t>
      </w:r>
      <w:bookmarkEnd w:id="7"/>
    </w:p>
    <w:p>
      <w:pPr>
        <w:keepNext w:val="0"/>
        <w:keepLines w:val="0"/>
        <w:pageBreakBefore w:val="0"/>
        <w:widowControl w:val="0"/>
        <w:kinsoku/>
        <w:wordWrap/>
        <w:overflowPunct/>
        <w:topLinePunct w:val="0"/>
        <w:autoSpaceDE/>
        <w:autoSpaceDN/>
        <w:bidi w:val="0"/>
        <w:adjustRightInd/>
        <w:snapToGrid w:val="0"/>
        <w:spacing w:line="560" w:lineRule="exact"/>
        <w:ind w:firstLine="960" w:firstLineChars="300"/>
        <w:textAlignment w:val="auto"/>
        <w:outlineLvl w:val="2"/>
        <w:rPr>
          <w:rFonts w:hint="eastAsia" w:ascii="仿宋" w:hAnsi="仿宋" w:eastAsia="仿宋" w:cs="仿宋"/>
          <w:snapToGrid w:val="0"/>
          <w:color w:val="000000"/>
          <w:sz w:val="32"/>
          <w:szCs w:val="32"/>
          <w:lang w:val="en-US" w:eastAsia="zh-CN" w:bidi="ar-SA"/>
        </w:rPr>
      </w:pPr>
      <w:bookmarkStart w:id="8" w:name="_Toc1210"/>
      <w:r>
        <w:rPr>
          <w:rFonts w:hint="eastAsia" w:ascii="仿宋" w:hAnsi="仿宋" w:eastAsia="仿宋" w:cs="仿宋"/>
          <w:kern w:val="44"/>
          <w:sz w:val="32"/>
          <w:szCs w:val="32"/>
          <w:lang w:val="en-US" w:eastAsia="zh-CN"/>
        </w:rPr>
        <w:t>该项目所有资金实行专款专用。项目支出均有相关的授权审批，资金拨付严格审批程序，使用规范，会计核算结果真实、准确。项目单位建立健全项目实施预算方案、财务管理制度和会计核算制度，此次绩效评价过程中未发现有截留、挤占或挪用项目资金的情况</w:t>
      </w:r>
      <w:r>
        <w:rPr>
          <w:rFonts w:hint="eastAsia" w:ascii="仿宋" w:hAnsi="仿宋" w:eastAsia="仿宋" w:cs="仿宋"/>
          <w:snapToGrid w:val="0"/>
          <w:color w:val="000000"/>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560" w:lineRule="exact"/>
        <w:ind w:firstLine="960" w:firstLineChars="300"/>
        <w:textAlignment w:val="auto"/>
        <w:outlineLvl w:val="2"/>
        <w:rPr>
          <w:rFonts w:hint="eastAsia" w:ascii="仿宋_GB2312" w:eastAsia="仿宋_GB2312" w:cs="仿宋_GB2312" w:hAnsiTheme="minorHAnsi"/>
          <w:sz w:val="32"/>
          <w:szCs w:val="32"/>
          <w:shd w:val="clear" w:color="auto" w:fill="FFFFFF"/>
          <w:lang w:eastAsia="zh-CN"/>
        </w:rPr>
      </w:pPr>
      <w:r>
        <w:rPr>
          <w:rFonts w:hint="eastAsia" w:ascii="仿宋_GB2312" w:eastAsia="仿宋_GB2312" w:cs="仿宋_GB2312" w:hAnsiTheme="minorHAnsi"/>
          <w:sz w:val="32"/>
          <w:szCs w:val="32"/>
          <w:shd w:val="clear" w:color="auto" w:fill="FFFFFF"/>
          <w:lang w:eastAsia="zh-CN"/>
        </w:rPr>
        <w:t>2.项目实施</w:t>
      </w:r>
      <w:bookmarkEnd w:id="8"/>
    </w:p>
    <w:p>
      <w:pPr>
        <w:widowControl w:val="0"/>
        <w:kinsoku/>
        <w:autoSpaceDE/>
        <w:autoSpaceDN/>
        <w:adjustRightInd/>
        <w:spacing w:line="560" w:lineRule="exact"/>
        <w:ind w:firstLine="640" w:firstLineChars="200"/>
        <w:jc w:val="both"/>
        <w:textAlignment w:val="auto"/>
        <w:outlineLvl w:val="2"/>
        <w:rPr>
          <w:rFonts w:ascii="仿宋" w:hAnsi="仿宋" w:eastAsia="仿宋" w:cs="仿宋"/>
          <w:kern w:val="44"/>
          <w:sz w:val="32"/>
          <w:szCs w:val="32"/>
          <w:lang w:eastAsia="zh-CN"/>
        </w:rPr>
      </w:pPr>
      <w:bookmarkStart w:id="9" w:name="_Toc6604"/>
      <w:r>
        <w:rPr>
          <w:rFonts w:hint="eastAsia" w:ascii="仿宋" w:hAnsi="仿宋" w:eastAsia="仿宋" w:cs="仿宋"/>
          <w:kern w:val="44"/>
          <w:sz w:val="32"/>
          <w:szCs w:val="32"/>
          <w:lang w:eastAsia="zh-CN"/>
        </w:rPr>
        <w:t>①项目组织实施得力，成立了专门的项目管理机构和工作小组，明确了职责分工，建立了有效的沟通协调机制。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②项目进度控制较好，项目能够按照预定的时间节点完成。    ③项目质量监管到位，严格执行工程建设和验收的质量标准，确保了项目质量符合要求。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_GB2312" w:hAnsi="楷体_GB2312" w:eastAsia="楷体_GB2312" w:cs="楷体_GB2312"/>
          <w:sz w:val="32"/>
          <w:szCs w:val="32"/>
          <w:shd w:val="clear" w:color="auto" w:fill="FFFFFF"/>
          <w:lang w:eastAsia="zh-CN"/>
        </w:rPr>
      </w:pPr>
      <w:r>
        <w:rPr>
          <w:rFonts w:hint="eastAsia" w:ascii="楷体_GB2312" w:hAnsi="楷体_GB2312" w:eastAsia="楷体_GB2312" w:cs="楷体_GB2312"/>
          <w:sz w:val="32"/>
          <w:szCs w:val="32"/>
          <w:shd w:val="clear" w:color="auto" w:fill="FFFFFF"/>
          <w:lang w:eastAsia="zh-CN"/>
        </w:rPr>
        <w:t>(三)项目产出情况</w:t>
      </w:r>
      <w:bookmarkEnd w:id="9"/>
    </w:p>
    <w:p>
      <w:pPr>
        <w:pStyle w:val="2"/>
        <w:widowControl w:val="0"/>
        <w:kinsoku/>
        <w:autoSpaceDE/>
        <w:autoSpaceDN/>
        <w:adjustRightInd/>
        <w:spacing w:line="520" w:lineRule="exact"/>
        <w:ind w:left="0" w:leftChars="0" w:firstLine="640" w:firstLineChars="200"/>
        <w:textAlignment w:val="auto"/>
        <w:outlineLvl w:val="2"/>
        <w:rPr>
          <w:rFonts w:ascii="仿宋" w:hAnsi="仿宋" w:eastAsia="仿宋" w:cs="仿宋"/>
          <w:kern w:val="44"/>
          <w:sz w:val="32"/>
          <w:szCs w:val="32"/>
          <w:lang w:eastAsia="zh-CN"/>
        </w:rPr>
      </w:pPr>
      <w:r>
        <w:rPr>
          <w:rFonts w:hint="eastAsia" w:ascii="仿宋" w:hAnsi="仿宋" w:eastAsia="仿宋" w:cs="楷体_GB2312"/>
          <w:sz w:val="32"/>
          <w:szCs w:val="32"/>
          <w:shd w:val="clear" w:color="auto" w:fill="FFFFFF"/>
          <w:lang w:eastAsia="zh-CN"/>
        </w:rPr>
        <w:t xml:space="preserve"> </w:t>
      </w:r>
      <w:bookmarkStart w:id="10" w:name="_Toc20742"/>
      <w:r>
        <w:rPr>
          <w:rFonts w:hint="eastAsia" w:ascii="仿宋" w:hAnsi="仿宋" w:eastAsia="仿宋" w:cs="仿宋"/>
          <w:kern w:val="44"/>
          <w:sz w:val="32"/>
          <w:szCs w:val="32"/>
          <w:lang w:eastAsia="zh-CN"/>
        </w:rPr>
        <w:t>1.产出数量</w:t>
      </w:r>
      <w:bookmarkEnd w:id="10"/>
    </w:p>
    <w:p>
      <w:pPr>
        <w:widowControl w:val="0"/>
        <w:kinsoku/>
        <w:autoSpaceDE/>
        <w:autoSpaceDN/>
        <w:adjustRightInd/>
        <w:spacing w:line="560" w:lineRule="exact"/>
        <w:ind w:firstLine="640" w:firstLineChars="200"/>
        <w:jc w:val="both"/>
        <w:textAlignment w:val="auto"/>
        <w:outlineLvl w:val="2"/>
        <w:rPr>
          <w:rFonts w:hint="default"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新建充电桩及停车场：</w:t>
      </w:r>
      <w:r>
        <w:rPr>
          <w:rFonts w:hint="eastAsia" w:ascii="仿宋" w:hAnsi="仿宋" w:eastAsia="仿宋" w:cs="仿宋"/>
          <w:kern w:val="44"/>
          <w:sz w:val="32"/>
          <w:szCs w:val="32"/>
          <w:lang w:eastAsia="zh-CN"/>
        </w:rPr>
        <w:t>滨江路停车场安装容量约为480kW、滨江路停车场安装容量约为480KW、交管局停车场安装容量约为960W，金大地公寓停车场安装容量约为900kW、县政府停车场安装容量约为480KW、新妇幼保健院停车场安装容量约为480kW；(二)路内停车泊位：对县城区现有的2000个路内停车泊位进行智慧停车改造。(三)城市更新(道路提质改造)工程:对丹桂路(隆平大道至陆港大道段)、迎松路(隆平大道至滨江中路段)、芙蓉路(滨江路至茶花中路段)、陆港大道(丹桂路至芙蓉路段)、滨江路(迎松路至高新区交界段)香樟东路(隆平大道至茶花北路段)等6条主次干道约19.8万㎡的路面破损较重的路面进行修复，铺设4cnt3cm两层共7cm的改性沥青，包括管网建设、路面沥青铺设、人行道板维修、绿化工程。</w:t>
      </w:r>
    </w:p>
    <w:p>
      <w:pPr>
        <w:pStyle w:val="2"/>
        <w:widowControl w:val="0"/>
        <w:kinsoku/>
        <w:autoSpaceDE/>
        <w:autoSpaceDN/>
        <w:adjustRightInd/>
        <w:spacing w:line="520" w:lineRule="exact"/>
        <w:ind w:left="0" w:leftChars="0" w:firstLine="640" w:firstLineChars="200"/>
        <w:textAlignment w:val="auto"/>
        <w:outlineLvl w:val="2"/>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2.产出质量</w:t>
      </w:r>
    </w:p>
    <w:p>
      <w:pPr>
        <w:pStyle w:val="2"/>
        <w:widowControl w:val="0"/>
        <w:kinsoku/>
        <w:autoSpaceDE/>
        <w:autoSpaceDN/>
        <w:adjustRightInd/>
        <w:spacing w:line="560" w:lineRule="exact"/>
        <w:ind w:left="0" w:leftChars="0" w:firstLine="640" w:firstLineChars="200"/>
        <w:jc w:val="both"/>
        <w:textAlignment w:val="auto"/>
        <w:rPr>
          <w:rFonts w:ascii="仿宋" w:hAnsi="仿宋" w:eastAsia="仿宋" w:cs="仿宋"/>
          <w:kern w:val="44"/>
          <w:sz w:val="32"/>
          <w:szCs w:val="32"/>
          <w:lang w:eastAsia="zh-CN"/>
        </w:rPr>
      </w:pPr>
      <w:r>
        <w:rPr>
          <w:rFonts w:hint="eastAsia" w:ascii="方正仿宋_GB2312" w:hAnsi="方正仿宋_GB2312" w:eastAsia="方正仿宋_GB2312" w:cs="方正仿宋_GB2312"/>
          <w:i w:val="0"/>
          <w:iCs w:val="0"/>
          <w:caps w:val="0"/>
          <w:color w:val="000000"/>
          <w:spacing w:val="0"/>
          <w:kern w:val="0"/>
          <w:sz w:val="32"/>
          <w:szCs w:val="32"/>
          <w:shd w:val="clear" w:fill="FFFFFF"/>
          <w:lang w:val="en-US" w:eastAsia="zh-CN" w:bidi="ar"/>
        </w:rPr>
        <w:t>项目成本控制在预算范围内，通过科学合理的资金安排和管理，有效控制了项目成本，提高了资金使用效益。</w:t>
      </w:r>
    </w:p>
    <w:p>
      <w:pPr>
        <w:pStyle w:val="2"/>
        <w:widowControl w:val="0"/>
        <w:kinsoku/>
        <w:autoSpaceDE/>
        <w:autoSpaceDN/>
        <w:adjustRightInd/>
        <w:spacing w:line="520" w:lineRule="exact"/>
        <w:ind w:left="0" w:leftChars="0" w:firstLine="640" w:firstLineChars="200"/>
        <w:textAlignment w:val="auto"/>
        <w:outlineLvl w:val="2"/>
        <w:rPr>
          <w:rFonts w:ascii="仿宋" w:hAnsi="仿宋" w:eastAsia="仿宋" w:cs="仿宋"/>
          <w:kern w:val="44"/>
          <w:sz w:val="32"/>
          <w:szCs w:val="32"/>
          <w:lang w:eastAsia="zh-CN"/>
        </w:rPr>
      </w:pPr>
      <w:bookmarkStart w:id="11" w:name="_Toc21477"/>
      <w:r>
        <w:rPr>
          <w:rFonts w:hint="eastAsia" w:ascii="仿宋" w:hAnsi="仿宋" w:eastAsia="仿宋" w:cs="仿宋"/>
          <w:kern w:val="44"/>
          <w:sz w:val="32"/>
          <w:szCs w:val="32"/>
          <w:lang w:eastAsia="zh-CN"/>
        </w:rPr>
        <w:t>3.产出时效</w:t>
      </w:r>
      <w:bookmarkEnd w:id="11"/>
    </w:p>
    <w:p>
      <w:pPr>
        <w:keepNext w:val="0"/>
        <w:keepLines w:val="0"/>
        <w:pageBreakBefore w:val="0"/>
        <w:wordWrap/>
        <w:overflowPunct/>
        <w:topLinePunct w:val="0"/>
        <w:bidi w:val="0"/>
        <w:spacing w:line="560" w:lineRule="exact"/>
        <w:ind w:firstLine="640" w:firstLineChars="200"/>
        <w:rPr>
          <w:rFonts w:hint="eastAsia" w:ascii="仿宋" w:hAnsi="仿宋" w:eastAsia="仿宋" w:cs="仿宋"/>
          <w:sz w:val="32"/>
          <w:szCs w:val="32"/>
        </w:rPr>
      </w:pPr>
      <w:r>
        <w:rPr>
          <w:rFonts w:hint="eastAsia" w:ascii="仿宋" w:hAnsi="仿宋" w:eastAsia="仿宋" w:cs="仿宋"/>
          <w:kern w:val="44"/>
          <w:sz w:val="32"/>
          <w:szCs w:val="32"/>
          <w:lang w:eastAsia="zh-CN"/>
        </w:rPr>
        <w:t>按照预算批复及时支出专项资金，至2024年末，申请支付专项资金已支付到位。</w:t>
      </w:r>
    </w:p>
    <w:p>
      <w:pPr>
        <w:pStyle w:val="6"/>
        <w:keepNext w:val="0"/>
        <w:keepLines w:val="0"/>
        <w:pageBreakBefore w:val="0"/>
        <w:wordWrap/>
        <w:overflowPunct/>
        <w:topLinePunct w:val="0"/>
        <w:bidi w:val="0"/>
        <w:snapToGrid w:val="0"/>
        <w:spacing w:line="560" w:lineRule="exact"/>
        <w:ind w:firstLine="640" w:firstLineChars="200"/>
        <w:rPr>
          <w:rFonts w:hint="eastAsia" w:ascii="楷体_GB2312" w:hAnsi="楷体_GB2312" w:eastAsia="楷体_GB2312" w:cs="楷体_GB2312"/>
          <w:sz w:val="32"/>
          <w:szCs w:val="32"/>
          <w:shd w:val="clear" w:color="auto" w:fill="FFFFFF"/>
          <w:lang w:eastAsia="zh-CN"/>
        </w:rPr>
      </w:pPr>
      <w:bookmarkStart w:id="12" w:name="_Toc3072"/>
      <w:bookmarkStart w:id="13" w:name="_Toc12690"/>
      <w:r>
        <w:rPr>
          <w:rFonts w:hint="eastAsia" w:ascii="楷体_GB2312" w:hAnsi="楷体_GB2312" w:eastAsia="楷体_GB2312" w:cs="楷体_GB2312"/>
          <w:sz w:val="32"/>
          <w:szCs w:val="32"/>
          <w:shd w:val="clear" w:color="auto" w:fill="FFFFFF"/>
          <w:lang w:eastAsia="zh-CN"/>
        </w:rPr>
        <w:t>(四)项目效益情况</w:t>
      </w:r>
      <w:bookmarkEnd w:id="12"/>
      <w:bookmarkEnd w:id="13"/>
    </w:p>
    <w:p>
      <w:pPr>
        <w:pStyle w:val="6"/>
        <w:spacing w:line="560" w:lineRule="exact"/>
        <w:ind w:firstLine="640" w:firstLineChars="200"/>
        <w:rPr>
          <w:kern w:val="44"/>
          <w:sz w:val="32"/>
          <w:szCs w:val="32"/>
          <w:lang w:eastAsia="zh-CN"/>
        </w:rPr>
      </w:pPr>
      <w:r>
        <w:rPr>
          <w:rFonts w:hint="eastAsia"/>
          <w:kern w:val="44"/>
          <w:sz w:val="32"/>
          <w:szCs w:val="32"/>
          <w:lang w:eastAsia="zh-CN"/>
        </w:rPr>
        <w:t>目带来一定的社会效益、经济效益、生态效益。具体体现在：</w:t>
      </w:r>
    </w:p>
    <w:p>
      <w:pPr>
        <w:pStyle w:val="2"/>
        <w:keepNext w:val="0"/>
        <w:keepLines w:val="0"/>
        <w:pageBreakBefore w:val="0"/>
        <w:wordWrap/>
        <w:overflowPunct/>
        <w:topLinePunct w:val="0"/>
        <w:bidi w:val="0"/>
        <w:snapToGrid w:val="0"/>
        <w:spacing w:line="560" w:lineRule="exact"/>
        <w:ind w:left="0" w:leftChars="0" w:firstLine="640" w:firstLineChars="200"/>
        <w:rPr>
          <w:rFonts w:hint="eastAsia" w:ascii="仿宋" w:hAnsi="仿宋" w:eastAsia="仿宋" w:cs="仿宋"/>
          <w:snapToGrid w:val="0"/>
          <w:color w:val="000000"/>
          <w:sz w:val="32"/>
          <w:szCs w:val="32"/>
          <w:lang w:val="en-US" w:eastAsia="zh-CN" w:bidi="ar-SA"/>
        </w:rPr>
      </w:pPr>
      <w:r>
        <w:rPr>
          <w:rFonts w:hint="eastAsia" w:ascii="仿宋" w:hAnsi="仿宋" w:eastAsia="仿宋" w:cs="仿宋"/>
          <w:snapToGrid w:val="0"/>
          <w:color w:val="000000"/>
          <w:sz w:val="32"/>
          <w:szCs w:val="32"/>
          <w:lang w:val="en-US" w:eastAsia="zh-CN" w:bidi="ar-SA"/>
        </w:rPr>
        <w:t>进一步改善城市交通环境，提升城市运行管理和服务水平，完善中方县充电基础设施建设，加快中方县新能源汽车基础设施的布局，满足全县新能源汽车充电需求。</w:t>
      </w:r>
    </w:p>
    <w:p>
      <w:pPr>
        <w:keepNext w:val="0"/>
        <w:keepLines w:val="0"/>
        <w:pageBreakBefore w:val="0"/>
        <w:widowControl w:val="0"/>
        <w:kinsoku/>
        <w:wordWrap/>
        <w:overflowPunct/>
        <w:topLinePunct w:val="0"/>
        <w:autoSpaceDE/>
        <w:autoSpaceDN/>
        <w:bidi w:val="0"/>
        <w:adjustRightInd/>
        <w:snapToGrid w:val="0"/>
        <w:spacing w:line="560" w:lineRule="exact"/>
        <w:ind w:firstLine="696" w:firstLineChars="200"/>
        <w:textAlignment w:val="auto"/>
        <w:outlineLvl w:val="0"/>
        <w:rPr>
          <w:rFonts w:hint="eastAsia" w:ascii="黑体" w:hAnsi="黑体" w:eastAsia="黑体" w:cs="黑体"/>
          <w:sz w:val="32"/>
          <w:szCs w:val="32"/>
          <w:shd w:val="clear" w:color="auto" w:fill="FFFFFF"/>
          <w:lang w:eastAsia="zh-CN"/>
        </w:rPr>
      </w:pPr>
      <w:r>
        <w:rPr>
          <w:rFonts w:ascii="黑体" w:hAnsi="黑体" w:eastAsia="黑体" w:cs="黑体"/>
          <w:spacing w:val="19"/>
          <w:sz w:val="31"/>
          <w:szCs w:val="31"/>
          <w:lang w:eastAsia="zh-CN"/>
        </w:rPr>
        <w:t>五</w:t>
      </w:r>
      <w:r>
        <w:rPr>
          <w:rFonts w:ascii="黑体" w:hAnsi="黑体" w:eastAsia="黑体" w:cs="黑体"/>
          <w:spacing w:val="7"/>
          <w:sz w:val="31"/>
          <w:szCs w:val="31"/>
          <w:lang w:eastAsia="zh-CN"/>
        </w:rPr>
        <w:t>、</w:t>
      </w:r>
      <w:r>
        <w:rPr>
          <w:rFonts w:hint="eastAsia" w:ascii="黑体" w:hAnsi="黑体" w:eastAsia="黑体" w:cs="黑体"/>
          <w:sz w:val="32"/>
          <w:szCs w:val="32"/>
          <w:shd w:val="clear" w:color="auto" w:fill="FFFFFF"/>
          <w:lang w:eastAsia="zh-CN"/>
        </w:rPr>
        <w:t>项目主要经验、存在的问题及建议</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bookmarkStart w:id="14" w:name="_Toc23434"/>
      <w:bookmarkStart w:id="15" w:name="_Toc5316"/>
      <w:r>
        <w:rPr>
          <w:rFonts w:hint="eastAsia" w:ascii="仿宋" w:hAnsi="仿宋" w:eastAsia="仿宋" w:cs="仿宋"/>
          <w:kern w:val="44"/>
          <w:sz w:val="32"/>
          <w:szCs w:val="32"/>
          <w:lang w:eastAsia="zh-CN"/>
        </w:rPr>
        <w:t>（一）项目主要经验</w:t>
      </w:r>
      <w:bookmarkEnd w:id="14"/>
      <w:r>
        <w:rPr>
          <w:rFonts w:hint="eastAsia" w:ascii="仿宋" w:hAnsi="仿宋" w:eastAsia="仿宋" w:cs="仿宋"/>
          <w:kern w:val="44"/>
          <w:sz w:val="32"/>
          <w:szCs w:val="32"/>
          <w:lang w:eastAsia="zh-CN"/>
        </w:rPr>
        <w:t>及做法</w:t>
      </w:r>
      <w:bookmarkEnd w:id="15"/>
    </w:p>
    <w:p>
      <w:pPr>
        <w:kinsoku/>
        <w:autoSpaceDE/>
        <w:autoSpaceDN/>
        <w:adjustRightInd/>
        <w:snapToGrid/>
        <w:spacing w:line="560" w:lineRule="exact"/>
        <w:ind w:firstLine="640" w:firstLineChars="200"/>
        <w:jc w:val="both"/>
        <w:textAlignment w:val="auto"/>
        <w:rPr>
          <w:rFonts w:ascii="仿宋" w:hAnsi="仿宋" w:eastAsia="仿宋" w:cs="仿宋"/>
          <w:kern w:val="44"/>
          <w:sz w:val="32"/>
          <w:szCs w:val="32"/>
          <w:lang w:eastAsia="zh-CN"/>
        </w:rPr>
      </w:pPr>
      <w:bookmarkStart w:id="16" w:name="_Toc6772"/>
      <w:bookmarkStart w:id="17" w:name="_Toc2597"/>
      <w:r>
        <w:rPr>
          <w:rFonts w:hint="eastAsia" w:ascii="仿宋" w:hAnsi="仿宋" w:eastAsia="仿宋" w:cs="仿宋"/>
          <w:kern w:val="44"/>
          <w:sz w:val="32"/>
          <w:szCs w:val="32"/>
          <w:lang w:eastAsia="zh-CN"/>
        </w:rPr>
        <w:t>1.领导高度重视，成立了专门的项目领导小组，加强对项目的统筹规划和组织协调，确保项目顺利推进。</w:t>
      </w:r>
    </w:p>
    <w:p>
      <w:pPr>
        <w:kinsoku/>
        <w:autoSpaceDE/>
        <w:autoSpaceDN/>
        <w:adjustRightInd/>
        <w:snapToGrid/>
        <w:spacing w:line="56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2.注重前期调研和论证，充分了解项目实施内容及范围，为项目的科学决策提供依据。</w:t>
      </w:r>
    </w:p>
    <w:p>
      <w:pPr>
        <w:kinsoku/>
        <w:autoSpaceDE/>
        <w:autoSpaceDN/>
        <w:adjustRightInd/>
        <w:snapToGrid/>
        <w:spacing w:line="56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3.建立健全项目管理制度，规范项目的申报、审批、实施、监督和评估等环节，提高项目管理的规范化和科学化水平。</w:t>
      </w:r>
    </w:p>
    <w:p>
      <w:pPr>
        <w:kinsoku/>
        <w:autoSpaceDE/>
        <w:autoSpaceDN/>
        <w:adjustRightInd/>
        <w:snapToGrid/>
        <w:spacing w:line="560" w:lineRule="exact"/>
        <w:ind w:firstLine="640" w:firstLineChars="200"/>
        <w:jc w:val="both"/>
        <w:textAlignment w:val="auto"/>
        <w:rPr>
          <w:rFonts w:ascii="仿宋" w:hAnsi="仿宋" w:eastAsia="仿宋" w:cs="仿宋"/>
          <w:kern w:val="44"/>
          <w:sz w:val="32"/>
          <w:szCs w:val="32"/>
          <w:lang w:eastAsia="zh-CN"/>
        </w:rPr>
      </w:pPr>
      <w:r>
        <w:rPr>
          <w:rFonts w:hint="eastAsia" w:ascii="仿宋" w:hAnsi="仿宋" w:eastAsia="仿宋" w:cs="仿宋"/>
          <w:kern w:val="44"/>
          <w:sz w:val="32"/>
          <w:szCs w:val="32"/>
          <w:lang w:eastAsia="zh-CN"/>
        </w:rPr>
        <w:t>4.加强与相关部门和单位的合作，形成工作合力，共同推进项目的实施。</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（二）存在的问题</w:t>
      </w:r>
      <w:bookmarkEnd w:id="16"/>
      <w:bookmarkEnd w:id="17"/>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bookmarkStart w:id="18" w:name="_Toc29278"/>
      <w:bookmarkStart w:id="19" w:name="_Toc16271"/>
      <w:r>
        <w:rPr>
          <w:rFonts w:hint="eastAsia" w:ascii="仿宋" w:hAnsi="仿宋" w:eastAsia="仿宋" w:cs="仿宋"/>
          <w:kern w:val="44"/>
          <w:sz w:val="32"/>
          <w:szCs w:val="32"/>
          <w:lang w:val="en-US" w:eastAsia="zh-CN"/>
        </w:rPr>
        <w:t>1</w:t>
      </w:r>
      <w:r>
        <w:rPr>
          <w:rFonts w:hint="eastAsia" w:ascii="仿宋" w:hAnsi="仿宋" w:eastAsia="仿宋" w:cs="仿宋"/>
          <w:kern w:val="44"/>
          <w:sz w:val="32"/>
          <w:szCs w:val="32"/>
          <w:lang w:eastAsia="zh-CN"/>
        </w:rPr>
        <w:t>.项目实施过程中，沟通协调机制不够完善，导致信息传递不及时、工作衔接不顺畅，影响了项目的进度和质量。</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val="en-US" w:eastAsia="zh-CN"/>
        </w:rPr>
        <w:t>2</w:t>
      </w:r>
      <w:r>
        <w:rPr>
          <w:rFonts w:hint="eastAsia" w:ascii="仿宋" w:hAnsi="仿宋" w:eastAsia="仿宋" w:cs="仿宋"/>
          <w:kern w:val="44"/>
          <w:sz w:val="32"/>
          <w:szCs w:val="32"/>
          <w:lang w:eastAsia="zh-CN"/>
        </w:rPr>
        <w:t>.项目资金管理存在薄弱环节，如资金分配不够合理、资金支付进度有待提高。</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eastAsia="zh-CN"/>
        </w:rPr>
      </w:pPr>
      <w:r>
        <w:rPr>
          <w:rFonts w:hint="eastAsia" w:ascii="仿宋" w:hAnsi="仿宋" w:eastAsia="仿宋" w:cs="仿宋"/>
          <w:kern w:val="44"/>
          <w:sz w:val="32"/>
          <w:szCs w:val="32"/>
          <w:lang w:eastAsia="zh-CN"/>
        </w:rPr>
        <w:t>（三）有关建议</w:t>
      </w:r>
      <w:bookmarkEnd w:id="18"/>
      <w:bookmarkEnd w:id="19"/>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 xml:space="preserve">1. 完善沟通协调机制：建立跨部门协作机制，明确各方职责，加强信息共享与工作衔接，确保项目高效推进。  </w:t>
      </w:r>
    </w:p>
    <w:p>
      <w:pPr>
        <w:widowControl w:val="0"/>
        <w:kinsoku/>
        <w:autoSpaceDE/>
        <w:autoSpaceDN/>
        <w:adjustRightInd/>
        <w:spacing w:line="520" w:lineRule="exact"/>
        <w:ind w:firstLine="640" w:firstLineChars="200"/>
        <w:textAlignment w:val="auto"/>
        <w:outlineLvl w:val="1"/>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 xml:space="preserve">2. 加强监督与公开透明度： 强化监督小组职能，定期开展专项检查，确保资金使用合规、高效。  </w:t>
      </w:r>
    </w:p>
    <w:p>
      <w:pPr>
        <w:keepNext w:val="0"/>
        <w:keepLines w:val="0"/>
        <w:pageBreakBefore w:val="0"/>
        <w:wordWrap/>
        <w:overflowPunct/>
        <w:topLinePunct w:val="0"/>
        <w:bidi w:val="0"/>
        <w:snapToGrid w:val="0"/>
        <w:spacing w:line="560" w:lineRule="exact"/>
        <w:ind w:firstLine="640" w:firstLineChars="200"/>
        <w:rPr>
          <w:rFonts w:hint="eastAsia" w:ascii="仿宋" w:hAnsi="仿宋" w:eastAsia="仿宋" w:cs="仿宋"/>
          <w:kern w:val="44"/>
          <w:sz w:val="32"/>
          <w:szCs w:val="32"/>
          <w:lang w:val="en-US" w:eastAsia="zh-CN"/>
        </w:rPr>
      </w:pPr>
      <w:r>
        <w:rPr>
          <w:rFonts w:hint="eastAsia" w:ascii="仿宋" w:hAnsi="仿宋" w:eastAsia="仿宋" w:cs="仿宋"/>
          <w:kern w:val="44"/>
          <w:sz w:val="32"/>
          <w:szCs w:val="32"/>
          <w:lang w:val="en-US" w:eastAsia="zh-CN"/>
        </w:rPr>
        <w:t xml:space="preserve">3. 强化绩效结果应用：将绩效评价结果与后续预算安排、项目审批挂钩，建立激励约束机制，促进资金使用效益最大化。      </w:t>
      </w:r>
    </w:p>
    <w:p>
      <w:pPr>
        <w:keepNext w:val="0"/>
        <w:keepLines w:val="0"/>
        <w:pageBreakBefore w:val="0"/>
        <w:wordWrap/>
        <w:overflowPunct/>
        <w:topLinePunct w:val="0"/>
        <w:bidi w:val="0"/>
        <w:snapToGrid w:val="0"/>
        <w:spacing w:line="560" w:lineRule="exact"/>
        <w:ind w:firstLine="696" w:firstLineChars="200"/>
        <w:rPr>
          <w:rFonts w:ascii="黑体" w:hAnsi="黑体" w:eastAsia="黑体" w:cs="黑体"/>
          <w:spacing w:val="6"/>
          <w:sz w:val="31"/>
          <w:szCs w:val="31"/>
          <w:lang w:eastAsia="zh-CN"/>
        </w:rPr>
      </w:pPr>
      <w:r>
        <w:rPr>
          <w:rFonts w:hint="eastAsia" w:ascii="黑体" w:hAnsi="黑体" w:eastAsia="黑体" w:cs="黑体"/>
          <w:spacing w:val="19"/>
          <w:sz w:val="31"/>
          <w:szCs w:val="31"/>
          <w:lang w:val="en-US" w:eastAsia="zh-CN"/>
        </w:rPr>
        <w:t>六</w:t>
      </w:r>
      <w:r>
        <w:rPr>
          <w:rFonts w:ascii="黑体" w:hAnsi="黑体" w:eastAsia="黑体" w:cs="黑体"/>
          <w:spacing w:val="19"/>
          <w:sz w:val="31"/>
          <w:szCs w:val="31"/>
          <w:lang w:eastAsia="zh-CN"/>
        </w:rPr>
        <w:t>、其他需要说明的问题</w:t>
      </w:r>
    </w:p>
    <w:p>
      <w:pPr>
        <w:pStyle w:val="2"/>
        <w:keepNext w:val="0"/>
        <w:keepLines w:val="0"/>
        <w:pageBreakBefore w:val="0"/>
        <w:wordWrap/>
        <w:overflowPunct/>
        <w:topLinePunct w:val="0"/>
        <w:bidi w:val="0"/>
        <w:snapToGrid w:val="0"/>
        <w:spacing w:line="560" w:lineRule="exact"/>
        <w:rPr>
          <w:rFonts w:hint="default" w:ascii="仿宋" w:hAnsi="仿宋" w:eastAsia="仿宋" w:cs="仿宋"/>
          <w:snapToGrid w:val="0"/>
          <w:color w:val="000000"/>
          <w:sz w:val="32"/>
          <w:szCs w:val="32"/>
          <w:lang w:val="en-US" w:eastAsia="zh-CN" w:bidi="ar-SA"/>
        </w:rPr>
      </w:pPr>
      <w:r>
        <w:rPr>
          <w:rFonts w:hint="eastAsia" w:ascii="仿宋" w:hAnsi="仿宋" w:eastAsia="仿宋" w:cs="仿宋"/>
          <w:snapToGrid w:val="0"/>
          <w:color w:val="000000"/>
          <w:sz w:val="32"/>
          <w:szCs w:val="32"/>
          <w:lang w:val="en-US" w:eastAsia="zh-CN" w:bidi="ar-SA"/>
        </w:rPr>
        <w:t>无</w:t>
      </w:r>
    </w:p>
    <w:p>
      <w:pPr>
        <w:pStyle w:val="2"/>
        <w:keepNext w:val="0"/>
        <w:keepLines w:val="0"/>
        <w:pageBreakBefore w:val="0"/>
        <w:wordWrap/>
        <w:overflowPunct/>
        <w:topLinePunct w:val="0"/>
        <w:bidi w:val="0"/>
        <w:snapToGrid w:val="0"/>
        <w:spacing w:line="560" w:lineRule="exact"/>
        <w:ind w:left="0" w:leftChars="0" w:firstLine="644" w:firstLineChars="200"/>
        <w:rPr>
          <w:rFonts w:hint="eastAsia" w:ascii="黑体" w:hAnsi="黑体" w:eastAsia="黑体" w:cs="黑体"/>
          <w:spacing w:val="6"/>
          <w:sz w:val="31"/>
          <w:szCs w:val="31"/>
          <w:lang w:eastAsia="zh-CN"/>
        </w:rPr>
      </w:pPr>
      <w:r>
        <w:rPr>
          <w:rFonts w:hint="eastAsia" w:ascii="黑体" w:hAnsi="黑体" w:eastAsia="黑体" w:cs="黑体"/>
          <w:spacing w:val="6"/>
          <w:sz w:val="31"/>
          <w:szCs w:val="31"/>
          <w:lang w:val="en-US" w:eastAsia="zh-CN"/>
        </w:rPr>
        <w:t>七</w:t>
      </w:r>
      <w:r>
        <w:rPr>
          <w:rFonts w:hint="eastAsia" w:ascii="黑体" w:hAnsi="黑体" w:eastAsia="黑体" w:cs="黑体"/>
          <w:spacing w:val="6"/>
          <w:sz w:val="31"/>
          <w:szCs w:val="31"/>
          <w:lang w:eastAsia="zh-CN"/>
        </w:rPr>
        <w:t>、附件</w:t>
      </w:r>
    </w:p>
    <w:p>
      <w:pPr>
        <w:pStyle w:val="2"/>
        <w:keepNext w:val="0"/>
        <w:keepLines w:val="0"/>
        <w:pageBreakBefore w:val="0"/>
        <w:wordWrap/>
        <w:overflowPunct/>
        <w:topLinePunct w:val="0"/>
        <w:bidi w:val="0"/>
        <w:snapToGrid w:val="0"/>
        <w:spacing w:line="560" w:lineRule="exact"/>
        <w:ind w:left="0" w:leftChars="0" w:firstLine="640" w:firstLineChars="200"/>
        <w:rPr>
          <w:rFonts w:hint="eastAsia" w:ascii="仿宋" w:hAnsi="仿宋" w:eastAsia="仿宋" w:cs="仿宋"/>
          <w:snapToGrid w:val="0"/>
          <w:color w:val="000000"/>
          <w:kern w:val="44"/>
          <w:sz w:val="32"/>
          <w:szCs w:val="32"/>
          <w:lang w:val="en-US" w:eastAsia="zh-CN" w:bidi="ar-SA"/>
        </w:rPr>
      </w:pPr>
      <w:r>
        <w:rPr>
          <w:rFonts w:hint="eastAsia" w:ascii="仿宋" w:hAnsi="仿宋" w:eastAsia="仿宋" w:cs="仿宋"/>
          <w:snapToGrid w:val="0"/>
          <w:color w:val="000000"/>
          <w:kern w:val="44"/>
          <w:sz w:val="32"/>
          <w:szCs w:val="32"/>
          <w:lang w:val="en-US" w:eastAsia="zh-CN" w:bidi="ar-SA"/>
        </w:rPr>
        <w:t>2-1、2024年度项目支出绩效自评表</w:t>
      </w:r>
    </w:p>
    <w:p>
      <w:pPr>
        <w:pStyle w:val="2"/>
        <w:keepNext w:val="0"/>
        <w:keepLines w:val="0"/>
        <w:pageBreakBefore w:val="0"/>
        <w:wordWrap/>
        <w:overflowPunct/>
        <w:topLinePunct w:val="0"/>
        <w:bidi w:val="0"/>
        <w:snapToGrid w:val="0"/>
        <w:spacing w:line="560" w:lineRule="exact"/>
        <w:rPr>
          <w:rFonts w:hint="eastAsia" w:ascii="黑体" w:hAnsi="黑体" w:eastAsia="黑体" w:cs="黑体"/>
          <w:sz w:val="31"/>
          <w:szCs w:val="31"/>
          <w:lang w:eastAsia="zh-CN"/>
        </w:rPr>
        <w:sectPr>
          <w:footerReference r:id="rId4" w:type="default"/>
          <w:pgSz w:w="11900" w:h="16830"/>
          <w:pgMar w:top="1430" w:right="1623" w:bottom="1084" w:left="1199" w:header="0" w:footer="949" w:gutter="0"/>
          <w:pgNumType w:fmt="numberInDash"/>
          <w:cols w:space="720" w:num="1"/>
        </w:sectPr>
      </w:pPr>
    </w:p>
    <w:p>
      <w:pPr>
        <w:pStyle w:val="6"/>
        <w:spacing w:line="224" w:lineRule="auto"/>
        <w:rPr>
          <w:rFonts w:hint="eastAsia"/>
          <w:spacing w:val="19"/>
          <w:sz w:val="32"/>
          <w:szCs w:val="32"/>
          <w:lang w:eastAsia="zh-CN"/>
        </w:rPr>
      </w:pPr>
      <w:r>
        <w:rPr>
          <w:spacing w:val="19"/>
          <w:sz w:val="32"/>
          <w:szCs w:val="32"/>
          <w:lang w:eastAsia="zh-CN"/>
        </w:rPr>
        <w:t>附件2-1</w:t>
      </w:r>
    </w:p>
    <w:p>
      <w:pPr>
        <w:spacing w:before="151" w:line="221" w:lineRule="auto"/>
        <w:ind w:left="1060"/>
        <w:rPr>
          <w:rFonts w:hint="eastAsia" w:ascii="方正小标宋简体" w:hAnsi="方正小标宋简体" w:eastAsia="方正小标宋简体" w:cs="方正小标宋简体"/>
          <w:sz w:val="43"/>
          <w:szCs w:val="43"/>
          <w:lang w:eastAsia="zh-CN"/>
        </w:rPr>
      </w:pPr>
      <w:r>
        <w:rPr>
          <w:rFonts w:hint="eastAsia" w:ascii="方正小标宋简体" w:hAnsi="方正小标宋简体" w:eastAsia="方正小标宋简体" w:cs="方正小标宋简体"/>
          <w:spacing w:val="2"/>
          <w:sz w:val="43"/>
          <w:szCs w:val="43"/>
          <w:lang w:eastAsia="zh-CN"/>
        </w:rPr>
        <w:t>2024年度项目支出绩效自评表</w:t>
      </w:r>
    </w:p>
    <w:tbl>
      <w:tblPr>
        <w:tblStyle w:val="11"/>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39"/>
        <w:gridCol w:w="1119"/>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项目支</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出名称</w:t>
            </w:r>
          </w:p>
        </w:tc>
        <w:tc>
          <w:tcPr>
            <w:tcW w:w="8771" w:type="dxa"/>
            <w:gridSpan w:val="8"/>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eastAsia="zh-CN"/>
              </w:rPr>
              <w:t>中方县城区停车场及充电桩项目（一期工程）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80"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主管部门</w:t>
            </w:r>
          </w:p>
        </w:tc>
        <w:tc>
          <w:tcPr>
            <w:tcW w:w="4518" w:type="dxa"/>
            <w:gridSpan w:val="4"/>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　中方县城市管理和综合执法局</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实施单位</w:t>
            </w:r>
          </w:p>
        </w:tc>
        <w:tc>
          <w:tcPr>
            <w:tcW w:w="3119" w:type="dxa"/>
            <w:gridSpan w:val="3"/>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中方县城乡建设发展集团有限公司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项目资金</w:t>
            </w:r>
            <w:r>
              <w:rPr>
                <w:rFonts w:hint="eastAsia" w:ascii="仿宋" w:hAnsi="仿宋" w:eastAsia="仿宋" w:cs="仿宋"/>
                <w:sz w:val="20"/>
                <w:szCs w:val="20"/>
              </w:rPr>
              <w:br w:type="textWrapping"/>
            </w:r>
            <w:r>
              <w:rPr>
                <w:rFonts w:hint="eastAsia" w:ascii="仿宋" w:hAnsi="仿宋" w:eastAsia="仿宋" w:cs="仿宋"/>
                <w:sz w:val="20"/>
                <w:szCs w:val="20"/>
              </w:rPr>
              <w:t>（万元）</w:t>
            </w:r>
          </w:p>
        </w:tc>
        <w:tc>
          <w:tcPr>
            <w:tcW w:w="2160" w:type="dxa"/>
            <w:gridSpan w:val="2"/>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年初</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预算数</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预算数</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执行数</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执行率</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2160" w:type="dxa"/>
            <w:gridSpan w:val="2"/>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年度资金总额　</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0</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4645</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4645</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10</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rPr>
              <w:t>　</w:t>
            </w:r>
            <w:r>
              <w:rPr>
                <w:rFonts w:hint="eastAsia" w:ascii="仿宋" w:hAnsi="仿宋" w:eastAsia="仿宋" w:cs="仿宋"/>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2160" w:type="dxa"/>
            <w:gridSpan w:val="2"/>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其中：当年财政拨款　</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　</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4645</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default" w:ascii="仿宋" w:hAnsi="仿宋" w:eastAsia="仿宋" w:cs="仿宋"/>
                <w:sz w:val="20"/>
                <w:szCs w:val="20"/>
                <w:lang w:val="en-US" w:eastAsia="zh-CN"/>
              </w:rPr>
            </w:pPr>
            <w:r>
              <w:rPr>
                <w:rFonts w:hint="eastAsia" w:ascii="仿宋" w:hAnsi="仿宋" w:eastAsia="仿宋" w:cs="仿宋"/>
                <w:sz w:val="20"/>
                <w:szCs w:val="20"/>
                <w:lang w:eastAsia="zh-CN"/>
              </w:rPr>
              <w:t>　</w:t>
            </w:r>
            <w:r>
              <w:rPr>
                <w:rFonts w:hint="eastAsia" w:ascii="仿宋" w:hAnsi="仿宋" w:eastAsia="仿宋" w:cs="仿宋"/>
                <w:sz w:val="20"/>
                <w:szCs w:val="20"/>
                <w:lang w:val="en-US" w:eastAsia="zh-CN"/>
              </w:rPr>
              <w:t>4645</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　</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　</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p>
        </w:tc>
        <w:tc>
          <w:tcPr>
            <w:tcW w:w="2160" w:type="dxa"/>
            <w:gridSpan w:val="2"/>
            <w:vAlign w:val="center"/>
          </w:tcPr>
          <w:p>
            <w:pPr>
              <w:keepNext w:val="0"/>
              <w:keepLines w:val="0"/>
              <w:pageBreakBefore w:val="0"/>
              <w:widowControl/>
              <w:kinsoku/>
              <w:wordWrap/>
              <w:overflowPunct/>
              <w:autoSpaceDE/>
              <w:autoSpaceDN/>
              <w:bidi w:val="0"/>
              <w:adjustRightInd/>
              <w:snapToGrid/>
              <w:spacing w:line="240" w:lineRule="exact"/>
              <w:ind w:firstLine="600" w:firstLineChars="300"/>
              <w:textAlignment w:val="auto"/>
              <w:rPr>
                <w:rFonts w:hint="eastAsia" w:ascii="仿宋" w:hAnsi="仿宋" w:eastAsia="仿宋" w:cs="仿宋"/>
                <w:sz w:val="20"/>
                <w:szCs w:val="20"/>
              </w:rPr>
            </w:pPr>
            <w:r>
              <w:rPr>
                <w:rFonts w:hint="eastAsia" w:ascii="仿宋" w:hAnsi="仿宋" w:eastAsia="仿宋" w:cs="仿宋"/>
                <w:sz w:val="20"/>
                <w:szCs w:val="20"/>
              </w:rPr>
              <w:t>上年结转资金　</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2160" w:type="dxa"/>
            <w:gridSpan w:val="2"/>
            <w:vAlign w:val="center"/>
          </w:tcPr>
          <w:p>
            <w:pPr>
              <w:keepNext w:val="0"/>
              <w:keepLines w:val="0"/>
              <w:pageBreakBefore w:val="0"/>
              <w:widowControl/>
              <w:kinsoku/>
              <w:wordWrap/>
              <w:overflowPunct/>
              <w:autoSpaceDE/>
              <w:autoSpaceDN/>
              <w:bidi w:val="0"/>
              <w:adjustRightInd/>
              <w:snapToGrid/>
              <w:spacing w:line="240" w:lineRule="exact"/>
              <w:ind w:firstLine="600" w:firstLineChars="300"/>
              <w:textAlignment w:val="auto"/>
              <w:rPr>
                <w:rFonts w:hint="eastAsia" w:ascii="仿宋" w:hAnsi="仿宋" w:eastAsia="仿宋" w:cs="仿宋"/>
                <w:sz w:val="20"/>
                <w:szCs w:val="20"/>
              </w:rPr>
            </w:pPr>
            <w:r>
              <w:rPr>
                <w:rFonts w:hint="eastAsia" w:ascii="仿宋" w:hAnsi="仿宋" w:eastAsia="仿宋" w:cs="仿宋"/>
                <w:sz w:val="20"/>
                <w:szCs w:val="20"/>
              </w:rPr>
              <w:t>其他资金</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80" w:type="dxa"/>
            <w:vMerge w:val="restart"/>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年度总体目标</w:t>
            </w:r>
          </w:p>
        </w:tc>
        <w:tc>
          <w:tcPr>
            <w:tcW w:w="4518" w:type="dxa"/>
            <w:gridSpan w:val="4"/>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预期目标</w:t>
            </w:r>
          </w:p>
        </w:tc>
        <w:tc>
          <w:tcPr>
            <w:tcW w:w="4253" w:type="dxa"/>
            <w:gridSpan w:val="4"/>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4518" w:type="dxa"/>
            <w:gridSpan w:val="4"/>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eastAsia="zh-CN"/>
              </w:rPr>
              <w:t>进一步改善城市交通环境，提升城市运行管理和服务水平，完善中方县充电基础设施建设　</w:t>
            </w:r>
            <w:r>
              <w:rPr>
                <w:rFonts w:hint="eastAsia" w:ascii="仿宋" w:hAnsi="仿宋" w:eastAsia="仿宋" w:cs="仿宋"/>
                <w:sz w:val="20"/>
                <w:szCs w:val="20"/>
              </w:rPr>
              <w:t>　</w:t>
            </w:r>
          </w:p>
        </w:tc>
        <w:tc>
          <w:tcPr>
            <w:tcW w:w="4253" w:type="dxa"/>
            <w:gridSpan w:val="4"/>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建设中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80" w:type="dxa"/>
            <w:vMerge w:val="restart"/>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绩</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效</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指</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标</w:t>
            </w: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一级指标</w:t>
            </w: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二级指标</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三级指标</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年度</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指标值</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实际</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完成值</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lang w:eastAsia="zh-CN"/>
              </w:rPr>
            </w:pPr>
          </w:p>
        </w:tc>
        <w:tc>
          <w:tcPr>
            <w:tcW w:w="1080" w:type="dxa"/>
            <w:vMerge w:val="restart"/>
            <w:vAlign w:val="center"/>
          </w:tcPr>
          <w:p>
            <w:pPr>
              <w:keepNext w:val="0"/>
              <w:keepLines w:val="0"/>
              <w:pageBreakBefore w:val="0"/>
              <w:widowControl/>
              <w:tabs>
                <w:tab w:val="left" w:pos="309"/>
              </w:tabs>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成本指标</w:t>
            </w:r>
          </w:p>
          <w:p>
            <w:pPr>
              <w:keepNext w:val="0"/>
              <w:keepLines w:val="0"/>
              <w:pageBreakBefore w:val="0"/>
              <w:widowControl/>
              <w:tabs>
                <w:tab w:val="left" w:pos="309"/>
              </w:tabs>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（20分）</w:t>
            </w:r>
          </w:p>
        </w:tc>
        <w:tc>
          <w:tcPr>
            <w:tcW w:w="1080" w:type="dxa"/>
            <w:shd w:val="clear" w:color="auto" w:fill="auto"/>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rPr>
              <w:t>经济成本指标</w:t>
            </w:r>
          </w:p>
        </w:tc>
        <w:tc>
          <w:tcPr>
            <w:tcW w:w="1239" w:type="dxa"/>
            <w:vAlign w:val="center"/>
          </w:tcPr>
          <w:p>
            <w:pPr>
              <w:keepNext w:val="0"/>
              <w:keepLines w:val="0"/>
              <w:pageBreakBefore w:val="0"/>
              <w:widowControl/>
              <w:wordWrap/>
              <w:overflowPunct/>
              <w:bidi w:val="0"/>
              <w:spacing w:after="0" w:line="240" w:lineRule="exact"/>
              <w:rPr>
                <w:rFonts w:hint="eastAsia" w:ascii="仿宋" w:hAnsi="仿宋" w:eastAsia="仿宋" w:cs="仿宋"/>
                <w:sz w:val="20"/>
                <w:szCs w:val="20"/>
                <w:lang w:eastAsia="zh-CN"/>
              </w:rPr>
            </w:pPr>
            <w:r>
              <w:rPr>
                <w:rFonts w:hint="eastAsia" w:ascii="仿宋" w:hAnsi="仿宋" w:eastAsia="仿宋" w:cs="仿宋"/>
                <w:sz w:val="18"/>
                <w:szCs w:val="18"/>
                <w:lang w:val="en-US" w:eastAsia="zh-CN"/>
              </w:rPr>
              <w:t>项目成本</w:t>
            </w:r>
          </w:p>
        </w:tc>
        <w:tc>
          <w:tcPr>
            <w:tcW w:w="111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仿宋" w:hAnsi="仿宋" w:eastAsia="仿宋" w:cs="仿宋"/>
                <w:sz w:val="18"/>
                <w:szCs w:val="18"/>
                <w:lang w:val="en-US" w:eastAsia="zh-CN"/>
              </w:rPr>
              <w:t>≤4645万元</w:t>
            </w:r>
          </w:p>
        </w:tc>
        <w:tc>
          <w:tcPr>
            <w:tcW w:w="1134"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4645万元</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10</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c>
          <w:tcPr>
            <w:tcW w:w="1080" w:type="dxa"/>
            <w:shd w:val="clear" w:color="auto" w:fill="auto"/>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rPr>
              <w:t>社会成本指标</w:t>
            </w:r>
          </w:p>
        </w:tc>
        <w:tc>
          <w:tcPr>
            <w:tcW w:w="1239"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社会成本节约率</w:t>
            </w:r>
          </w:p>
        </w:tc>
        <w:tc>
          <w:tcPr>
            <w:tcW w:w="1119"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1134"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828" w:type="dxa"/>
            <w:vAlign w:val="center"/>
          </w:tcPr>
          <w:p>
            <w:pPr>
              <w:keepNext w:val="0"/>
              <w:keepLines w:val="0"/>
              <w:pageBreakBefore w:val="0"/>
              <w:widowControl/>
              <w:wordWrap/>
              <w:overflowPunct/>
              <w:bidi w:val="0"/>
              <w:spacing w:after="0" w:line="240" w:lineRule="exact"/>
              <w:jc w:val="center"/>
              <w:rPr>
                <w:rFonts w:hint="eastAsia" w:ascii="宋体" w:hAnsi="宋体" w:eastAsia="宋体" w:cs="宋体"/>
                <w:color w:val="000000"/>
                <w:sz w:val="16"/>
                <w:szCs w:val="16"/>
                <w:lang w:val="en-US" w:eastAsia="zh-CN"/>
              </w:rPr>
            </w:pPr>
            <w:r>
              <w:rPr>
                <w:rFonts w:hint="eastAsia" w:ascii="宋体" w:hAnsi="宋体" w:eastAsia="宋体" w:cs="宋体"/>
                <w:color w:val="000000"/>
                <w:sz w:val="16"/>
                <w:szCs w:val="16"/>
                <w:lang w:val="en-US" w:eastAsia="zh-CN"/>
              </w:rPr>
              <w:t>5</w:t>
            </w:r>
          </w:p>
        </w:tc>
        <w:tc>
          <w:tcPr>
            <w:tcW w:w="873" w:type="dxa"/>
            <w:vAlign w:val="center"/>
          </w:tcPr>
          <w:p>
            <w:pPr>
              <w:keepNext w:val="0"/>
              <w:keepLines w:val="0"/>
              <w:pageBreakBefore w:val="0"/>
              <w:widowControl/>
              <w:wordWrap/>
              <w:overflowPunct/>
              <w:bidi w:val="0"/>
              <w:spacing w:after="0" w:line="240" w:lineRule="exact"/>
              <w:jc w:val="center"/>
              <w:rPr>
                <w:rFonts w:hint="eastAsia" w:ascii="宋体" w:hAnsi="宋体" w:eastAsia="宋体" w:cs="宋体"/>
                <w:color w:val="000000"/>
                <w:sz w:val="16"/>
                <w:szCs w:val="16"/>
                <w:lang w:val="en-US" w:eastAsia="zh-CN"/>
              </w:rPr>
            </w:pPr>
            <w:r>
              <w:rPr>
                <w:rFonts w:hint="eastAsia" w:ascii="宋体" w:hAnsi="宋体" w:eastAsia="宋体" w:cs="宋体"/>
                <w:color w:val="000000"/>
                <w:sz w:val="16"/>
                <w:szCs w:val="16"/>
                <w:lang w:val="en-US" w:eastAsia="zh-CN"/>
              </w:rPr>
              <w:t>5</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c>
          <w:tcPr>
            <w:tcW w:w="1080" w:type="dxa"/>
            <w:shd w:val="clear" w:color="auto" w:fill="auto"/>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rPr>
              <w:t>生态环境成本指标</w:t>
            </w:r>
          </w:p>
        </w:tc>
        <w:tc>
          <w:tcPr>
            <w:tcW w:w="1239"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生态环境成本节约率</w:t>
            </w:r>
          </w:p>
        </w:tc>
        <w:tc>
          <w:tcPr>
            <w:tcW w:w="1119"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1134" w:type="dxa"/>
            <w:vAlign w:val="center"/>
          </w:tcPr>
          <w:p>
            <w:pPr>
              <w:pStyle w:val="14"/>
              <w:keepNext w:val="0"/>
              <w:keepLines w:val="0"/>
              <w:pageBreakBefore w:val="0"/>
              <w:widowControl/>
              <w:kinsoku/>
              <w:wordWrap/>
              <w:overflowPunct/>
              <w:topLinePunct/>
              <w:autoSpaceDE/>
              <w:autoSpaceDN/>
              <w:bidi w:val="0"/>
              <w:adjustRightInd w:val="0"/>
              <w:snapToGrid w:val="0"/>
              <w:spacing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0%</w:t>
            </w:r>
          </w:p>
        </w:tc>
        <w:tc>
          <w:tcPr>
            <w:tcW w:w="828" w:type="dxa"/>
            <w:vAlign w:val="center"/>
          </w:tcPr>
          <w:p>
            <w:pPr>
              <w:keepNext w:val="0"/>
              <w:keepLines w:val="0"/>
              <w:pageBreakBefore w:val="0"/>
              <w:widowControl/>
              <w:wordWrap/>
              <w:overflowPunct/>
              <w:bidi w:val="0"/>
              <w:spacing w:after="0" w:line="240" w:lineRule="exact"/>
              <w:jc w:val="center"/>
              <w:rPr>
                <w:rFonts w:hint="eastAsia" w:ascii="宋体" w:hAnsi="宋体" w:eastAsia="宋体" w:cs="宋体"/>
                <w:color w:val="000000"/>
                <w:sz w:val="16"/>
                <w:szCs w:val="16"/>
                <w:lang w:val="en-US" w:eastAsia="zh-CN"/>
              </w:rPr>
            </w:pPr>
            <w:r>
              <w:rPr>
                <w:rFonts w:hint="eastAsia" w:ascii="宋体" w:hAnsi="宋体" w:eastAsia="宋体" w:cs="宋体"/>
                <w:color w:val="000000"/>
                <w:sz w:val="16"/>
                <w:szCs w:val="16"/>
                <w:lang w:val="en-US" w:eastAsia="zh-CN"/>
              </w:rPr>
              <w:t>5</w:t>
            </w:r>
          </w:p>
        </w:tc>
        <w:tc>
          <w:tcPr>
            <w:tcW w:w="873" w:type="dxa"/>
            <w:vAlign w:val="center"/>
          </w:tcPr>
          <w:p>
            <w:pPr>
              <w:keepNext w:val="0"/>
              <w:keepLines w:val="0"/>
              <w:pageBreakBefore w:val="0"/>
              <w:widowControl/>
              <w:wordWrap/>
              <w:overflowPunct/>
              <w:bidi w:val="0"/>
              <w:spacing w:after="0" w:line="240" w:lineRule="exact"/>
              <w:jc w:val="center"/>
              <w:rPr>
                <w:rFonts w:hint="eastAsia" w:ascii="宋体" w:hAnsi="宋体" w:eastAsia="宋体" w:cs="宋体"/>
                <w:color w:val="000000"/>
                <w:sz w:val="16"/>
                <w:szCs w:val="16"/>
                <w:lang w:val="en-US" w:eastAsia="zh-CN"/>
              </w:rPr>
            </w:pPr>
            <w:r>
              <w:rPr>
                <w:rFonts w:hint="eastAsia" w:ascii="宋体" w:hAnsi="宋体" w:eastAsia="宋体" w:cs="宋体"/>
                <w:color w:val="000000"/>
                <w:sz w:val="16"/>
                <w:szCs w:val="16"/>
                <w:lang w:val="en-US" w:eastAsia="zh-CN"/>
              </w:rPr>
              <w:t>5</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产出指标</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（3</w:t>
            </w:r>
            <w:r>
              <w:rPr>
                <w:rFonts w:hint="eastAsia" w:ascii="仿宋" w:hAnsi="仿宋" w:eastAsia="仿宋" w:cs="仿宋"/>
                <w:sz w:val="20"/>
                <w:szCs w:val="20"/>
              </w:rPr>
              <w:t>0分</w:t>
            </w:r>
            <w:r>
              <w:rPr>
                <w:rFonts w:hint="eastAsia" w:ascii="仿宋" w:hAnsi="仿宋" w:eastAsia="仿宋" w:cs="仿宋"/>
                <w:sz w:val="20"/>
                <w:szCs w:val="20"/>
                <w:lang w:eastAsia="zh-CN"/>
              </w:rPr>
              <w:t>）</w:t>
            </w: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数量指标</w:t>
            </w:r>
          </w:p>
        </w:tc>
        <w:tc>
          <w:tcPr>
            <w:tcW w:w="1239" w:type="dxa"/>
            <w:vAlign w:val="center"/>
          </w:tcPr>
          <w:p>
            <w:pPr>
              <w:keepNext w:val="0"/>
              <w:keepLines w:val="0"/>
              <w:pageBreakBefore w:val="0"/>
              <w:widowControl/>
              <w:wordWrap/>
              <w:overflowPunct/>
              <w:bidi w:val="0"/>
              <w:spacing w:after="0" w:line="240" w:lineRule="exact"/>
              <w:rPr>
                <w:rFonts w:hint="eastAsia" w:ascii="仿宋" w:hAnsi="仿宋" w:eastAsia="仿宋" w:cs="仿宋"/>
                <w:sz w:val="20"/>
                <w:szCs w:val="20"/>
                <w:lang w:eastAsia="zh-CN"/>
              </w:rPr>
            </w:pPr>
            <w:r>
              <w:rPr>
                <w:rFonts w:hint="eastAsia" w:ascii="仿宋" w:hAnsi="仿宋" w:eastAsia="仿宋" w:cs="仿宋"/>
                <w:sz w:val="18"/>
                <w:szCs w:val="18"/>
                <w:lang w:eastAsia="zh-CN"/>
              </w:rPr>
              <w:t>工程建设</w:t>
            </w:r>
          </w:p>
        </w:tc>
        <w:tc>
          <w:tcPr>
            <w:tcW w:w="111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≥1个</w:t>
            </w:r>
          </w:p>
        </w:tc>
        <w:tc>
          <w:tcPr>
            <w:tcW w:w="1134"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1个</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rPr>
              <w:t>10</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质量指标</w:t>
            </w:r>
          </w:p>
        </w:tc>
        <w:tc>
          <w:tcPr>
            <w:tcW w:w="1239" w:type="dxa"/>
            <w:vAlign w:val="center"/>
          </w:tcPr>
          <w:p>
            <w:pPr>
              <w:keepNext w:val="0"/>
              <w:keepLines w:val="0"/>
              <w:pageBreakBefore w:val="0"/>
              <w:widowControl/>
              <w:wordWrap/>
              <w:overflowPunct/>
              <w:bidi w:val="0"/>
              <w:spacing w:after="0" w:line="240" w:lineRule="exact"/>
              <w:rPr>
                <w:rFonts w:hint="eastAsia" w:ascii="仿宋" w:hAnsi="仿宋" w:eastAsia="仿宋" w:cs="仿宋"/>
                <w:sz w:val="20"/>
                <w:szCs w:val="20"/>
                <w:lang w:eastAsia="zh-CN"/>
              </w:rPr>
            </w:pPr>
            <w:r>
              <w:rPr>
                <w:rFonts w:hint="eastAsia" w:ascii="仿宋" w:hAnsi="仿宋" w:eastAsia="仿宋" w:cs="仿宋"/>
                <w:sz w:val="18"/>
                <w:szCs w:val="18"/>
                <w:lang w:eastAsia="zh-CN"/>
              </w:rPr>
              <w:t>验收合格率</w:t>
            </w:r>
          </w:p>
        </w:tc>
        <w:tc>
          <w:tcPr>
            <w:tcW w:w="111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w:t>
            </w:r>
            <w:r>
              <w:rPr>
                <w:rFonts w:hint="eastAsia" w:ascii="宋体" w:hAnsi="宋体" w:eastAsia="宋体" w:cs="宋体"/>
                <w:color w:val="000000"/>
                <w:sz w:val="16"/>
                <w:szCs w:val="16"/>
              </w:rPr>
              <w:t>100%</w:t>
            </w:r>
          </w:p>
        </w:tc>
        <w:tc>
          <w:tcPr>
            <w:tcW w:w="1134"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rPr>
              <w:t>100%</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rPr>
              <w:t>10</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时效指标</w:t>
            </w:r>
          </w:p>
        </w:tc>
        <w:tc>
          <w:tcPr>
            <w:tcW w:w="1239" w:type="dxa"/>
            <w:vAlign w:val="center"/>
          </w:tcPr>
          <w:p>
            <w:pPr>
              <w:keepNext w:val="0"/>
              <w:keepLines w:val="0"/>
              <w:pageBreakBefore w:val="0"/>
              <w:widowControl/>
              <w:wordWrap/>
              <w:overflowPunct/>
              <w:bidi w:val="0"/>
              <w:spacing w:after="0" w:line="240" w:lineRule="exact"/>
              <w:rPr>
                <w:rFonts w:hint="eastAsia" w:ascii="仿宋" w:hAnsi="仿宋" w:eastAsia="仿宋" w:cs="仿宋"/>
                <w:sz w:val="20"/>
                <w:szCs w:val="20"/>
                <w:lang w:eastAsia="zh-CN"/>
              </w:rPr>
            </w:pPr>
            <w:r>
              <w:rPr>
                <w:rFonts w:hint="eastAsia"/>
                <w:color w:val="000000"/>
                <w:kern w:val="0"/>
                <w:sz w:val="16"/>
                <w:szCs w:val="16"/>
              </w:rPr>
              <w:t>年度内完成</w:t>
            </w:r>
          </w:p>
        </w:tc>
        <w:tc>
          <w:tcPr>
            <w:tcW w:w="111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sz w:val="16"/>
                <w:szCs w:val="16"/>
                <w:lang w:val="en-US" w:eastAsia="zh-CN"/>
              </w:rPr>
              <w:t>按进度完成</w:t>
            </w:r>
          </w:p>
        </w:tc>
        <w:tc>
          <w:tcPr>
            <w:tcW w:w="1134"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sz w:val="16"/>
                <w:szCs w:val="16"/>
                <w:lang w:val="en-US" w:eastAsia="zh-CN"/>
              </w:rPr>
              <w:t>按进度完成</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sz w:val="16"/>
                <w:szCs w:val="16"/>
              </w:rPr>
              <w:t>10</w:t>
            </w:r>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sz w:val="16"/>
                <w:szCs w:val="16"/>
              </w:rPr>
              <w:t>10</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restart"/>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效益指标</w:t>
            </w:r>
          </w:p>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r>
              <w:rPr>
                <w:rFonts w:hint="eastAsia" w:ascii="仿宋" w:hAnsi="仿宋" w:eastAsia="仿宋" w:cs="仿宋"/>
                <w:sz w:val="20"/>
                <w:szCs w:val="20"/>
              </w:rPr>
              <w:t>（30分）</w:t>
            </w: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经济效</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jc w:val="lef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拉动经济</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效果明显</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效果明显</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8</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8</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社会效</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jc w:val="lef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方便民众出行及充电</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长期</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长期</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8</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8</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生态效</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益指标</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jc w:val="lef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节约能源，减少污染</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效果明显</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效果明显</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8</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8</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p>
        </w:tc>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可持续影响指标</w:t>
            </w:r>
          </w:p>
        </w:tc>
        <w:tc>
          <w:tcPr>
            <w:tcW w:w="1239" w:type="dxa"/>
            <w:vAlign w:val="center"/>
          </w:tcPr>
          <w:p>
            <w:pPr>
              <w:keepNext w:val="0"/>
              <w:keepLines w:val="0"/>
              <w:pageBreakBefore w:val="0"/>
              <w:widowControl/>
              <w:kinsoku/>
              <w:wordWrap/>
              <w:overflowPunct/>
              <w:autoSpaceDE/>
              <w:autoSpaceDN/>
              <w:bidi w:val="0"/>
              <w:adjustRightInd/>
              <w:snapToGrid/>
              <w:spacing w:line="240" w:lineRule="exact"/>
              <w:jc w:val="left"/>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提升城市运行管理和服务水平</w:t>
            </w:r>
          </w:p>
        </w:tc>
        <w:tc>
          <w:tcPr>
            <w:tcW w:w="1119"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效果明显</w:t>
            </w:r>
          </w:p>
        </w:tc>
        <w:tc>
          <w:tcPr>
            <w:tcW w:w="1134"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eastAsia="zh-CN"/>
              </w:rPr>
              <w:t>效果明显</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6</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r>
              <w:rPr>
                <w:rFonts w:hint="eastAsia" w:ascii="仿宋" w:hAnsi="仿宋" w:eastAsia="仿宋" w:cs="仿宋"/>
                <w:sz w:val="20"/>
                <w:szCs w:val="20"/>
                <w:lang w:val="en-US" w:eastAsia="zh-CN"/>
              </w:rPr>
              <w:t>6</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vAlign w:val="center"/>
          </w:tcPr>
          <w:p>
            <w:pPr>
              <w:keepNext w:val="0"/>
              <w:keepLines w:val="0"/>
              <w:pageBreakBefore w:val="0"/>
              <w:widowControl/>
              <w:kinsoku/>
              <w:wordWrap/>
              <w:overflowPunct/>
              <w:autoSpaceDE/>
              <w:autoSpaceDN/>
              <w:bidi w:val="0"/>
              <w:adjustRightInd/>
              <w:snapToGrid/>
              <w:spacing w:line="240" w:lineRule="exact"/>
              <w:textAlignment w:val="auto"/>
              <w:rPr>
                <w:rFonts w:hint="eastAsia" w:ascii="仿宋" w:hAnsi="仿宋" w:eastAsia="仿宋" w:cs="仿宋"/>
                <w:sz w:val="20"/>
                <w:szCs w:val="20"/>
              </w:rPr>
            </w:pP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满意度</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指标</w:t>
            </w:r>
          </w:p>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（10分）</w:t>
            </w:r>
          </w:p>
        </w:tc>
        <w:tc>
          <w:tcPr>
            <w:tcW w:w="1080"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服务对象满意度指标</w:t>
            </w:r>
          </w:p>
        </w:tc>
        <w:tc>
          <w:tcPr>
            <w:tcW w:w="1239" w:type="dxa"/>
            <w:vAlign w:val="center"/>
          </w:tcPr>
          <w:p>
            <w:pPr>
              <w:keepNext w:val="0"/>
              <w:keepLines w:val="0"/>
              <w:pageBreakBefore w:val="0"/>
              <w:widowControl/>
              <w:wordWrap/>
              <w:overflowPunct/>
              <w:bidi w:val="0"/>
              <w:spacing w:after="0" w:line="240" w:lineRule="exact"/>
              <w:jc w:val="left"/>
              <w:rPr>
                <w:rFonts w:hint="eastAsia" w:ascii="仿宋" w:hAnsi="仿宋" w:eastAsia="仿宋" w:cs="仿宋"/>
                <w:sz w:val="20"/>
                <w:szCs w:val="20"/>
                <w:lang w:eastAsia="zh-CN"/>
              </w:rPr>
            </w:pPr>
            <w:r>
              <w:rPr>
                <w:rFonts w:hint="eastAsia" w:ascii="仿宋" w:hAnsi="仿宋" w:eastAsia="仿宋" w:cs="Times New Roman"/>
                <w:bCs/>
                <w:color w:val="000000" w:themeColor="text1"/>
                <w:sz w:val="16"/>
                <w:szCs w:val="16"/>
                <w:lang w:val="en-US" w:eastAsia="zh-CN"/>
                <w14:textFill>
                  <w14:solidFill>
                    <w14:schemeClr w14:val="tx1"/>
                  </w14:solidFill>
                </w14:textFill>
              </w:rPr>
              <w:t>群众满意</w:t>
            </w:r>
          </w:p>
        </w:tc>
        <w:tc>
          <w:tcPr>
            <w:tcW w:w="1119"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仿宋" w:hAnsi="仿宋" w:eastAsia="仿宋" w:cs="仿宋"/>
                <w:i w:val="0"/>
                <w:iCs w:val="0"/>
                <w:snapToGrid w:val="0"/>
                <w:color w:val="000000"/>
                <w:kern w:val="0"/>
                <w:sz w:val="16"/>
                <w:szCs w:val="16"/>
                <w:highlight w:val="none"/>
                <w:u w:val="none"/>
                <w:lang w:val="en-US" w:eastAsia="zh-CN" w:bidi="ar"/>
              </w:rPr>
              <w:t>≥</w:t>
            </w:r>
            <w:r>
              <w:rPr>
                <w:rFonts w:hint="eastAsia" w:ascii="宋体" w:hAnsi="宋体" w:eastAsia="宋体" w:cs="宋体"/>
                <w:color w:val="000000"/>
                <w:sz w:val="16"/>
                <w:szCs w:val="16"/>
                <w:lang w:val="en-US" w:eastAsia="zh-CN"/>
              </w:rPr>
              <w:t>90%</w:t>
            </w:r>
          </w:p>
        </w:tc>
        <w:tc>
          <w:tcPr>
            <w:tcW w:w="1134"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宋体" w:hAnsi="宋体" w:eastAsia="宋体" w:cs="宋体"/>
                <w:color w:val="000000"/>
                <w:sz w:val="16"/>
                <w:szCs w:val="16"/>
                <w:lang w:val="en-US" w:eastAsia="zh-CN"/>
              </w:rPr>
              <w:t>100%</w:t>
            </w:r>
          </w:p>
        </w:tc>
        <w:tc>
          <w:tcPr>
            <w:tcW w:w="828"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仿宋" w:hAnsi="仿宋" w:eastAsia="仿宋" w:cs="Times New Roman"/>
                <w:bCs/>
                <w:color w:val="000000" w:themeColor="text1"/>
                <w:sz w:val="16"/>
                <w:szCs w:val="16"/>
                <w:lang w:val="en-US" w:eastAsia="zh-CN"/>
                <w14:textFill>
                  <w14:solidFill>
                    <w14:schemeClr w14:val="tx1"/>
                  </w14:solidFill>
                </w14:textFill>
              </w:rPr>
              <w:t>10</w:t>
            </w:r>
            <w:bookmarkStart w:id="20" w:name="_GoBack"/>
            <w:bookmarkEnd w:id="20"/>
          </w:p>
        </w:tc>
        <w:tc>
          <w:tcPr>
            <w:tcW w:w="873" w:type="dxa"/>
            <w:vAlign w:val="center"/>
          </w:tcPr>
          <w:p>
            <w:pPr>
              <w:keepNext w:val="0"/>
              <w:keepLines w:val="0"/>
              <w:pageBreakBefore w:val="0"/>
              <w:widowControl/>
              <w:wordWrap/>
              <w:overflowPunct/>
              <w:bidi w:val="0"/>
              <w:spacing w:after="0" w:line="240" w:lineRule="exact"/>
              <w:jc w:val="center"/>
              <w:rPr>
                <w:rFonts w:hint="eastAsia" w:ascii="仿宋" w:hAnsi="仿宋" w:eastAsia="仿宋" w:cs="仿宋"/>
                <w:sz w:val="20"/>
                <w:szCs w:val="20"/>
                <w:lang w:eastAsia="zh-CN"/>
              </w:rPr>
            </w:pPr>
            <w:r>
              <w:rPr>
                <w:rFonts w:hint="eastAsia" w:ascii="仿宋" w:hAnsi="仿宋" w:eastAsia="仿宋" w:cs="Times New Roman"/>
                <w:bCs/>
                <w:color w:val="000000" w:themeColor="text1"/>
                <w:sz w:val="16"/>
                <w:szCs w:val="16"/>
                <w:lang w:val="en-US" w:eastAsia="zh-CN"/>
                <w14:textFill>
                  <w14:solidFill>
                    <w14:schemeClr w14:val="tx1"/>
                  </w14:solidFill>
                </w14:textFill>
              </w:rPr>
              <w:t>10</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2" w:type="dxa"/>
            <w:gridSpan w:val="6"/>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总分</w:t>
            </w:r>
          </w:p>
        </w:tc>
        <w:tc>
          <w:tcPr>
            <w:tcW w:w="82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100</w:t>
            </w:r>
          </w:p>
        </w:tc>
        <w:tc>
          <w:tcPr>
            <w:tcW w:w="873"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100</w:t>
            </w:r>
          </w:p>
        </w:tc>
        <w:tc>
          <w:tcPr>
            <w:tcW w:w="1418" w:type="dxa"/>
            <w:vAlign w:val="center"/>
          </w:tcPr>
          <w:p>
            <w:pPr>
              <w:keepNext w:val="0"/>
              <w:keepLines w:val="0"/>
              <w:pageBreakBefore w:val="0"/>
              <w:widowControl/>
              <w:kinsoku/>
              <w:wordWrap/>
              <w:overflowPunct/>
              <w:autoSpaceDE/>
              <w:autoSpaceDN/>
              <w:bidi w:val="0"/>
              <w:adjustRightInd/>
              <w:snapToGrid/>
              <w:spacing w:line="240" w:lineRule="exact"/>
              <w:jc w:val="center"/>
              <w:textAlignment w:val="auto"/>
              <w:rPr>
                <w:rFonts w:hint="eastAsia" w:ascii="仿宋" w:hAnsi="仿宋" w:eastAsia="仿宋" w:cs="仿宋"/>
                <w:sz w:val="20"/>
                <w:szCs w:val="20"/>
              </w:rPr>
            </w:pPr>
          </w:p>
        </w:tc>
      </w:tr>
    </w:tbl>
    <w:p>
      <w:pPr>
        <w:widowControl w:val="0"/>
        <w:kinsoku/>
        <w:autoSpaceDE/>
        <w:autoSpaceDN/>
        <w:adjustRightInd/>
        <w:snapToGrid/>
        <w:spacing w:line="600" w:lineRule="exact"/>
        <w:jc w:val="both"/>
        <w:textAlignment w:val="auto"/>
        <w:rPr>
          <w:vanish/>
          <w:lang w:eastAsia="zh-CN"/>
        </w:rPr>
      </w:pPr>
      <w:r>
        <w:rPr>
          <w:rFonts w:ascii="Times New Roman" w:hAnsi="Times New Roman" w:eastAsia="仿宋_GB2312" w:cs="Times New Roman"/>
          <w:snapToGrid/>
          <w:sz w:val="24"/>
          <w:szCs w:val="24"/>
          <w:lang w:eastAsia="zh-CN"/>
        </w:rPr>
        <w:t>填表人：</w:t>
      </w:r>
      <w:r>
        <w:rPr>
          <w:rFonts w:hint="eastAsia" w:ascii="Times New Roman" w:hAnsi="Times New Roman" w:eastAsia="仿宋_GB2312" w:cs="Times New Roman"/>
          <w:snapToGrid/>
          <w:sz w:val="24"/>
          <w:szCs w:val="24"/>
          <w:lang w:eastAsia="zh-CN"/>
        </w:rPr>
        <w:t xml:space="preserve">宋桥发      </w:t>
      </w:r>
      <w:r>
        <w:rPr>
          <w:rFonts w:ascii="Times New Roman" w:hAnsi="Times New Roman" w:eastAsia="仿宋_GB2312" w:cs="Times New Roman"/>
          <w:snapToGrid/>
          <w:sz w:val="24"/>
          <w:szCs w:val="24"/>
          <w:lang w:eastAsia="zh-CN"/>
        </w:rPr>
        <w:t xml:space="preserve"> 填报日期：</w:t>
      </w:r>
      <w:r>
        <w:rPr>
          <w:rFonts w:hint="eastAsia" w:ascii="Times New Roman" w:hAnsi="Times New Roman" w:eastAsia="仿宋_GB2312" w:cs="Times New Roman"/>
          <w:snapToGrid/>
          <w:sz w:val="24"/>
          <w:szCs w:val="24"/>
          <w:lang w:val="en-US" w:eastAsia="zh-CN"/>
        </w:rPr>
        <w:t>2025.3.27</w:t>
      </w:r>
      <w:r>
        <w:rPr>
          <w:rFonts w:hint="eastAsia" w:ascii="Times New Roman" w:hAnsi="Times New Roman" w:eastAsia="仿宋_GB2312" w:cs="Times New Roman"/>
          <w:snapToGrid/>
          <w:sz w:val="24"/>
          <w:szCs w:val="24"/>
          <w:lang w:eastAsia="zh-CN"/>
        </w:rPr>
        <w:t xml:space="preserve">   </w:t>
      </w:r>
      <w:r>
        <w:rPr>
          <w:rFonts w:ascii="Times New Roman" w:hAnsi="Times New Roman" w:eastAsia="仿宋_GB2312" w:cs="Times New Roman"/>
          <w:snapToGrid/>
          <w:sz w:val="24"/>
          <w:szCs w:val="24"/>
          <w:lang w:eastAsia="zh-CN"/>
        </w:rPr>
        <w:t xml:space="preserve">  联系电话：</w:t>
      </w:r>
      <w:r>
        <w:rPr>
          <w:rFonts w:hint="eastAsia" w:ascii="Times New Roman" w:hAnsi="Times New Roman" w:eastAsia="仿宋_GB2312" w:cs="Times New Roman"/>
          <w:snapToGrid/>
          <w:sz w:val="24"/>
          <w:szCs w:val="24"/>
          <w:lang w:val="en-US" w:eastAsia="zh-CN"/>
        </w:rPr>
        <w:t>13467418656</w:t>
      </w:r>
      <w:r>
        <w:rPr>
          <w:rFonts w:hint="eastAsia" w:ascii="Times New Roman" w:hAnsi="Times New Roman" w:eastAsia="仿宋_GB2312" w:cs="Times New Roman"/>
          <w:snapToGrid/>
          <w:sz w:val="24"/>
          <w:szCs w:val="24"/>
          <w:lang w:eastAsia="zh-CN"/>
        </w:rPr>
        <w:t xml:space="preserve"> </w:t>
      </w:r>
    </w:p>
    <w:sectPr>
      <w:footerReference r:id="rId5" w:type="default"/>
      <w:pgSz w:w="11900" w:h="16830"/>
      <w:pgMar w:top="1440" w:right="1800" w:bottom="1440" w:left="1800" w:header="0" w:footer="969"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66"/>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03835" cy="131445"/>
              <wp:effectExtent l="0" t="0" r="0" b="0"/>
              <wp:wrapNone/>
              <wp:docPr id="10" name="文本框 8"/>
              <wp:cNvGraphicFramePr/>
              <a:graphic xmlns:a="http://schemas.openxmlformats.org/drawingml/2006/main">
                <a:graphicData uri="http://schemas.microsoft.com/office/word/2010/wordprocessingShape">
                  <wps:wsp>
                    <wps:cNvSpPr txBox="true"/>
                    <wps:spPr>
                      <a:xfrm>
                        <a:off x="0" y="0"/>
                        <a:ext cx="203835" cy="131445"/>
                      </a:xfrm>
                      <a:prstGeom prst="rect">
                        <a:avLst/>
                      </a:prstGeom>
                      <a:noFill/>
                      <a:ln w="6350">
                        <a:noFill/>
                      </a:ln>
                    </wps:spPr>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8" o:spid="_x0000_s1026" o:spt="202" type="#_x0000_t202" style="position:absolute;left:0pt;margin-top:0pt;height:10.35pt;width:16.05pt;mso-position-horizontal:center;mso-position-horizontal-relative:margin;mso-wrap-style:none;z-index:251659264;mso-width-relative:page;mso-height-relative:page;" filled="f" stroked="f" coordsize="21600,21600" o:gfxdata="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A/fKq90gAAAAMBAAAPAAAAAAAAAAEAIAAAADgAAABkcnMvZG93bnJldi54bWxQSwECFAAU&#10;AAAACACHTuJAeEzVaRoCAAAYBAAADgAAAAAAAAABACAAAAA3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03835" cy="131445"/>
              <wp:effectExtent l="0" t="0" r="0" b="0"/>
              <wp:wrapNone/>
              <wp:docPr id="11" name="文本框 6"/>
              <wp:cNvGraphicFramePr/>
              <a:graphic xmlns:a="http://schemas.openxmlformats.org/drawingml/2006/main">
                <a:graphicData uri="http://schemas.microsoft.com/office/word/2010/wordprocessingShape">
                  <wps:wsp>
                    <wps:cNvSpPr txBox="true"/>
                    <wps:spPr>
                      <a:xfrm>
                        <a:off x="0" y="0"/>
                        <a:ext cx="203835" cy="131445"/>
                      </a:xfrm>
                      <a:prstGeom prst="rect">
                        <a:avLst/>
                      </a:prstGeom>
                      <a:noFill/>
                      <a:ln w="6350">
                        <a:noFill/>
                      </a:ln>
                    </wps:spPr>
                    <wps:txbx>
                      <w:txbxContent>
                        <w:p>
                          <w:pPr>
                            <w:pStyle w:val="7"/>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6" o:spid="_x0000_s1026" o:spt="202" type="#_x0000_t202" style="position:absolute;left:0pt;margin-top:0pt;height:10.35pt;width:16.05pt;mso-position-horizontal:center;mso-position-horizontal-relative:margin;mso-wrap-style:none;z-index:251660288;mso-width-relative:page;mso-height-relative:page;" filled="f" stroked="f" coordsize="21600,21600" o:gfxdata="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D98qr3SAAAAAwEAAA8AAAAAAAAAAQAgAAAAOAAAAGRycy9kb3ducmV2LnhtbFBLAQIUABQA&#10;AAAIAIdO4kDbhXuVGQIAABgEAAAOAAAAAAAAAAEAIAAAADc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615"/>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203835" cy="131445"/>
              <wp:effectExtent l="0" t="0" r="0" b="0"/>
              <wp:wrapNone/>
              <wp:docPr id="13" name="文本框 2"/>
              <wp:cNvGraphicFramePr/>
              <a:graphic xmlns:a="http://schemas.openxmlformats.org/drawingml/2006/main">
                <a:graphicData uri="http://schemas.microsoft.com/office/word/2010/wordprocessingShape">
                  <wps:wsp>
                    <wps:cNvSpPr txBox="true"/>
                    <wps:spPr>
                      <a:xfrm>
                        <a:off x="0" y="0"/>
                        <a:ext cx="203835" cy="131445"/>
                      </a:xfrm>
                      <a:prstGeom prst="rect">
                        <a:avLst/>
                      </a:prstGeom>
                      <a:noFill/>
                      <a:ln w="6350">
                        <a:noFill/>
                      </a:ln>
                    </wps:spPr>
                    <wps:txbx>
                      <w:txbxContent>
                        <w:p>
                          <w:pPr>
                            <w:pStyle w:val="7"/>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0.35pt;width:16.05pt;mso-position-horizontal:center;mso-position-horizontal-relative:margin;mso-wrap-style:none;z-index:251662336;mso-width-relative:page;mso-height-relative:page;" filled="f" stroked="f" coordsize="21600,21600" o:gfxdata="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A/fKq90gAAAAMBAAAPAAAAAAAAAAEAIAAAADgAAABkcnMvZG93bnJldi54bWxQSwECFAAU&#10;AAAACACHTuJAw7Ir3xoCAAAYBAAADgAAAAAAAAABACAAAAA3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4EA"/>
    <w:rsid w:val="0001620E"/>
    <w:rsid w:val="00046DA0"/>
    <w:rsid w:val="000D2EF4"/>
    <w:rsid w:val="000F0D4B"/>
    <w:rsid w:val="001068ED"/>
    <w:rsid w:val="001B221C"/>
    <w:rsid w:val="001D76E7"/>
    <w:rsid w:val="002831F6"/>
    <w:rsid w:val="002C76EF"/>
    <w:rsid w:val="00361EBB"/>
    <w:rsid w:val="003A18CA"/>
    <w:rsid w:val="00420A47"/>
    <w:rsid w:val="004830AD"/>
    <w:rsid w:val="0048622E"/>
    <w:rsid w:val="004A4433"/>
    <w:rsid w:val="00564813"/>
    <w:rsid w:val="005A5CF9"/>
    <w:rsid w:val="005C365E"/>
    <w:rsid w:val="005C59B9"/>
    <w:rsid w:val="005E3CCC"/>
    <w:rsid w:val="006256F7"/>
    <w:rsid w:val="0064227C"/>
    <w:rsid w:val="006446B5"/>
    <w:rsid w:val="0068556B"/>
    <w:rsid w:val="00692381"/>
    <w:rsid w:val="006C4C6E"/>
    <w:rsid w:val="006D29FA"/>
    <w:rsid w:val="006D7217"/>
    <w:rsid w:val="006F2408"/>
    <w:rsid w:val="00710CA7"/>
    <w:rsid w:val="007171B4"/>
    <w:rsid w:val="007254EA"/>
    <w:rsid w:val="007272CC"/>
    <w:rsid w:val="00727444"/>
    <w:rsid w:val="0075179C"/>
    <w:rsid w:val="007705AA"/>
    <w:rsid w:val="007D0498"/>
    <w:rsid w:val="007E7F05"/>
    <w:rsid w:val="00833323"/>
    <w:rsid w:val="008453CA"/>
    <w:rsid w:val="0086341F"/>
    <w:rsid w:val="00864398"/>
    <w:rsid w:val="008744B4"/>
    <w:rsid w:val="0088189E"/>
    <w:rsid w:val="00902220"/>
    <w:rsid w:val="00904AD5"/>
    <w:rsid w:val="00914306"/>
    <w:rsid w:val="009A4702"/>
    <w:rsid w:val="009A5D37"/>
    <w:rsid w:val="009B0C5F"/>
    <w:rsid w:val="009C6ACA"/>
    <w:rsid w:val="00A5280E"/>
    <w:rsid w:val="00A556C2"/>
    <w:rsid w:val="00B56035"/>
    <w:rsid w:val="00B910BB"/>
    <w:rsid w:val="00BB04E9"/>
    <w:rsid w:val="00C37E69"/>
    <w:rsid w:val="00C57BD1"/>
    <w:rsid w:val="00C6736B"/>
    <w:rsid w:val="00CB2564"/>
    <w:rsid w:val="00D9528A"/>
    <w:rsid w:val="00D959E0"/>
    <w:rsid w:val="00D97E32"/>
    <w:rsid w:val="00DF2BFA"/>
    <w:rsid w:val="00DF3DF3"/>
    <w:rsid w:val="00DF6D80"/>
    <w:rsid w:val="00E22198"/>
    <w:rsid w:val="00E27356"/>
    <w:rsid w:val="00ED639B"/>
    <w:rsid w:val="014660C1"/>
    <w:rsid w:val="01610122"/>
    <w:rsid w:val="02375F66"/>
    <w:rsid w:val="024E0E9C"/>
    <w:rsid w:val="026659F0"/>
    <w:rsid w:val="02AE12FB"/>
    <w:rsid w:val="032F04D8"/>
    <w:rsid w:val="033124A2"/>
    <w:rsid w:val="035B575C"/>
    <w:rsid w:val="03725F44"/>
    <w:rsid w:val="039D7B38"/>
    <w:rsid w:val="03B46C2F"/>
    <w:rsid w:val="03C54999"/>
    <w:rsid w:val="03E372CE"/>
    <w:rsid w:val="04284333"/>
    <w:rsid w:val="04344818"/>
    <w:rsid w:val="0535762D"/>
    <w:rsid w:val="054D10EA"/>
    <w:rsid w:val="059B00A7"/>
    <w:rsid w:val="05B92B63"/>
    <w:rsid w:val="05D13AC9"/>
    <w:rsid w:val="05DF3F05"/>
    <w:rsid w:val="05E06971"/>
    <w:rsid w:val="05F95366"/>
    <w:rsid w:val="0648365F"/>
    <w:rsid w:val="06C675E3"/>
    <w:rsid w:val="06CC2B97"/>
    <w:rsid w:val="06FE6B3F"/>
    <w:rsid w:val="070E6657"/>
    <w:rsid w:val="071E0F8F"/>
    <w:rsid w:val="0721282E"/>
    <w:rsid w:val="07397B77"/>
    <w:rsid w:val="07576777"/>
    <w:rsid w:val="07952044"/>
    <w:rsid w:val="079B438E"/>
    <w:rsid w:val="07A33243"/>
    <w:rsid w:val="07B471FE"/>
    <w:rsid w:val="07E15B19"/>
    <w:rsid w:val="07EA70C4"/>
    <w:rsid w:val="07F50F6B"/>
    <w:rsid w:val="081952B3"/>
    <w:rsid w:val="082A3964"/>
    <w:rsid w:val="08444A26"/>
    <w:rsid w:val="08444D3B"/>
    <w:rsid w:val="08E81855"/>
    <w:rsid w:val="09310F40"/>
    <w:rsid w:val="09457501"/>
    <w:rsid w:val="09683BE0"/>
    <w:rsid w:val="09727371"/>
    <w:rsid w:val="097F0B5A"/>
    <w:rsid w:val="0A4800D1"/>
    <w:rsid w:val="0AC06FF5"/>
    <w:rsid w:val="0AD32091"/>
    <w:rsid w:val="0ADB2CF4"/>
    <w:rsid w:val="0B0A6285"/>
    <w:rsid w:val="0B105525"/>
    <w:rsid w:val="0B220922"/>
    <w:rsid w:val="0B3B3792"/>
    <w:rsid w:val="0B5635A2"/>
    <w:rsid w:val="0B896BF3"/>
    <w:rsid w:val="0BE97D3C"/>
    <w:rsid w:val="0BFC0384"/>
    <w:rsid w:val="0C1217F0"/>
    <w:rsid w:val="0C300B2E"/>
    <w:rsid w:val="0C3C77C2"/>
    <w:rsid w:val="0C9F66CF"/>
    <w:rsid w:val="0CCC34EB"/>
    <w:rsid w:val="0D722AE9"/>
    <w:rsid w:val="0D9A13CE"/>
    <w:rsid w:val="0DA47D15"/>
    <w:rsid w:val="0DD852CC"/>
    <w:rsid w:val="0DED346A"/>
    <w:rsid w:val="0DFA7935"/>
    <w:rsid w:val="0E0F009D"/>
    <w:rsid w:val="0E424B5A"/>
    <w:rsid w:val="0E4523C1"/>
    <w:rsid w:val="0E464928"/>
    <w:rsid w:val="0E5C239D"/>
    <w:rsid w:val="0EAA60E0"/>
    <w:rsid w:val="0ECA7307"/>
    <w:rsid w:val="0EF25639"/>
    <w:rsid w:val="0F063D14"/>
    <w:rsid w:val="0F0E1587"/>
    <w:rsid w:val="0F1F6A0C"/>
    <w:rsid w:val="0F59068B"/>
    <w:rsid w:val="0F672951"/>
    <w:rsid w:val="0F672DA8"/>
    <w:rsid w:val="0F707EAE"/>
    <w:rsid w:val="0FA60B26"/>
    <w:rsid w:val="0FC34DF0"/>
    <w:rsid w:val="0FD13037"/>
    <w:rsid w:val="0FDC3796"/>
    <w:rsid w:val="0FF85EDB"/>
    <w:rsid w:val="10565145"/>
    <w:rsid w:val="11380EA0"/>
    <w:rsid w:val="114D46C0"/>
    <w:rsid w:val="11C73FD2"/>
    <w:rsid w:val="11EC3A38"/>
    <w:rsid w:val="12130FC5"/>
    <w:rsid w:val="122E4051"/>
    <w:rsid w:val="128B1394"/>
    <w:rsid w:val="12CA5B28"/>
    <w:rsid w:val="1305347A"/>
    <w:rsid w:val="1360648C"/>
    <w:rsid w:val="13890CC4"/>
    <w:rsid w:val="13CC5A27"/>
    <w:rsid w:val="143C33E3"/>
    <w:rsid w:val="14454E03"/>
    <w:rsid w:val="148D32B1"/>
    <w:rsid w:val="14B33B02"/>
    <w:rsid w:val="14FC21E4"/>
    <w:rsid w:val="15433117"/>
    <w:rsid w:val="154F26B5"/>
    <w:rsid w:val="15A62D19"/>
    <w:rsid w:val="15DF4B06"/>
    <w:rsid w:val="16677B31"/>
    <w:rsid w:val="16DE7DF3"/>
    <w:rsid w:val="16FC64CC"/>
    <w:rsid w:val="17140673"/>
    <w:rsid w:val="17335AB8"/>
    <w:rsid w:val="17725B24"/>
    <w:rsid w:val="17D67188"/>
    <w:rsid w:val="17F92A0B"/>
    <w:rsid w:val="18117A91"/>
    <w:rsid w:val="183121A5"/>
    <w:rsid w:val="18470643"/>
    <w:rsid w:val="187F1162"/>
    <w:rsid w:val="18AA0F39"/>
    <w:rsid w:val="18C61BC8"/>
    <w:rsid w:val="18C80786"/>
    <w:rsid w:val="18E55A10"/>
    <w:rsid w:val="18FC0A05"/>
    <w:rsid w:val="190B2632"/>
    <w:rsid w:val="19106403"/>
    <w:rsid w:val="19277699"/>
    <w:rsid w:val="19297320"/>
    <w:rsid w:val="197B7B2D"/>
    <w:rsid w:val="19BC5265"/>
    <w:rsid w:val="19D11E91"/>
    <w:rsid w:val="19E6554B"/>
    <w:rsid w:val="1A3E56E2"/>
    <w:rsid w:val="1A513357"/>
    <w:rsid w:val="1A643017"/>
    <w:rsid w:val="1A8823FD"/>
    <w:rsid w:val="1AC47300"/>
    <w:rsid w:val="1B244243"/>
    <w:rsid w:val="1B3758EF"/>
    <w:rsid w:val="1B7C7BDB"/>
    <w:rsid w:val="1BC206A3"/>
    <w:rsid w:val="1BDA5895"/>
    <w:rsid w:val="1BFE2CE6"/>
    <w:rsid w:val="1C247350"/>
    <w:rsid w:val="1C580BFD"/>
    <w:rsid w:val="1CD53A47"/>
    <w:rsid w:val="1D1976A4"/>
    <w:rsid w:val="1DB63878"/>
    <w:rsid w:val="1DDC5D8A"/>
    <w:rsid w:val="1E05035C"/>
    <w:rsid w:val="1E4733E3"/>
    <w:rsid w:val="1E5B61CE"/>
    <w:rsid w:val="1E8079E2"/>
    <w:rsid w:val="1E870D71"/>
    <w:rsid w:val="1ECC70CB"/>
    <w:rsid w:val="1ED35C11"/>
    <w:rsid w:val="1EE3611A"/>
    <w:rsid w:val="1F0423C1"/>
    <w:rsid w:val="1F562301"/>
    <w:rsid w:val="1F5D0F05"/>
    <w:rsid w:val="1F7312F5"/>
    <w:rsid w:val="1F8F340E"/>
    <w:rsid w:val="20014C4D"/>
    <w:rsid w:val="201E3957"/>
    <w:rsid w:val="20C05F1B"/>
    <w:rsid w:val="20C77B4A"/>
    <w:rsid w:val="20D12777"/>
    <w:rsid w:val="21013A21"/>
    <w:rsid w:val="21B614D3"/>
    <w:rsid w:val="21B865F5"/>
    <w:rsid w:val="21D17CF8"/>
    <w:rsid w:val="21DF6DEE"/>
    <w:rsid w:val="21E97C9E"/>
    <w:rsid w:val="22094EF8"/>
    <w:rsid w:val="221E19EC"/>
    <w:rsid w:val="222A65E3"/>
    <w:rsid w:val="22355B6E"/>
    <w:rsid w:val="22664026"/>
    <w:rsid w:val="226D26AF"/>
    <w:rsid w:val="22B67745"/>
    <w:rsid w:val="2318468D"/>
    <w:rsid w:val="232623FE"/>
    <w:rsid w:val="239C07D8"/>
    <w:rsid w:val="23A423C5"/>
    <w:rsid w:val="23BA1BE8"/>
    <w:rsid w:val="23DC390D"/>
    <w:rsid w:val="23FB6C61"/>
    <w:rsid w:val="24503617"/>
    <w:rsid w:val="24C17577"/>
    <w:rsid w:val="24C90617"/>
    <w:rsid w:val="250F356E"/>
    <w:rsid w:val="25382DC5"/>
    <w:rsid w:val="25830E85"/>
    <w:rsid w:val="25975FC6"/>
    <w:rsid w:val="259C56A9"/>
    <w:rsid w:val="25DF77C5"/>
    <w:rsid w:val="26061115"/>
    <w:rsid w:val="26141E39"/>
    <w:rsid w:val="261D0241"/>
    <w:rsid w:val="266F6CBA"/>
    <w:rsid w:val="26706298"/>
    <w:rsid w:val="26CA3EF0"/>
    <w:rsid w:val="274665B7"/>
    <w:rsid w:val="274A3DA9"/>
    <w:rsid w:val="276D4C1B"/>
    <w:rsid w:val="27A47FDD"/>
    <w:rsid w:val="27CB488E"/>
    <w:rsid w:val="27DF5779"/>
    <w:rsid w:val="27F37B5A"/>
    <w:rsid w:val="27F82CDF"/>
    <w:rsid w:val="28C450E2"/>
    <w:rsid w:val="299D42CA"/>
    <w:rsid w:val="299D58EC"/>
    <w:rsid w:val="29B42C36"/>
    <w:rsid w:val="29DA6B40"/>
    <w:rsid w:val="2A771ED4"/>
    <w:rsid w:val="2A862824"/>
    <w:rsid w:val="2AC9703A"/>
    <w:rsid w:val="2B33216E"/>
    <w:rsid w:val="2B470A4E"/>
    <w:rsid w:val="2B732DA8"/>
    <w:rsid w:val="2B990335"/>
    <w:rsid w:val="2BCC24B9"/>
    <w:rsid w:val="2BDE5221"/>
    <w:rsid w:val="2BF37A45"/>
    <w:rsid w:val="2BF770A9"/>
    <w:rsid w:val="2C171EF5"/>
    <w:rsid w:val="2C541BEC"/>
    <w:rsid w:val="2CA614FA"/>
    <w:rsid w:val="2CB5119F"/>
    <w:rsid w:val="2CE45F9B"/>
    <w:rsid w:val="2CF63C91"/>
    <w:rsid w:val="2CF7293F"/>
    <w:rsid w:val="2CF945C2"/>
    <w:rsid w:val="2D200D0E"/>
    <w:rsid w:val="2D2834C5"/>
    <w:rsid w:val="2D346567"/>
    <w:rsid w:val="2D377615"/>
    <w:rsid w:val="2D571192"/>
    <w:rsid w:val="2D5A7455"/>
    <w:rsid w:val="2D6C3F53"/>
    <w:rsid w:val="2D6E3085"/>
    <w:rsid w:val="2D9E60D7"/>
    <w:rsid w:val="2DEC299E"/>
    <w:rsid w:val="2DFD4BAB"/>
    <w:rsid w:val="2E383DF5"/>
    <w:rsid w:val="2E6102A1"/>
    <w:rsid w:val="2E673A30"/>
    <w:rsid w:val="2E884DBD"/>
    <w:rsid w:val="2E933762"/>
    <w:rsid w:val="2E992738"/>
    <w:rsid w:val="2E9C2616"/>
    <w:rsid w:val="2EB57234"/>
    <w:rsid w:val="2EFA1199"/>
    <w:rsid w:val="2F1403FE"/>
    <w:rsid w:val="2F1A5892"/>
    <w:rsid w:val="2F251407"/>
    <w:rsid w:val="2F8D01B1"/>
    <w:rsid w:val="2F8D0EA8"/>
    <w:rsid w:val="2F994DA8"/>
    <w:rsid w:val="2FAA48BF"/>
    <w:rsid w:val="2FC02334"/>
    <w:rsid w:val="2FD14541"/>
    <w:rsid w:val="2FF40574"/>
    <w:rsid w:val="30036FFF"/>
    <w:rsid w:val="30077F63"/>
    <w:rsid w:val="304E2C57"/>
    <w:rsid w:val="306F78E5"/>
    <w:rsid w:val="308A26A8"/>
    <w:rsid w:val="30997731"/>
    <w:rsid w:val="30B434BA"/>
    <w:rsid w:val="30D81900"/>
    <w:rsid w:val="30E014C3"/>
    <w:rsid w:val="30EB1633"/>
    <w:rsid w:val="30F82A24"/>
    <w:rsid w:val="311D22B6"/>
    <w:rsid w:val="3189350C"/>
    <w:rsid w:val="31A422DF"/>
    <w:rsid w:val="31DB3455"/>
    <w:rsid w:val="31E247E4"/>
    <w:rsid w:val="31E607C9"/>
    <w:rsid w:val="3200580A"/>
    <w:rsid w:val="320C1870"/>
    <w:rsid w:val="32127826"/>
    <w:rsid w:val="322E7A29"/>
    <w:rsid w:val="323F3D9E"/>
    <w:rsid w:val="325E6865"/>
    <w:rsid w:val="32C959A4"/>
    <w:rsid w:val="32FC18D5"/>
    <w:rsid w:val="33727DEA"/>
    <w:rsid w:val="33CA5530"/>
    <w:rsid w:val="33FC5905"/>
    <w:rsid w:val="33FF4486"/>
    <w:rsid w:val="34154A72"/>
    <w:rsid w:val="34691BF9"/>
    <w:rsid w:val="347413B3"/>
    <w:rsid w:val="34A32E3F"/>
    <w:rsid w:val="35683DE9"/>
    <w:rsid w:val="357C4F4F"/>
    <w:rsid w:val="358E7A9E"/>
    <w:rsid w:val="35CF7305"/>
    <w:rsid w:val="36016994"/>
    <w:rsid w:val="36104B37"/>
    <w:rsid w:val="3659703F"/>
    <w:rsid w:val="368232B6"/>
    <w:rsid w:val="36C643E9"/>
    <w:rsid w:val="36F01751"/>
    <w:rsid w:val="36F963C0"/>
    <w:rsid w:val="370313A7"/>
    <w:rsid w:val="37123CED"/>
    <w:rsid w:val="37364881"/>
    <w:rsid w:val="373C39F1"/>
    <w:rsid w:val="37421881"/>
    <w:rsid w:val="37441A9D"/>
    <w:rsid w:val="375021F0"/>
    <w:rsid w:val="375B4F88"/>
    <w:rsid w:val="37BC6388"/>
    <w:rsid w:val="37C404E8"/>
    <w:rsid w:val="37DE77FC"/>
    <w:rsid w:val="37FB060D"/>
    <w:rsid w:val="38431D54"/>
    <w:rsid w:val="385F7EA5"/>
    <w:rsid w:val="389C0A0B"/>
    <w:rsid w:val="38B92017"/>
    <w:rsid w:val="391159AF"/>
    <w:rsid w:val="39224D6F"/>
    <w:rsid w:val="392E59B4"/>
    <w:rsid w:val="39543D0A"/>
    <w:rsid w:val="39767B9A"/>
    <w:rsid w:val="39D639FE"/>
    <w:rsid w:val="3A175247"/>
    <w:rsid w:val="3A2550DD"/>
    <w:rsid w:val="3A2B0CF2"/>
    <w:rsid w:val="3A3E0A25"/>
    <w:rsid w:val="3A6164C2"/>
    <w:rsid w:val="3A661D2A"/>
    <w:rsid w:val="3A691396"/>
    <w:rsid w:val="3A831862"/>
    <w:rsid w:val="3A9E261D"/>
    <w:rsid w:val="3AAB3F75"/>
    <w:rsid w:val="3ABF3535"/>
    <w:rsid w:val="3B9C1479"/>
    <w:rsid w:val="3C2F4917"/>
    <w:rsid w:val="3C3E2F5F"/>
    <w:rsid w:val="3CDC1D33"/>
    <w:rsid w:val="3CF17FD1"/>
    <w:rsid w:val="3D163594"/>
    <w:rsid w:val="3D2551B7"/>
    <w:rsid w:val="3D2A703F"/>
    <w:rsid w:val="3D2F0AD6"/>
    <w:rsid w:val="3D2F0AF9"/>
    <w:rsid w:val="3D3659E4"/>
    <w:rsid w:val="3D971EA2"/>
    <w:rsid w:val="3DC72AE0"/>
    <w:rsid w:val="3DF151A7"/>
    <w:rsid w:val="3E247F32"/>
    <w:rsid w:val="3E9776C5"/>
    <w:rsid w:val="3E9D3838"/>
    <w:rsid w:val="3EB42C76"/>
    <w:rsid w:val="3EDC6214"/>
    <w:rsid w:val="3F0A537A"/>
    <w:rsid w:val="3F4A1C1A"/>
    <w:rsid w:val="3F5B3E28"/>
    <w:rsid w:val="3F5E56C6"/>
    <w:rsid w:val="3F80388E"/>
    <w:rsid w:val="3FAC745B"/>
    <w:rsid w:val="3FB6105E"/>
    <w:rsid w:val="3FC306F2"/>
    <w:rsid w:val="3FC733A8"/>
    <w:rsid w:val="3FCB2D5B"/>
    <w:rsid w:val="3FCC4F7F"/>
    <w:rsid w:val="3FE45BCB"/>
    <w:rsid w:val="40436D96"/>
    <w:rsid w:val="40750F19"/>
    <w:rsid w:val="40793F3F"/>
    <w:rsid w:val="409A683A"/>
    <w:rsid w:val="40B437EF"/>
    <w:rsid w:val="40D043A1"/>
    <w:rsid w:val="40E12FE8"/>
    <w:rsid w:val="41344930"/>
    <w:rsid w:val="414D59F2"/>
    <w:rsid w:val="415154E2"/>
    <w:rsid w:val="41B82358"/>
    <w:rsid w:val="421B789E"/>
    <w:rsid w:val="42536B3D"/>
    <w:rsid w:val="429F0276"/>
    <w:rsid w:val="42A6360C"/>
    <w:rsid w:val="42B847B4"/>
    <w:rsid w:val="43411CF2"/>
    <w:rsid w:val="439F57A4"/>
    <w:rsid w:val="43C74575"/>
    <w:rsid w:val="43FA3ABF"/>
    <w:rsid w:val="44F00032"/>
    <w:rsid w:val="45097E82"/>
    <w:rsid w:val="455416DC"/>
    <w:rsid w:val="45706093"/>
    <w:rsid w:val="45A32084"/>
    <w:rsid w:val="45A81C96"/>
    <w:rsid w:val="45B42C24"/>
    <w:rsid w:val="45C33AC6"/>
    <w:rsid w:val="461B1C1B"/>
    <w:rsid w:val="46256F3D"/>
    <w:rsid w:val="464B24B1"/>
    <w:rsid w:val="464F1A25"/>
    <w:rsid w:val="46893028"/>
    <w:rsid w:val="469B0D50"/>
    <w:rsid w:val="46BC33FE"/>
    <w:rsid w:val="46D149CF"/>
    <w:rsid w:val="46E01EF3"/>
    <w:rsid w:val="46F830F8"/>
    <w:rsid w:val="4701087D"/>
    <w:rsid w:val="47046B53"/>
    <w:rsid w:val="470B1C8F"/>
    <w:rsid w:val="47490A0A"/>
    <w:rsid w:val="475E2707"/>
    <w:rsid w:val="476720F8"/>
    <w:rsid w:val="47A33F4F"/>
    <w:rsid w:val="47A34D37"/>
    <w:rsid w:val="47BD572C"/>
    <w:rsid w:val="47CD5197"/>
    <w:rsid w:val="4807074F"/>
    <w:rsid w:val="483B0352"/>
    <w:rsid w:val="484A67E7"/>
    <w:rsid w:val="485E687F"/>
    <w:rsid w:val="486125B1"/>
    <w:rsid w:val="49396F88"/>
    <w:rsid w:val="496C0591"/>
    <w:rsid w:val="497D6CA8"/>
    <w:rsid w:val="498256B8"/>
    <w:rsid w:val="49A32653"/>
    <w:rsid w:val="49B66A74"/>
    <w:rsid w:val="49C11094"/>
    <w:rsid w:val="49CF169A"/>
    <w:rsid w:val="49DC3DB7"/>
    <w:rsid w:val="49E30CA1"/>
    <w:rsid w:val="49F11610"/>
    <w:rsid w:val="4A0D1AB3"/>
    <w:rsid w:val="4A1C41B3"/>
    <w:rsid w:val="4A5907A7"/>
    <w:rsid w:val="4A7E749E"/>
    <w:rsid w:val="4A9F10DB"/>
    <w:rsid w:val="4B0E268C"/>
    <w:rsid w:val="4B2E67E5"/>
    <w:rsid w:val="4B367F5F"/>
    <w:rsid w:val="4B3F0159"/>
    <w:rsid w:val="4B5E0F27"/>
    <w:rsid w:val="4B647BC0"/>
    <w:rsid w:val="4B826816"/>
    <w:rsid w:val="4B8F3432"/>
    <w:rsid w:val="4BCF3BD3"/>
    <w:rsid w:val="4BD905AE"/>
    <w:rsid w:val="4C107D48"/>
    <w:rsid w:val="4C404189"/>
    <w:rsid w:val="4C547C35"/>
    <w:rsid w:val="4CD32344"/>
    <w:rsid w:val="4D1D271C"/>
    <w:rsid w:val="4D904398"/>
    <w:rsid w:val="4D9B2D4C"/>
    <w:rsid w:val="4DCD5EF0"/>
    <w:rsid w:val="4DE24E53"/>
    <w:rsid w:val="4DF55447"/>
    <w:rsid w:val="4DF85023"/>
    <w:rsid w:val="4E1A4EAE"/>
    <w:rsid w:val="4E6A304A"/>
    <w:rsid w:val="4EAC01FC"/>
    <w:rsid w:val="4EB67E4F"/>
    <w:rsid w:val="4F180F6D"/>
    <w:rsid w:val="4F7D39F4"/>
    <w:rsid w:val="4FC13833"/>
    <w:rsid w:val="501669E8"/>
    <w:rsid w:val="50333639"/>
    <w:rsid w:val="503F314A"/>
    <w:rsid w:val="5049071F"/>
    <w:rsid w:val="5055523B"/>
    <w:rsid w:val="50B404AC"/>
    <w:rsid w:val="512A680F"/>
    <w:rsid w:val="51363DAD"/>
    <w:rsid w:val="51502C40"/>
    <w:rsid w:val="515311FD"/>
    <w:rsid w:val="51903ADB"/>
    <w:rsid w:val="51983176"/>
    <w:rsid w:val="51E7154B"/>
    <w:rsid w:val="51FB409D"/>
    <w:rsid w:val="521A722A"/>
    <w:rsid w:val="528C1D4E"/>
    <w:rsid w:val="529B480F"/>
    <w:rsid w:val="52A412CF"/>
    <w:rsid w:val="52B61649"/>
    <w:rsid w:val="52BC29D7"/>
    <w:rsid w:val="53165C44"/>
    <w:rsid w:val="531B22DB"/>
    <w:rsid w:val="537B293C"/>
    <w:rsid w:val="53A6721A"/>
    <w:rsid w:val="54324CFF"/>
    <w:rsid w:val="544E36B1"/>
    <w:rsid w:val="54873B96"/>
    <w:rsid w:val="54AF45A2"/>
    <w:rsid w:val="54BF1612"/>
    <w:rsid w:val="54D47B64"/>
    <w:rsid w:val="54F57361"/>
    <w:rsid w:val="551B39E5"/>
    <w:rsid w:val="55523002"/>
    <w:rsid w:val="557234F5"/>
    <w:rsid w:val="55FD30EB"/>
    <w:rsid w:val="56080E28"/>
    <w:rsid w:val="56173ED3"/>
    <w:rsid w:val="563A7E9B"/>
    <w:rsid w:val="564156CE"/>
    <w:rsid w:val="567732E6"/>
    <w:rsid w:val="56B637B6"/>
    <w:rsid w:val="56F3629C"/>
    <w:rsid w:val="5733141F"/>
    <w:rsid w:val="578B1008"/>
    <w:rsid w:val="57FA0181"/>
    <w:rsid w:val="57FB47AE"/>
    <w:rsid w:val="58A37CF6"/>
    <w:rsid w:val="58E446C9"/>
    <w:rsid w:val="58F85DEC"/>
    <w:rsid w:val="59047560"/>
    <w:rsid w:val="59162E41"/>
    <w:rsid w:val="591E23E1"/>
    <w:rsid w:val="593C2BA3"/>
    <w:rsid w:val="594F0101"/>
    <w:rsid w:val="5975743C"/>
    <w:rsid w:val="59823B14"/>
    <w:rsid w:val="59B14918"/>
    <w:rsid w:val="59C33A3E"/>
    <w:rsid w:val="59C503C4"/>
    <w:rsid w:val="59D10B16"/>
    <w:rsid w:val="59DF059A"/>
    <w:rsid w:val="59EE525F"/>
    <w:rsid w:val="59F9295B"/>
    <w:rsid w:val="59FA1835"/>
    <w:rsid w:val="5A02006D"/>
    <w:rsid w:val="5A04713E"/>
    <w:rsid w:val="5A2A7B93"/>
    <w:rsid w:val="5A4E03B9"/>
    <w:rsid w:val="5AA77DB5"/>
    <w:rsid w:val="5AB65EE9"/>
    <w:rsid w:val="5AC62645"/>
    <w:rsid w:val="5AE84831"/>
    <w:rsid w:val="5B155FCB"/>
    <w:rsid w:val="5B2E3D47"/>
    <w:rsid w:val="5B526448"/>
    <w:rsid w:val="5B9317DB"/>
    <w:rsid w:val="5B9C5AAD"/>
    <w:rsid w:val="5BBB7CD0"/>
    <w:rsid w:val="5BFB086D"/>
    <w:rsid w:val="5C0E2225"/>
    <w:rsid w:val="5C4C0240"/>
    <w:rsid w:val="5C61579B"/>
    <w:rsid w:val="5C735194"/>
    <w:rsid w:val="5C9F3FFC"/>
    <w:rsid w:val="5CA17555"/>
    <w:rsid w:val="5CA50038"/>
    <w:rsid w:val="5CCB7A9F"/>
    <w:rsid w:val="5CCD4100"/>
    <w:rsid w:val="5CE34B66"/>
    <w:rsid w:val="5D621868"/>
    <w:rsid w:val="5D634635"/>
    <w:rsid w:val="5D7013EE"/>
    <w:rsid w:val="5D867E6A"/>
    <w:rsid w:val="5DA62893"/>
    <w:rsid w:val="5DC5275A"/>
    <w:rsid w:val="5DFD637E"/>
    <w:rsid w:val="5E824AD5"/>
    <w:rsid w:val="5EB96C36"/>
    <w:rsid w:val="5EBA426F"/>
    <w:rsid w:val="5ED85D88"/>
    <w:rsid w:val="5F313B53"/>
    <w:rsid w:val="5F385194"/>
    <w:rsid w:val="5F88611B"/>
    <w:rsid w:val="5FB152B9"/>
    <w:rsid w:val="5FB25344"/>
    <w:rsid w:val="5FEC48FC"/>
    <w:rsid w:val="605C0900"/>
    <w:rsid w:val="60885CA7"/>
    <w:rsid w:val="609C542E"/>
    <w:rsid w:val="616E1341"/>
    <w:rsid w:val="61A134C4"/>
    <w:rsid w:val="61D6007B"/>
    <w:rsid w:val="61F3516C"/>
    <w:rsid w:val="620D5E36"/>
    <w:rsid w:val="621625BE"/>
    <w:rsid w:val="622D4D58"/>
    <w:rsid w:val="62854B94"/>
    <w:rsid w:val="62952214"/>
    <w:rsid w:val="632077B4"/>
    <w:rsid w:val="63314817"/>
    <w:rsid w:val="635822A8"/>
    <w:rsid w:val="635C3B47"/>
    <w:rsid w:val="63FE1652"/>
    <w:rsid w:val="64061D04"/>
    <w:rsid w:val="645541F9"/>
    <w:rsid w:val="64CD637E"/>
    <w:rsid w:val="64E5123A"/>
    <w:rsid w:val="653428EA"/>
    <w:rsid w:val="65532D27"/>
    <w:rsid w:val="655F791E"/>
    <w:rsid w:val="65BC6B1F"/>
    <w:rsid w:val="65D33DA4"/>
    <w:rsid w:val="66482160"/>
    <w:rsid w:val="669F1927"/>
    <w:rsid w:val="66AF22B7"/>
    <w:rsid w:val="67277FC8"/>
    <w:rsid w:val="675379F3"/>
    <w:rsid w:val="67982FB2"/>
    <w:rsid w:val="67B62DCC"/>
    <w:rsid w:val="67EE6D37"/>
    <w:rsid w:val="680E73DA"/>
    <w:rsid w:val="68126ECA"/>
    <w:rsid w:val="682A65AB"/>
    <w:rsid w:val="684F3094"/>
    <w:rsid w:val="68886FC7"/>
    <w:rsid w:val="68AD09A1"/>
    <w:rsid w:val="694330B3"/>
    <w:rsid w:val="694E624C"/>
    <w:rsid w:val="69605A13"/>
    <w:rsid w:val="698C734E"/>
    <w:rsid w:val="699543C8"/>
    <w:rsid w:val="69BD514B"/>
    <w:rsid w:val="6A301889"/>
    <w:rsid w:val="6A80346D"/>
    <w:rsid w:val="6AC71E7B"/>
    <w:rsid w:val="6ACA583A"/>
    <w:rsid w:val="6AE368FC"/>
    <w:rsid w:val="6AEC6501"/>
    <w:rsid w:val="6AF01018"/>
    <w:rsid w:val="6C02704F"/>
    <w:rsid w:val="6C315445"/>
    <w:rsid w:val="6C5A499B"/>
    <w:rsid w:val="6C5C11C9"/>
    <w:rsid w:val="6CC36596"/>
    <w:rsid w:val="6CD3617E"/>
    <w:rsid w:val="6CFA6160"/>
    <w:rsid w:val="6D0B038C"/>
    <w:rsid w:val="6D1C5C94"/>
    <w:rsid w:val="6D6E490F"/>
    <w:rsid w:val="6D727A37"/>
    <w:rsid w:val="6DA31507"/>
    <w:rsid w:val="6E19713D"/>
    <w:rsid w:val="6E5813AF"/>
    <w:rsid w:val="6E5D69C5"/>
    <w:rsid w:val="6E745C57"/>
    <w:rsid w:val="6E8D77E2"/>
    <w:rsid w:val="6E923C2D"/>
    <w:rsid w:val="6EBF1A77"/>
    <w:rsid w:val="6EC00BE2"/>
    <w:rsid w:val="6F880CB4"/>
    <w:rsid w:val="6F915675"/>
    <w:rsid w:val="6FC7611B"/>
    <w:rsid w:val="6FEB735C"/>
    <w:rsid w:val="707D6EAA"/>
    <w:rsid w:val="707F4466"/>
    <w:rsid w:val="70B22DC9"/>
    <w:rsid w:val="70CE3BAA"/>
    <w:rsid w:val="70DD3FC2"/>
    <w:rsid w:val="71436346"/>
    <w:rsid w:val="718E2D57"/>
    <w:rsid w:val="71C46F1C"/>
    <w:rsid w:val="7234691D"/>
    <w:rsid w:val="72856038"/>
    <w:rsid w:val="72895FDA"/>
    <w:rsid w:val="729624A5"/>
    <w:rsid w:val="72D0112D"/>
    <w:rsid w:val="72E773E5"/>
    <w:rsid w:val="73515B69"/>
    <w:rsid w:val="73625331"/>
    <w:rsid w:val="73656370"/>
    <w:rsid w:val="73A6496A"/>
    <w:rsid w:val="73EB22BF"/>
    <w:rsid w:val="74091FB6"/>
    <w:rsid w:val="742A570F"/>
    <w:rsid w:val="745145CE"/>
    <w:rsid w:val="74716D26"/>
    <w:rsid w:val="74890514"/>
    <w:rsid w:val="75083042"/>
    <w:rsid w:val="751E1C4C"/>
    <w:rsid w:val="75A7324B"/>
    <w:rsid w:val="75BA07D1"/>
    <w:rsid w:val="76DE43A6"/>
    <w:rsid w:val="773A3D47"/>
    <w:rsid w:val="777D3BB6"/>
    <w:rsid w:val="77DC1CC2"/>
    <w:rsid w:val="77EC344A"/>
    <w:rsid w:val="78762B5D"/>
    <w:rsid w:val="78B26C9C"/>
    <w:rsid w:val="78D67634"/>
    <w:rsid w:val="78E81581"/>
    <w:rsid w:val="79295E21"/>
    <w:rsid w:val="793F3897"/>
    <w:rsid w:val="79545F71"/>
    <w:rsid w:val="797D616D"/>
    <w:rsid w:val="79856DD0"/>
    <w:rsid w:val="79A22FCC"/>
    <w:rsid w:val="79E9735F"/>
    <w:rsid w:val="7AA35D0F"/>
    <w:rsid w:val="7AF27597"/>
    <w:rsid w:val="7B09415C"/>
    <w:rsid w:val="7B494B47"/>
    <w:rsid w:val="7B8D6BCE"/>
    <w:rsid w:val="7BDD1145"/>
    <w:rsid w:val="7BE70E9C"/>
    <w:rsid w:val="7BFE17E7"/>
    <w:rsid w:val="7C374CF9"/>
    <w:rsid w:val="7CB925E2"/>
    <w:rsid w:val="7CC813AA"/>
    <w:rsid w:val="7CE51182"/>
    <w:rsid w:val="7DA939D5"/>
    <w:rsid w:val="7DB748F3"/>
    <w:rsid w:val="7DBD2A9C"/>
    <w:rsid w:val="7DC76381"/>
    <w:rsid w:val="7DD13FA4"/>
    <w:rsid w:val="7DD56382"/>
    <w:rsid w:val="7DF33068"/>
    <w:rsid w:val="7E36223B"/>
    <w:rsid w:val="7E435E3D"/>
    <w:rsid w:val="7E4A0251"/>
    <w:rsid w:val="7E525E1A"/>
    <w:rsid w:val="7E5F2F81"/>
    <w:rsid w:val="7E7A4D36"/>
    <w:rsid w:val="7EC21F19"/>
    <w:rsid w:val="7EFB0260"/>
    <w:rsid w:val="7F4354EC"/>
    <w:rsid w:val="7F7626B0"/>
    <w:rsid w:val="7FB63D8B"/>
    <w:rsid w:val="7FD12D6F"/>
    <w:rsid w:val="7FDBF8CC"/>
    <w:rsid w:val="7FE99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9"/>
    <w:pPr>
      <w:keepNext/>
      <w:keepLines/>
      <w:spacing w:line="700" w:lineRule="exact"/>
      <w:jc w:val="center"/>
      <w:outlineLvl w:val="0"/>
    </w:pPr>
    <w:rPr>
      <w:rFonts w:ascii="Calibri" w:hAnsi="Calibri" w:eastAsia="方正小标宋_GBK" w:cs="Times New Roman"/>
      <w:kern w:val="44"/>
      <w:sz w:val="44"/>
    </w:rPr>
  </w:style>
  <w:style w:type="paragraph" w:styleId="5">
    <w:name w:val="heading 3"/>
    <w:basedOn w:val="1"/>
    <w:next w:val="1"/>
    <w:unhideWhenUsed/>
    <w:qFormat/>
    <w:uiPriority w:val="9"/>
    <w:pPr>
      <w:spacing w:beforeLines="50" w:afterLines="50" w:line="600" w:lineRule="exact"/>
      <w:ind w:firstLine="863" w:firstLineChars="200"/>
      <w:outlineLvl w:val="2"/>
    </w:pPr>
    <w:rPr>
      <w:rFonts w:hint="eastAsia" w:ascii="宋体" w:hAnsi="宋体" w:eastAsia="黑体" w:cs="Times New Roman"/>
      <w:bCs/>
      <w:kern w:val="2"/>
      <w:sz w:val="32"/>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0"/>
      <w:ind w:firstLine="420"/>
    </w:pPr>
    <w:rPr>
      <w:rFonts w:ascii="Calibri" w:hAnsi="Calibri"/>
    </w:rPr>
  </w:style>
  <w:style w:type="paragraph" w:styleId="3">
    <w:name w:val="Body Text Indent"/>
    <w:basedOn w:val="1"/>
    <w:unhideWhenUsed/>
    <w:qFormat/>
    <w:uiPriority w:val="0"/>
    <w:pPr>
      <w:spacing w:after="120"/>
      <w:ind w:left="420" w:leftChars="200"/>
    </w:pPr>
  </w:style>
  <w:style w:type="paragraph" w:styleId="6">
    <w:name w:val="Body Text"/>
    <w:basedOn w:val="1"/>
    <w:semiHidden/>
    <w:qFormat/>
    <w:uiPriority w:val="0"/>
    <w:rPr>
      <w:rFonts w:ascii="仿宋" w:hAnsi="仿宋" w:eastAsia="仿宋" w:cs="仿宋"/>
      <w:sz w:val="31"/>
      <w:szCs w:val="31"/>
    </w:rPr>
  </w:style>
  <w:style w:type="paragraph" w:styleId="7">
    <w:name w:val="footer"/>
    <w:basedOn w:val="1"/>
    <w:qFormat/>
    <w:uiPriority w:val="0"/>
    <w:pPr>
      <w:tabs>
        <w:tab w:val="center" w:pos="4153"/>
        <w:tab w:val="right" w:pos="8306"/>
      </w:tabs>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9">
    <w:name w:val="toc 1"/>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Normal (Web)"/>
    <w:basedOn w:val="1"/>
    <w:qFormat/>
    <w:uiPriority w:val="0"/>
    <w:pPr>
      <w:spacing w:beforeAutospacing="1" w:afterAutospacing="1"/>
    </w:pPr>
    <w:rPr>
      <w:rFonts w:cs="Times New Roman"/>
      <w:sz w:val="24"/>
      <w:lang w:eastAsia="zh-CN"/>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style>
  <w:style w:type="paragraph" w:customStyle="1" w:styleId="15">
    <w:name w:val="BodyText1I"/>
    <w:basedOn w:val="1"/>
    <w:qFormat/>
    <w:uiPriority w:val="99"/>
    <w:pPr>
      <w:spacing w:line="360" w:lineRule="auto"/>
      <w:ind w:firstLine="420" w:firstLineChars="100"/>
    </w:pPr>
    <w:rPr>
      <w:sz w:val="28"/>
      <w:szCs w:val="20"/>
    </w:rPr>
  </w:style>
  <w:style w:type="paragraph" w:customStyle="1" w:styleId="16">
    <w:name w:val="Default"/>
    <w:basedOn w:val="1"/>
    <w:qFormat/>
    <w:uiPriority w:val="0"/>
    <w:pPr>
      <w:widowControl w:val="0"/>
      <w:kinsoku/>
      <w:snapToGrid/>
      <w:textAlignment w:val="auto"/>
    </w:pPr>
    <w:rPr>
      <w:rFonts w:ascii="黑体" w:hAnsi="Calibri" w:eastAsia="黑体" w:cs="宋体"/>
      <w:snapToGrid/>
      <w:sz w:val="24"/>
      <w:szCs w:val="24"/>
      <w:lang w:eastAsia="zh-CN"/>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6445</Words>
  <Characters>6666</Characters>
  <Lines>22</Lines>
  <Paragraphs>6</Paragraphs>
  <TotalTime>0</TotalTime>
  <ScaleCrop>false</ScaleCrop>
  <LinksUpToDate>false</LinksUpToDate>
  <CharactersWithSpaces>6717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2025-03-27T09:58:00Z</dcterms:created>
  <dc:creator>Kingsoft-PDF</dc:creator>
  <cp:lastModifiedBy>thtf</cp:lastModifiedBy>
  <cp:lastPrinted>2025-03-11T18:39:00Z</cp:lastPrinted>
  <dcterms:modified xsi:type="dcterms:W3CDTF">2025-09-25T17:58:58Z</dcterms:modified>
  <dc:subject>pdfbuilder</dc:subject>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2025-02-26T14:59:37Z</vt:filetime>
  </property>
  <property fmtid="{D5CDD505-2E9C-101B-9397-08002B2CF9AE}" pid="4" name="UsrData">
    <vt:lpwstr>67bebbd2db2cf3001fe95ab1wl</vt:lpwstr>
  </property>
  <property fmtid="{D5CDD505-2E9C-101B-9397-08002B2CF9AE}" pid="5" name="KSOTemplateDocerSaveRecord">
    <vt:lpwstr>eyJoZGlkIjoiYmE3N2Y4ZjMxMDlhNDJlYjVjODJmZGNkZmUzNjBhMGEiLCJ1c2VySWQiOiI4NTAxNjcyNTcifQ==</vt:lpwstr>
  </property>
  <property fmtid="{D5CDD505-2E9C-101B-9397-08002B2CF9AE}" pid="6" name="KSOProductBuildVer">
    <vt:lpwstr>2052-11.8.2.10125</vt:lpwstr>
  </property>
  <property fmtid="{D5CDD505-2E9C-101B-9397-08002B2CF9AE}" pid="7" name="ICV">
    <vt:lpwstr>7AAF754DC0A947628AB5F4330BDDD554_13</vt:lpwstr>
  </property>
</Properties>
</file>