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中方县商务科技和工业信息化局2023年度部门整体支出绩效自评报告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（一）部门职能与机构设置</w:t>
      </w:r>
    </w:p>
    <w:p>
      <w:pPr>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kern w:val="0"/>
          <w:sz w:val="32"/>
          <w:szCs w:val="32"/>
          <w:shd w:val="clear" w:color="auto" w:fill="FFFFFF"/>
        </w:rPr>
        <w:t>1、商务工作职责</w:t>
      </w:r>
      <w:r>
        <w:rPr>
          <w:rFonts w:hint="eastAsia" w:ascii="仿宋" w:hAnsi="仿宋" w:eastAsia="仿宋" w:cs="仿宋_GB2312"/>
          <w:color w:val="auto"/>
          <w:kern w:val="0"/>
          <w:sz w:val="32"/>
          <w:szCs w:val="32"/>
          <w:shd w:val="clear" w:color="auto" w:fill="FFFFFF"/>
          <w:lang w:eastAsia="zh-CN"/>
        </w:rPr>
        <w:t>：</w:t>
      </w:r>
      <w:r>
        <w:rPr>
          <w:rFonts w:hint="eastAsia" w:ascii="仿宋" w:hAnsi="仿宋" w:eastAsia="仿宋" w:cs="仿宋_GB2312"/>
          <w:color w:val="auto"/>
          <w:sz w:val="32"/>
          <w:szCs w:val="32"/>
        </w:rPr>
        <w:t>主要职责是负责全县招商</w:t>
      </w:r>
      <w:bookmarkStart w:id="0" w:name="_GoBack"/>
      <w:bookmarkEnd w:id="0"/>
      <w:r>
        <w:rPr>
          <w:rFonts w:hint="eastAsia" w:ascii="仿宋" w:hAnsi="仿宋" w:eastAsia="仿宋" w:cs="仿宋_GB2312"/>
          <w:color w:val="auto"/>
          <w:sz w:val="32"/>
          <w:szCs w:val="32"/>
        </w:rPr>
        <w:t>引资、内外贸易、市场体系建设、商业网点规划、电子商务、涉企收费、成品油、报废汽车拆解回收、再生资源回收利用、流通领域食品安全等行政管理及协调工作；负责县本级及所辖镇（街道）的商贸服务业经济指标的统计和考核。</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科技</w:t>
      </w:r>
      <w:r>
        <w:rPr>
          <w:rFonts w:hint="eastAsia" w:ascii="仿宋" w:hAnsi="仿宋" w:eastAsia="仿宋" w:cs="仿宋_GB2312"/>
          <w:color w:val="auto"/>
          <w:sz w:val="32"/>
          <w:szCs w:val="32"/>
          <w:lang w:val="en-US" w:eastAsia="zh-CN"/>
        </w:rPr>
        <w:t>工作</w:t>
      </w:r>
      <w:r>
        <w:rPr>
          <w:rFonts w:hint="eastAsia" w:ascii="仿宋" w:hAnsi="仿宋" w:eastAsia="仿宋" w:cs="仿宋_GB2312"/>
          <w:color w:val="auto"/>
          <w:sz w:val="32"/>
          <w:szCs w:val="32"/>
        </w:rPr>
        <w:t>职责</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主要</w:t>
      </w:r>
      <w:r>
        <w:rPr>
          <w:rFonts w:hint="eastAsia" w:ascii="仿宋" w:hAnsi="仿宋" w:eastAsia="仿宋" w:cs="仿宋_GB2312"/>
          <w:color w:val="auto"/>
          <w:sz w:val="32"/>
          <w:szCs w:val="32"/>
        </w:rPr>
        <w:t>是贯彻执行国家有关科技工作的方针政策和法律法规；研究拟定科技发展和科技促进经济与社会发展的政策措施；组织拟定并实施科技发展的中长期规划和年度计划；研究提出高新技术发展计划及产业政策措施，并组织实施；负责科技成果的申报和重点科技成果的推广；组织开展科技扶贫等。</w:t>
      </w:r>
    </w:p>
    <w:p>
      <w:pPr>
        <w:spacing w:line="560" w:lineRule="exact"/>
        <w:ind w:firstLine="640" w:firstLineChars="200"/>
        <w:rPr>
          <w:rFonts w:hint="eastAsia" w:ascii="仿宋" w:hAnsi="仿宋" w:eastAsia="仿宋" w:cs="仿宋"/>
          <w:i w:val="0"/>
          <w:iCs w:val="0"/>
          <w:caps w:val="0"/>
          <w:color w:val="05073B"/>
          <w:spacing w:val="0"/>
          <w:sz w:val="32"/>
          <w:szCs w:val="32"/>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工业信息化</w:t>
      </w:r>
      <w:r>
        <w:rPr>
          <w:rFonts w:hint="eastAsia" w:ascii="仿宋" w:hAnsi="仿宋" w:eastAsia="仿宋" w:cs="仿宋_GB2312"/>
          <w:color w:val="auto"/>
          <w:sz w:val="32"/>
          <w:szCs w:val="32"/>
          <w:lang w:val="en-US" w:eastAsia="zh-CN"/>
        </w:rPr>
        <w:t>工作职责：</w:t>
      </w:r>
      <w:r>
        <w:rPr>
          <w:rFonts w:hint="eastAsia" w:ascii="仿宋" w:hAnsi="仿宋" w:eastAsia="仿宋" w:cs="仿宋_GB2312"/>
          <w:color w:val="auto"/>
          <w:sz w:val="32"/>
          <w:szCs w:val="32"/>
        </w:rPr>
        <w:t>主要是拟定并组织实施工业行业规划、产业政策和标准；监测工业行业日常运行；推动重大技术装备的科研开发和推广应用；推动结构调整和优化升级；监督工业节能减排和资源综合利用工作；推进工业体制改革和</w:t>
      </w:r>
      <w:r>
        <w:rPr>
          <w:rFonts w:hint="eastAsia" w:ascii="仿宋" w:hAnsi="仿宋" w:eastAsia="仿宋" w:cs="仿宋"/>
          <w:i w:val="0"/>
          <w:iCs w:val="0"/>
          <w:caps w:val="0"/>
          <w:color w:val="05073B"/>
          <w:spacing w:val="0"/>
          <w:sz w:val="32"/>
          <w:szCs w:val="32"/>
          <w:shd w:val="clear" w:fill="FDFDFE"/>
        </w:rPr>
        <w:t>管理创新；指导相关行业协会工作等。</w:t>
      </w:r>
    </w:p>
    <w:p>
      <w:pPr>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机构情况</w:t>
      </w:r>
    </w:p>
    <w:p>
      <w:pPr>
        <w:spacing w:line="560" w:lineRule="exact"/>
        <w:ind w:firstLine="640" w:firstLineChars="200"/>
        <w:rPr>
          <w:rFonts w:ascii="仿宋" w:hAnsi="仿宋" w:eastAsia="仿宋" w:cs="仿宋_GB2312"/>
          <w:snapToGrid w:val="0"/>
          <w:color w:val="auto"/>
          <w:sz w:val="32"/>
          <w:szCs w:val="32"/>
        </w:rPr>
      </w:pPr>
      <w:r>
        <w:rPr>
          <w:rFonts w:hint="eastAsia" w:ascii="仿宋" w:hAnsi="仿宋" w:eastAsia="仿宋" w:cs="仿宋_GB2312"/>
          <w:color w:val="auto"/>
          <w:sz w:val="32"/>
          <w:szCs w:val="32"/>
        </w:rPr>
        <w:t>中方县商务科技工业信息化局为正科级全额拨款行政单位。内设办公室、财务审计股、人事股、行政审批股、运行监测股、投资规划股、信息化股、科学管理股、市场体系建设股、涉外经济股、电子商务股和执法大队等1</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个</w:t>
      </w:r>
      <w:r>
        <w:rPr>
          <w:rFonts w:hint="eastAsia" w:ascii="仿宋" w:hAnsi="仿宋" w:eastAsia="仿宋" w:cs="仿宋_GB2312"/>
          <w:color w:val="auto"/>
          <w:sz w:val="32"/>
          <w:szCs w:val="32"/>
          <w:lang w:val="en-US" w:eastAsia="zh-CN"/>
        </w:rPr>
        <w:t>股室，下设</w:t>
      </w:r>
      <w:r>
        <w:rPr>
          <w:rFonts w:hint="eastAsia" w:ascii="仿宋" w:hAnsi="仿宋" w:eastAsia="仿宋" w:cs="仿宋_GB2312"/>
          <w:color w:val="auto"/>
          <w:sz w:val="32"/>
          <w:szCs w:val="32"/>
        </w:rPr>
        <w:t>投资促进事务中心、中小企业服务中心、新型墙体改革办、科技情报研究所、电力行政执法大队、中小企业培训中心等6个</w:t>
      </w:r>
      <w:r>
        <w:rPr>
          <w:rFonts w:hint="eastAsia" w:ascii="仿宋" w:hAnsi="仿宋" w:eastAsia="仿宋" w:cs="仿宋_GB2312"/>
          <w:color w:val="auto"/>
          <w:sz w:val="32"/>
          <w:szCs w:val="32"/>
          <w:lang w:val="en-US" w:eastAsia="zh-CN"/>
        </w:rPr>
        <w:t>二级机构</w:t>
      </w:r>
      <w:r>
        <w:rPr>
          <w:rFonts w:hint="eastAsia" w:ascii="仿宋" w:hAnsi="仿宋" w:eastAsia="仿宋" w:cs="仿宋_GB2312"/>
          <w:color w:val="auto"/>
          <w:sz w:val="32"/>
          <w:szCs w:val="32"/>
        </w:rPr>
        <w:t>,没有二级预算单位。</w:t>
      </w:r>
    </w:p>
    <w:p>
      <w:pPr>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人员情况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Segoe UI" w:hAnsi="Segoe UI" w:eastAsia="Segoe UI" w:cs="Segoe UI"/>
          <w:i w:val="0"/>
          <w:iCs w:val="0"/>
          <w:caps w:val="0"/>
          <w:spacing w:val="0"/>
          <w:sz w:val="24"/>
          <w:szCs w:val="24"/>
          <w:shd w:val="clear" w:fill="FFFFFF"/>
        </w:rPr>
      </w:pPr>
      <w:r>
        <w:rPr>
          <w:rFonts w:hint="eastAsia" w:ascii="仿宋" w:hAnsi="仿宋" w:eastAsia="仿宋" w:cs="仿宋_GB2312"/>
          <w:color w:val="auto"/>
          <w:sz w:val="32"/>
          <w:szCs w:val="32"/>
          <w:lang w:val="en-US" w:eastAsia="zh-CN"/>
        </w:rPr>
        <w:t>全</w:t>
      </w:r>
      <w:r>
        <w:rPr>
          <w:rFonts w:hint="eastAsia" w:ascii="仿宋" w:hAnsi="仿宋" w:eastAsia="仿宋" w:cs="仿宋_GB2312"/>
          <w:color w:val="auto"/>
          <w:sz w:val="32"/>
          <w:szCs w:val="32"/>
        </w:rPr>
        <w:t>局年末实有人数59人，与去年比减少4人</w:t>
      </w:r>
      <w:r>
        <w:rPr>
          <w:rFonts w:ascii="Segoe UI" w:hAnsi="Segoe UI" w:eastAsia="Segoe UI" w:cs="Segoe UI"/>
          <w:i w:val="0"/>
          <w:iCs w:val="0"/>
          <w:caps w:val="0"/>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（三）部门年度总体工作任务和重点工作任务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总体工作任务：坚持以习近平新时代中国特色社会主义思想为指引，深入贯彻落实县委经济工作会议精神，深度融入怀化国际陆港建设，全面实施“三高四新”战略，奋力建设“四城两区”，加快推进鹤中一体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重点工作任务：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工业经济发展：全年新增规模工业企业6家，达到101家，安排就业8388人。实现规模工业增加值23.61亿元，同比增长12.2%，税收1.95亿元，同比增长7.7%。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制造业发展：制造业占全县规模工业企业的97家，桥隧装备制造产业表现突出，五新公司持有439件专利，产品国内市场份额超过70%。中南桥梁公司在国内外桥梁安装领域有显著成就。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科技创新：培育高新技术企业46家，创新型中小企业17家，专精特新中小企业11家。创建了9个省级创新平台，2个待审批中。高新技术企业增加值占比超过30%。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信息化建设：新建5G基站265座，累计534座。推动工业互联网应用，98家工业企业完成两化融合自评诊断。天天食品等7家企业成功申报省级“三化”重点项目。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商务工作：招商引资取得显著成效，签约省外项目14个，其中2亿元以上项目9个，完成省外境内到位资金37.3亿元，同比增长11.9%。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对外开放：通过怀化国际陆港到发集装箱1324标箱，外贸进出口完成2.5亿元，同比增长2.5倍。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消费市场：引进联华超市，规模以上企业销售额大幅增长，农产品网络零售额达1.62亿元，增长12.7%。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安全生产：没有发生任何工贸企业安全生产事故，通过多种方式强化安全生产意识和责任。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产业链发展：明确产业链职责，提升服务力，积极争取政策支持和奖补，全年共洽谈项目7个，签约4个，落地4个，总投资4.08亿元。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技改投资：完成技改备案10家，技改投资4.97亿元，增速达到12.7%。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中小企业服务：申报省级“专精特新中小企业”6家，获批3家。组织企业申报中小企业专项资金，获批资金35万。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（四）部门年度整体收支情况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当年预算收入：</w:t>
      </w:r>
      <w:r>
        <w:rPr>
          <w:rFonts w:ascii="仿宋" w:hAnsi="仿宋" w:eastAsia="仿宋" w:cs="仿宋"/>
          <w:spacing w:val="11"/>
          <w:sz w:val="29"/>
          <w:szCs w:val="29"/>
        </w:rPr>
        <w:t>本单位收入总额为4760.32万元，主要是财政拨款收入，占比100%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预算支出：</w:t>
      </w:r>
      <w:r>
        <w:rPr>
          <w:rFonts w:hint="eastAsia" w:ascii="仿宋" w:hAnsi="仿宋" w:eastAsia="仿宋" w:cs="仿宋"/>
          <w:sz w:val="32"/>
          <w:szCs w:val="32"/>
          <w:lang w:val="en-US" w:eastAsia="zh-CN"/>
        </w:rPr>
        <w:t>本年度预算支出4760.32万元，</w:t>
      </w:r>
      <w:r>
        <w:rPr>
          <w:rFonts w:hint="eastAsia" w:ascii="仿宋" w:hAnsi="仿宋" w:eastAsia="仿宋" w:cs="仿宋"/>
          <w:sz w:val="32"/>
          <w:szCs w:val="32"/>
        </w:rPr>
        <w:t>包括一般公共服务支出21.19万元，科学技术支出2043.58万元，文化旅游体育传媒支出15.31万元，社会保障就业支出30.20万元，卫生健康支出60.00万元，节能环保支出2.20万元，城乡社区支出1798.00万元，资源勘探工业信息等支出555.00万元，商业服务业等支出234.85万元。</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“三公”经费支出情况：“三公”经费3.07万元，其中公务接待0元，比上年减少100%，主要是严格控制公务接待活动，开支减少；公务车运行维护费3.07万元，比上年增加5.35%。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政府采购情况：</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023年，我局的政府采购工作严格遵循了相关法规和程序。具体情况如下：</w:t>
      </w:r>
      <w:r>
        <w:rPr>
          <w:rFonts w:hint="default" w:ascii="仿宋" w:hAnsi="仿宋" w:eastAsia="仿宋" w:cs="仿宋"/>
          <w:sz w:val="32"/>
          <w:szCs w:val="32"/>
        </w:rPr>
        <w:t>政府采购预算编制合理，充分考虑了局内的实际需求和资金状况，确保了采购计划的科学性和可行性。在采购执行过程中，严格按照预算进行采购，无超预算采购情况发生。加强了与政府采购监管部门的沟通与协调，及时解决采购过程中遇到的问题，确保了采购工作的顺利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（五）部门年度整体工作目标任务完成情况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财政资金支出达到的效果情况：通过各项资金的支出，在工业经济发展、制造业发展、科技创新、信息化建设、商务工作、对外开放、消费市场、安全生产、产业链发展、技改投资和中小企业服务等方面取得了一定的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社会满意度认可情况：在过去的一</w:t>
      </w:r>
      <w:r>
        <w:rPr>
          <w:rFonts w:hint="eastAsia" w:ascii="仿宋" w:hAnsi="仿宋" w:eastAsia="仿宋" w:cs="仿宋"/>
          <w:sz w:val="32"/>
          <w:szCs w:val="32"/>
          <w:lang w:val="en-US" w:eastAsia="zh-CN"/>
        </w:rPr>
        <w:t>年</w:t>
      </w:r>
      <w:r>
        <w:rPr>
          <w:rFonts w:hint="eastAsia" w:ascii="仿宋" w:hAnsi="仿宋" w:eastAsia="仿宋" w:cs="仿宋"/>
          <w:sz w:val="32"/>
          <w:szCs w:val="32"/>
        </w:rPr>
        <w:t>时间里，我局通过一系列切实有效的举措，为经济发展和企业成长创造了有利条件，社会对此给出了积极的评价和一定的认可。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二、部门整体评价工作开展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（一）绩效评价实施过程情况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评价方法：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目标管理法：明确设定绩效目标，将实际绩效与预定目标进行对比评估。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关键绩效指标法（KPI）：确定关键绩效指标，通过对这些关键指标的监测和评估来反映绩效水平。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360 度评估法：从多个角度获取对被评价对象的反馈，包括上级、同事、下属以及</w:t>
      </w:r>
      <w:r>
        <w:rPr>
          <w:rFonts w:hint="eastAsia" w:ascii="仿宋" w:hAnsi="仿宋" w:eastAsia="仿宋" w:cs="仿宋"/>
          <w:sz w:val="32"/>
          <w:szCs w:val="32"/>
          <w:lang w:val="en-US" w:eastAsia="zh-CN"/>
        </w:rPr>
        <w:t>服务对象</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工作程序：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制定评价计划：明确评价的目的、范围、时间安排和参与人员等。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收集数据和信息：通过多种渠道收集与绩效相关的数据和资料，包括文件记录、统计报表、调查问卷、访谈等。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分析与评估：对收集到的数据和信息进行深入分析，对照评价标准和指标进行评估。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撰写评价报告：总结评价结果，形成详细的评价报告，包括绩效表现、存在问题及改进建议等。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反馈与沟通：将评价结果向被评价对象进行反馈，与其进行沟通和交流，促进绩效改进。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（二）绩效评价整体结果概况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得分情况（或档次）：</w:t>
      </w:r>
      <w:r>
        <w:rPr>
          <w:rFonts w:hint="eastAsia" w:ascii="仿宋" w:hAnsi="仿宋" w:eastAsia="仿宋" w:cs="仿宋"/>
          <w:sz w:val="32"/>
          <w:szCs w:val="32"/>
          <w:lang w:val="en-US" w:eastAsia="zh-CN"/>
        </w:rPr>
        <w:t>92分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预算编制和执行情况：2023年预算收入决算数4760.32万元，比年初预算增加239.39万元，主要是人员经费和民营企业高质量发展专项对企业补助资金增加。财政拨款支出</w:t>
      </w:r>
      <w:r>
        <w:rPr>
          <w:rFonts w:hint="eastAsia" w:ascii="仿宋" w:hAnsi="仿宋" w:eastAsia="仿宋" w:cs="仿宋"/>
          <w:sz w:val="32"/>
          <w:szCs w:val="32"/>
          <w:lang w:val="en-US" w:eastAsia="zh-CN"/>
        </w:rPr>
        <w:t>4760.32</w:t>
      </w:r>
      <w:r>
        <w:rPr>
          <w:rFonts w:hint="eastAsia" w:ascii="仿宋" w:hAnsi="仿宋" w:eastAsia="仿宋" w:cs="仿宋"/>
          <w:sz w:val="32"/>
          <w:szCs w:val="32"/>
        </w:rPr>
        <w:t>万元，其中基本支出占19.9%，项目支出占80.1%。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节能降耗情况：2023年，我局积极落实节能降耗措施，如加强能源管理、推广节能设备、倡导绿色办公等。通过这些措施，能源消耗总量较上一年度有所下降。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三公经费控制情况：公务接待费大幅减少，比上年降低100%；公务车运行维护费有所增加，比上年增长5.35%。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项目支出管理规范和绩效情况：在各项工作任务中，对专项资金的使用和项目支出有一定的管理和要求，如在科技创新、产业链发展、技改投资等方面，明确了工作任务和目标，对资金的使用进行了规范，并取得了相应的绩效。</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三、部门整体支出绩效评价分析</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 w:hAnsi="仿宋" w:eastAsia="仿宋" w:cs="仿宋"/>
          <w:sz w:val="32"/>
          <w:szCs w:val="32"/>
        </w:rPr>
      </w:pPr>
      <w:r>
        <w:rPr>
          <w:rFonts w:hint="default" w:ascii="仿宋" w:hAnsi="仿宋" w:eastAsia="仿宋" w:cs="仿宋"/>
          <w:sz w:val="32"/>
          <w:szCs w:val="32"/>
          <w:lang w:val="en-US" w:eastAsia="zh-CN"/>
        </w:rPr>
        <w:t>（一）投入情况分析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预算编制：2023年度预算收入年初预算数4520.93万元，实际预算收入4760.32万元，比年初预算增加239.39万元。预算编制根据部门职能和重点工作任务进行，收入主要为财政拨款收入。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rPr>
        <w:t>目标设定：围绕部门职能和重点工作任务设定目标，明确了各项工作的具体指标和要求，如在商务工作中设定了促进外贸增长、推进流通产业结构调整等目标；在科技工作中设定了推进创新体系建设、组织实施科技计划等目标；在工业信息化工作中设定了推进新型工业化发展、加强经济运行调节等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（二）执行管理情况分析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资金执行进度：根据工作进展合理安排资金使用，确保资金及时到位，全年预算支出4</w:t>
      </w:r>
      <w:r>
        <w:rPr>
          <w:rFonts w:hint="eastAsia" w:ascii="仿宋" w:hAnsi="仿宋" w:eastAsia="仿宋" w:cs="仿宋"/>
          <w:sz w:val="32"/>
          <w:szCs w:val="32"/>
          <w:lang w:val="en-US" w:eastAsia="zh-CN"/>
        </w:rPr>
        <w:t>760.32</w:t>
      </w:r>
      <w:r>
        <w:rPr>
          <w:rFonts w:hint="default" w:ascii="仿宋" w:hAnsi="仿宋" w:eastAsia="仿宋" w:cs="仿宋"/>
          <w:sz w:val="32"/>
          <w:szCs w:val="32"/>
        </w:rPr>
        <w:t>万元，无年末结转和结余。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成本控制情况分析：厉行节约，在公用经费支出方面，虽然由于工作量增加、新项目启动和人员调整等原因，公用经费开支有所增加，但总体成本控制在合理范围内。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项目完成进度情况：各项工作任务按计划推进，项目完成良好，如民营企业高质量发展专项对企业补助资金的项目，按照项目完成进度进行资金拨付，取得了一定的成效。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（三）支出绩效情况分析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基本支出：包括人员经费和公用经费，其中人员经费845.26万元，公用经费104.21万元。基本支出保障了部门的正常运转，为各项工作的开展提供了基础支持。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项目支出：项目支出3810.86万元，主要包括科学技术支出、城乡社区支出、资源勘探工业信息等支出等。项目支出为推动商务、科技和工业信息化领域的发展发挥了积极作用，如在科技创新方面，促进了高新技术发展及产业化，推动了科技促进农业农村和社会发展；在工业信息化方面，推进了全县新型工业化的发展，加强了工业和信息化领域的日常经济运行调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疫”后重创，经济低迷。县域经济受疫情影响，企业运行成本增加，规模企业培育困难，产业转型亟待加速。企业持续增长能力较弱，产业层次不高，竞争力弱，传统产业占比大，主导产业存在“弱、短、缺”问题，产业链较短，缺少有竞争力的产业集群和龙头企业，多数企业处于产业链中下游环节，技术和规模竞争力不足。2023年，有3家工业企业退规，影响全市排名，还有4家停产企业运行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商务工作短板多。商贸流通主体培育压力大，县域商业基础薄弱，消费增长缓慢，批零助餐纳规任务未完成。项目推荐欠精准，市场活跃度不高，投资主体信心不足，项目验收率低。外资落地难，外贸增长乏力，“湘商回归”项目偏小，到资有缺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高企申报任务压力大。高企基数大，申报任务调整后完成情况不理想。高企奖补政策未能及时兑现，影响企业积极性和配合度，高企不“高”的现状明显，科技创新财政奖补政策落实标准不明确。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五、整改措施或建议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全力以赴抓好招大引强。以“招商引资活动年”为契机，推进招商引资工作，建立考核机制和奖励专项，优化考核方案，加强协作招商，重组驻点招商工作专班，围绕重点产业链开展精准对接，实现招商引资目标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持之以恒做好对外开放。落实外贸数据回流，推动企业“走出去”，打造外贸产业集群，支持企业扩大出口产能，跟踪对外投资和承包工程，开展跨境电商企业孵化转型，推动货运站场扩建升级，支持企业参与对外交流平台，引进或培育国际贸易公司，提高进出口总额和实际利用外资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持续推进高质量发展。贯彻新发展理念，培育企业上规上限，做大经济存量和增量，加强市场监测调控，推进项目建设，鼓励企业数字化转型和新型经济业态发展，提升企业创新意识，支持龙头企业发展，加强与高校科研院所合作，解决企业技术瓶颈，协助出台吸引人才政策，举办培训活动，为企业提供建议和辅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全心全意做好联企帮扶。按照“问题不解决不放过”的要求，梳理企业反馈问题，推动重点问题解决，优化园区项目建设环境，确保项目竣工投产。坚持“百人联百企”常态化，协调落实惠企政策，发挥中小企业服务平台作用，开展“送政策进园区、进企业”活动，提升职能部门工作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坚定不移改进工作作风。在全局推行严格的绩效考核管理制度，整治不良现象，使作风建设成为“硬杠杠”，激励干部职工实干担当，扭转部门形象，杜绝“混日子”氛围，推动各项工作任务达标见效、争先出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六、其他需要说明的问题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年末资产负债情况：货币资金1.11万元，房屋753.55万元，车辆因实施公务用车改革划转县公车中心，数量为0。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人员变动情况：本单位人员调整、人员退休，导致年末人数减少，其中行政人员减少13人，非参公事业人员增加9人。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培训费支出情况：培训费支出2.69万元，比上年增加1.89万元，主要是四上规模企业统计员培训人数增加。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机关运行经费情况：机关运行经费104.21万元，比上年增加52.14万元，主要是工作量增加，新项目启动，人员调整等原因导致公用经费开支增加。</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06" w:firstLineChars="0"/>
        <w:jc w:val="left"/>
        <w:rPr>
          <w:rFonts w:hint="eastAsia"/>
          <w:lang w:val="en-US" w:eastAsia="zh-CN"/>
        </w:rPr>
      </w:pPr>
    </w:p>
    <w:p>
      <w:pPr>
        <w:bidi w:val="0"/>
        <w:ind w:firstLine="306"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p>
    <w:p>
      <w:pPr>
        <w:spacing w:after="0" w:line="70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000000"/>
          <w:sz w:val="44"/>
          <w:szCs w:val="44"/>
        </w:rPr>
        <w:t>部门整体支出绩效评价指标体系评分表</w:t>
      </w:r>
    </w:p>
    <w:tbl>
      <w:tblPr>
        <w:tblStyle w:val="5"/>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03"/>
        <w:gridCol w:w="1182"/>
        <w:gridCol w:w="6911"/>
        <w:gridCol w:w="3423"/>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blHeader/>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二级指标</w:t>
            </w:r>
          </w:p>
        </w:tc>
        <w:tc>
          <w:tcPr>
            <w:tcW w:w="8093" w:type="dxa"/>
            <w:gridSpan w:val="2"/>
            <w:tcBorders>
              <w:top w:val="single" w:color="000000" w:sz="4" w:space="0"/>
              <w:left w:val="single" w:color="000000"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三级指标</w:t>
            </w:r>
          </w:p>
        </w:tc>
        <w:tc>
          <w:tcPr>
            <w:tcW w:w="3423" w:type="dxa"/>
            <w:vMerge w:val="restart"/>
            <w:tcBorders>
              <w:top w:val="single" w:color="000000" w:sz="4" w:space="0"/>
              <w:left w:val="single" w:color="auto"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评分标准</w:t>
            </w:r>
          </w:p>
        </w:tc>
        <w:tc>
          <w:tcPr>
            <w:tcW w:w="1090" w:type="dxa"/>
            <w:vMerge w:val="restart"/>
            <w:tcBorders>
              <w:top w:val="single" w:color="000000" w:sz="4" w:space="0"/>
              <w:left w:val="single" w:color="auto"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blHeader/>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指标名称</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指标解释说明</w:t>
            </w:r>
          </w:p>
        </w:tc>
        <w:tc>
          <w:tcPr>
            <w:tcW w:w="3423" w:type="dxa"/>
            <w:vMerge w:val="continue"/>
            <w:tcBorders>
              <w:top w:val="single" w:color="000000" w:sz="4" w:space="0"/>
              <w:left w:val="single" w:color="auto" w:sz="4" w:space="0"/>
              <w:bottom w:val="single" w:color="000000" w:sz="4" w:space="0"/>
              <w:right w:val="single" w:color="auto" w:sz="4" w:space="0"/>
            </w:tcBorders>
            <w:vAlign w:val="center"/>
          </w:tcPr>
          <w:p>
            <w:pPr>
              <w:spacing w:after="0"/>
              <w:rPr>
                <w:rFonts w:ascii="宋体" w:hAnsi="宋体" w:eastAsia="宋体" w:cs="宋体"/>
              </w:rPr>
            </w:pPr>
          </w:p>
        </w:tc>
        <w:tc>
          <w:tcPr>
            <w:tcW w:w="1090" w:type="dxa"/>
            <w:vMerge w:val="continue"/>
            <w:tcBorders>
              <w:top w:val="single" w:color="000000" w:sz="4" w:space="0"/>
              <w:left w:val="single" w:color="auto" w:sz="4" w:space="0"/>
              <w:bottom w:val="single" w:color="000000" w:sz="4" w:space="0"/>
              <w:right w:val="single" w:color="auto" w:sz="4" w:space="0"/>
            </w:tcBorders>
            <w:vAlign w:val="center"/>
          </w:tcPr>
          <w:p>
            <w:pPr>
              <w:spacing w:after="0"/>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33" w:type="dxa"/>
            <w:vMerge w:val="restart"/>
            <w:tcBorders>
              <w:top w:val="single" w:color="000000" w:sz="4" w:space="0"/>
              <w:left w:val="single" w:color="000000" w:sz="4" w:space="0"/>
              <w:right w:val="single" w:color="000000" w:sz="4" w:space="0"/>
            </w:tcBorders>
          </w:tcPr>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投入（15分）</w:t>
            </w: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投入（15分）</w:t>
            </w:r>
          </w:p>
        </w:tc>
        <w:tc>
          <w:tcPr>
            <w:tcW w:w="803" w:type="dxa"/>
            <w:vMerge w:val="restart"/>
            <w:tcBorders>
              <w:top w:val="single" w:color="000000" w:sz="4" w:space="0"/>
              <w:left w:val="single" w:color="000000" w:sz="4" w:space="0"/>
              <w:right w:val="single" w:color="000000" w:sz="4" w:space="0"/>
            </w:tcBorders>
          </w:tcPr>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r>
              <w:rPr>
                <w:rFonts w:hint="eastAsia" w:ascii="宋体" w:hAnsi="宋体" w:eastAsia="宋体" w:cs="宋体"/>
              </w:rPr>
              <w:t>目标设定</w:t>
            </w:r>
          </w:p>
          <w:p>
            <w:pPr>
              <w:spacing w:after="0" w:line="68" w:lineRule="atLeast"/>
              <w:rPr>
                <w:rFonts w:ascii="宋体" w:hAnsi="宋体" w:eastAsia="宋体" w:cs="宋体"/>
              </w:rPr>
            </w:pPr>
            <w:r>
              <w:rPr>
                <w:rFonts w:hint="eastAsia" w:ascii="宋体" w:hAnsi="宋体" w:eastAsia="宋体" w:cs="宋体"/>
              </w:rPr>
              <w:t>（5分）</w:t>
            </w:r>
          </w:p>
        </w:tc>
        <w:tc>
          <w:tcPr>
            <w:tcW w:w="1182" w:type="dxa"/>
            <w:tcBorders>
              <w:top w:val="single" w:color="000000" w:sz="4" w:space="0"/>
              <w:left w:val="single" w:color="000000" w:sz="4" w:space="0"/>
              <w:bottom w:val="single" w:color="auto" w:sz="4" w:space="0"/>
              <w:right w:val="single" w:color="auto" w:sz="4" w:space="0"/>
            </w:tcBorders>
          </w:tcPr>
          <w:p>
            <w:pPr>
              <w:spacing w:after="0" w:line="68" w:lineRule="atLeast"/>
              <w:rPr>
                <w:rFonts w:ascii="宋体" w:hAnsi="宋体" w:eastAsia="宋体" w:cs="宋体"/>
              </w:rPr>
            </w:pPr>
            <w:r>
              <w:rPr>
                <w:rFonts w:hint="eastAsia" w:ascii="宋体" w:hAnsi="宋体" w:eastAsia="宋体" w:cs="宋体"/>
              </w:rPr>
              <w:t>职责明确（1分）</w:t>
            </w:r>
          </w:p>
        </w:tc>
        <w:tc>
          <w:tcPr>
            <w:tcW w:w="6911" w:type="dxa"/>
            <w:tcBorders>
              <w:top w:val="single" w:color="000000" w:sz="4" w:space="0"/>
              <w:left w:val="single" w:color="auto" w:sz="4" w:space="0"/>
              <w:bottom w:val="single" w:color="auto" w:sz="4" w:space="0"/>
              <w:right w:val="single" w:color="auto" w:sz="4" w:space="0"/>
            </w:tcBorders>
          </w:tcPr>
          <w:p>
            <w:pPr>
              <w:spacing w:after="0" w:line="68" w:lineRule="atLeast"/>
              <w:rPr>
                <w:rFonts w:ascii="宋体" w:hAnsi="宋体" w:eastAsia="宋体" w:cs="宋体"/>
              </w:rPr>
            </w:pPr>
            <w:r>
              <w:rPr>
                <w:rFonts w:hint="eastAsia" w:ascii="宋体" w:hAnsi="宋体" w:eastAsia="宋体" w:cs="宋体"/>
              </w:rPr>
              <w:t>部门的职责设定是否符合“三定”方案中所赋予的职责和年度承担的重点工作，用以反映和评价部门工作的目的性与计划性。</w:t>
            </w:r>
          </w:p>
        </w:tc>
        <w:tc>
          <w:tcPr>
            <w:tcW w:w="3423" w:type="dxa"/>
            <w:tcBorders>
              <w:top w:val="single" w:color="000000" w:sz="4" w:space="0"/>
              <w:left w:val="single" w:color="auto" w:sz="4" w:space="0"/>
              <w:bottom w:val="single" w:color="auto" w:sz="4" w:space="0"/>
              <w:right w:val="single" w:color="auto" w:sz="4" w:space="0"/>
            </w:tcBorders>
          </w:tcPr>
          <w:p>
            <w:pPr>
              <w:spacing w:after="0" w:line="240" w:lineRule="exact"/>
              <w:rPr>
                <w:rFonts w:ascii="宋体" w:hAnsi="宋体" w:eastAsia="宋体" w:cs="宋体"/>
              </w:rPr>
            </w:pPr>
            <w:r>
              <w:rPr>
                <w:rFonts w:hint="eastAsia" w:ascii="宋体" w:hAnsi="宋体" w:eastAsia="宋体" w:cs="宋体"/>
              </w:rPr>
              <w:t>符合（1分）；</w:t>
            </w:r>
          </w:p>
          <w:p>
            <w:pPr>
              <w:spacing w:after="0" w:line="68" w:lineRule="atLeast"/>
              <w:rPr>
                <w:rFonts w:ascii="宋体" w:hAnsi="宋体" w:eastAsia="宋体" w:cs="宋体"/>
              </w:rPr>
            </w:pPr>
            <w:r>
              <w:rPr>
                <w:rFonts w:hint="eastAsia" w:ascii="宋体" w:hAnsi="宋体" w:eastAsia="宋体" w:cs="宋体"/>
              </w:rPr>
              <w:t>不符合（0分）。</w:t>
            </w:r>
          </w:p>
        </w:tc>
        <w:tc>
          <w:tcPr>
            <w:tcW w:w="1090" w:type="dxa"/>
            <w:tcBorders>
              <w:top w:val="single" w:color="000000" w:sz="4" w:space="0"/>
              <w:left w:val="single" w:color="auto" w:sz="4" w:space="0"/>
              <w:bottom w:val="single" w:color="auto" w:sz="4" w:space="0"/>
              <w:right w:val="single" w:color="000000" w:sz="4" w:space="0"/>
            </w:tcBorders>
            <w:vAlign w:val="top"/>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活动合规性（1分）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部门的活动是否在职责范围之内并符合部门中长期规划，用以反映和评价部门活动目标与部门履职、年度工作任务的相符性情况。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1.部门活动的设定在部门所确定的职责范围之内；</w:t>
            </w:r>
          </w:p>
          <w:p>
            <w:pPr>
              <w:spacing w:after="0" w:line="68" w:lineRule="atLeast"/>
              <w:rPr>
                <w:rFonts w:ascii="宋体" w:hAnsi="宋体" w:eastAsia="宋体" w:cs="宋体"/>
              </w:rPr>
            </w:pPr>
            <w:r>
              <w:rPr>
                <w:rFonts w:hint="eastAsia" w:ascii="宋体" w:hAnsi="宋体" w:eastAsia="宋体" w:cs="宋体"/>
              </w:rPr>
              <w:t>2.部门活动符合市委、市政府的发展规划及本部门的年度工作安排与发展规划。</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全部符合（1分）；</w:t>
            </w:r>
          </w:p>
          <w:p>
            <w:pPr>
              <w:spacing w:after="0" w:line="68" w:lineRule="atLeast"/>
              <w:rPr>
                <w:rFonts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活动合理性（1分）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部门所设立的活动是否明确合理、活动的关键性指标设置是否可衡量，用以反映和评价部门活动目标设定的合理性。</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1.活动目标的设定是可量化的，可通过清晰、可衡量的关键指标值予以体现；</w:t>
            </w:r>
          </w:p>
          <w:p>
            <w:pPr>
              <w:spacing w:after="0" w:line="68" w:lineRule="atLeast"/>
              <w:rPr>
                <w:rFonts w:ascii="宋体" w:hAnsi="宋体" w:eastAsia="宋体" w:cs="宋体"/>
              </w:rPr>
            </w:pPr>
            <w:r>
              <w:rPr>
                <w:rFonts w:hint="eastAsia" w:ascii="宋体" w:hAnsi="宋体" w:eastAsia="宋体" w:cs="宋体"/>
              </w:rPr>
              <w:t>2.在活动目标设定时，将关键指标明细分解为具体的达成目标与工作任务。</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全部符合（1分）；</w:t>
            </w:r>
          </w:p>
          <w:p>
            <w:pPr>
              <w:spacing w:after="0" w:line="68" w:lineRule="atLeast"/>
              <w:rPr>
                <w:rFonts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目标覆盖率（1分）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部门年度申报绩效目标项目资金额与部门项目预算资金总额的比率，用以反映部门落实财政部门绩效目标申报要求的资金覆盖情况。</w:t>
            </w:r>
          </w:p>
          <w:p>
            <w:pPr>
              <w:spacing w:after="0" w:line="240" w:lineRule="exact"/>
              <w:rPr>
                <w:rFonts w:ascii="宋体" w:hAnsi="宋体" w:eastAsia="宋体" w:cs="宋体"/>
              </w:rPr>
            </w:pPr>
            <w:r>
              <w:rPr>
                <w:rFonts w:hint="eastAsia" w:ascii="宋体" w:hAnsi="宋体" w:eastAsia="宋体" w:cs="宋体"/>
              </w:rPr>
              <w:t>覆盖率=实际申报绩效目标项目资金总额/部门项目预算资金总额×100%</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达到目标值得1分，未达到目标值采用完成比率法计分：得分=覆盖率/目标值×1，超过目标值不加分。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目标管理创新（1分）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部门编报整体绩效目标和申报项目绩效目标的数量超过规定的要求。用以反映和考核部门绩效目标管理创新工作情况。</w:t>
            </w:r>
          </w:p>
          <w:p>
            <w:pPr>
              <w:spacing w:after="0" w:line="240" w:lineRule="exact"/>
              <w:rPr>
                <w:rFonts w:ascii="宋体" w:hAnsi="宋体" w:eastAsia="宋体" w:cs="宋体"/>
              </w:rPr>
            </w:pPr>
            <w:r>
              <w:rPr>
                <w:rFonts w:hint="eastAsia" w:ascii="宋体" w:hAnsi="宋体" w:eastAsia="宋体" w:cs="宋体"/>
              </w:rPr>
              <w:t>项目绩效目标创新=部门绩效目标编报数量-按财政部门要求的绩效目标填报数量</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每超过1项得0.1分，满分1分。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预算配置(10分)</w:t>
            </w: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财政供养人员控制率（3分）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部门本年度实际在职人员数与编制数的比率，用以反映和评价部门对人员成本的控制程度。</w:t>
            </w:r>
          </w:p>
          <w:p>
            <w:pPr>
              <w:spacing w:after="0" w:line="240" w:lineRule="exact"/>
              <w:rPr>
                <w:rFonts w:ascii="宋体" w:hAnsi="宋体" w:eastAsia="宋体" w:cs="宋体"/>
              </w:rPr>
            </w:pPr>
            <w:r>
              <w:rPr>
                <w:rFonts w:hint="eastAsia" w:ascii="宋体" w:hAnsi="宋体" w:eastAsia="宋体" w:cs="宋体"/>
              </w:rPr>
              <w:t>在职人员控制率=（在职人员数/编制数）×100%。</w:t>
            </w:r>
          </w:p>
          <w:p>
            <w:pPr>
              <w:spacing w:after="0" w:line="240" w:lineRule="exact"/>
              <w:rPr>
                <w:rFonts w:ascii="宋体" w:hAnsi="宋体" w:eastAsia="宋体" w:cs="宋体"/>
              </w:rPr>
            </w:pPr>
            <w:r>
              <w:rPr>
                <w:rFonts w:hint="eastAsia" w:ascii="宋体" w:hAnsi="宋体" w:eastAsia="宋体" w:cs="宋体"/>
              </w:rPr>
              <w:t>在职人员数：部门实际在职人数，以财政部确定的部门决算编制口径为准，由编制部门和人劳部门批复同意的临聘人员除外。</w:t>
            </w:r>
          </w:p>
          <w:p>
            <w:pPr>
              <w:spacing w:after="0" w:line="68" w:lineRule="atLeast"/>
              <w:rPr>
                <w:rFonts w:ascii="宋体" w:hAnsi="宋体" w:eastAsia="宋体" w:cs="宋体"/>
              </w:rPr>
            </w:pPr>
            <w:r>
              <w:rPr>
                <w:rFonts w:hint="eastAsia" w:ascii="宋体" w:hAnsi="宋体" w:eastAsia="宋体" w:cs="宋体"/>
              </w:rPr>
              <w:t>编制数：机构编制部门核定批复的部门人员编制数。</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目标值≤100%；达到目标值得3分，每超出1人扣0.1分，扣完为止。</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“三公经费”变动率（4分）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部门本年度“三公经费”预算数与上年度“三公经费”预算数的变动比率，用以反映和考核部门对控制重点行政成本的努力程度。</w:t>
            </w:r>
          </w:p>
          <w:p>
            <w:pPr>
              <w:spacing w:after="0" w:line="240" w:lineRule="exact"/>
              <w:rPr>
                <w:rFonts w:ascii="宋体" w:hAnsi="宋体" w:eastAsia="宋体" w:cs="宋体"/>
              </w:rPr>
            </w:pPr>
            <w:r>
              <w:rPr>
                <w:rFonts w:hint="eastAsia" w:ascii="宋体" w:hAnsi="宋体" w:eastAsia="宋体" w:cs="宋体"/>
              </w:rPr>
              <w:t>“三公经费”变动率=〔（本年度“三公经费”总额-上年度“三公经费”总额）/上年度“三公经费”总额〕×100%</w:t>
            </w:r>
          </w:p>
          <w:p>
            <w:pPr>
              <w:spacing w:after="0" w:line="240" w:lineRule="exact"/>
              <w:rPr>
                <w:rFonts w:ascii="宋体" w:hAnsi="宋体" w:eastAsia="宋体" w:cs="宋体"/>
              </w:rPr>
            </w:pPr>
            <w:r>
              <w:rPr>
                <w:rFonts w:hint="eastAsia" w:ascii="宋体" w:hAnsi="宋体" w:eastAsia="宋体" w:cs="宋体"/>
              </w:rPr>
              <w:t>“三公经费”：年度预算安排的因公出国（境）费、公务车辆购置及运行费和公务招待费。</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目标值≤0；达到目标值得4分，未达到目标值的采用比率扣分法：扣分值=“三公经费”变动率×4×10，变动率达10%以上的扣4分。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3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重点支出安排率（3分）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部门（单位）本年度预算安排的重点项目支出与部门项目总支出的比率，用以反映和考核部门（单位）对履行主要职责或完成重点任务的保障程度。重点支出安排率=（重点项目支出/项目总支出）×100%。</w:t>
            </w:r>
          </w:p>
          <w:p>
            <w:pPr>
              <w:spacing w:after="0" w:line="240" w:lineRule="exact"/>
              <w:rPr>
                <w:rFonts w:ascii="宋体" w:hAnsi="宋体" w:eastAsia="宋体" w:cs="宋体"/>
              </w:rPr>
            </w:pPr>
            <w:r>
              <w:rPr>
                <w:rFonts w:hint="eastAsia" w:ascii="宋体" w:hAnsi="宋体" w:eastAsia="宋体" w:cs="宋体"/>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spacing w:after="0" w:line="240" w:lineRule="exact"/>
              <w:rPr>
                <w:rFonts w:ascii="宋体" w:hAnsi="宋体" w:eastAsia="宋体" w:cs="宋体"/>
              </w:rPr>
            </w:pPr>
            <w:r>
              <w:rPr>
                <w:rFonts w:hint="eastAsia" w:ascii="宋体" w:hAnsi="宋体" w:eastAsia="宋体" w:cs="宋体"/>
              </w:rPr>
              <w:t>项目总支出：部门（单位）年度预算安排的项目支出总额。</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目标值≥70%；以3分为上限，采用完成比率法计分：得分=重点支出安排率/70%×100%×3，超出目标值不加分。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r>
              <w:rPr>
                <w:rFonts w:hint="eastAsia" w:ascii="宋体" w:hAnsi="宋体" w:eastAsia="宋体" w:cs="宋体"/>
              </w:rPr>
              <w:t>过程(55分)</w:t>
            </w: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r>
              <w:rPr>
                <w:rFonts w:hint="eastAsia" w:ascii="宋体" w:hAnsi="宋体" w:eastAsia="宋体" w:cs="宋体"/>
              </w:rPr>
              <w:t>过程(55分)</w:t>
            </w: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r>
              <w:rPr>
                <w:rFonts w:hint="eastAsia" w:ascii="宋体" w:hAnsi="宋体" w:eastAsia="宋体" w:cs="宋体"/>
              </w:rPr>
              <w:t>过程(55分)</w:t>
            </w: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jc w:val="center"/>
              <w:rPr>
                <w:rFonts w:ascii="宋体" w:hAnsi="宋体" w:eastAsia="宋体" w:cs="宋体"/>
              </w:rPr>
            </w:pPr>
            <w:r>
              <w:rPr>
                <w:rFonts w:hint="eastAsia" w:ascii="宋体" w:hAnsi="宋体" w:eastAsia="宋体" w:cs="宋体"/>
              </w:rPr>
              <w:t>过程(55分)</w:t>
            </w:r>
          </w:p>
          <w:p>
            <w:pPr>
              <w:spacing w:after="0" w:line="68" w:lineRule="atLeast"/>
              <w:rPr>
                <w:rFonts w:ascii="宋体" w:hAnsi="宋体" w:eastAsia="宋体" w:cs="宋体"/>
              </w:rPr>
            </w:pP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预算执行(27分)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预算完成率（3分）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通过对部门本年度预算完成数与预算数的比较，反映和评价部门预算的完成程度。</w:t>
            </w:r>
          </w:p>
          <w:p>
            <w:pPr>
              <w:spacing w:after="0" w:line="68" w:lineRule="atLeast"/>
              <w:rPr>
                <w:rFonts w:ascii="宋体" w:hAnsi="宋体" w:eastAsia="宋体" w:cs="宋体"/>
              </w:rPr>
            </w:pPr>
            <w:r>
              <w:rPr>
                <w:rFonts w:hint="eastAsia" w:ascii="宋体" w:hAnsi="宋体" w:eastAsia="宋体" w:cs="宋体"/>
              </w:rPr>
              <w:t>预算完成率=（预算完成数/预算数）×100%。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目标值≥100%；</w:t>
            </w:r>
          </w:p>
          <w:p>
            <w:pPr>
              <w:spacing w:after="0" w:line="68" w:lineRule="atLeast"/>
              <w:rPr>
                <w:rFonts w:ascii="宋体" w:hAnsi="宋体" w:eastAsia="宋体" w:cs="宋体"/>
              </w:rPr>
            </w:pPr>
            <w:r>
              <w:rPr>
                <w:rFonts w:hint="eastAsia" w:ascii="宋体" w:hAnsi="宋体" w:eastAsia="宋体" w:cs="宋体"/>
              </w:rPr>
              <w:t>达到目标值的得3分；</w:t>
            </w:r>
          </w:p>
          <w:p>
            <w:pPr>
              <w:spacing w:after="0" w:line="68" w:lineRule="atLeast"/>
              <w:rPr>
                <w:rFonts w:ascii="宋体" w:hAnsi="宋体" w:eastAsia="宋体" w:cs="宋体"/>
              </w:rPr>
            </w:pPr>
            <w:r>
              <w:rPr>
                <w:rFonts w:hint="eastAsia" w:ascii="宋体" w:hAnsi="宋体" w:eastAsia="宋体" w:cs="宋体"/>
              </w:rPr>
              <w:t>100%＞结果≥90%，得3分；</w:t>
            </w:r>
          </w:p>
          <w:p>
            <w:pPr>
              <w:spacing w:after="0" w:line="68" w:lineRule="atLeast"/>
              <w:rPr>
                <w:rFonts w:ascii="宋体" w:hAnsi="宋体" w:eastAsia="宋体" w:cs="宋体"/>
              </w:rPr>
            </w:pPr>
            <w:r>
              <w:rPr>
                <w:rFonts w:hint="eastAsia" w:ascii="宋体" w:hAnsi="宋体" w:eastAsia="宋体" w:cs="宋体"/>
              </w:rPr>
              <w:t>90%＞结果≥80%，得1分；</w:t>
            </w:r>
          </w:p>
          <w:p>
            <w:pPr>
              <w:spacing w:after="0" w:line="68" w:lineRule="atLeast"/>
              <w:rPr>
                <w:rFonts w:ascii="宋体" w:hAnsi="宋体" w:eastAsia="宋体" w:cs="宋体"/>
              </w:rPr>
            </w:pPr>
            <w:r>
              <w:rPr>
                <w:rFonts w:hint="eastAsia" w:ascii="宋体" w:hAnsi="宋体" w:eastAsia="宋体" w:cs="宋体"/>
              </w:rPr>
              <w:t>结果＜80%得0分。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预算调整率（3分）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部门本年度预算调整数与预算数的比率，用以反映和评价部门预算的调整程度。</w:t>
            </w:r>
          </w:p>
          <w:p>
            <w:pPr>
              <w:spacing w:after="0" w:line="68" w:lineRule="atLeast"/>
              <w:rPr>
                <w:rFonts w:ascii="宋体" w:hAnsi="宋体" w:eastAsia="宋体" w:cs="宋体"/>
              </w:rPr>
            </w:pPr>
            <w:r>
              <w:rPr>
                <w:rFonts w:hint="eastAsia" w:ascii="宋体" w:hAnsi="宋体" w:eastAsia="宋体" w:cs="宋体"/>
              </w:rPr>
              <w:t>预算调整率=（预算调整数/预算数）×100%。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目标值为10%；达到目标值得3分，未达到目标值的每增加0.1个百分点扣0.1分，扣完为止。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color w:val="000000"/>
              </w:rPr>
              <w:t>支付进度率</w:t>
            </w:r>
            <w:r>
              <w:rPr>
                <w:rFonts w:hint="eastAsia" w:ascii="宋体" w:hAnsi="宋体" w:eastAsia="宋体" w:cs="宋体"/>
              </w:rPr>
              <w:t>（6分）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部门年度支付数与年度预算（调整）数的比率，用以反映和评价部门预算执行的及时和均衡程度。</w:t>
            </w:r>
          </w:p>
          <w:p>
            <w:pPr>
              <w:spacing w:after="0" w:line="240" w:lineRule="exact"/>
              <w:rPr>
                <w:rFonts w:ascii="宋体" w:hAnsi="宋体" w:eastAsia="宋体" w:cs="宋体"/>
              </w:rPr>
            </w:pPr>
            <w:r>
              <w:rPr>
                <w:rFonts w:hint="eastAsia" w:ascii="宋体" w:hAnsi="宋体" w:eastAsia="宋体" w:cs="宋体"/>
              </w:rPr>
              <w:t>半年支付进度=部门上半年实际支出÷（上年结余结转+本年部门预算安排+上半年执行中追加追减）×100%</w:t>
            </w:r>
          </w:p>
          <w:p>
            <w:pPr>
              <w:spacing w:after="0" w:line="240" w:lineRule="exact"/>
              <w:rPr>
                <w:rFonts w:ascii="宋体" w:hAnsi="宋体" w:eastAsia="宋体" w:cs="宋体"/>
              </w:rPr>
            </w:pPr>
            <w:r>
              <w:rPr>
                <w:rFonts w:hint="eastAsia" w:ascii="宋体" w:hAnsi="宋体" w:eastAsia="宋体" w:cs="宋体"/>
              </w:rPr>
              <w:t>全年支付进度=部门全年实际支出÷（上年结余结转+本年部门预算安排+全年执行中追加追减）×100%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半年进度：结果≥50%，得2分；50%＞结果≥40%，得1分；结果＜40%，得0分。</w:t>
            </w:r>
          </w:p>
          <w:p>
            <w:pPr>
              <w:spacing w:after="0" w:line="240" w:lineRule="exact"/>
              <w:rPr>
                <w:rFonts w:ascii="宋体" w:hAnsi="宋体" w:eastAsia="宋体" w:cs="宋体"/>
              </w:rPr>
            </w:pPr>
            <w:r>
              <w:rPr>
                <w:rFonts w:hint="eastAsia" w:ascii="宋体" w:hAnsi="宋体" w:eastAsia="宋体" w:cs="宋体"/>
              </w:rPr>
              <w:t>全年进度：结果≥100%，得4分；100%＞结果≥95%，得3分；95%＞结果≥90%，得2分；90%＞结果≥85%，得2分；结果＜85%，得0分。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结转结余率（3分）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通过对部门本年度结转结余总额与支出预算数的比较，反映和评价部门对本年度结转结余资金的实际控制程度。</w:t>
            </w:r>
          </w:p>
          <w:p>
            <w:pPr>
              <w:spacing w:after="0" w:line="240" w:lineRule="exact"/>
              <w:rPr>
                <w:rFonts w:ascii="宋体" w:hAnsi="宋体" w:eastAsia="宋体" w:cs="宋体"/>
              </w:rPr>
            </w:pPr>
            <w:r>
              <w:rPr>
                <w:rFonts w:hint="eastAsia" w:ascii="宋体" w:hAnsi="宋体" w:eastAsia="宋体" w:cs="宋体"/>
              </w:rPr>
              <w:t>结转结余率=（结转结余总额/支出预算数）×100%。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结转结余变动率(3分）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部门本年度结转结余资金总额与上年度结转结余资金总额的变动比率，用以反映和考核部门对控制结转结余资金的努力程度。</w:t>
            </w:r>
          </w:p>
          <w:p>
            <w:pPr>
              <w:spacing w:after="0" w:line="240" w:lineRule="exact"/>
              <w:rPr>
                <w:rFonts w:ascii="宋体" w:hAnsi="宋体" w:eastAsia="宋体" w:cs="宋体"/>
              </w:rPr>
            </w:pPr>
            <w:r>
              <w:rPr>
                <w:rFonts w:hint="eastAsia" w:ascii="宋体" w:hAnsi="宋体" w:eastAsia="宋体" w:cs="宋体"/>
              </w:rPr>
              <w:t>结转结余变动率=〔（本年度累计结转结余资金总额-上年度累计结转结余资金总额）/上年度累计结转结余资金总额〕×100%。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目标值为≤0%；达到目标值得3分，未达到目标值的采用比率扣分法：扣分值=结转结余变动率×2×10，变动率达10%以上的扣2分。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rPr>
                <w:rFonts w:ascii="宋体" w:hAnsi="宋体" w:eastAsia="宋体" w:cs="宋体"/>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公用经费控制率（3分）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通过对部门本年度实际支出的公用经费总额与预算安排的公用经费总额的比率，反映和评价部门对机构运转成本的实际控制程度。</w:t>
            </w:r>
          </w:p>
          <w:p>
            <w:pPr>
              <w:spacing w:after="0" w:line="240" w:lineRule="exact"/>
              <w:rPr>
                <w:rFonts w:ascii="宋体" w:hAnsi="宋体" w:eastAsia="宋体" w:cs="宋体"/>
              </w:rPr>
            </w:pPr>
            <w:r>
              <w:rPr>
                <w:rFonts w:hint="eastAsia" w:ascii="宋体" w:hAnsi="宋体" w:eastAsia="宋体" w:cs="宋体"/>
              </w:rPr>
              <w:t>公用经费控制率=（实际支出公用经费总额/预算安排公用经费总额）×100%。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“三公经费”控制率（3分）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部门（单位）本年度“三公经费”实际支出数与预算安排数的比率，用以反映和考核部门（单位）对“三公经费”的实际控制程度。</w:t>
            </w:r>
          </w:p>
          <w:p>
            <w:pPr>
              <w:spacing w:after="0" w:line="240" w:lineRule="exact"/>
              <w:rPr>
                <w:rFonts w:ascii="宋体" w:hAnsi="宋体" w:eastAsia="宋体" w:cs="宋体"/>
              </w:rPr>
            </w:pPr>
            <w:r>
              <w:rPr>
                <w:rFonts w:hint="eastAsia" w:ascii="宋体" w:hAnsi="宋体" w:eastAsia="宋体" w:cs="宋体"/>
              </w:rPr>
              <w:t>“三公经费”控制率=（“三公经费”实际支出/“三公经费”预算安排数）×100%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rPr>
                <w:rFonts w:ascii="宋体" w:hAnsi="宋体" w:eastAsia="宋体" w:cs="宋体"/>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政府采购执行率（3分）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通过对部门本年度实际政府采购预算项目个数与政府采购预算项目个数的比较，反映和评价部门政府采购预算执行情况。</w:t>
            </w:r>
          </w:p>
          <w:p>
            <w:pPr>
              <w:spacing w:after="0" w:line="240" w:lineRule="exact"/>
              <w:rPr>
                <w:rFonts w:ascii="宋体" w:hAnsi="宋体" w:eastAsia="宋体" w:cs="宋体"/>
              </w:rPr>
            </w:pPr>
            <w:r>
              <w:rPr>
                <w:rFonts w:hint="eastAsia" w:ascii="宋体" w:hAnsi="宋体" w:eastAsia="宋体" w:cs="宋体"/>
              </w:rPr>
              <w:t>政府采购执行率=（实际政府采购预算项目个数/政府采购预算项目个数）×100%。</w:t>
            </w:r>
          </w:p>
          <w:p>
            <w:pPr>
              <w:spacing w:after="0" w:line="240" w:lineRule="exact"/>
              <w:rPr>
                <w:rFonts w:ascii="宋体" w:hAnsi="宋体" w:eastAsia="宋体" w:cs="宋体"/>
              </w:rPr>
            </w:pPr>
            <w:r>
              <w:rPr>
                <w:rFonts w:hint="eastAsia" w:ascii="宋体" w:hAnsi="宋体" w:eastAsia="宋体" w:cs="宋体"/>
              </w:rPr>
              <w:t>政府采购项目中非预算内安排的项目除外。</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目标值为100%；以3分为上限，采用完成比率法计分：得分=政府采购执行率×3。</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pPr>
              <w:spacing w:after="0" w:line="240" w:lineRule="exact"/>
              <w:jc w:val="center"/>
              <w:rPr>
                <w:rFonts w:ascii="宋体" w:hAnsi="宋体" w:eastAsia="宋体" w:cs="宋体"/>
              </w:rPr>
            </w:pPr>
            <w:r>
              <w:rPr>
                <w:rFonts w:hint="eastAsia" w:ascii="宋体" w:hAnsi="宋体" w:eastAsia="宋体" w:cs="宋体"/>
              </w:rPr>
              <w:t>预算管理</w:t>
            </w:r>
          </w:p>
          <w:p>
            <w:pPr>
              <w:spacing w:after="0" w:line="68" w:lineRule="atLeast"/>
              <w:jc w:val="center"/>
              <w:rPr>
                <w:rFonts w:ascii="宋体" w:hAnsi="宋体" w:eastAsia="宋体" w:cs="宋体"/>
              </w:rPr>
            </w:pPr>
            <w:r>
              <w:rPr>
                <w:rFonts w:hint="eastAsia" w:ascii="宋体" w:hAnsi="宋体" w:eastAsia="宋体" w:cs="宋体"/>
              </w:rPr>
              <w:t>（18分）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管理制度健全性</w:t>
            </w:r>
          </w:p>
          <w:p>
            <w:pPr>
              <w:spacing w:after="0" w:line="240" w:lineRule="exact"/>
              <w:rPr>
                <w:rFonts w:ascii="宋体" w:hAnsi="宋体" w:eastAsia="宋体" w:cs="宋体"/>
              </w:rPr>
            </w:pPr>
            <w:r>
              <w:rPr>
                <w:rFonts w:hint="eastAsia" w:ascii="宋体" w:hAnsi="宋体" w:eastAsia="宋体" w:cs="宋体"/>
              </w:rPr>
              <w:t>（2分）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部门为加强预算管理，规范财务行为而制定的管理制度是否健全完整，用以反映和考核部门预算管理制度对完成主要职责或促进事业发展的保障情况。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1．是否已制定或具有预算资金管理办法、内部财务管理制度、会计核算制度等管理制度；</w:t>
            </w:r>
          </w:p>
          <w:p>
            <w:pPr>
              <w:spacing w:after="0" w:line="240" w:lineRule="exact"/>
              <w:rPr>
                <w:rFonts w:ascii="宋体" w:hAnsi="宋体" w:eastAsia="宋体" w:cs="宋体"/>
              </w:rPr>
            </w:pPr>
            <w:r>
              <w:rPr>
                <w:rFonts w:hint="eastAsia" w:ascii="宋体" w:hAnsi="宋体" w:eastAsia="宋体" w:cs="宋体"/>
              </w:rPr>
              <w:t>2.相关管理制度是否合法、合规、完整；</w:t>
            </w:r>
          </w:p>
          <w:p>
            <w:pPr>
              <w:spacing w:after="0" w:line="240" w:lineRule="exact"/>
              <w:rPr>
                <w:rFonts w:ascii="宋体" w:hAnsi="宋体" w:eastAsia="宋体" w:cs="宋体"/>
              </w:rPr>
            </w:pPr>
            <w:r>
              <w:rPr>
                <w:rFonts w:hint="eastAsia" w:ascii="宋体" w:hAnsi="宋体" w:eastAsia="宋体" w:cs="宋体"/>
              </w:rPr>
              <w:t>3.相关管理制度是否得到有效执行。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全部符合（2分）；</w:t>
            </w:r>
          </w:p>
          <w:p>
            <w:pPr>
              <w:spacing w:after="0" w:line="240" w:lineRule="exact"/>
              <w:rPr>
                <w:rFonts w:ascii="宋体" w:hAnsi="宋体" w:eastAsia="宋体" w:cs="宋体"/>
              </w:rPr>
            </w:pPr>
            <w:r>
              <w:rPr>
                <w:rFonts w:hint="eastAsia" w:ascii="宋体" w:hAnsi="宋体" w:eastAsia="宋体" w:cs="宋体"/>
              </w:rPr>
              <w:t>符合其中两项（1分）</w:t>
            </w:r>
          </w:p>
          <w:p>
            <w:pPr>
              <w:spacing w:after="0" w:line="240" w:lineRule="exac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rPr>
                <w:rFonts w:ascii="宋体" w:hAnsi="宋体" w:eastAsia="宋体" w:cs="宋体"/>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line="68" w:lineRule="atLeast"/>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资金使用合规性</w:t>
            </w:r>
          </w:p>
          <w:p>
            <w:pPr>
              <w:spacing w:after="0" w:line="68" w:lineRule="atLeast"/>
              <w:rPr>
                <w:rFonts w:ascii="宋体" w:hAnsi="宋体" w:eastAsia="宋体" w:cs="宋体"/>
              </w:rPr>
            </w:pPr>
            <w:r>
              <w:rPr>
                <w:rFonts w:hint="eastAsia" w:ascii="宋体" w:hAnsi="宋体" w:eastAsia="宋体" w:cs="宋体"/>
              </w:rPr>
              <w:t>（9分）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部门使用预算资金是否符合相关的预算财务管理制度的规定，反映和评价部门预算资金的规范运行情况。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1.符合国家财经法规和财务管理制度规定以及有关部门资金管理办法的规定；</w:t>
            </w:r>
          </w:p>
          <w:p>
            <w:pPr>
              <w:spacing w:after="0" w:line="240" w:lineRule="exact"/>
              <w:rPr>
                <w:rFonts w:ascii="宋体" w:hAnsi="宋体" w:eastAsia="宋体" w:cs="宋体"/>
              </w:rPr>
            </w:pPr>
            <w:r>
              <w:rPr>
                <w:rFonts w:hint="eastAsia" w:ascii="宋体" w:hAnsi="宋体" w:eastAsia="宋体" w:cs="宋体"/>
              </w:rPr>
              <w:t>2.资金的拨付有完整的审批过程和手续；</w:t>
            </w:r>
          </w:p>
          <w:p>
            <w:pPr>
              <w:spacing w:after="0" w:line="240" w:lineRule="exact"/>
              <w:rPr>
                <w:rFonts w:ascii="宋体" w:hAnsi="宋体" w:eastAsia="宋体" w:cs="宋体"/>
              </w:rPr>
            </w:pPr>
            <w:r>
              <w:rPr>
                <w:rFonts w:hint="eastAsia" w:ascii="宋体" w:hAnsi="宋体" w:eastAsia="宋体" w:cs="宋体"/>
              </w:rPr>
              <w:t>3.项目的重大开支经过评估论证；</w:t>
            </w:r>
          </w:p>
          <w:p>
            <w:pPr>
              <w:spacing w:after="0" w:line="240" w:lineRule="exact"/>
              <w:rPr>
                <w:rFonts w:ascii="宋体" w:hAnsi="宋体" w:eastAsia="宋体" w:cs="宋体"/>
              </w:rPr>
            </w:pPr>
            <w:r>
              <w:rPr>
                <w:rFonts w:hint="eastAsia" w:ascii="宋体" w:hAnsi="宋体" w:eastAsia="宋体" w:cs="宋体"/>
              </w:rPr>
              <w:t>4.符合部门预算批复的用途；</w:t>
            </w:r>
          </w:p>
          <w:p>
            <w:pPr>
              <w:spacing w:after="0" w:line="240" w:lineRule="exact"/>
              <w:rPr>
                <w:rFonts w:ascii="宋体" w:hAnsi="宋体" w:eastAsia="宋体" w:cs="宋体"/>
              </w:rPr>
            </w:pPr>
            <w:r>
              <w:rPr>
                <w:rFonts w:hint="eastAsia" w:ascii="宋体" w:hAnsi="宋体" w:eastAsia="宋体" w:cs="宋体"/>
              </w:rPr>
              <w:t>5.不存在截留情况；6.不存在挤占情况；</w:t>
            </w:r>
          </w:p>
          <w:p>
            <w:pPr>
              <w:spacing w:after="0" w:line="240" w:lineRule="exact"/>
              <w:rPr>
                <w:rFonts w:ascii="宋体" w:hAnsi="宋体" w:eastAsia="宋体" w:cs="宋体"/>
              </w:rPr>
            </w:pPr>
            <w:r>
              <w:rPr>
                <w:rFonts w:hint="eastAsia" w:ascii="宋体" w:hAnsi="宋体" w:eastAsia="宋体" w:cs="宋体"/>
              </w:rPr>
              <w:t>7.不存在挪用情况；8.不存在虚列支出情况。</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全部符合（9分）；</w:t>
            </w:r>
          </w:p>
          <w:p>
            <w:pPr>
              <w:spacing w:after="0" w:line="240" w:lineRule="exact"/>
              <w:rPr>
                <w:rFonts w:ascii="宋体" w:hAnsi="宋体" w:eastAsia="宋体" w:cs="宋体"/>
              </w:rPr>
            </w:pPr>
            <w:r>
              <w:rPr>
                <w:rFonts w:hint="eastAsia" w:ascii="宋体" w:hAnsi="宋体" w:eastAsia="宋体" w:cs="宋体"/>
              </w:rPr>
              <w:t>符合其中七项（8分）；</w:t>
            </w:r>
          </w:p>
          <w:p>
            <w:pPr>
              <w:spacing w:after="0" w:line="240" w:lineRule="exact"/>
              <w:rPr>
                <w:rFonts w:ascii="宋体" w:hAnsi="宋体" w:eastAsia="宋体" w:cs="宋体"/>
              </w:rPr>
            </w:pPr>
            <w:r>
              <w:rPr>
                <w:rFonts w:hint="eastAsia" w:ascii="宋体" w:hAnsi="宋体" w:eastAsia="宋体" w:cs="宋体"/>
              </w:rPr>
              <w:t>符合其中六项（5分）；</w:t>
            </w:r>
          </w:p>
          <w:p>
            <w:pPr>
              <w:spacing w:after="0" w:line="240" w:lineRule="exact"/>
              <w:rPr>
                <w:rFonts w:ascii="宋体" w:hAnsi="宋体" w:eastAsia="宋体" w:cs="宋体"/>
              </w:rPr>
            </w:pPr>
            <w:r>
              <w:rPr>
                <w:rFonts w:hint="eastAsia" w:ascii="宋体" w:hAnsi="宋体" w:eastAsia="宋体" w:cs="宋体"/>
              </w:rPr>
              <w:t>符合其中五项（3分）；</w:t>
            </w:r>
          </w:p>
          <w:p>
            <w:pPr>
              <w:spacing w:after="0" w:line="68" w:lineRule="atLeast"/>
              <w:rPr>
                <w:rFonts w:ascii="宋体" w:hAnsi="宋体" w:eastAsia="宋体" w:cs="宋体"/>
              </w:rPr>
            </w:pPr>
            <w:r>
              <w:rPr>
                <w:rFonts w:hint="eastAsia" w:ascii="宋体" w:hAnsi="宋体" w:eastAsia="宋体" w:cs="宋体"/>
              </w:rPr>
              <w:t>符合其中四项及以下（0分）。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预决算信息公开性（3分）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部门是否按照政府信息公开有关规定公开相关预决算信息，用以反映和评价部门预决算管理的公开透明情况。</w:t>
            </w:r>
          </w:p>
          <w:p>
            <w:pPr>
              <w:spacing w:after="0" w:line="240" w:lineRule="exact"/>
              <w:rPr>
                <w:rFonts w:ascii="宋体" w:hAnsi="宋体" w:eastAsia="宋体" w:cs="宋体"/>
              </w:rPr>
            </w:pPr>
            <w:r>
              <w:rPr>
                <w:rFonts w:hint="eastAsia" w:ascii="宋体" w:hAnsi="宋体" w:eastAsia="宋体" w:cs="宋体"/>
              </w:rPr>
              <w:t>预决算信息是指与部门预算、执行、决算、监督、绩效等管理相关的信息。</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1.公开预决算信息；</w:t>
            </w:r>
          </w:p>
          <w:p>
            <w:pPr>
              <w:spacing w:after="0" w:line="240" w:lineRule="exact"/>
              <w:rPr>
                <w:rFonts w:ascii="宋体" w:hAnsi="宋体" w:eastAsia="宋体" w:cs="宋体"/>
              </w:rPr>
            </w:pPr>
            <w:r>
              <w:rPr>
                <w:rFonts w:hint="eastAsia" w:ascii="宋体" w:hAnsi="宋体" w:eastAsia="宋体" w:cs="宋体"/>
              </w:rPr>
              <w:t>2.按规定内容公开预决算信息；</w:t>
            </w:r>
          </w:p>
          <w:p>
            <w:pPr>
              <w:spacing w:after="0" w:line="68" w:lineRule="atLeast"/>
              <w:rPr>
                <w:rFonts w:ascii="宋体" w:hAnsi="宋体" w:eastAsia="宋体" w:cs="宋体"/>
              </w:rPr>
            </w:pPr>
            <w:r>
              <w:rPr>
                <w:rFonts w:hint="eastAsia" w:ascii="宋体" w:hAnsi="宋体" w:eastAsia="宋体" w:cs="宋体"/>
              </w:rPr>
              <w:t>3.按规定时限公开预决算信息。</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全部符合（3分）；</w:t>
            </w:r>
          </w:p>
          <w:p>
            <w:pPr>
              <w:spacing w:after="0" w:line="240" w:lineRule="exact"/>
              <w:rPr>
                <w:rFonts w:ascii="宋体" w:hAnsi="宋体" w:eastAsia="宋体" w:cs="宋体"/>
              </w:rPr>
            </w:pPr>
            <w:r>
              <w:rPr>
                <w:rFonts w:hint="eastAsia" w:ascii="宋体" w:hAnsi="宋体" w:eastAsia="宋体" w:cs="宋体"/>
              </w:rPr>
              <w:t>符合其中两项（2分）</w:t>
            </w:r>
          </w:p>
          <w:p>
            <w:pPr>
              <w:spacing w:after="0" w:line="68" w:lineRule="atLeas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color w:val="000000"/>
              </w:rPr>
            </w:pPr>
            <w:r>
              <w:rPr>
                <w:rFonts w:hint="eastAsia" w:ascii="宋体" w:hAnsi="宋体" w:eastAsia="宋体" w:cs="宋体"/>
                <w:color w:val="000000"/>
              </w:rPr>
              <w:t>基础信息完善性</w:t>
            </w:r>
          </w:p>
          <w:p>
            <w:pPr>
              <w:spacing w:after="0" w:line="68" w:lineRule="atLeast"/>
              <w:rPr>
                <w:rFonts w:ascii="宋体" w:hAnsi="宋体" w:eastAsia="宋体" w:cs="宋体"/>
              </w:rPr>
            </w:pPr>
            <w:r>
              <w:rPr>
                <w:rFonts w:hint="eastAsia" w:ascii="宋体" w:hAnsi="宋体" w:eastAsia="宋体" w:cs="宋体"/>
              </w:rPr>
              <w:t>（4分）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部门基础信息是否完善，用以反映和评价基础信息对预算管理工作的支撑情况。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1.基本财务管理制度健全；</w:t>
            </w:r>
          </w:p>
          <w:p>
            <w:pPr>
              <w:spacing w:after="0" w:line="240" w:lineRule="exact"/>
              <w:rPr>
                <w:rFonts w:ascii="宋体" w:hAnsi="宋体" w:eastAsia="宋体" w:cs="宋体"/>
              </w:rPr>
            </w:pPr>
            <w:r>
              <w:rPr>
                <w:rFonts w:hint="eastAsia" w:ascii="宋体" w:hAnsi="宋体" w:eastAsia="宋体" w:cs="宋体"/>
              </w:rPr>
              <w:t>2.基础数据信息和会计信息资料真实；</w:t>
            </w:r>
          </w:p>
          <w:p>
            <w:pPr>
              <w:spacing w:after="0" w:line="240" w:lineRule="exact"/>
              <w:rPr>
                <w:rFonts w:ascii="宋体" w:hAnsi="宋体" w:eastAsia="宋体" w:cs="宋体"/>
              </w:rPr>
            </w:pPr>
            <w:r>
              <w:rPr>
                <w:rFonts w:hint="eastAsia" w:ascii="宋体" w:hAnsi="宋体" w:eastAsia="宋体" w:cs="宋体"/>
              </w:rPr>
              <w:t>3.基础数据信息和会计信息资料完整；</w:t>
            </w:r>
          </w:p>
          <w:p>
            <w:pPr>
              <w:spacing w:after="0" w:line="68" w:lineRule="atLeast"/>
              <w:rPr>
                <w:rFonts w:ascii="宋体" w:hAnsi="宋体" w:eastAsia="宋体" w:cs="宋体"/>
              </w:rPr>
            </w:pPr>
            <w:r>
              <w:rPr>
                <w:rFonts w:hint="eastAsia" w:ascii="宋体" w:hAnsi="宋体" w:eastAsia="宋体" w:cs="宋体"/>
              </w:rPr>
              <w:t>4.基础数据信息和会计信息资料准确。</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符合全部四项（4分）；</w:t>
            </w:r>
          </w:p>
          <w:p>
            <w:pPr>
              <w:spacing w:after="0" w:line="240" w:lineRule="exact"/>
              <w:rPr>
                <w:rFonts w:ascii="宋体" w:hAnsi="宋体" w:eastAsia="宋体" w:cs="宋体"/>
              </w:rPr>
            </w:pPr>
            <w:r>
              <w:rPr>
                <w:rFonts w:hint="eastAsia" w:ascii="宋体" w:hAnsi="宋体" w:eastAsia="宋体" w:cs="宋体"/>
              </w:rPr>
              <w:t>符合其中三项（2分）；</w:t>
            </w:r>
          </w:p>
          <w:p>
            <w:pPr>
              <w:spacing w:after="0" w:line="240" w:lineRule="exact"/>
              <w:rPr>
                <w:rFonts w:ascii="宋体" w:hAnsi="宋体" w:eastAsia="宋体" w:cs="宋体"/>
              </w:rPr>
            </w:pPr>
            <w:r>
              <w:rPr>
                <w:rFonts w:hint="eastAsia" w:ascii="宋体" w:hAnsi="宋体" w:eastAsia="宋体" w:cs="宋体"/>
              </w:rPr>
              <w:t>符合其中两项（1分）；</w:t>
            </w:r>
          </w:p>
          <w:p>
            <w:pPr>
              <w:spacing w:after="0" w:line="68" w:lineRule="atLeas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restart"/>
            <w:tcBorders>
              <w:left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资产管理（8分）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color w:val="000000"/>
              </w:rPr>
            </w:pPr>
            <w:r>
              <w:rPr>
                <w:rFonts w:hint="eastAsia" w:ascii="宋体" w:hAnsi="宋体" w:eastAsia="宋体" w:cs="宋体"/>
                <w:color w:val="000000"/>
              </w:rPr>
              <w:t>管理制度健全性</w:t>
            </w:r>
          </w:p>
          <w:p>
            <w:pPr>
              <w:spacing w:after="0" w:line="68" w:lineRule="atLeast"/>
              <w:rPr>
                <w:rFonts w:ascii="宋体" w:hAnsi="宋体" w:eastAsia="宋体" w:cs="宋体"/>
                <w:color w:val="000000"/>
              </w:rPr>
            </w:pPr>
            <w:r>
              <w:rPr>
                <w:rFonts w:hint="eastAsia" w:ascii="宋体" w:hAnsi="宋体" w:eastAsia="宋体" w:cs="宋体"/>
                <w:color w:val="000000"/>
              </w:rPr>
              <w:t>（2分）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部门为加强资产管理、规范资产管理行为而制定的管理制度是否健全完整，用以反映和考核部门资产管理制度对完成主要职责或促进社会发展的保障情况。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1.是否已制定或具有资产管理制度；</w:t>
            </w:r>
          </w:p>
          <w:p>
            <w:pPr>
              <w:spacing w:after="0" w:line="240" w:lineRule="exact"/>
              <w:rPr>
                <w:rFonts w:ascii="宋体" w:hAnsi="宋体" w:eastAsia="宋体" w:cs="宋体"/>
              </w:rPr>
            </w:pPr>
            <w:r>
              <w:rPr>
                <w:rFonts w:hint="eastAsia" w:ascii="宋体" w:hAnsi="宋体" w:eastAsia="宋体" w:cs="宋体"/>
              </w:rPr>
              <w:t>2.相关资金管理制度是否合法、合规、完整；</w:t>
            </w:r>
          </w:p>
          <w:p>
            <w:pPr>
              <w:spacing w:after="0" w:line="240" w:lineRule="exact"/>
              <w:rPr>
                <w:rFonts w:ascii="宋体" w:hAnsi="宋体" w:eastAsia="宋体" w:cs="宋体"/>
              </w:rPr>
            </w:pPr>
            <w:r>
              <w:rPr>
                <w:rFonts w:hint="eastAsia" w:ascii="宋体" w:hAnsi="宋体" w:eastAsia="宋体" w:cs="宋体"/>
              </w:rPr>
              <w:t>3.相关资产管理制度是否得到有效执行。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全部符合（2分）；</w:t>
            </w:r>
          </w:p>
          <w:p>
            <w:pPr>
              <w:spacing w:after="0" w:line="240" w:lineRule="exact"/>
              <w:rPr>
                <w:rFonts w:ascii="宋体" w:hAnsi="宋体" w:eastAsia="宋体" w:cs="宋体"/>
              </w:rPr>
            </w:pPr>
            <w:r>
              <w:rPr>
                <w:rFonts w:hint="eastAsia" w:ascii="宋体" w:hAnsi="宋体" w:eastAsia="宋体" w:cs="宋体"/>
              </w:rPr>
              <w:t>符合其中两项（1分）</w:t>
            </w:r>
          </w:p>
          <w:p>
            <w:pPr>
              <w:spacing w:after="0" w:line="240" w:lineRule="exac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line="68" w:lineRule="atLeast"/>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资产管理完全性</w:t>
            </w:r>
          </w:p>
          <w:p>
            <w:pPr>
              <w:spacing w:after="0" w:line="68" w:lineRule="atLeast"/>
              <w:rPr>
                <w:rFonts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部门的资产是否保存完整、使用合规、收入及时足额上缴，用以反映和评价部门资产运行情况。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1.资产保存完整；</w:t>
            </w:r>
          </w:p>
          <w:p>
            <w:pPr>
              <w:spacing w:after="0" w:line="240" w:lineRule="exact"/>
              <w:rPr>
                <w:rFonts w:ascii="宋体" w:hAnsi="宋体" w:eastAsia="宋体" w:cs="宋体"/>
              </w:rPr>
            </w:pPr>
            <w:r>
              <w:rPr>
                <w:rFonts w:hint="eastAsia" w:ascii="宋体" w:hAnsi="宋体" w:eastAsia="宋体" w:cs="宋体"/>
              </w:rPr>
              <w:t>2.资产账务管理是否合规，帐实相符；</w:t>
            </w:r>
          </w:p>
          <w:p>
            <w:pPr>
              <w:spacing w:after="0" w:line="68" w:lineRule="atLeast"/>
              <w:rPr>
                <w:rFonts w:ascii="宋体" w:hAnsi="宋体" w:eastAsia="宋体" w:cs="宋体"/>
              </w:rPr>
            </w:pPr>
            <w:r>
              <w:rPr>
                <w:rFonts w:hint="eastAsia" w:ascii="宋体" w:hAnsi="宋体" w:eastAsia="宋体" w:cs="宋体"/>
              </w:rPr>
              <w:t>3.资产有偿使用及处置收入及时足额上缴。</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符合全部三项（3分）；</w:t>
            </w:r>
          </w:p>
          <w:p>
            <w:pPr>
              <w:spacing w:after="0" w:line="240" w:lineRule="exact"/>
              <w:rPr>
                <w:rFonts w:ascii="宋体" w:hAnsi="宋体" w:eastAsia="宋体" w:cs="宋体"/>
              </w:rPr>
            </w:pPr>
            <w:r>
              <w:rPr>
                <w:rFonts w:hint="eastAsia" w:ascii="宋体" w:hAnsi="宋体" w:eastAsia="宋体" w:cs="宋体"/>
              </w:rPr>
              <w:t>符合其中两项（2分）；</w:t>
            </w:r>
          </w:p>
          <w:p>
            <w:pPr>
              <w:spacing w:after="0" w:line="240" w:lineRule="exact"/>
              <w:rPr>
                <w:rFonts w:ascii="宋体" w:hAnsi="宋体" w:eastAsia="宋体" w:cs="宋体"/>
              </w:rPr>
            </w:pPr>
            <w:r>
              <w:rPr>
                <w:rFonts w:hint="eastAsia" w:ascii="宋体" w:hAnsi="宋体" w:eastAsia="宋体" w:cs="宋体"/>
              </w:rPr>
              <w:t>符合其中一项（1分）；</w:t>
            </w:r>
          </w:p>
          <w:p>
            <w:pPr>
              <w:spacing w:after="0" w:line="68" w:lineRule="atLeast"/>
              <w:rPr>
                <w:rFonts w:ascii="宋体" w:hAnsi="宋体" w:eastAsia="宋体" w:cs="宋体"/>
              </w:rPr>
            </w:pPr>
            <w:r>
              <w:rPr>
                <w:rFonts w:hint="eastAsia" w:ascii="宋体" w:hAnsi="宋体" w:eastAsia="宋体" w:cs="宋体"/>
              </w:rPr>
              <w:t>符合零项（0分）。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固定资产利用率</w:t>
            </w:r>
          </w:p>
          <w:p>
            <w:pPr>
              <w:spacing w:after="0" w:line="68" w:lineRule="atLeast"/>
              <w:rPr>
                <w:rFonts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部门实际在用固定资产总额与所有固定资产总额的比率，用以反映和评价部门固定资产使用效率。</w:t>
            </w:r>
          </w:p>
          <w:p>
            <w:pPr>
              <w:spacing w:after="0" w:line="68" w:lineRule="atLeast"/>
              <w:rPr>
                <w:rFonts w:ascii="宋体" w:hAnsi="宋体" w:eastAsia="宋体" w:cs="宋体"/>
              </w:rPr>
            </w:pPr>
            <w:r>
              <w:rPr>
                <w:rFonts w:hint="eastAsia" w:ascii="宋体" w:hAnsi="宋体" w:eastAsia="宋体" w:cs="宋体"/>
              </w:rPr>
              <w:t>固定资产利用率=（实际在用固定资产总额/所有固定资产总额）×100%。</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目标值为80%；以3分为上限，采用完成比率法计分：得分=固定资产利用率/80%×100%×3，超出目标值不加分。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73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803" w:type="dxa"/>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r>
              <w:rPr>
                <w:rFonts w:hint="eastAsia" w:ascii="宋体" w:hAnsi="宋体" w:eastAsia="宋体" w:cs="宋体"/>
              </w:rPr>
              <w:t>预算绩效监控管理（2分）</w:t>
            </w: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监控率（2分）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部门（单位）纳入绩效监控的项目数量占实际申报绩效目标项目数量的比重，用以反映和考核部门（单位）在项目运行中实施绩效管理的水平和程度。</w:t>
            </w:r>
          </w:p>
          <w:p>
            <w:pPr>
              <w:spacing w:after="0" w:line="240" w:lineRule="exact"/>
              <w:rPr>
                <w:rFonts w:ascii="宋体" w:hAnsi="宋体" w:eastAsia="宋体" w:cs="宋体"/>
              </w:rPr>
            </w:pPr>
            <w:r>
              <w:rPr>
                <w:rFonts w:hint="eastAsia" w:ascii="宋体" w:hAnsi="宋体" w:eastAsia="宋体" w:cs="宋体"/>
              </w:rPr>
              <w:t>监控率=实施绩效监控项目数/实际申报绩效目标项目数×100%</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目标值为90%；以2分为上限，采用完成比率法计分：得分=监控率×2，超出目标值不加分。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产出(15分)</w:t>
            </w: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产出(15分)</w:t>
            </w:r>
          </w:p>
        </w:tc>
        <w:tc>
          <w:tcPr>
            <w:tcW w:w="803" w:type="dxa"/>
            <w:vMerge w:val="restart"/>
            <w:tcBorders>
              <w:top w:val="single" w:color="000000" w:sz="4" w:space="0"/>
              <w:left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职责履行（15分）</w:t>
            </w: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项目实际完成率（4分）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部门履行职责而实际完成的项目数与计划完成的项目数的比率，用以反映和评价部门履职任务目标的实现程度。</w:t>
            </w:r>
          </w:p>
          <w:p>
            <w:pPr>
              <w:spacing w:after="0" w:line="68" w:lineRule="atLeast"/>
              <w:rPr>
                <w:rFonts w:ascii="宋体" w:hAnsi="宋体" w:eastAsia="宋体" w:cs="宋体"/>
              </w:rPr>
            </w:pPr>
            <w:r>
              <w:rPr>
                <w:rFonts w:hint="eastAsia" w:ascii="宋体" w:hAnsi="宋体" w:eastAsia="宋体" w:cs="宋体"/>
              </w:rPr>
              <w:t>项目实际完成率=（实际完成项目数/计划完成项目数）×100%。</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目标值为100%；</w:t>
            </w:r>
          </w:p>
          <w:p>
            <w:pPr>
              <w:spacing w:after="0" w:line="68" w:lineRule="atLeast"/>
              <w:rPr>
                <w:rFonts w:ascii="宋体" w:hAnsi="宋体" w:eastAsia="宋体" w:cs="宋体"/>
              </w:rPr>
            </w:pPr>
            <w:r>
              <w:rPr>
                <w:rFonts w:hint="eastAsia" w:ascii="宋体" w:hAnsi="宋体" w:eastAsia="宋体" w:cs="宋体"/>
              </w:rPr>
              <w:t>达到目标值得4分；</w:t>
            </w:r>
          </w:p>
          <w:p>
            <w:pPr>
              <w:spacing w:after="0" w:line="68" w:lineRule="atLeast"/>
              <w:rPr>
                <w:rFonts w:ascii="宋体" w:hAnsi="宋体" w:eastAsia="宋体" w:cs="宋体"/>
              </w:rPr>
            </w:pPr>
            <w:r>
              <w:rPr>
                <w:rFonts w:hint="eastAsia" w:ascii="宋体" w:hAnsi="宋体" w:eastAsia="宋体" w:cs="宋体"/>
              </w:rPr>
              <w:t>100%＞结果≥95%，得3分；</w:t>
            </w:r>
          </w:p>
          <w:p>
            <w:pPr>
              <w:spacing w:after="0" w:line="68" w:lineRule="atLeast"/>
              <w:rPr>
                <w:rFonts w:ascii="宋体" w:hAnsi="宋体" w:eastAsia="宋体" w:cs="宋体"/>
              </w:rPr>
            </w:pPr>
            <w:r>
              <w:rPr>
                <w:rFonts w:hint="eastAsia" w:ascii="宋体" w:hAnsi="宋体" w:eastAsia="宋体" w:cs="宋体"/>
              </w:rPr>
              <w:t>95%＞结果≥90%，得2分；</w:t>
            </w:r>
          </w:p>
          <w:p>
            <w:pPr>
              <w:spacing w:after="0" w:line="68" w:lineRule="atLeast"/>
              <w:rPr>
                <w:rFonts w:ascii="宋体" w:hAnsi="宋体" w:eastAsia="宋体" w:cs="宋体"/>
              </w:rPr>
            </w:pPr>
            <w:r>
              <w:rPr>
                <w:rFonts w:hint="eastAsia" w:ascii="宋体" w:hAnsi="宋体" w:eastAsia="宋体" w:cs="宋体"/>
              </w:rPr>
              <w:t>90%＞结果≥85%，得1分；</w:t>
            </w:r>
          </w:p>
          <w:p>
            <w:pPr>
              <w:spacing w:after="0" w:line="68" w:lineRule="atLeast"/>
              <w:rPr>
                <w:rFonts w:ascii="宋体" w:hAnsi="宋体" w:eastAsia="宋体" w:cs="宋体"/>
              </w:rPr>
            </w:pPr>
            <w:r>
              <w:rPr>
                <w:rFonts w:hint="eastAsia" w:ascii="宋体" w:hAnsi="宋体" w:eastAsia="宋体" w:cs="宋体"/>
              </w:rPr>
              <w:t>结果＜85%得0分。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项目质量达标率（4分）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部门已完成项目中质量达标项目个数占已完成项目个数的比率,用以反映和评价部门履职质量目标的实现程度。</w:t>
            </w:r>
          </w:p>
          <w:p>
            <w:pPr>
              <w:spacing w:after="0" w:line="240" w:lineRule="exact"/>
              <w:rPr>
                <w:rFonts w:ascii="宋体" w:hAnsi="宋体" w:eastAsia="宋体" w:cs="宋体"/>
              </w:rPr>
            </w:pPr>
            <w:r>
              <w:rPr>
                <w:rFonts w:hint="eastAsia" w:ascii="宋体" w:hAnsi="宋体" w:eastAsia="宋体" w:cs="宋体"/>
              </w:rPr>
              <w:t>项目质量达标率=（已完成项目中质量达标项目个数/已完成项目个数）×100%。</w:t>
            </w:r>
          </w:p>
          <w:p>
            <w:pPr>
              <w:spacing w:after="0" w:line="68" w:lineRule="atLeast"/>
              <w:rPr>
                <w:rFonts w:ascii="宋体" w:hAnsi="宋体" w:eastAsia="宋体" w:cs="宋体"/>
              </w:rPr>
            </w:pPr>
            <w:r>
              <w:rPr>
                <w:rFonts w:hint="eastAsia" w:ascii="宋体" w:hAnsi="宋体" w:eastAsia="宋体" w:cs="宋体"/>
              </w:rPr>
              <w:t>项目质量达标是指项目决算验收合格。</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目标值100%；以4分为上限，采用完成比率法计分：得分=项目质量达标率×4，≤95%的扣4分。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重点工作办结率（4分）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部门年度重点工作实际完成数与交办或下达数的比率，用以反映部门对重点工作的办理落实程度。</w:t>
            </w:r>
          </w:p>
          <w:p>
            <w:pPr>
              <w:spacing w:after="0" w:line="68" w:lineRule="atLeast"/>
              <w:rPr>
                <w:rFonts w:ascii="宋体" w:hAnsi="宋体" w:eastAsia="宋体" w:cs="宋体"/>
              </w:rPr>
            </w:pPr>
            <w:r>
              <w:rPr>
                <w:rFonts w:hint="eastAsia" w:ascii="宋体" w:hAnsi="宋体" w:eastAsia="宋体" w:cs="宋体"/>
              </w:rPr>
              <w:t>重点工作办结率=（重点工作实际完成数/交办或下达数）×100%。</w:t>
            </w:r>
          </w:p>
          <w:p>
            <w:pPr>
              <w:spacing w:after="0" w:line="68" w:lineRule="atLeast"/>
              <w:rPr>
                <w:rFonts w:ascii="宋体" w:hAnsi="宋体" w:eastAsia="宋体" w:cs="宋体"/>
              </w:rPr>
            </w:pPr>
            <w:r>
              <w:rPr>
                <w:rFonts w:hint="eastAsia" w:ascii="宋体" w:hAnsi="宋体" w:eastAsia="宋体" w:cs="宋体"/>
              </w:rPr>
              <w:t>重点工作是指党委、政府、人大、相关部门交办或下达的工作任务。</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目标值100%；以4分为上限，采用完成比率法计分：得分=重点工作办结率×4，≤90%的扣4分。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73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部门绩效自评项目占比率（3分）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部门自评项目在所有项目中所占的份额，反映和评价部门对项目自评的重视程度。</w:t>
            </w:r>
          </w:p>
          <w:p>
            <w:pPr>
              <w:spacing w:after="0" w:line="240" w:lineRule="exact"/>
              <w:rPr>
                <w:rFonts w:ascii="宋体" w:hAnsi="宋体" w:eastAsia="宋体" w:cs="宋体"/>
              </w:rPr>
            </w:pPr>
            <w:r>
              <w:rPr>
                <w:rFonts w:hint="eastAsia" w:ascii="宋体" w:hAnsi="宋体" w:eastAsia="宋体" w:cs="宋体"/>
              </w:rPr>
              <w:t>占比率=(自评项目资金量/项目支出资金量)×100%。</w:t>
            </w:r>
          </w:p>
          <w:p>
            <w:pPr>
              <w:spacing w:after="0" w:line="68" w:lineRule="atLeast"/>
              <w:rPr>
                <w:rFonts w:ascii="宋体" w:hAnsi="宋体" w:eastAsia="宋体" w:cs="宋体"/>
              </w:rPr>
            </w:pPr>
            <w:r>
              <w:rPr>
                <w:rFonts w:hint="eastAsia" w:ascii="宋体" w:hAnsi="宋体" w:eastAsia="宋体" w:cs="宋体"/>
              </w:rPr>
              <w:t>部门支出项目绩效自评范围：本年度列入本级财政预算安排的项目。</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达到目标值得3分，未达到目标值采用完成比率法计分：得分=占比率/目标值×3，超过目标值不加分。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效果（15）</w:t>
            </w: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效果（15）</w:t>
            </w:r>
          </w:p>
          <w:p>
            <w:pPr>
              <w:spacing w:after="0" w:line="68" w:lineRule="atLeast"/>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监督发现问题</w:t>
            </w:r>
          </w:p>
          <w:p>
            <w:pPr>
              <w:spacing w:after="0" w:line="68" w:lineRule="atLeast"/>
              <w:rPr>
                <w:rFonts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违规率（2分）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部门存在违规问题的资金数量占部门预算支出资金总额的比重，用以反映和考核部门预算资金管理使用的合法、合规情况。</w:t>
            </w:r>
          </w:p>
          <w:p>
            <w:pPr>
              <w:spacing w:after="0" w:line="68" w:lineRule="atLeast"/>
              <w:rPr>
                <w:rFonts w:ascii="宋体" w:hAnsi="宋体" w:eastAsia="宋体" w:cs="宋体"/>
              </w:rPr>
            </w:pPr>
            <w:r>
              <w:rPr>
                <w:rFonts w:hint="eastAsia" w:ascii="宋体" w:hAnsi="宋体" w:eastAsia="宋体" w:cs="宋体"/>
              </w:rPr>
              <w:t>违规率=存在违规问题的资金额/部门预算支出资金总额×100%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目标值0，达到目标值得2分，未达到目标值的每增加0.1个百分点扣0.1分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733" w:type="dxa"/>
            <w:vMerge w:val="continue"/>
            <w:tcBorders>
              <w:left w:val="single" w:color="000000" w:sz="4" w:space="0"/>
              <w:right w:val="single" w:color="000000" w:sz="4" w:space="0"/>
            </w:tcBorders>
            <w:vAlign w:val="center"/>
          </w:tcPr>
          <w:p>
            <w:pPr>
              <w:spacing w:after="0" w:line="68" w:lineRule="atLeast"/>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工作成效（5）</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bCs/>
                <w:color w:val="000000"/>
              </w:rPr>
              <w:t>部门预算绩效管理考核评价</w:t>
            </w:r>
            <w:r>
              <w:rPr>
                <w:rFonts w:hint="eastAsia" w:ascii="宋体" w:hAnsi="宋体" w:eastAsia="宋体" w:cs="宋体"/>
                <w:bCs/>
              </w:rPr>
              <w:t>（5）</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color w:val="000000"/>
              </w:rPr>
              <w:t>财政部门对部门开展预算绩效管理工作的评价结果，用以反映部门对预算绩效管理工作的重视程度和取得的成效。</w:t>
            </w:r>
          </w:p>
          <w:p>
            <w:pPr>
              <w:spacing w:after="0" w:line="240" w:lineRule="exact"/>
              <w:rPr>
                <w:rFonts w:ascii="宋体" w:hAnsi="宋体" w:eastAsia="宋体" w:cs="宋体"/>
              </w:rPr>
            </w:pPr>
            <w:r>
              <w:rPr>
                <w:rFonts w:hint="eastAsia" w:ascii="宋体" w:hAnsi="宋体" w:eastAsia="宋体" w:cs="宋体"/>
                <w:color w:val="000000"/>
              </w:rPr>
              <w:t>1.财政部门对部门绩效管理工作开展情况进行核查评价，包括绩效目标管理、绩效执行监控、绩效自评和评价结果应用等情况，按百分制。</w:t>
            </w:r>
          </w:p>
          <w:p>
            <w:pPr>
              <w:spacing w:after="0" w:line="68" w:lineRule="atLeast"/>
              <w:rPr>
                <w:rFonts w:ascii="宋体" w:hAnsi="宋体" w:eastAsia="宋体" w:cs="宋体"/>
              </w:rPr>
            </w:pPr>
            <w:r>
              <w:rPr>
                <w:rFonts w:hint="eastAsia" w:ascii="宋体" w:hAnsi="宋体" w:eastAsia="宋体" w:cs="宋体"/>
                <w:color w:val="000000"/>
              </w:rPr>
              <w:t>2.以部门为单位进行综合计算，得出各部门绩效管理工作评价结果。</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color w:val="000000"/>
              </w:rPr>
              <w:t>综合得分=（部门绩效管理工作评价结果/100）*5分</w:t>
            </w:r>
          </w:p>
          <w:p>
            <w:pPr>
              <w:spacing w:after="0" w:line="68" w:lineRule="atLeast"/>
              <w:rPr>
                <w:rFonts w:ascii="宋体" w:hAnsi="宋体" w:eastAsia="宋体" w:cs="宋体"/>
              </w:rPr>
            </w:pPr>
            <w:r>
              <w:rPr>
                <w:rFonts w:hint="eastAsia" w:ascii="宋体" w:hAnsi="宋体" w:eastAsia="宋体" w:cs="宋体"/>
              </w:rPr>
              <w:t> </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评价结果应用</w:t>
            </w:r>
          </w:p>
          <w:p>
            <w:pPr>
              <w:spacing w:after="0" w:line="68" w:lineRule="atLeast"/>
              <w:rPr>
                <w:rFonts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应用率（2分）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部门应用绩效评价结果的项目数占绩效评价项目数的比重，用以反映和考核部门绩效评价结果的利用水平和程度。</w:t>
            </w:r>
          </w:p>
          <w:p>
            <w:pPr>
              <w:spacing w:after="0" w:line="68" w:lineRule="atLeast"/>
              <w:rPr>
                <w:rFonts w:ascii="宋体" w:hAnsi="宋体" w:eastAsia="宋体" w:cs="宋体"/>
              </w:rPr>
            </w:pPr>
            <w:r>
              <w:rPr>
                <w:rFonts w:hint="eastAsia" w:ascii="宋体" w:hAnsi="宋体" w:eastAsia="宋体" w:cs="宋体"/>
              </w:rPr>
              <w:t>应用率=应用绩效评价结果的项目数量/部门实施绩效评价项目数量×100%。</w:t>
            </w:r>
          </w:p>
          <w:p>
            <w:pPr>
              <w:spacing w:after="0" w:line="68" w:lineRule="atLeast"/>
              <w:rPr>
                <w:rFonts w:ascii="宋体" w:hAnsi="宋体" w:eastAsia="宋体" w:cs="宋体"/>
              </w:rPr>
            </w:pPr>
            <w:r>
              <w:rPr>
                <w:rFonts w:hint="eastAsia" w:ascii="宋体" w:hAnsi="宋体" w:eastAsia="宋体" w:cs="宋体"/>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目标值为100%；以2分为上限，采用完成比率法计分：得分=应用率×2，超出目标值不加分。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结果应用创新（1分）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结果应用创新（1分）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部门将绩效结果主动对外公开、预算绩效管理工作开展情况向同级政府、人大等部门报告，用以反映和考核部门在结果应用方面的创新情况。</w:t>
            </w:r>
          </w:p>
          <w:p>
            <w:pPr>
              <w:spacing w:after="0" w:line="68" w:lineRule="atLeast"/>
              <w:rPr>
                <w:rFonts w:ascii="宋体" w:hAnsi="宋体" w:eastAsia="宋体" w:cs="宋体"/>
              </w:rPr>
            </w:pPr>
            <w:r>
              <w:rPr>
                <w:rFonts w:hint="eastAsia" w:ascii="宋体" w:hAnsi="宋体" w:eastAsia="宋体" w:cs="宋体"/>
              </w:rPr>
              <w:t>评价要点：</w:t>
            </w:r>
          </w:p>
          <w:p>
            <w:pPr>
              <w:spacing w:after="0" w:line="68" w:lineRule="atLeast"/>
              <w:rPr>
                <w:rFonts w:ascii="宋体" w:hAnsi="宋体" w:eastAsia="宋体" w:cs="宋体"/>
              </w:rPr>
            </w:pPr>
            <w:r>
              <w:rPr>
                <w:rFonts w:hint="eastAsia" w:ascii="宋体" w:hAnsi="宋体" w:eastAsia="宋体" w:cs="宋体"/>
              </w:rPr>
              <w:t>1.部门是否按要求对社会公开绩效评价结果。</w:t>
            </w:r>
          </w:p>
          <w:p>
            <w:pPr>
              <w:spacing w:after="0" w:line="68" w:lineRule="atLeast"/>
              <w:rPr>
                <w:rFonts w:ascii="宋体" w:hAnsi="宋体" w:eastAsia="宋体" w:cs="宋体"/>
              </w:rPr>
            </w:pPr>
            <w:r>
              <w:rPr>
                <w:rFonts w:hint="eastAsia" w:ascii="宋体" w:hAnsi="宋体" w:eastAsia="宋体" w:cs="宋体"/>
              </w:rPr>
              <w:t>2.部门是否将预算绩效管理工作开展情况向同级政府、人大等部门报告。</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全部符合（1分）；</w:t>
            </w:r>
          </w:p>
          <w:p>
            <w:pPr>
              <w:spacing w:after="0" w:line="240" w:lineRule="exact"/>
              <w:rPr>
                <w:rFonts w:ascii="宋体" w:hAnsi="宋体" w:eastAsia="宋体" w:cs="宋体"/>
              </w:rPr>
            </w:pPr>
            <w:r>
              <w:rPr>
                <w:rFonts w:hint="eastAsia" w:ascii="宋体" w:hAnsi="宋体" w:eastAsia="宋体" w:cs="宋体"/>
              </w:rPr>
              <w:t>符合其中两项（0.5分）</w:t>
            </w:r>
          </w:p>
          <w:p>
            <w:pPr>
              <w:spacing w:after="0" w:line="240" w:lineRule="exac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社会效益（5分）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社会公众满意度（5分）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通过问卷调查了解社会公众对部门履职效果、解决民众关心的热点问题、厉行节约等方面的满意程度，反映和评价部门支出所带来的社会效益。</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按照满意度调查的优秀、良好、合格、不合格给予该项指标打分：</w:t>
            </w:r>
          </w:p>
          <w:p>
            <w:pPr>
              <w:spacing w:after="0" w:line="68" w:lineRule="atLeast"/>
              <w:rPr>
                <w:rFonts w:ascii="宋体" w:hAnsi="宋体" w:eastAsia="宋体" w:cs="宋体"/>
              </w:rPr>
            </w:pPr>
            <w:r>
              <w:rPr>
                <w:rFonts w:hint="eastAsia" w:ascii="宋体" w:hAnsi="宋体" w:eastAsia="宋体" w:cs="宋体"/>
              </w:rPr>
              <w:t>优秀（5分）；良好（3分）；合格（1分）；不合格（0分）。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3" w:type="dxa"/>
            <w:tcBorders>
              <w:left w:val="single" w:color="000000" w:sz="4" w:space="0"/>
              <w:right w:val="single" w:color="000000" w:sz="4" w:space="0"/>
            </w:tcBorders>
            <w:vAlign w:val="center"/>
          </w:tcPr>
          <w:p>
            <w:pPr>
              <w:spacing w:after="0"/>
              <w:rPr>
                <w:rFonts w:ascii="宋体" w:hAnsi="宋体" w:eastAsia="宋体" w:cs="宋体"/>
              </w:rPr>
            </w:pPr>
            <w:r>
              <w:rPr>
                <w:rFonts w:hint="eastAsia" w:ascii="宋体" w:hAnsi="宋体" w:eastAsia="宋体" w:cs="宋体"/>
              </w:rPr>
              <w:t>小计</w:t>
            </w: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100</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r>
              <w:rPr>
                <w:rFonts w:hint="eastAsia" w:ascii="宋体" w:hAnsi="宋体" w:eastAsia="宋体" w:cs="宋体"/>
              </w:rPr>
              <w:t>评价结果</w:t>
            </w: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优秀  90分≤得分≤100分； </w:t>
            </w:r>
            <w:r>
              <w:rPr>
                <w:rFonts w:hint="eastAsia" w:ascii="宋体" w:hAnsi="宋体" w:eastAsia="宋体" w:cs="宋体"/>
              </w:rPr>
              <w:sym w:font="Wingdings 2" w:char="00A3"/>
            </w:r>
            <w:r>
              <w:rPr>
                <w:rFonts w:hint="eastAsia" w:ascii="宋体" w:hAnsi="宋体" w:eastAsia="宋体" w:cs="宋体"/>
              </w:rPr>
              <w:t>良好  80分≤得分≤89分；</w:t>
            </w:r>
          </w:p>
          <w:p>
            <w:pPr>
              <w:spacing w:after="0" w:line="68" w:lineRule="atLeast"/>
              <w:rPr>
                <w:rFonts w:ascii="宋体" w:hAnsi="宋体" w:eastAsia="宋体" w:cs="宋体"/>
              </w:rPr>
            </w:pPr>
            <w:r>
              <w:rPr>
                <w:rFonts w:hint="eastAsia" w:ascii="宋体" w:hAnsi="宋体" w:eastAsia="宋体" w:cs="宋体"/>
              </w:rPr>
              <w:t xml:space="preserve">  □中  60分≤得分≤79分；  □较差  0≤得分≤59分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lang w:val="en-US" w:eastAsia="zh-CN"/>
              </w:rPr>
              <w:t>92</w:t>
            </w:r>
          </w:p>
        </w:tc>
      </w:tr>
    </w:tbl>
    <w:p>
      <w:pPr>
        <w:spacing w:line="432" w:lineRule="auto"/>
      </w:pPr>
    </w:p>
    <w:p>
      <w:pPr>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28"/>
          <w:szCs w:val="28"/>
        </w:rPr>
        <w:t>附件3</w:t>
      </w:r>
    </w:p>
    <w:p>
      <w:pPr>
        <w:spacing w:after="0"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中方县政府网站及政务新媒体信息发布审查表</w:t>
      </w:r>
    </w:p>
    <w:p>
      <w:pPr>
        <w:spacing w:after="0" w:line="400" w:lineRule="exact"/>
        <w:jc w:val="center"/>
        <w:rPr>
          <w:rFonts w:ascii="方正小标宋简体" w:hAnsi="Times New Roman" w:eastAsia="方正小标宋简体"/>
          <w:sz w:val="44"/>
          <w:szCs w:val="44"/>
        </w:rPr>
      </w:pPr>
    </w:p>
    <w:p>
      <w:pPr>
        <w:rPr>
          <w:rFonts w:ascii="宋体" w:hAnsi="宋体" w:eastAsia="宋体" w:cs="宋体"/>
          <w:sz w:val="24"/>
          <w:szCs w:val="24"/>
        </w:rPr>
      </w:pPr>
      <w:r>
        <w:rPr>
          <w:rFonts w:hint="eastAsia" w:ascii="宋体" w:hAnsi="宋体" w:eastAsia="宋体" w:cs="宋体"/>
          <w:sz w:val="24"/>
          <w:szCs w:val="24"/>
        </w:rPr>
        <w:t>单位：                                                                                        年      月       日</w:t>
      </w:r>
    </w:p>
    <w:tbl>
      <w:tblPr>
        <w:tblStyle w:val="5"/>
        <w:tblW w:w="14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383"/>
        <w:gridCol w:w="3507"/>
        <w:gridCol w:w="2781"/>
        <w:gridCol w:w="3277"/>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709"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83"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信息名称</w:t>
            </w:r>
          </w:p>
        </w:tc>
        <w:tc>
          <w:tcPr>
            <w:tcW w:w="3507"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信息来源</w:t>
            </w:r>
          </w:p>
        </w:tc>
        <w:tc>
          <w:tcPr>
            <w:tcW w:w="2781"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发布形式</w:t>
            </w:r>
          </w:p>
        </w:tc>
        <w:tc>
          <w:tcPr>
            <w:tcW w:w="3277"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保密机构或保密员</w:t>
            </w:r>
            <w:r>
              <w:rPr>
                <w:rFonts w:hint="eastAsia" w:ascii="宋体" w:hAnsi="宋体" w:eastAsia="宋体" w:cs="宋体"/>
                <w:b/>
                <w:bCs/>
                <w:sz w:val="24"/>
                <w:szCs w:val="24"/>
                <w:u w:val="single"/>
              </w:rPr>
              <w:t>复审</w:t>
            </w:r>
          </w:p>
        </w:tc>
        <w:tc>
          <w:tcPr>
            <w:tcW w:w="2081"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主管领导</w:t>
            </w:r>
            <w:r>
              <w:rPr>
                <w:rFonts w:hint="eastAsia" w:ascii="宋体" w:hAnsi="宋体" w:eastAsia="宋体" w:cs="宋体"/>
                <w:b/>
                <w:bCs/>
                <w:sz w:val="24"/>
                <w:szCs w:val="24"/>
                <w:u w:val="single"/>
              </w:rPr>
              <w:t>终审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after="0" w:line="50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38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中方县商务科技和工业信息化局2023年度部门整体支出绩效自评报告</w:t>
            </w:r>
          </w:p>
          <w:p>
            <w:pPr>
              <w:spacing w:after="0" w:line="500" w:lineRule="exact"/>
              <w:jc w:val="center"/>
              <w:rPr>
                <w:rFonts w:hint="eastAsia" w:asciiTheme="minorEastAsia" w:hAnsiTheme="minorEastAsia" w:eastAsiaTheme="minorEastAsia" w:cstheme="minorEastAsia"/>
                <w:b w:val="0"/>
                <w:bCs w:val="0"/>
                <w:sz w:val="18"/>
                <w:szCs w:val="18"/>
              </w:rPr>
            </w:pPr>
          </w:p>
        </w:tc>
        <w:tc>
          <w:tcPr>
            <w:tcW w:w="3507" w:type="dxa"/>
            <w:vAlign w:val="center"/>
          </w:tcPr>
          <w:p>
            <w:pPr>
              <w:spacing w:after="0" w:line="500" w:lineRule="exact"/>
              <w:rPr>
                <w:rFonts w:hint="eastAsia" w:ascii="宋体" w:hAnsi="宋体" w:eastAsia="宋体" w:cs="宋体"/>
                <w:lang w:eastAsia="zh-CN"/>
              </w:rPr>
            </w:pPr>
            <w:r>
              <w:rPr>
                <w:rFonts w:hint="eastAsia" w:ascii="宋体" w:hAnsi="宋体" w:eastAsia="宋体" w:cs="宋体"/>
              </w:rPr>
              <w:t xml:space="preserve">本机关、单位制发  </w:t>
            </w:r>
            <w:r>
              <w:rPr>
                <w:rFonts w:hint="eastAsia" w:ascii="宋体" w:hAnsi="宋体" w:eastAsia="宋体" w:cs="宋体"/>
                <w:lang w:eastAsia="zh-CN"/>
              </w:rPr>
              <w:t>☑</w:t>
            </w:r>
          </w:p>
          <w:p>
            <w:pPr>
              <w:spacing w:after="0" w:line="500" w:lineRule="exact"/>
              <w:rPr>
                <w:rFonts w:ascii="宋体" w:hAnsi="宋体" w:eastAsia="宋体" w:cs="宋体"/>
              </w:rPr>
            </w:pPr>
            <w:r>
              <w:rPr>
                <w:rFonts w:hint="eastAsia" w:ascii="宋体" w:hAnsi="宋体" w:eastAsia="宋体" w:cs="宋体"/>
              </w:rPr>
              <w:t>转载（注明转载来源）：</w:t>
            </w:r>
          </w:p>
          <w:p>
            <w:pPr>
              <w:spacing w:after="0" w:line="500" w:lineRule="exact"/>
              <w:rPr>
                <w:rFonts w:ascii="宋体" w:hAnsi="宋体" w:eastAsia="宋体" w:cs="宋体"/>
                <w:u w:val="single"/>
              </w:rPr>
            </w:pPr>
            <w:r>
              <w:rPr>
                <w:rFonts w:hint="eastAsia" w:ascii="宋体" w:hAnsi="宋体" w:eastAsia="宋体" w:cs="宋体"/>
                <w:u w:val="single"/>
              </w:rPr>
              <w:t xml:space="preserve">                           </w:t>
            </w:r>
          </w:p>
        </w:tc>
        <w:tc>
          <w:tcPr>
            <w:tcW w:w="2781" w:type="dxa"/>
            <w:vAlign w:val="center"/>
          </w:tcPr>
          <w:p>
            <w:pPr>
              <w:spacing w:after="0" w:line="500" w:lineRule="exact"/>
              <w:rPr>
                <w:rFonts w:hint="eastAsia" w:ascii="宋体" w:hAnsi="宋体" w:eastAsia="宋体" w:cs="宋体"/>
                <w:lang w:eastAsia="zh-CN"/>
              </w:rPr>
            </w:pPr>
            <w:r>
              <w:rPr>
                <w:rFonts w:hint="eastAsia" w:ascii="宋体" w:hAnsi="宋体" w:eastAsia="宋体" w:cs="宋体"/>
              </w:rPr>
              <w:t xml:space="preserve">政府网站主动公开  </w:t>
            </w:r>
            <w:r>
              <w:rPr>
                <w:rFonts w:hint="eastAsia" w:ascii="宋体" w:hAnsi="宋体" w:eastAsia="宋体" w:cs="宋体"/>
                <w:lang w:eastAsia="zh-CN"/>
              </w:rPr>
              <w:t>☑</w:t>
            </w:r>
          </w:p>
          <w:p>
            <w:pPr>
              <w:spacing w:after="0" w:line="500" w:lineRule="exact"/>
              <w:rPr>
                <w:rFonts w:ascii="宋体" w:hAnsi="宋体" w:eastAsia="宋体" w:cs="宋体"/>
              </w:rPr>
            </w:pPr>
            <w:r>
              <w:rPr>
                <w:rFonts w:hint="eastAsia" w:ascii="宋体" w:hAnsi="宋体" w:eastAsia="宋体" w:cs="宋体"/>
              </w:rPr>
              <w:t xml:space="preserve">依申请公开        </w:t>
            </w:r>
            <w:r>
              <w:rPr>
                <w:rFonts w:hint="eastAsia" w:ascii="宋体" w:hAnsi="宋体" w:eastAsia="宋体" w:cs="宋体"/>
              </w:rPr>
              <w:sym w:font="Wingdings 2" w:char="0052"/>
            </w:r>
          </w:p>
          <w:p>
            <w:pPr>
              <w:spacing w:after="0" w:line="500" w:lineRule="exact"/>
              <w:rPr>
                <w:rFonts w:ascii="宋体" w:hAnsi="宋体" w:eastAsia="宋体" w:cs="宋体"/>
              </w:rPr>
            </w:pPr>
            <w:r>
              <w:rPr>
                <w:rFonts w:hint="eastAsia" w:ascii="宋体" w:hAnsi="宋体" w:eastAsia="宋体" w:cs="宋体"/>
              </w:rPr>
              <w:t>其他</w:t>
            </w:r>
            <w:r>
              <w:rPr>
                <w:rFonts w:hint="eastAsia" w:ascii="宋体" w:hAnsi="宋体" w:eastAsia="宋体" w:cs="宋体"/>
                <w:u w:val="single"/>
              </w:rPr>
              <w:t xml:space="preserve">                </w:t>
            </w:r>
          </w:p>
        </w:tc>
        <w:tc>
          <w:tcPr>
            <w:tcW w:w="3277" w:type="dxa"/>
            <w:vAlign w:val="center"/>
          </w:tcPr>
          <w:p>
            <w:pPr>
              <w:spacing w:after="0" w:line="500" w:lineRule="exact"/>
              <w:rPr>
                <w:rFonts w:hint="eastAsia" w:ascii="宋体" w:hAnsi="宋体" w:eastAsia="宋体" w:cs="宋体"/>
                <w:lang w:eastAsia="zh-CN"/>
              </w:rPr>
            </w:pPr>
            <w:r>
              <w:rPr>
                <w:rFonts w:hint="eastAsia" w:ascii="宋体" w:hAnsi="宋体" w:eastAsia="宋体" w:cs="宋体"/>
              </w:rPr>
              <w:t>非涉密，同意公开</w:t>
            </w:r>
            <w:r>
              <w:rPr>
                <w:rFonts w:hint="eastAsia" w:ascii="宋体" w:hAnsi="宋体" w:eastAsia="宋体" w:cs="宋体"/>
                <w:lang w:eastAsia="zh-CN"/>
              </w:rPr>
              <w:t>☑</w:t>
            </w:r>
          </w:p>
          <w:p>
            <w:pPr>
              <w:spacing w:after="0" w:line="500" w:lineRule="exact"/>
              <w:rPr>
                <w:rFonts w:ascii="宋体" w:hAnsi="宋体" w:eastAsia="宋体" w:cs="宋体"/>
              </w:rPr>
            </w:pPr>
            <w:r>
              <w:rPr>
                <w:rFonts w:hint="eastAsia" w:ascii="宋体" w:hAnsi="宋体" w:eastAsia="宋体" w:cs="宋体"/>
              </w:rPr>
              <w:t>不同意，</w:t>
            </w:r>
            <w:r>
              <w:rPr>
                <w:rFonts w:hint="eastAsia" w:ascii="宋体" w:hAnsi="宋体" w:eastAsia="宋体" w:cs="宋体"/>
                <w:u w:val="single"/>
              </w:rPr>
              <w:t xml:space="preserve">        </w:t>
            </w:r>
            <w:r>
              <w:rPr>
                <w:rFonts w:hint="eastAsia" w:ascii="宋体" w:hAnsi="宋体" w:eastAsia="宋体" w:cs="宋体"/>
              </w:rPr>
              <w:t>□</w:t>
            </w:r>
          </w:p>
        </w:tc>
        <w:tc>
          <w:tcPr>
            <w:tcW w:w="2081" w:type="dxa"/>
            <w:vAlign w:val="center"/>
          </w:tcPr>
          <w:p>
            <w:pPr>
              <w:spacing w:after="0" w:line="500" w:lineRule="exact"/>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9380" w:type="dxa"/>
            <w:gridSpan w:val="4"/>
            <w:vAlign w:val="center"/>
          </w:tcPr>
          <w:p>
            <w:pPr>
              <w:spacing w:after="0" w:line="500" w:lineRule="exact"/>
              <w:rPr>
                <w:rFonts w:ascii="宋体" w:hAnsi="宋体" w:eastAsia="宋体" w:cs="宋体"/>
              </w:rPr>
            </w:pPr>
            <w:r>
              <w:rPr>
                <w:rFonts w:hint="eastAsia" w:ascii="宋体" w:hAnsi="宋体" w:eastAsia="宋体" w:cs="宋体"/>
              </w:rPr>
              <w:t>承办人</w:t>
            </w:r>
            <w:r>
              <w:rPr>
                <w:rFonts w:hint="eastAsia" w:ascii="宋体" w:hAnsi="宋体" w:eastAsia="宋体" w:cs="宋体"/>
                <w:u w:val="single"/>
              </w:rPr>
              <w:t>初审</w:t>
            </w:r>
            <w:r>
              <w:rPr>
                <w:rFonts w:hint="eastAsia" w:ascii="宋体" w:hAnsi="宋体" w:eastAsia="宋体" w:cs="宋体"/>
              </w:rPr>
              <w:t>（签字）</w:t>
            </w:r>
          </w:p>
        </w:tc>
        <w:tc>
          <w:tcPr>
            <w:tcW w:w="3277" w:type="dxa"/>
            <w:vAlign w:val="center"/>
          </w:tcPr>
          <w:p>
            <w:pPr>
              <w:spacing w:after="0" w:line="500" w:lineRule="exact"/>
              <w:rPr>
                <w:rFonts w:ascii="宋体" w:hAnsi="宋体" w:eastAsia="宋体" w:cs="宋体"/>
              </w:rPr>
            </w:pPr>
            <w:r>
              <w:rPr>
                <w:rFonts w:hint="eastAsia" w:ascii="宋体" w:hAnsi="宋体" w:eastAsia="宋体" w:cs="宋体"/>
              </w:rPr>
              <w:t>（签字）</w:t>
            </w:r>
          </w:p>
        </w:tc>
        <w:tc>
          <w:tcPr>
            <w:tcW w:w="2081" w:type="dxa"/>
            <w:vAlign w:val="center"/>
          </w:tcPr>
          <w:p>
            <w:pPr>
              <w:spacing w:after="0" w:line="500" w:lineRule="exact"/>
              <w:rPr>
                <w:rFonts w:ascii="宋体" w:hAnsi="宋体" w:eastAsia="宋体" w:cs="宋体"/>
              </w:rPr>
            </w:pPr>
            <w:r>
              <w:rPr>
                <w:rFonts w:hint="eastAsia" w:ascii="宋体" w:hAnsi="宋体" w:eastAsia="宋体" w:cs="宋体"/>
              </w:rPr>
              <w:t>（签字）</w:t>
            </w:r>
          </w:p>
        </w:tc>
      </w:tr>
    </w:tbl>
    <w:p>
      <w:pPr>
        <w:spacing w:after="0" w:line="400" w:lineRule="exact"/>
        <w:ind w:firstLine="420" w:firstLineChars="200"/>
        <w:rPr>
          <w:rFonts w:ascii="宋体" w:hAnsi="宋体" w:eastAsia="宋体" w:cs="宋体"/>
        </w:rPr>
      </w:pPr>
    </w:p>
    <w:p>
      <w:pPr>
        <w:spacing w:after="0" w:line="400" w:lineRule="exact"/>
        <w:ind w:firstLine="420" w:firstLineChars="200"/>
        <w:rPr>
          <w:rFonts w:ascii="宋体" w:hAnsi="宋体" w:eastAsia="宋体" w:cs="宋体"/>
        </w:rPr>
      </w:pPr>
      <w:r>
        <w:rPr>
          <w:rFonts w:hint="eastAsia" w:ascii="宋体" w:hAnsi="宋体" w:eastAsia="宋体" w:cs="宋体"/>
        </w:rPr>
        <w:t>注：1.机关、单位政府网站及政务新媒体发布信息前要认真填写本表；</w:t>
      </w:r>
    </w:p>
    <w:p>
      <w:pPr>
        <w:spacing w:after="0" w:line="400" w:lineRule="exact"/>
        <w:ind w:firstLine="840" w:firstLineChars="400"/>
        <w:rPr>
          <w:rFonts w:ascii="宋体" w:hAnsi="宋体" w:eastAsia="宋体" w:cs="宋体"/>
        </w:rPr>
      </w:pPr>
      <w:r>
        <w:rPr>
          <w:rFonts w:hint="eastAsia" w:ascii="宋体" w:hAnsi="宋体" w:eastAsia="宋体" w:cs="宋体"/>
        </w:rPr>
        <w:t>2.严格落实信息发布保密审查制度和“三审制”，请在相应的“□”打“√”或填写意见；</w:t>
      </w:r>
    </w:p>
    <w:p>
      <w:pPr>
        <w:spacing w:after="0" w:line="400" w:lineRule="exact"/>
        <w:ind w:firstLine="840" w:firstLineChars="400"/>
        <w:rPr>
          <w:rFonts w:ascii="宋体" w:hAnsi="宋体" w:eastAsia="宋体" w:cs="宋体"/>
        </w:rPr>
      </w:pPr>
      <w:r>
        <w:rPr>
          <w:rFonts w:hint="eastAsia" w:ascii="宋体" w:hAnsi="宋体" w:eastAsia="宋体" w:cs="宋体"/>
        </w:rPr>
        <w:t>3.信息发布要严把文字、保密、政治关，不能确定信息是否可以公开时，要组织保密审查并报上级部门确认；</w:t>
      </w:r>
    </w:p>
    <w:p>
      <w:pPr>
        <w:spacing w:after="0" w:line="400" w:lineRule="exact"/>
        <w:ind w:firstLine="840" w:firstLineChars="400"/>
        <w:rPr>
          <w:rFonts w:hint="eastAsia" w:ascii="宋体" w:hAnsi="宋体" w:eastAsia="宋体" w:cs="宋体"/>
          <w:lang w:val="en-US" w:eastAsia="zh-CN"/>
        </w:rPr>
      </w:pPr>
      <w:r>
        <w:rPr>
          <w:rFonts w:hint="eastAsia" w:ascii="宋体" w:hAnsi="宋体" w:eastAsia="宋体" w:cs="宋体"/>
        </w:rPr>
        <w:t>4.本表由本机关、单位负责组织填写和保管</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CESI宋体-GB18030">
    <w:panose1 w:val="02000500000000000000"/>
    <w:charset w:val="86"/>
    <w:family w:val="auto"/>
    <w:pitch w:val="default"/>
    <w:sig w:usb0="A00002BF" w:usb1="38C77CFA"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_GB2312">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Segoe UI">
    <w:altName w:val="Noto Naskh Arabic"/>
    <w:panose1 w:val="020B0502040204020203"/>
    <w:charset w:val="00"/>
    <w:family w:val="auto"/>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方正小标宋简体">
    <w:panose1 w:val="02000000000000000000"/>
    <w:charset w:val="86"/>
    <w:family w:val="script"/>
    <w:pitch w:val="default"/>
    <w:sig w:usb0="A00002BF" w:usb1="184F6CFA" w:usb2="00000012" w:usb3="00000000" w:csb0="00040001"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Kingsoft Symbol">
    <w:altName w:val="C059"/>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Zjg1NDczNmM1YmE0MzQwMWU4OGZmZjQyZDBiZDgifQ=="/>
  </w:docVars>
  <w:rsids>
    <w:rsidRoot w:val="27556881"/>
    <w:rsid w:val="02AC6FA0"/>
    <w:rsid w:val="094735C8"/>
    <w:rsid w:val="27556881"/>
    <w:rsid w:val="2A876AFB"/>
    <w:rsid w:val="2FD82D72"/>
    <w:rsid w:val="3F5D2CFD"/>
    <w:rsid w:val="459C3ECE"/>
    <w:rsid w:val="59F3699F"/>
    <w:rsid w:val="768170F9"/>
    <w:rsid w:val="77D65768"/>
    <w:rsid w:val="7B3B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utoSpaceDE w:val="0"/>
      <w:autoSpaceDN w:val="0"/>
      <w:spacing w:before="0" w:beforeAutospacing="0" w:after="0" w:afterAutospacing="0" w:line="560" w:lineRule="exact"/>
      <w:ind w:firstLine="0" w:firstLineChars="0"/>
      <w:jc w:val="center"/>
      <w:outlineLvl w:val="0"/>
    </w:pPr>
    <w:rPr>
      <w:rFonts w:hint="eastAsia" w:ascii="宋体" w:hAnsi="宋体" w:eastAsia="CESI宋体-GB18030" w:cs="宋体"/>
      <w:b/>
      <w:bCs/>
      <w:kern w:val="44"/>
      <w:sz w:val="44"/>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ind w:left="101"/>
    </w:pPr>
    <w:rPr>
      <w:rFonts w:ascii="??_GB2312" w:hAnsi="??_GB2312" w:cs="??_GB2312"/>
      <w:sz w:val="32"/>
      <w:szCs w:val="32"/>
      <w:lang w:val="zh-CN"/>
    </w:rPr>
  </w:style>
  <w:style w:type="paragraph" w:styleId="4">
    <w:name w:val="Body Text First Indent"/>
    <w:basedOn w:val="3"/>
    <w:qFormat/>
    <w:uiPriority w:val="99"/>
    <w:pPr>
      <w:ind w:firstLine="420" w:firstLineChars="100"/>
    </w:pPr>
  </w:style>
  <w:style w:type="paragraph" w:customStyle="1" w:styleId="7">
    <w:name w:val="样式 文字 + 首行缩进:  2 字符3"/>
    <w:basedOn w:val="1"/>
    <w:qFormat/>
    <w:uiPriority w:val="0"/>
    <w:pPr>
      <w:spacing w:line="360" w:lineRule="auto"/>
      <w:jc w:val="left"/>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4539</Words>
  <Characters>4823</Characters>
  <Lines>0</Lines>
  <Paragraphs>0</Paragraphs>
  <TotalTime>2</TotalTime>
  <ScaleCrop>false</ScaleCrop>
  <LinksUpToDate>false</LinksUpToDate>
  <CharactersWithSpaces>4860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2024-07-31T16:37:00Z</dcterms:created>
  <dc:creator>周建国</dc:creator>
  <cp:lastModifiedBy>周建国</cp:lastModifiedBy>
  <dcterms:modified xsi:type="dcterms:W3CDTF">2024-09-06T10:04:56Z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FCAC18675DA04C459C6036F597D9A82A_11</vt:lpwstr>
  </property>
</Properties>
</file>